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22</w:t>
      </w:r>
      <w:r>
        <w:rPr>
          <w:rFonts w:hint="eastAsia" w:ascii="宋体" w:hAnsi="宋体" w:cs="宋体"/>
          <w:color w:val="000000"/>
          <w:kern w:val="0"/>
          <w:sz w:val="24"/>
        </w:rPr>
        <w:t>-</w:t>
      </w:r>
      <w:r>
        <w:rPr>
          <w:rFonts w:hint="eastAsia" w:ascii="宋体" w:hAnsi="宋体" w:cs="宋体"/>
          <w:color w:val="000000"/>
          <w:kern w:val="0"/>
          <w:sz w:val="24"/>
          <w:lang w:val="en-US" w:eastAsia="zh-CN"/>
        </w:rPr>
        <w:t>3</w:t>
      </w:r>
      <w:r>
        <w:rPr>
          <w:rFonts w:hint="eastAsia" w:ascii="宋体" w:hAnsi="宋体" w:cs="宋体"/>
          <w:color w:val="000000"/>
          <w:kern w:val="0"/>
          <w:sz w:val="24"/>
        </w:rPr>
        <w:t>-</w:t>
      </w:r>
      <w:r>
        <w:rPr>
          <w:rFonts w:hint="eastAsia" w:ascii="宋体" w:hAnsi="宋体" w:cs="宋体"/>
          <w:color w:val="000000"/>
          <w:kern w:val="0"/>
          <w:sz w:val="24"/>
          <w:lang w:val="en-US" w:eastAsia="zh-CN"/>
        </w:rPr>
        <w:t>14</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14</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1</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14</w:t>
      </w:r>
      <w:r>
        <w:rPr>
          <w:rFonts w:hint="eastAsia" w:ascii="宋体" w:hAnsi="宋体" w:cs="宋体"/>
          <w:color w:val="000000"/>
          <w:kern w:val="0"/>
          <w:sz w:val="24"/>
        </w:rPr>
        <w:t>日－20</w:t>
      </w:r>
      <w:r>
        <w:rPr>
          <w:rFonts w:hint="eastAsia" w:ascii="宋体" w:hAnsi="宋体" w:cs="宋体"/>
          <w:color w:val="000000"/>
          <w:kern w:val="0"/>
          <w:sz w:val="24"/>
          <w:lang w:val="en-US" w:eastAsia="zh-CN"/>
        </w:rPr>
        <w:t>22</w:t>
      </w:r>
      <w:r>
        <w:rPr>
          <w:rFonts w:hint="eastAsia" w:ascii="宋体" w:hAnsi="宋体" w:cs="宋体"/>
          <w:color w:val="000000"/>
          <w:kern w:val="0"/>
          <w:sz w:val="24"/>
        </w:rPr>
        <w:t>年</w:t>
      </w:r>
      <w:r>
        <w:rPr>
          <w:rFonts w:hint="eastAsia" w:ascii="宋体" w:hAnsi="宋体" w:cs="宋体"/>
          <w:color w:val="000000"/>
          <w:kern w:val="0"/>
          <w:sz w:val="24"/>
          <w:lang w:val="en-US" w:eastAsia="zh-CN"/>
        </w:rPr>
        <w:t>3</w:t>
      </w:r>
      <w:r>
        <w:rPr>
          <w:rFonts w:hint="eastAsia" w:ascii="宋体" w:hAnsi="宋体" w:cs="宋体"/>
          <w:color w:val="000000"/>
          <w:kern w:val="0"/>
          <w:sz w:val="24"/>
        </w:rPr>
        <w:t>月</w:t>
      </w:r>
      <w:r>
        <w:rPr>
          <w:rFonts w:hint="eastAsia" w:ascii="宋体" w:hAnsi="宋体" w:cs="宋体"/>
          <w:color w:val="000000"/>
          <w:kern w:val="0"/>
          <w:sz w:val="24"/>
          <w:lang w:val="en-US" w:eastAsia="zh-CN"/>
        </w:rPr>
        <w:t>25</w:t>
      </w:r>
      <w:r>
        <w:rPr>
          <w:rFonts w:hint="eastAsia" w:ascii="宋体" w:hAnsi="宋体" w:cs="宋体"/>
          <w:color w:val="000000"/>
          <w:kern w:val="0"/>
          <w:sz w:val="24"/>
        </w:rPr>
        <w:t>日（10个工作日）。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38"/>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绿色建材产业园项目</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水口镇高河村三组294号</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乐山西建苏兴建材有限公司</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四川天和环境工程科技有限公司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2</w:t>
            </w:r>
            <w:r>
              <w:rPr>
                <w:rFonts w:hint="eastAsia" w:ascii="Times New Roman" w:hAnsi="Times New Roman" w:cs="Times New Roman"/>
              </w:rPr>
              <w:t>-</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14</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rPr>
          <w:rFonts w:hint="eastAsia"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r>
        <w:rPr>
          <w:rFonts w:hint="eastAsia" w:ascii="楷体_GB2312" w:eastAsia="楷体_GB2312"/>
          <w:bCs/>
          <w:sz w:val="44"/>
          <w:szCs w:val="44"/>
        </w:rPr>
        <w:t>-</w:t>
      </w:r>
      <w:r>
        <w:rPr>
          <w:rFonts w:hint="eastAsia" w:eastAsia="楷体_GB2312"/>
          <w:bCs/>
          <w:sz w:val="48"/>
          <w:szCs w:val="48"/>
        </w:rPr>
        <w:t>送审稿）</w:t>
      </w:r>
    </w:p>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kinsoku/>
        <w:wordWrap/>
        <w:overflowPunct/>
        <w:topLinePunct w:val="0"/>
        <w:autoSpaceDE/>
        <w:autoSpaceDN/>
        <w:bidi w:val="0"/>
        <w:adjustRightInd w:val="0"/>
        <w:snapToGrid w:val="0"/>
        <w:spacing w:line="360" w:lineRule="auto"/>
        <w:ind w:left="2445" w:leftChars="152" w:hanging="2080" w:hangingChars="650"/>
        <w:textAlignment w:val="auto"/>
        <w:rPr>
          <w:rFonts w:eastAsia="仿宋_GB2312"/>
          <w:sz w:val="32"/>
          <w:szCs w:val="32"/>
          <w:u w:val="single"/>
        </w:rPr>
      </w:pPr>
      <w:r>
        <w:rPr>
          <w:rFonts w:eastAsia="仿宋_GB2312"/>
          <w:sz w:val="32"/>
          <w:szCs w:val="32"/>
        </w:rPr>
        <w:t>项目名称：</w:t>
      </w:r>
      <w:r>
        <w:rPr>
          <w:rFonts w:eastAsia="仿宋_GB2312"/>
          <w:sz w:val="32"/>
          <w:szCs w:val="32"/>
          <w:u w:val="single"/>
        </w:rPr>
        <w:t xml:space="preserve">  </w:t>
      </w:r>
      <w:r>
        <w:rPr>
          <w:rFonts w:hint="eastAsia" w:eastAsia="仿宋_GB2312"/>
          <w:sz w:val="32"/>
          <w:szCs w:val="32"/>
          <w:u w:val="single"/>
          <w:lang w:val="en-US" w:eastAsia="zh-CN"/>
        </w:rPr>
        <w:t xml:space="preserve">        </w:t>
      </w:r>
      <w:r>
        <w:rPr>
          <w:rFonts w:eastAsia="仿宋_GB2312"/>
          <w:sz w:val="32"/>
          <w:szCs w:val="32"/>
          <w:u w:val="single"/>
        </w:rPr>
        <w:t xml:space="preserve"> </w:t>
      </w:r>
      <w:r>
        <w:rPr>
          <w:rFonts w:hint="eastAsia" w:eastAsia="仿宋_GB2312"/>
          <w:sz w:val="32"/>
          <w:szCs w:val="32"/>
          <w:u w:val="single"/>
          <w:lang w:val="en-US" w:eastAsia="zh-CN"/>
        </w:rPr>
        <w:t xml:space="preserve">    </w:t>
      </w:r>
      <w:r>
        <w:rPr>
          <w:rFonts w:hint="eastAsia" w:ascii="Times New Roman" w:hAnsi="Times New Roman" w:eastAsia="仿宋_GB2312" w:cs="Times New Roman"/>
          <w:sz w:val="32"/>
          <w:szCs w:val="32"/>
          <w:u w:val="single"/>
          <w:lang w:val="en-US" w:eastAsia="zh-CN"/>
        </w:rPr>
        <w:t>绿色建材产业园项目</w:t>
      </w:r>
      <w:r>
        <w:rPr>
          <w:rFonts w:ascii="Times New Roman" w:hAnsi="Times New Roman" w:eastAsia="仿宋_GB2312" w:cs="Times New Roman"/>
          <w:sz w:val="32"/>
          <w:szCs w:val="32"/>
          <w:u w:val="single"/>
        </w:rPr>
        <w:t xml:space="preserve"> </w:t>
      </w:r>
      <w:r>
        <w:rPr>
          <w:rFonts w:eastAsia="仿宋_GB2312"/>
          <w:sz w:val="32"/>
          <w:szCs w:val="32"/>
          <w:u w:val="single"/>
        </w:rPr>
        <w:t xml:space="preserve">       </w:t>
      </w:r>
    </w:p>
    <w:p>
      <w:pPr>
        <w:keepNext w:val="0"/>
        <w:keepLines w:val="0"/>
        <w:pageBreakBefore w:val="0"/>
        <w:widowControl/>
        <w:suppressLineNumbers w:val="0"/>
        <w:kinsoku/>
        <w:wordWrap/>
        <w:overflowPunct/>
        <w:topLinePunct w:val="0"/>
        <w:autoSpaceDE/>
        <w:autoSpaceDN/>
        <w:bidi w:val="0"/>
        <w:spacing w:line="360" w:lineRule="auto"/>
        <w:ind w:firstLine="320" w:firstLineChars="100"/>
        <w:jc w:val="left"/>
        <w:textAlignment w:val="auto"/>
        <w:rPr>
          <w:rFonts w:eastAsia="仿宋_GB2312"/>
          <w:sz w:val="32"/>
          <w:szCs w:val="32"/>
          <w:u w:val="single"/>
        </w:rPr>
      </w:pPr>
      <w:r>
        <w:rPr>
          <w:rFonts w:eastAsia="仿宋_GB2312"/>
          <w:sz w:val="32"/>
          <w:szCs w:val="32"/>
        </w:rPr>
        <w:t>建设单位（盖章）：</w:t>
      </w:r>
      <w:r>
        <w:rPr>
          <w:rFonts w:eastAsia="仿宋_GB2312"/>
          <w:sz w:val="32"/>
          <w:szCs w:val="32"/>
          <w:u w:val="single"/>
        </w:rPr>
        <w:t xml:space="preserve">  </w:t>
      </w:r>
      <w:r>
        <w:rPr>
          <w:rFonts w:hint="eastAsia" w:eastAsia="仿宋_GB2312"/>
          <w:sz w:val="32"/>
          <w:szCs w:val="32"/>
          <w:u w:val="single"/>
          <w:lang w:val="en-US" w:eastAsia="zh-CN"/>
        </w:rPr>
        <w:t xml:space="preserve">   </w:t>
      </w:r>
      <w:r>
        <w:rPr>
          <w:rFonts w:hint="eastAsia" w:ascii="Times New Roman" w:hAnsi="Times New Roman" w:eastAsia="仿宋_GB2312" w:cs="Times New Roman"/>
          <w:sz w:val="32"/>
          <w:szCs w:val="32"/>
          <w:u w:val="single"/>
          <w:lang w:val="en-US" w:eastAsia="zh-CN"/>
        </w:rPr>
        <w:t xml:space="preserve">乐山西建苏兴建材有限公司 </w:t>
      </w:r>
      <w:r>
        <w:rPr>
          <w:rFonts w:eastAsia="仿宋_GB2312"/>
          <w:sz w:val="32"/>
          <w:szCs w:val="32"/>
          <w:u w:val="single"/>
        </w:rPr>
        <w:t xml:space="preserve"> </w:t>
      </w:r>
      <w:r>
        <w:rPr>
          <w:rFonts w:hint="eastAsia" w:eastAsia="仿宋_GB2312"/>
          <w:sz w:val="32"/>
          <w:szCs w:val="32"/>
          <w:u w:val="single"/>
          <w:lang w:val="en-US" w:eastAsia="zh-CN"/>
        </w:rPr>
        <w:t xml:space="preserve"> </w:t>
      </w:r>
      <w:r>
        <w:rPr>
          <w:rFonts w:eastAsia="仿宋_GB2312"/>
          <w:sz w:val="32"/>
          <w:szCs w:val="32"/>
          <w:u w:val="single"/>
        </w:rPr>
        <w:t xml:space="preserve"> </w:t>
      </w:r>
    </w:p>
    <w:p>
      <w:pPr>
        <w:keepNext w:val="0"/>
        <w:keepLines w:val="0"/>
        <w:pageBreakBefore w:val="0"/>
        <w:kinsoku/>
        <w:wordWrap/>
        <w:overflowPunct/>
        <w:topLinePunct w:val="0"/>
        <w:autoSpaceDE/>
        <w:autoSpaceDN/>
        <w:bidi w:val="0"/>
        <w:adjustRightInd w:val="0"/>
        <w:snapToGrid w:val="0"/>
        <w:spacing w:line="360" w:lineRule="auto"/>
        <w:ind w:firstLine="320" w:firstLineChars="100"/>
        <w:textAlignment w:val="auto"/>
        <w:rPr>
          <w:rFonts w:eastAsia="仿宋_GB2312"/>
          <w:sz w:val="30"/>
          <w:szCs w:val="30"/>
          <w:u w:val="single"/>
        </w:rPr>
      </w:pPr>
      <w:r>
        <w:rPr>
          <w:rFonts w:eastAsia="仿宋_GB2312"/>
          <w:sz w:val="32"/>
          <w:szCs w:val="32"/>
        </w:rPr>
        <w:t>编制日期：</w:t>
      </w:r>
      <w:r>
        <w:rPr>
          <w:rFonts w:eastAsia="仿宋_GB2312"/>
          <w:sz w:val="32"/>
          <w:szCs w:val="32"/>
          <w:u w:val="single"/>
        </w:rPr>
        <w:t xml:space="preserve">              </w:t>
      </w:r>
      <w:r>
        <w:rPr>
          <w:rFonts w:hint="eastAsia" w:eastAsia="仿宋_GB2312"/>
          <w:sz w:val="32"/>
          <w:szCs w:val="32"/>
          <w:u w:val="single"/>
          <w:lang w:val="en-US" w:eastAsia="zh-CN"/>
        </w:rPr>
        <w:t xml:space="preserve"> </w:t>
      </w:r>
      <w:r>
        <w:rPr>
          <w:rFonts w:eastAsia="仿宋_GB2312"/>
          <w:sz w:val="32"/>
          <w:szCs w:val="32"/>
          <w:u w:val="single"/>
        </w:rPr>
        <w:t>二</w:t>
      </w:r>
      <w:r>
        <w:rPr>
          <w:rFonts w:eastAsia="微软雅黑"/>
          <w:sz w:val="32"/>
          <w:szCs w:val="32"/>
          <w:u w:val="single"/>
        </w:rPr>
        <w:t>〇</w:t>
      </w:r>
      <w:r>
        <w:rPr>
          <w:rFonts w:eastAsia="仿宋_GB2312"/>
          <w:sz w:val="32"/>
          <w:szCs w:val="32"/>
          <w:u w:val="single"/>
        </w:rPr>
        <w:t>二</w:t>
      </w:r>
      <w:r>
        <w:rPr>
          <w:rFonts w:hint="eastAsia" w:eastAsia="仿宋_GB2312"/>
          <w:sz w:val="32"/>
          <w:szCs w:val="32"/>
          <w:u w:val="single"/>
        </w:rPr>
        <w:t>二</w:t>
      </w:r>
      <w:r>
        <w:rPr>
          <w:rFonts w:eastAsia="仿宋_GB2312"/>
          <w:sz w:val="32"/>
          <w:szCs w:val="32"/>
          <w:u w:val="single"/>
        </w:rPr>
        <w:t>年</w:t>
      </w:r>
      <w:r>
        <w:rPr>
          <w:rFonts w:hint="eastAsia" w:eastAsia="仿宋_GB2312"/>
          <w:sz w:val="32"/>
          <w:szCs w:val="32"/>
          <w:u w:val="single"/>
          <w:lang w:val="en-US" w:eastAsia="zh-CN"/>
        </w:rPr>
        <w:t>三</w:t>
      </w:r>
      <w:r>
        <w:rPr>
          <w:rFonts w:eastAsia="仿宋_GB2312"/>
          <w:sz w:val="32"/>
          <w:szCs w:val="32"/>
          <w:u w:val="single"/>
        </w:rPr>
        <w:t xml:space="preserve">月            </w:t>
      </w:r>
    </w:p>
    <w:p>
      <w:pPr>
        <w:adjustRightInd w:val="0"/>
        <w:snapToGrid w:val="0"/>
        <w:spacing w:line="288" w:lineRule="auto"/>
        <w:ind w:firstLine="1040"/>
        <w:rPr>
          <w:rFonts w:eastAsia="仿宋_GB2312"/>
          <w:sz w:val="36"/>
          <w:szCs w:val="36"/>
          <w:u w:val="single"/>
        </w:rPr>
      </w:pPr>
      <w:bookmarkStart w:id="0" w:name="_Hlk57884087"/>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0"/>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pPr>
        <w:pStyle w:val="3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38"/>
        <w:tblW w:w="92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56"/>
        <w:gridCol w:w="2256"/>
        <w:gridCol w:w="2364"/>
        <w:gridCol w:w="31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建设项目名称</w:t>
            </w:r>
          </w:p>
        </w:tc>
        <w:tc>
          <w:tcPr>
            <w:tcW w:w="7788" w:type="dxa"/>
            <w:gridSpan w:val="3"/>
            <w:noWrap w:val="0"/>
            <w:vAlign w:val="center"/>
          </w:tcPr>
          <w:p>
            <w:pPr>
              <w:keepNext w:val="0"/>
              <w:keepLines w:val="0"/>
              <w:widowControl/>
              <w:suppressLineNumbers w:val="0"/>
              <w:jc w:val="center"/>
              <w:rPr>
                <w:sz w:val="24"/>
                <w:szCs w:val="24"/>
              </w:rPr>
            </w:pPr>
            <w:r>
              <w:rPr>
                <w:rFonts w:hint="eastAsia" w:ascii="Times New Roman" w:hAnsi="Times New Roman" w:eastAsia="宋体" w:cs="Times New Roman"/>
                <w:sz w:val="24"/>
                <w:szCs w:val="24"/>
                <w:lang w:val="en-US" w:eastAsia="zh-CN"/>
              </w:rPr>
              <w:t>绿色建材产业园项目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项目代码</w:t>
            </w:r>
          </w:p>
        </w:tc>
        <w:tc>
          <w:tcPr>
            <w:tcW w:w="7788" w:type="dxa"/>
            <w:gridSpan w:val="3"/>
            <w:noWrap w:val="0"/>
            <w:vAlign w:val="center"/>
          </w:tcPr>
          <w:p>
            <w:pPr>
              <w:jc w:val="center"/>
              <w:rPr>
                <w:sz w:val="24"/>
                <w:szCs w:val="24"/>
              </w:rPr>
            </w:pPr>
            <w:r>
              <w:rPr>
                <w:rFonts w:hint="eastAsia"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建设单位联系人</w:t>
            </w:r>
          </w:p>
        </w:tc>
        <w:tc>
          <w:tcPr>
            <w:tcW w:w="2256" w:type="dxa"/>
            <w:noWrap w:val="0"/>
            <w:vAlign w:val="center"/>
          </w:tcPr>
          <w:p>
            <w:pPr>
              <w:keepNext w:val="0"/>
              <w:keepLines w:val="0"/>
              <w:widowControl/>
              <w:suppressLineNumbers w:val="0"/>
              <w:jc w:val="center"/>
              <w:rPr>
                <w:rFonts w:hint="eastAsia"/>
                <w:sz w:val="24"/>
                <w:szCs w:val="24"/>
              </w:rPr>
            </w:pPr>
            <w:r>
              <w:rPr>
                <w:rFonts w:hint="eastAsia" w:ascii="Times New Roman" w:hAnsi="Times New Roman" w:eastAsia="宋体" w:cs="Times New Roman"/>
                <w:sz w:val="24"/>
                <w:szCs w:val="24"/>
                <w:lang w:val="en-US" w:eastAsia="zh-CN"/>
              </w:rPr>
              <w:t>18200512014</w:t>
            </w:r>
          </w:p>
        </w:tc>
        <w:tc>
          <w:tcPr>
            <w:tcW w:w="2364" w:type="dxa"/>
            <w:noWrap w:val="0"/>
            <w:vAlign w:val="center"/>
          </w:tcPr>
          <w:p>
            <w:pPr>
              <w:adjustRightInd w:val="0"/>
              <w:snapToGrid w:val="0"/>
              <w:jc w:val="center"/>
              <w:rPr>
                <w:sz w:val="24"/>
                <w:szCs w:val="24"/>
              </w:rPr>
            </w:pPr>
            <w:r>
              <w:rPr>
                <w:sz w:val="24"/>
                <w:szCs w:val="24"/>
              </w:rPr>
              <w:t>联系方式</w:t>
            </w:r>
          </w:p>
        </w:tc>
        <w:tc>
          <w:tcPr>
            <w:tcW w:w="3168" w:type="dxa"/>
            <w:noWrap w:val="0"/>
            <w:vAlign w:val="center"/>
          </w:tcPr>
          <w:p>
            <w:pPr>
              <w:keepNext w:val="0"/>
              <w:keepLines w:val="0"/>
              <w:widowControl/>
              <w:suppressLineNumbers w:val="0"/>
              <w:jc w:val="center"/>
              <w:rPr>
                <w:sz w:val="24"/>
                <w:szCs w:val="24"/>
              </w:rPr>
            </w:pPr>
            <w:r>
              <w:rPr>
                <w:rFonts w:hint="eastAsia" w:ascii="Times New Roman" w:hAnsi="Times New Roman" w:eastAsia="宋体" w:cs="Times New Roman"/>
                <w:sz w:val="24"/>
                <w:szCs w:val="24"/>
                <w:lang w:val="en-US" w:eastAsia="zh-CN"/>
              </w:rPr>
              <w:t>殷杰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建设地点</w:t>
            </w:r>
          </w:p>
        </w:tc>
        <w:tc>
          <w:tcPr>
            <w:tcW w:w="7788" w:type="dxa"/>
            <w:gridSpan w:val="3"/>
            <w:noWrap w:val="0"/>
            <w:vAlign w:val="center"/>
          </w:tcPr>
          <w:p>
            <w:pPr>
              <w:keepNext w:val="0"/>
              <w:keepLines w:val="0"/>
              <w:widowControl/>
              <w:suppressLineNumbers w:val="0"/>
              <w:jc w:val="center"/>
              <w:rPr>
                <w:sz w:val="24"/>
                <w:szCs w:val="24"/>
              </w:rPr>
            </w:pPr>
            <w:r>
              <w:rPr>
                <w:rFonts w:hint="eastAsia" w:ascii="Times New Roman" w:hAnsi="Times New Roman" w:eastAsia="宋体" w:cs="Times New Roman"/>
                <w:sz w:val="24"/>
                <w:szCs w:val="24"/>
                <w:lang w:val="en-US" w:eastAsia="zh-CN"/>
              </w:rPr>
              <w:t>水口镇高河村三组294号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地理坐标</w:t>
            </w:r>
          </w:p>
        </w:tc>
        <w:tc>
          <w:tcPr>
            <w:tcW w:w="7788" w:type="dxa"/>
            <w:gridSpan w:val="3"/>
            <w:noWrap w:val="0"/>
            <w:vAlign w:val="center"/>
          </w:tcPr>
          <w:p>
            <w:pPr>
              <w:jc w:val="center"/>
              <w:rPr>
                <w:sz w:val="24"/>
                <w:szCs w:val="24"/>
              </w:rPr>
            </w:pPr>
            <w:r>
              <w:rPr>
                <w:sz w:val="24"/>
                <w:szCs w:val="24"/>
              </w:rPr>
              <w:t>10</w:t>
            </w:r>
            <w:r>
              <w:rPr>
                <w:rFonts w:hint="eastAsia"/>
                <w:sz w:val="24"/>
                <w:szCs w:val="24"/>
                <w:lang w:val="en-US" w:eastAsia="zh-CN"/>
              </w:rPr>
              <w:t>3</w:t>
            </w:r>
            <w:r>
              <w:rPr>
                <w:sz w:val="24"/>
                <w:szCs w:val="24"/>
              </w:rPr>
              <w:t>度</w:t>
            </w:r>
            <w:r>
              <w:rPr>
                <w:rFonts w:hint="eastAsia"/>
                <w:sz w:val="24"/>
                <w:szCs w:val="24"/>
                <w:lang w:val="en-US" w:eastAsia="zh-CN"/>
              </w:rPr>
              <w:t>39</w:t>
            </w:r>
            <w:r>
              <w:rPr>
                <w:sz w:val="24"/>
                <w:szCs w:val="24"/>
              </w:rPr>
              <w:t>分</w:t>
            </w:r>
            <w:r>
              <w:rPr>
                <w:rFonts w:hint="eastAsia"/>
                <w:sz w:val="24"/>
                <w:szCs w:val="24"/>
                <w:lang w:val="en-US" w:eastAsia="zh-CN"/>
              </w:rPr>
              <w:t>19.645</w:t>
            </w:r>
            <w:r>
              <w:rPr>
                <w:sz w:val="24"/>
                <w:szCs w:val="24"/>
              </w:rPr>
              <w:t>秒，2</w:t>
            </w:r>
            <w:r>
              <w:rPr>
                <w:rFonts w:hint="eastAsia"/>
                <w:sz w:val="24"/>
                <w:szCs w:val="24"/>
                <w:lang w:val="en-US" w:eastAsia="zh-CN"/>
              </w:rPr>
              <w:t>9</w:t>
            </w:r>
            <w:r>
              <w:rPr>
                <w:sz w:val="24"/>
                <w:szCs w:val="24"/>
              </w:rPr>
              <w:t>度3</w:t>
            </w:r>
            <w:r>
              <w:rPr>
                <w:rFonts w:hint="eastAsia"/>
                <w:sz w:val="24"/>
                <w:szCs w:val="24"/>
                <w:lang w:val="en-US" w:eastAsia="zh-CN"/>
              </w:rPr>
              <w:t>2</w:t>
            </w:r>
            <w:r>
              <w:rPr>
                <w:sz w:val="24"/>
                <w:szCs w:val="24"/>
              </w:rPr>
              <w:t>分</w:t>
            </w:r>
            <w:r>
              <w:rPr>
                <w:rFonts w:hint="eastAsia"/>
                <w:sz w:val="24"/>
                <w:szCs w:val="24"/>
                <w:lang w:val="en-US" w:eastAsia="zh-CN"/>
              </w:rPr>
              <w:t>33.983</w:t>
            </w:r>
            <w:r>
              <w:rPr>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国民经济</w:t>
            </w:r>
          </w:p>
          <w:p>
            <w:pPr>
              <w:adjustRightInd w:val="0"/>
              <w:snapToGrid w:val="0"/>
              <w:jc w:val="center"/>
              <w:rPr>
                <w:sz w:val="24"/>
                <w:szCs w:val="24"/>
              </w:rPr>
            </w:pPr>
            <w:r>
              <w:rPr>
                <w:sz w:val="24"/>
                <w:szCs w:val="24"/>
              </w:rPr>
              <w:t>行业类别</w:t>
            </w:r>
          </w:p>
        </w:tc>
        <w:tc>
          <w:tcPr>
            <w:tcW w:w="2256" w:type="dxa"/>
            <w:noWrap w:val="0"/>
            <w:vAlign w:val="center"/>
          </w:tcPr>
          <w:p>
            <w:pPr>
              <w:adjustRightInd w:val="0"/>
              <w:snapToGrid w:val="0"/>
              <w:jc w:val="center"/>
              <w:rPr>
                <w:sz w:val="24"/>
                <w:szCs w:val="24"/>
              </w:rPr>
            </w:pPr>
            <w:r>
              <w:rPr>
                <w:sz w:val="24"/>
                <w:szCs w:val="24"/>
              </w:rPr>
              <w:t>C3021</w:t>
            </w:r>
            <w:r>
              <w:rPr>
                <w:rFonts w:hint="eastAsia"/>
                <w:sz w:val="24"/>
                <w:szCs w:val="24"/>
              </w:rPr>
              <w:t>水泥制品制造</w:t>
            </w:r>
          </w:p>
        </w:tc>
        <w:tc>
          <w:tcPr>
            <w:tcW w:w="2364" w:type="dxa"/>
            <w:noWrap w:val="0"/>
            <w:vAlign w:val="center"/>
          </w:tcPr>
          <w:p>
            <w:pPr>
              <w:adjustRightInd w:val="0"/>
              <w:snapToGrid w:val="0"/>
              <w:jc w:val="center"/>
              <w:rPr>
                <w:sz w:val="24"/>
                <w:szCs w:val="24"/>
              </w:rPr>
            </w:pPr>
            <w:bookmarkStart w:id="1" w:name="_Hlk49843745"/>
            <w:r>
              <w:rPr>
                <w:sz w:val="24"/>
                <w:szCs w:val="24"/>
              </w:rPr>
              <w:t>建设项目</w:t>
            </w:r>
          </w:p>
          <w:p>
            <w:pPr>
              <w:adjustRightInd w:val="0"/>
              <w:snapToGrid w:val="0"/>
              <w:jc w:val="center"/>
              <w:rPr>
                <w:sz w:val="24"/>
                <w:szCs w:val="24"/>
              </w:rPr>
            </w:pPr>
            <w:r>
              <w:rPr>
                <w:sz w:val="24"/>
                <w:szCs w:val="24"/>
              </w:rPr>
              <w:t>行业类别</w:t>
            </w:r>
            <w:bookmarkEnd w:id="1"/>
          </w:p>
        </w:tc>
        <w:tc>
          <w:tcPr>
            <w:tcW w:w="3168" w:type="dxa"/>
            <w:noWrap w:val="0"/>
            <w:vAlign w:val="center"/>
          </w:tcPr>
          <w:p>
            <w:pPr>
              <w:adjustRightInd w:val="0"/>
              <w:snapToGrid w:val="0"/>
              <w:rPr>
                <w:sz w:val="24"/>
                <w:szCs w:val="24"/>
              </w:rPr>
            </w:pPr>
            <w:r>
              <w:rPr>
                <w:sz w:val="24"/>
                <w:szCs w:val="24"/>
              </w:rPr>
              <w:t>55石膏、水泥制品及类似制品制造</w:t>
            </w:r>
            <w:r>
              <w:rPr>
                <w:rFonts w:hint="eastAsia"/>
                <w:sz w:val="24"/>
                <w:szCs w:val="24"/>
              </w:rPr>
              <w:t>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建设性质</w:t>
            </w:r>
          </w:p>
        </w:tc>
        <w:tc>
          <w:tcPr>
            <w:tcW w:w="2256" w:type="dxa"/>
            <w:noWrap w:val="0"/>
            <w:vAlign w:val="center"/>
          </w:tcPr>
          <w:p>
            <w:pPr>
              <w:jc w:val="left"/>
              <w:rPr>
                <w:sz w:val="24"/>
                <w:szCs w:val="24"/>
              </w:rPr>
            </w:pPr>
            <w:r>
              <w:rPr>
                <w:sz w:val="24"/>
                <w:szCs w:val="24"/>
              </w:rPr>
              <w:sym w:font="Wingdings 2" w:char="0052"/>
            </w:r>
            <w:r>
              <w:rPr>
                <w:sz w:val="24"/>
                <w:szCs w:val="24"/>
              </w:rPr>
              <w:t>新建（迁建）</w:t>
            </w:r>
          </w:p>
          <w:p>
            <w:pPr>
              <w:jc w:val="left"/>
              <w:rPr>
                <w:sz w:val="24"/>
                <w:szCs w:val="24"/>
              </w:rPr>
            </w:pPr>
            <w:r>
              <w:rPr>
                <w:sz w:val="24"/>
                <w:szCs w:val="24"/>
              </w:rPr>
              <w:t>□改建</w:t>
            </w:r>
          </w:p>
          <w:p>
            <w:pPr>
              <w:jc w:val="left"/>
              <w:rPr>
                <w:sz w:val="24"/>
                <w:szCs w:val="24"/>
              </w:rPr>
            </w:pPr>
            <w:r>
              <w:rPr>
                <w:sz w:val="24"/>
                <w:szCs w:val="24"/>
              </w:rPr>
              <w:t>□扩建</w:t>
            </w:r>
          </w:p>
          <w:p>
            <w:pPr>
              <w:jc w:val="left"/>
              <w:rPr>
                <w:sz w:val="24"/>
                <w:szCs w:val="24"/>
              </w:rPr>
            </w:pPr>
            <w:r>
              <w:rPr>
                <w:sz w:val="24"/>
                <w:szCs w:val="24"/>
              </w:rPr>
              <w:t>□技术改造</w:t>
            </w:r>
          </w:p>
        </w:tc>
        <w:tc>
          <w:tcPr>
            <w:tcW w:w="2364" w:type="dxa"/>
            <w:noWrap w:val="0"/>
            <w:vAlign w:val="center"/>
          </w:tcPr>
          <w:p>
            <w:pPr>
              <w:adjustRightInd w:val="0"/>
              <w:snapToGrid w:val="0"/>
              <w:jc w:val="center"/>
              <w:rPr>
                <w:sz w:val="24"/>
                <w:szCs w:val="24"/>
              </w:rPr>
            </w:pPr>
            <w:r>
              <w:rPr>
                <w:sz w:val="24"/>
                <w:szCs w:val="24"/>
              </w:rPr>
              <w:t>建设项目</w:t>
            </w:r>
          </w:p>
          <w:p>
            <w:pPr>
              <w:adjustRightInd w:val="0"/>
              <w:snapToGrid w:val="0"/>
              <w:jc w:val="center"/>
              <w:rPr>
                <w:sz w:val="24"/>
                <w:szCs w:val="24"/>
              </w:rPr>
            </w:pPr>
            <w:r>
              <w:rPr>
                <w:sz w:val="24"/>
                <w:szCs w:val="24"/>
              </w:rPr>
              <w:t>申报情形</w:t>
            </w:r>
          </w:p>
        </w:tc>
        <w:tc>
          <w:tcPr>
            <w:tcW w:w="3168" w:type="dxa"/>
            <w:noWrap w:val="0"/>
            <w:vAlign w:val="center"/>
          </w:tcPr>
          <w:p>
            <w:pPr>
              <w:jc w:val="left"/>
              <w:rPr>
                <w:sz w:val="24"/>
                <w:szCs w:val="24"/>
              </w:rPr>
            </w:pPr>
            <w:r>
              <w:rPr>
                <w:sz w:val="24"/>
                <w:szCs w:val="24"/>
              </w:rPr>
              <w:sym w:font="Wingdings 2" w:char="0052"/>
            </w:r>
            <w:r>
              <w:rPr>
                <w:sz w:val="24"/>
                <w:szCs w:val="24"/>
              </w:rPr>
              <w:t xml:space="preserve">首次申报项目             </w:t>
            </w:r>
          </w:p>
          <w:p>
            <w:pPr>
              <w:jc w:val="left"/>
              <w:rPr>
                <w:sz w:val="24"/>
                <w:szCs w:val="24"/>
              </w:rPr>
            </w:pPr>
            <w:r>
              <w:rPr>
                <w:sz w:val="24"/>
                <w:szCs w:val="24"/>
              </w:rPr>
              <w:t>□不予批准后再次申报项目</w:t>
            </w:r>
          </w:p>
          <w:p>
            <w:pPr>
              <w:jc w:val="left"/>
              <w:rPr>
                <w:sz w:val="24"/>
                <w:szCs w:val="24"/>
              </w:rPr>
            </w:pPr>
            <w:r>
              <w:rPr>
                <w:sz w:val="24"/>
                <w:szCs w:val="24"/>
              </w:rPr>
              <w:t xml:space="preserve">□超五年重新审核项目     </w:t>
            </w:r>
          </w:p>
          <w:p>
            <w:pPr>
              <w:jc w:val="left"/>
              <w:rPr>
                <w:sz w:val="24"/>
                <w:szCs w:val="24"/>
              </w:rPr>
            </w:pPr>
            <w:r>
              <w:rPr>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项目审批（核准/</w:t>
            </w:r>
          </w:p>
          <w:p>
            <w:pPr>
              <w:adjustRightInd w:val="0"/>
              <w:snapToGrid w:val="0"/>
              <w:jc w:val="center"/>
              <w:rPr>
                <w:sz w:val="24"/>
                <w:szCs w:val="24"/>
              </w:rPr>
            </w:pPr>
            <w:r>
              <w:rPr>
                <w:sz w:val="24"/>
                <w:szCs w:val="24"/>
              </w:rPr>
              <w:t>备案）部门（选填）</w:t>
            </w:r>
          </w:p>
        </w:tc>
        <w:tc>
          <w:tcPr>
            <w:tcW w:w="2256" w:type="dxa"/>
            <w:noWrap w:val="0"/>
            <w:vAlign w:val="center"/>
          </w:tcPr>
          <w:p>
            <w:pPr>
              <w:adjustRightInd w:val="0"/>
              <w:snapToGrid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乐山市中区</w:t>
            </w:r>
          </w:p>
          <w:p>
            <w:pPr>
              <w:adjustRightInd w:val="0"/>
              <w:snapToGrid w:val="0"/>
              <w:jc w:val="center"/>
              <w:rPr>
                <w:sz w:val="24"/>
                <w:szCs w:val="24"/>
              </w:rPr>
            </w:pPr>
            <w:r>
              <w:rPr>
                <w:rFonts w:hint="eastAsia" w:ascii="Times New Roman" w:hAnsi="Times New Roman" w:eastAsia="宋体" w:cs="Times New Roman"/>
                <w:sz w:val="24"/>
                <w:szCs w:val="24"/>
              </w:rPr>
              <w:t>发展和改革局</w:t>
            </w:r>
          </w:p>
        </w:tc>
        <w:tc>
          <w:tcPr>
            <w:tcW w:w="2364" w:type="dxa"/>
            <w:noWrap w:val="0"/>
            <w:vAlign w:val="center"/>
          </w:tcPr>
          <w:p>
            <w:pPr>
              <w:adjustRightInd w:val="0"/>
              <w:snapToGrid w:val="0"/>
              <w:jc w:val="center"/>
              <w:rPr>
                <w:sz w:val="24"/>
                <w:szCs w:val="24"/>
              </w:rPr>
            </w:pPr>
            <w:r>
              <w:rPr>
                <w:sz w:val="24"/>
                <w:szCs w:val="24"/>
              </w:rPr>
              <w:t>项目审批（核准/</w:t>
            </w:r>
          </w:p>
          <w:p>
            <w:pPr>
              <w:adjustRightInd w:val="0"/>
              <w:snapToGrid w:val="0"/>
              <w:jc w:val="center"/>
              <w:rPr>
                <w:sz w:val="24"/>
                <w:szCs w:val="24"/>
              </w:rPr>
            </w:pPr>
            <w:r>
              <w:rPr>
                <w:sz w:val="24"/>
                <w:szCs w:val="24"/>
              </w:rPr>
              <w:t>备案）文号（选填）</w:t>
            </w:r>
          </w:p>
        </w:tc>
        <w:tc>
          <w:tcPr>
            <w:tcW w:w="3168" w:type="dxa"/>
            <w:noWrap w:val="0"/>
            <w:vAlign w:val="center"/>
          </w:tcPr>
          <w:p>
            <w:pPr>
              <w:adjustRightInd w:val="0"/>
              <w:snapToGrid w:val="0"/>
              <w:jc w:val="center"/>
              <w:rPr>
                <w:rFonts w:hint="eastAsia"/>
                <w:sz w:val="24"/>
                <w:szCs w:val="24"/>
              </w:rPr>
            </w:pPr>
            <w:r>
              <w:rPr>
                <w:rFonts w:hint="eastAsia" w:ascii="Times New Roman" w:hAnsi="Times New Roman" w:eastAsia="宋体" w:cs="Times New Roman"/>
                <w:sz w:val="24"/>
                <w:szCs w:val="24"/>
                <w:lang w:val="en-US" w:eastAsia="zh-CN"/>
              </w:rPr>
              <w:t>川投资备【2202-511102-17-01-842485】FGQB-0024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总投资（万元）</w:t>
            </w:r>
          </w:p>
        </w:tc>
        <w:tc>
          <w:tcPr>
            <w:tcW w:w="2256" w:type="dxa"/>
            <w:noWrap w:val="0"/>
            <w:vAlign w:val="center"/>
          </w:tcPr>
          <w:p>
            <w:pPr>
              <w:adjustRightInd w:val="0"/>
              <w:snapToGrid w:val="0"/>
              <w:jc w:val="center"/>
              <w:rPr>
                <w:color w:val="auto"/>
                <w:sz w:val="24"/>
                <w:szCs w:val="24"/>
              </w:rPr>
            </w:pPr>
            <w:r>
              <w:rPr>
                <w:color w:val="auto"/>
                <w:sz w:val="24"/>
                <w:szCs w:val="24"/>
              </w:rPr>
              <w:t>1</w:t>
            </w:r>
            <w:r>
              <w:rPr>
                <w:rFonts w:hint="eastAsia"/>
                <w:color w:val="auto"/>
                <w:sz w:val="24"/>
                <w:szCs w:val="24"/>
                <w:lang w:val="en-US" w:eastAsia="zh-CN"/>
              </w:rPr>
              <w:t>40</w:t>
            </w:r>
            <w:r>
              <w:rPr>
                <w:color w:val="auto"/>
                <w:sz w:val="24"/>
                <w:szCs w:val="24"/>
              </w:rPr>
              <w:t>00</w:t>
            </w:r>
          </w:p>
        </w:tc>
        <w:tc>
          <w:tcPr>
            <w:tcW w:w="2364" w:type="dxa"/>
            <w:noWrap w:val="0"/>
            <w:tcMar>
              <w:top w:w="16" w:type="dxa"/>
              <w:left w:w="16" w:type="dxa"/>
              <w:right w:w="16" w:type="dxa"/>
            </w:tcMar>
            <w:vAlign w:val="center"/>
          </w:tcPr>
          <w:p>
            <w:pPr>
              <w:adjustRightInd w:val="0"/>
              <w:snapToGrid w:val="0"/>
              <w:jc w:val="center"/>
              <w:rPr>
                <w:color w:val="auto"/>
                <w:sz w:val="24"/>
                <w:szCs w:val="24"/>
              </w:rPr>
            </w:pPr>
            <w:r>
              <w:rPr>
                <w:color w:val="auto"/>
                <w:sz w:val="24"/>
                <w:szCs w:val="24"/>
              </w:rPr>
              <w:t>环保投资（万元）</w:t>
            </w:r>
          </w:p>
        </w:tc>
        <w:tc>
          <w:tcPr>
            <w:tcW w:w="3168"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434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环保投资占比（%）</w:t>
            </w:r>
          </w:p>
        </w:tc>
        <w:tc>
          <w:tcPr>
            <w:tcW w:w="2256"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3.1</w:t>
            </w:r>
          </w:p>
        </w:tc>
        <w:tc>
          <w:tcPr>
            <w:tcW w:w="2364" w:type="dxa"/>
            <w:noWrap w:val="0"/>
            <w:tcMar>
              <w:top w:w="16" w:type="dxa"/>
              <w:left w:w="16" w:type="dxa"/>
              <w:right w:w="16" w:type="dxa"/>
            </w:tcMar>
            <w:vAlign w:val="center"/>
          </w:tcPr>
          <w:p>
            <w:pPr>
              <w:adjustRightInd w:val="0"/>
              <w:snapToGrid w:val="0"/>
              <w:jc w:val="center"/>
              <w:rPr>
                <w:color w:val="auto"/>
                <w:sz w:val="24"/>
                <w:szCs w:val="24"/>
              </w:rPr>
            </w:pPr>
            <w:r>
              <w:rPr>
                <w:color w:val="auto"/>
                <w:sz w:val="24"/>
                <w:szCs w:val="24"/>
              </w:rPr>
              <w:t>施工工期</w:t>
            </w:r>
          </w:p>
        </w:tc>
        <w:tc>
          <w:tcPr>
            <w:tcW w:w="3168" w:type="dxa"/>
            <w:noWrap w:val="0"/>
            <w:vAlign w:val="center"/>
          </w:tcPr>
          <w:p>
            <w:pPr>
              <w:adjustRightInd w:val="0"/>
              <w:snapToGrid w:val="0"/>
              <w:jc w:val="center"/>
              <w:rPr>
                <w:color w:val="auto"/>
                <w:sz w:val="24"/>
                <w:szCs w:val="24"/>
              </w:rPr>
            </w:pPr>
            <w:r>
              <w:rPr>
                <w:rFonts w:hint="eastAsia"/>
                <w:color w:val="auto"/>
                <w:sz w:val="24"/>
                <w:szCs w:val="24"/>
                <w:lang w:val="en-US" w:eastAsia="zh-CN"/>
              </w:rPr>
              <w:t>5</w:t>
            </w:r>
            <w:r>
              <w:rPr>
                <w:color w:val="auto"/>
                <w:sz w:val="24"/>
                <w:szCs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56" w:type="dxa"/>
            <w:noWrap w:val="0"/>
            <w:tcMar>
              <w:top w:w="16" w:type="dxa"/>
              <w:left w:w="16" w:type="dxa"/>
              <w:right w:w="16" w:type="dxa"/>
            </w:tcMar>
            <w:vAlign w:val="center"/>
          </w:tcPr>
          <w:p>
            <w:pPr>
              <w:adjustRightInd w:val="0"/>
              <w:snapToGrid w:val="0"/>
              <w:jc w:val="center"/>
              <w:rPr>
                <w:sz w:val="24"/>
                <w:szCs w:val="24"/>
              </w:rPr>
            </w:pPr>
            <w:r>
              <w:rPr>
                <w:sz w:val="24"/>
                <w:szCs w:val="24"/>
              </w:rPr>
              <w:t>是否开工建设</w:t>
            </w:r>
          </w:p>
        </w:tc>
        <w:tc>
          <w:tcPr>
            <w:tcW w:w="2256" w:type="dxa"/>
            <w:noWrap w:val="0"/>
            <w:vAlign w:val="center"/>
          </w:tcPr>
          <w:p>
            <w:pPr>
              <w:adjustRightInd w:val="0"/>
              <w:snapToGrid w:val="0"/>
              <w:rPr>
                <w:sz w:val="24"/>
                <w:szCs w:val="24"/>
              </w:rPr>
            </w:pPr>
            <w:r>
              <w:rPr>
                <w:sz w:val="24"/>
                <w:szCs w:val="24"/>
              </w:rPr>
              <w:sym w:font="Wingdings 2" w:char="0052"/>
            </w:r>
            <w:r>
              <w:rPr>
                <w:sz w:val="24"/>
                <w:szCs w:val="24"/>
              </w:rPr>
              <w:t>否</w:t>
            </w:r>
          </w:p>
          <w:p>
            <w:pPr>
              <w:adjustRightInd w:val="0"/>
              <w:snapToGrid w:val="0"/>
              <w:rPr>
                <w:sz w:val="24"/>
                <w:szCs w:val="24"/>
              </w:rPr>
            </w:pPr>
            <w:r>
              <w:rPr>
                <w:sz w:val="24"/>
                <w:szCs w:val="24"/>
              </w:rPr>
              <w:sym w:font="Wingdings 2" w:char="00A3"/>
            </w:r>
            <w:r>
              <w:rPr>
                <w:sz w:val="24"/>
                <w:szCs w:val="24"/>
              </w:rPr>
              <w:t>是：</w:t>
            </w:r>
            <w:r>
              <w:rPr>
                <w:sz w:val="24"/>
                <w:szCs w:val="24"/>
                <w:u w:val="single"/>
              </w:rPr>
              <w:t xml:space="preserve">             </w:t>
            </w:r>
          </w:p>
        </w:tc>
        <w:tc>
          <w:tcPr>
            <w:tcW w:w="2364" w:type="dxa"/>
            <w:noWrap w:val="0"/>
            <w:tcMar>
              <w:top w:w="16" w:type="dxa"/>
              <w:left w:w="16" w:type="dxa"/>
              <w:right w:w="16" w:type="dxa"/>
            </w:tcMar>
            <w:vAlign w:val="center"/>
          </w:tcPr>
          <w:p>
            <w:pPr>
              <w:adjustRightInd w:val="0"/>
              <w:snapToGrid w:val="0"/>
              <w:jc w:val="center"/>
              <w:rPr>
                <w:spacing w:val="-6"/>
                <w:sz w:val="24"/>
                <w:szCs w:val="24"/>
              </w:rPr>
            </w:pPr>
            <w:r>
              <w:rPr>
                <w:spacing w:val="-6"/>
                <w:sz w:val="24"/>
                <w:szCs w:val="24"/>
              </w:rPr>
              <w:t>用地（用海）</w:t>
            </w:r>
          </w:p>
          <w:p>
            <w:pPr>
              <w:adjustRightInd w:val="0"/>
              <w:snapToGrid w:val="0"/>
              <w:jc w:val="center"/>
              <w:rPr>
                <w:sz w:val="24"/>
                <w:szCs w:val="24"/>
              </w:rPr>
            </w:pPr>
            <w:r>
              <w:rPr>
                <w:spacing w:val="-6"/>
                <w:sz w:val="24"/>
                <w:szCs w:val="24"/>
              </w:rPr>
              <w:t>面积（m</w:t>
            </w:r>
            <w:r>
              <w:rPr>
                <w:spacing w:val="-6"/>
                <w:sz w:val="24"/>
                <w:szCs w:val="24"/>
                <w:vertAlign w:val="superscript"/>
              </w:rPr>
              <w:t>2</w:t>
            </w:r>
            <w:r>
              <w:rPr>
                <w:spacing w:val="-6"/>
                <w:sz w:val="24"/>
                <w:szCs w:val="24"/>
              </w:rPr>
              <w:t>）</w:t>
            </w:r>
          </w:p>
        </w:tc>
        <w:tc>
          <w:tcPr>
            <w:tcW w:w="3168" w:type="dxa"/>
            <w:noWrap w:val="0"/>
            <w:vAlign w:val="center"/>
          </w:tcPr>
          <w:p>
            <w:pPr>
              <w:adjustRightInd w:val="0"/>
              <w:snapToGrid w:val="0"/>
              <w:jc w:val="center"/>
              <w:rPr>
                <w:rFonts w:hint="default" w:eastAsia="宋体"/>
                <w:sz w:val="24"/>
                <w:szCs w:val="24"/>
                <w:lang w:val="en-US" w:eastAsia="zh-CN"/>
              </w:rPr>
            </w:pPr>
            <w:r>
              <w:rPr>
                <w:rFonts w:hint="eastAsia"/>
                <w:sz w:val="24"/>
                <w:szCs w:val="24"/>
                <w:lang w:val="en-US" w:eastAsia="zh-CN"/>
              </w:rPr>
              <w:t>67166.93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56" w:type="dxa"/>
            <w:noWrap w:val="0"/>
            <w:vAlign w:val="center"/>
          </w:tcPr>
          <w:p>
            <w:pPr>
              <w:autoSpaceDE w:val="0"/>
              <w:autoSpaceDN w:val="0"/>
              <w:adjustRightInd w:val="0"/>
              <w:snapToGrid w:val="0"/>
              <w:jc w:val="center"/>
              <w:rPr>
                <w:kern w:val="0"/>
                <w:szCs w:val="21"/>
              </w:rPr>
            </w:pPr>
            <w:r>
              <w:rPr>
                <w:kern w:val="0"/>
                <w:sz w:val="24"/>
                <w:szCs w:val="24"/>
              </w:rPr>
              <w:t>专项评价设置情况</w:t>
            </w:r>
          </w:p>
        </w:tc>
        <w:tc>
          <w:tcPr>
            <w:tcW w:w="7788"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sz w:val="24"/>
                <w:szCs w:val="24"/>
              </w:rPr>
            </w:pPr>
            <w:r>
              <w:rPr>
                <w:sz w:val="24"/>
                <w:szCs w:val="24"/>
              </w:rPr>
              <w:t>本项目为</w:t>
            </w:r>
            <w:r>
              <w:rPr>
                <w:rFonts w:hint="eastAsia"/>
                <w:sz w:val="24"/>
                <w:szCs w:val="24"/>
                <w:lang w:val="en-US" w:eastAsia="zh-CN"/>
              </w:rPr>
              <w:t>商品混凝土生产</w:t>
            </w:r>
            <w:r>
              <w:rPr>
                <w:sz w:val="24"/>
                <w:szCs w:val="24"/>
              </w:rPr>
              <w:t>项目，本项目专项评价设置情况见下表：</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sz w:val="24"/>
                <w:szCs w:val="24"/>
              </w:rPr>
            </w:pPr>
            <w:r>
              <w:rPr>
                <w:rFonts w:hint="eastAsia"/>
                <w:b/>
                <w:bCs/>
                <w:kern w:val="0"/>
                <w:szCs w:val="21"/>
              </w:rPr>
              <w:t>表1-</w:t>
            </w:r>
            <w:r>
              <w:rPr>
                <w:rFonts w:hint="eastAsia"/>
                <w:b/>
                <w:bCs/>
                <w:kern w:val="0"/>
                <w:szCs w:val="21"/>
                <w:lang w:val="en-US" w:eastAsia="zh-CN"/>
              </w:rPr>
              <w:t>1</w:t>
            </w:r>
            <w:r>
              <w:rPr>
                <w:rFonts w:hint="eastAsia"/>
                <w:b/>
                <w:bCs/>
                <w:kern w:val="0"/>
                <w:szCs w:val="21"/>
              </w:rPr>
              <w:t xml:space="preserve"> </w:t>
            </w:r>
            <w:r>
              <w:rPr>
                <w:rFonts w:hint="eastAsia" w:ascii="Times New Roman" w:hAnsi="Times New Roman" w:eastAsia="宋体" w:cs="Times New Roman"/>
                <w:b/>
                <w:bCs/>
                <w:kern w:val="0"/>
                <w:szCs w:val="21"/>
              </w:rPr>
              <w:t>本项目专项评价设置情况见下表</w:t>
            </w:r>
          </w:p>
          <w:tbl>
            <w:tblPr>
              <w:tblStyle w:val="38"/>
              <w:tblW w:w="6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2693"/>
              <w:gridCol w:w="2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noWrap w:val="0"/>
                  <w:vAlign w:val="center"/>
                </w:tcPr>
                <w:p>
                  <w:pPr>
                    <w:jc w:val="center"/>
                    <w:rPr>
                      <w:sz w:val="21"/>
                      <w:szCs w:val="21"/>
                    </w:rPr>
                  </w:pPr>
                  <w:r>
                    <w:rPr>
                      <w:sz w:val="21"/>
                      <w:szCs w:val="21"/>
                    </w:rPr>
                    <w:t>专项评价的类别</w:t>
                  </w:r>
                </w:p>
              </w:tc>
              <w:tc>
                <w:tcPr>
                  <w:tcW w:w="2693" w:type="dxa"/>
                  <w:noWrap w:val="0"/>
                  <w:vAlign w:val="center"/>
                </w:tcPr>
                <w:p>
                  <w:pPr>
                    <w:jc w:val="center"/>
                    <w:rPr>
                      <w:sz w:val="21"/>
                      <w:szCs w:val="21"/>
                    </w:rPr>
                  </w:pPr>
                  <w:r>
                    <w:rPr>
                      <w:sz w:val="21"/>
                      <w:szCs w:val="21"/>
                    </w:rPr>
                    <w:t>设置原则</w:t>
                  </w:r>
                </w:p>
              </w:tc>
              <w:tc>
                <w:tcPr>
                  <w:tcW w:w="2912" w:type="dxa"/>
                  <w:noWrap w:val="0"/>
                  <w:vAlign w:val="center"/>
                </w:tcPr>
                <w:p>
                  <w:pPr>
                    <w:jc w:val="center"/>
                    <w:rPr>
                      <w:sz w:val="21"/>
                      <w:szCs w:val="21"/>
                    </w:rPr>
                  </w:pPr>
                  <w:r>
                    <w:rPr>
                      <w:sz w:val="21"/>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noWrap w:val="0"/>
                  <w:vAlign w:val="center"/>
                </w:tcPr>
                <w:p>
                  <w:pPr>
                    <w:jc w:val="center"/>
                    <w:rPr>
                      <w:sz w:val="21"/>
                      <w:szCs w:val="21"/>
                    </w:rPr>
                  </w:pPr>
                  <w:r>
                    <w:rPr>
                      <w:sz w:val="21"/>
                      <w:szCs w:val="21"/>
                    </w:rPr>
                    <w:t>大气</w:t>
                  </w:r>
                </w:p>
              </w:tc>
              <w:tc>
                <w:tcPr>
                  <w:tcW w:w="2693" w:type="dxa"/>
                  <w:noWrap w:val="0"/>
                  <w:vAlign w:val="center"/>
                </w:tcPr>
                <w:p>
                  <w:pPr>
                    <w:jc w:val="center"/>
                    <w:rPr>
                      <w:sz w:val="21"/>
                      <w:szCs w:val="21"/>
                    </w:rPr>
                  </w:pPr>
                  <w:r>
                    <w:rPr>
                      <w:sz w:val="21"/>
                      <w:szCs w:val="21"/>
                    </w:rPr>
                    <w:t>排放废气含有毒有害污染物1、二噁英、苯并[a]芘、氰化物、氯气且厂界外500 米范围内有环境空气保护目标2的建设项目</w:t>
                  </w:r>
                </w:p>
              </w:tc>
              <w:tc>
                <w:tcPr>
                  <w:tcW w:w="2912" w:type="dxa"/>
                  <w:noWrap w:val="0"/>
                  <w:vAlign w:val="center"/>
                </w:tcPr>
                <w:p>
                  <w:pPr>
                    <w:jc w:val="center"/>
                    <w:rPr>
                      <w:sz w:val="21"/>
                      <w:szCs w:val="21"/>
                    </w:rPr>
                  </w:pPr>
                  <w:r>
                    <w:rPr>
                      <w:sz w:val="21"/>
                      <w:szCs w:val="21"/>
                    </w:rPr>
                    <w:t>排放废气</w:t>
                  </w:r>
                  <w:r>
                    <w:rPr>
                      <w:rFonts w:hint="eastAsia"/>
                      <w:sz w:val="21"/>
                      <w:szCs w:val="21"/>
                    </w:rPr>
                    <w:t>主要</w:t>
                  </w:r>
                  <w:r>
                    <w:rPr>
                      <w:sz w:val="21"/>
                      <w:szCs w:val="21"/>
                    </w:rPr>
                    <w:t>为</w:t>
                  </w:r>
                  <w:r>
                    <w:rPr>
                      <w:rFonts w:hint="eastAsia"/>
                      <w:sz w:val="21"/>
                      <w:szCs w:val="21"/>
                    </w:rPr>
                    <w:t>拌和</w:t>
                  </w:r>
                  <w:r>
                    <w:rPr>
                      <w:sz w:val="21"/>
                      <w:szCs w:val="21"/>
                    </w:rPr>
                    <w:t>过程中产生的颗粒物，不涉及含有毒有害污染物，故不设大气专项评价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noWrap w:val="0"/>
                  <w:vAlign w:val="center"/>
                </w:tcPr>
                <w:p>
                  <w:pPr>
                    <w:jc w:val="center"/>
                    <w:rPr>
                      <w:sz w:val="21"/>
                      <w:szCs w:val="21"/>
                    </w:rPr>
                  </w:pPr>
                  <w:r>
                    <w:rPr>
                      <w:sz w:val="21"/>
                      <w:szCs w:val="21"/>
                    </w:rPr>
                    <w:t>地表水</w:t>
                  </w:r>
                </w:p>
              </w:tc>
              <w:tc>
                <w:tcPr>
                  <w:tcW w:w="2693" w:type="dxa"/>
                  <w:noWrap w:val="0"/>
                  <w:vAlign w:val="center"/>
                </w:tcPr>
                <w:p>
                  <w:pPr>
                    <w:jc w:val="center"/>
                    <w:rPr>
                      <w:sz w:val="21"/>
                      <w:szCs w:val="21"/>
                    </w:rPr>
                  </w:pPr>
                  <w:r>
                    <w:rPr>
                      <w:sz w:val="21"/>
                      <w:szCs w:val="21"/>
                    </w:rPr>
                    <w:t>新增工业废水直排建设项目（槽罐车外送污水处理厂的除外）；新增废水直排的污水集中处理厂。</w:t>
                  </w:r>
                </w:p>
              </w:tc>
              <w:tc>
                <w:tcPr>
                  <w:tcW w:w="2912" w:type="dxa"/>
                  <w:noWrap w:val="0"/>
                  <w:vAlign w:val="center"/>
                </w:tcPr>
                <w:p>
                  <w:pPr>
                    <w:jc w:val="center"/>
                    <w:rPr>
                      <w:sz w:val="21"/>
                      <w:szCs w:val="21"/>
                    </w:rPr>
                  </w:pPr>
                  <w:r>
                    <w:rPr>
                      <w:sz w:val="21"/>
                      <w:szCs w:val="21"/>
                    </w:rPr>
                    <w:t>本项目生产废水循环使用，不外排</w:t>
                  </w:r>
                  <w:r>
                    <w:rPr>
                      <w:rFonts w:hint="eastAsia"/>
                      <w:sz w:val="21"/>
                      <w:szCs w:val="21"/>
                    </w:rPr>
                    <w:t>；</w:t>
                  </w:r>
                  <w:r>
                    <w:rPr>
                      <w:sz w:val="21"/>
                      <w:szCs w:val="21"/>
                    </w:rPr>
                    <w:t>生活废水</w:t>
                  </w:r>
                  <w:r>
                    <w:rPr>
                      <w:rFonts w:hint="eastAsia"/>
                      <w:sz w:val="21"/>
                      <w:szCs w:val="21"/>
                    </w:rPr>
                    <w:t>进入</w:t>
                  </w:r>
                  <w:r>
                    <w:rPr>
                      <w:rFonts w:hint="eastAsia"/>
                      <w:sz w:val="21"/>
                      <w:szCs w:val="21"/>
                      <w:lang w:val="en-US" w:eastAsia="zh-CN"/>
                    </w:rPr>
                    <w:t>园区管网</w:t>
                  </w:r>
                  <w:r>
                    <w:rPr>
                      <w:rFonts w:hint="eastAsia"/>
                      <w:sz w:val="21"/>
                      <w:szCs w:val="21"/>
                    </w:rPr>
                    <w:t>，</w:t>
                  </w:r>
                  <w:r>
                    <w:rPr>
                      <w:sz w:val="21"/>
                      <w:szCs w:val="21"/>
                    </w:rPr>
                    <w:t>故不设地表水专项评价。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noWrap w:val="0"/>
                  <w:vAlign w:val="center"/>
                </w:tcPr>
                <w:p>
                  <w:pPr>
                    <w:jc w:val="center"/>
                    <w:rPr>
                      <w:sz w:val="21"/>
                      <w:szCs w:val="21"/>
                    </w:rPr>
                  </w:pPr>
                  <w:r>
                    <w:rPr>
                      <w:sz w:val="21"/>
                      <w:szCs w:val="21"/>
                    </w:rPr>
                    <w:t>环境风险</w:t>
                  </w:r>
                </w:p>
              </w:tc>
              <w:tc>
                <w:tcPr>
                  <w:tcW w:w="2693" w:type="dxa"/>
                  <w:noWrap w:val="0"/>
                  <w:vAlign w:val="center"/>
                </w:tcPr>
                <w:p>
                  <w:pPr>
                    <w:jc w:val="center"/>
                    <w:rPr>
                      <w:sz w:val="21"/>
                      <w:szCs w:val="21"/>
                    </w:rPr>
                  </w:pPr>
                  <w:r>
                    <w:rPr>
                      <w:sz w:val="21"/>
                      <w:szCs w:val="21"/>
                    </w:rPr>
                    <w:t>有毒有害和易燃易爆危险物质存储量超过临界量的建设项目</w:t>
                  </w:r>
                </w:p>
              </w:tc>
              <w:tc>
                <w:tcPr>
                  <w:tcW w:w="2912" w:type="dxa"/>
                  <w:noWrap w:val="0"/>
                  <w:vAlign w:val="center"/>
                </w:tcPr>
                <w:p>
                  <w:pPr>
                    <w:jc w:val="center"/>
                    <w:rPr>
                      <w:sz w:val="21"/>
                      <w:szCs w:val="21"/>
                    </w:rPr>
                  </w:pPr>
                  <w:r>
                    <w:rPr>
                      <w:sz w:val="21"/>
                      <w:szCs w:val="21"/>
                    </w:rPr>
                    <w:t>本项目</w:t>
                  </w:r>
                  <w:r>
                    <w:rPr>
                      <w:rFonts w:hint="eastAsia"/>
                      <w:sz w:val="21"/>
                      <w:szCs w:val="21"/>
                    </w:rPr>
                    <w:t>涉及</w:t>
                  </w:r>
                  <w:r>
                    <w:rPr>
                      <w:sz w:val="21"/>
                      <w:szCs w:val="21"/>
                    </w:rPr>
                    <w:t>有毒有害和易燃易爆危险物质为废机油，最大储存量为0.1t，未超过临界量，故不设环境风险专项评价。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noWrap w:val="0"/>
                  <w:vAlign w:val="center"/>
                </w:tcPr>
                <w:p>
                  <w:pPr>
                    <w:jc w:val="center"/>
                    <w:rPr>
                      <w:sz w:val="21"/>
                      <w:szCs w:val="21"/>
                    </w:rPr>
                  </w:pPr>
                  <w:r>
                    <w:rPr>
                      <w:sz w:val="21"/>
                      <w:szCs w:val="21"/>
                    </w:rPr>
                    <w:t>生态</w:t>
                  </w:r>
                </w:p>
              </w:tc>
              <w:tc>
                <w:tcPr>
                  <w:tcW w:w="2693" w:type="dxa"/>
                  <w:noWrap w:val="0"/>
                  <w:vAlign w:val="center"/>
                </w:tcPr>
                <w:p>
                  <w:pPr>
                    <w:jc w:val="center"/>
                    <w:rPr>
                      <w:sz w:val="21"/>
                      <w:szCs w:val="21"/>
                    </w:rPr>
                  </w:pPr>
                  <w:r>
                    <w:rPr>
                      <w:sz w:val="21"/>
                      <w:szCs w:val="21"/>
                    </w:rPr>
                    <w:t>取水口下游500米范围内有重要水生生物的自然产卵场、索饵场、越冬场和洄游通道的新增河道取水的污染类建设项目</w:t>
                  </w:r>
                </w:p>
              </w:tc>
              <w:tc>
                <w:tcPr>
                  <w:tcW w:w="2912" w:type="dxa"/>
                  <w:noWrap w:val="0"/>
                  <w:vAlign w:val="center"/>
                </w:tcPr>
                <w:p>
                  <w:pPr>
                    <w:jc w:val="center"/>
                    <w:rPr>
                      <w:rFonts w:hint="eastAsia"/>
                      <w:sz w:val="21"/>
                      <w:szCs w:val="21"/>
                    </w:rPr>
                  </w:pPr>
                  <w:r>
                    <w:rPr>
                      <w:rFonts w:hint="eastAsia"/>
                      <w:sz w:val="21"/>
                      <w:szCs w:val="21"/>
                    </w:rPr>
                    <w:t>本项目用水为自来水。因此不设置生态环境专项评价。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noWrap w:val="0"/>
                  <w:vAlign w:val="center"/>
                </w:tcPr>
                <w:p>
                  <w:pPr>
                    <w:jc w:val="center"/>
                    <w:rPr>
                      <w:sz w:val="21"/>
                      <w:szCs w:val="21"/>
                    </w:rPr>
                  </w:pPr>
                  <w:r>
                    <w:rPr>
                      <w:sz w:val="21"/>
                      <w:szCs w:val="21"/>
                    </w:rPr>
                    <w:t>海洋</w:t>
                  </w:r>
                </w:p>
              </w:tc>
              <w:tc>
                <w:tcPr>
                  <w:tcW w:w="2693" w:type="dxa"/>
                  <w:noWrap w:val="0"/>
                  <w:vAlign w:val="center"/>
                </w:tcPr>
                <w:p>
                  <w:pPr>
                    <w:jc w:val="center"/>
                    <w:rPr>
                      <w:sz w:val="21"/>
                      <w:szCs w:val="21"/>
                    </w:rPr>
                  </w:pPr>
                  <w:r>
                    <w:rPr>
                      <w:sz w:val="21"/>
                      <w:szCs w:val="21"/>
                    </w:rPr>
                    <w:t>直接向海排放污染物的海洋工程建设项目</w:t>
                  </w:r>
                </w:p>
              </w:tc>
              <w:tc>
                <w:tcPr>
                  <w:tcW w:w="2912" w:type="dxa"/>
                  <w:noWrap w:val="0"/>
                  <w:vAlign w:val="center"/>
                </w:tcPr>
                <w:p>
                  <w:pPr>
                    <w:jc w:val="center"/>
                    <w:rPr>
                      <w:sz w:val="21"/>
                      <w:szCs w:val="21"/>
                    </w:rPr>
                  </w:pPr>
                  <w:r>
                    <w:rPr>
                      <w:sz w:val="21"/>
                      <w:szCs w:val="21"/>
                    </w:rPr>
                    <w:t>本项目不直接向海排放污染物，故不设海洋专项评价。</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eastAsia="宋体"/>
                <w:kern w:val="0"/>
                <w:lang w:eastAsia="zh-CN"/>
              </w:rPr>
            </w:pPr>
            <w:r>
              <w:rPr>
                <w:sz w:val="24"/>
                <w:szCs w:val="24"/>
              </w:rPr>
              <w:t>综上所述，本项目不设专项评价</w:t>
            </w:r>
            <w:r>
              <w:rPr>
                <w:rFonts w:hint="eastAsia"/>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56" w:type="dxa"/>
            <w:noWrap w:val="0"/>
            <w:vAlign w:val="center"/>
          </w:tcPr>
          <w:p>
            <w:pPr>
              <w:autoSpaceDE w:val="0"/>
              <w:autoSpaceDN w:val="0"/>
              <w:adjustRightInd w:val="0"/>
              <w:snapToGrid w:val="0"/>
              <w:jc w:val="center"/>
              <w:rPr>
                <w:kern w:val="0"/>
                <w:szCs w:val="21"/>
              </w:rPr>
            </w:pPr>
            <w:r>
              <w:rPr>
                <w:sz w:val="24"/>
                <w:szCs w:val="24"/>
              </w:rPr>
              <w:t>规划情况</w:t>
            </w:r>
          </w:p>
        </w:tc>
        <w:tc>
          <w:tcPr>
            <w:tcW w:w="7788" w:type="dxa"/>
            <w:gridSpan w:val="3"/>
            <w:noWrap w:val="0"/>
            <w:vAlign w:val="center"/>
          </w:tcPr>
          <w:p>
            <w:pPr>
              <w:keepNext w:val="0"/>
              <w:keepLines w:val="0"/>
              <w:widowControl/>
              <w:suppressLineNumbers w:val="0"/>
              <w:spacing w:line="360" w:lineRule="auto"/>
              <w:jc w:val="left"/>
              <w:rPr>
                <w:b w:val="0"/>
                <w:bCs w:val="0"/>
                <w:sz w:val="24"/>
                <w:szCs w:val="24"/>
              </w:rPr>
            </w:pPr>
            <w:r>
              <w:rPr>
                <w:rFonts w:hint="eastAsia" w:ascii="宋体" w:hAnsi="宋体" w:cs="宋体"/>
                <w:b w:val="0"/>
                <w:bCs w:val="0"/>
                <w:kern w:val="0"/>
                <w:sz w:val="24"/>
                <w:szCs w:val="24"/>
                <w:lang w:eastAsia="zh-CN"/>
              </w:rPr>
              <w:t>规划名称：</w:t>
            </w:r>
            <w:r>
              <w:rPr>
                <w:rFonts w:hint="eastAsia" w:ascii="宋体" w:hAnsi="宋体" w:eastAsia="宋体" w:cs="宋体"/>
                <w:b w:val="0"/>
                <w:bCs w:val="0"/>
                <w:color w:val="000000"/>
                <w:kern w:val="0"/>
                <w:sz w:val="24"/>
                <w:szCs w:val="24"/>
                <w:lang w:val="en-US" w:eastAsia="zh-CN" w:bidi="ar"/>
              </w:rPr>
              <w:t>《乐山市工业集中区水口</w:t>
            </w:r>
            <w:r>
              <w:rPr>
                <w:rFonts w:hint="default" w:ascii="Times New Roman" w:hAnsi="Times New Roman" w:eastAsia="宋体" w:cs="Times New Roman"/>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罗汉工业园区》</w:t>
            </w:r>
          </w:p>
          <w:p>
            <w:pPr>
              <w:keepNext w:val="0"/>
              <w:keepLines w:val="0"/>
              <w:widowControl/>
              <w:suppressLineNumbers w:val="0"/>
              <w:spacing w:line="360" w:lineRule="auto"/>
              <w:jc w:val="left"/>
              <w:rPr>
                <w:sz w:val="24"/>
                <w:szCs w:val="24"/>
              </w:rPr>
            </w:pPr>
            <w:r>
              <w:rPr>
                <w:rFonts w:hint="eastAsia" w:ascii="宋体" w:hAnsi="宋体" w:cs="宋体"/>
                <w:kern w:val="0"/>
                <w:sz w:val="24"/>
                <w:szCs w:val="24"/>
                <w:lang w:eastAsia="zh-CN"/>
              </w:rPr>
              <w:t>审批机关：</w:t>
            </w:r>
            <w:r>
              <w:rPr>
                <w:rFonts w:hint="eastAsia" w:ascii="宋体" w:hAnsi="宋体" w:eastAsia="宋体" w:cs="宋体"/>
                <w:color w:val="000000"/>
                <w:kern w:val="0"/>
                <w:sz w:val="24"/>
                <w:szCs w:val="24"/>
                <w:lang w:val="en-US" w:eastAsia="zh-CN" w:bidi="ar"/>
              </w:rPr>
              <w:t>乐山市经济委员会</w:t>
            </w:r>
          </w:p>
          <w:p>
            <w:pPr>
              <w:widowControl/>
              <w:spacing w:line="360" w:lineRule="auto"/>
              <w:jc w:val="left"/>
              <w:rPr>
                <w:kern w:val="0"/>
              </w:rPr>
            </w:pPr>
            <w:r>
              <w:rPr>
                <w:rFonts w:hint="eastAsia" w:ascii="宋体" w:hAnsi="宋体" w:cs="宋体"/>
                <w:kern w:val="0"/>
                <w:sz w:val="24"/>
                <w:szCs w:val="24"/>
                <w:lang w:eastAsia="zh-CN"/>
              </w:rPr>
              <w:t>审批文件文号：</w:t>
            </w:r>
            <w:r>
              <w:rPr>
                <w:rFonts w:hint="eastAsia" w:ascii="宋体" w:hAnsi="宋体" w:eastAsia="宋体" w:cs="宋体"/>
                <w:color w:val="000000"/>
                <w:kern w:val="0"/>
                <w:sz w:val="24"/>
                <w:szCs w:val="24"/>
                <w:lang w:val="en-US" w:eastAsia="zh-CN" w:bidi="ar"/>
              </w:rPr>
              <w:t>乐市经</w:t>
            </w:r>
            <w:r>
              <w:rPr>
                <w:rFonts w:hint="default" w:ascii="Times New Roman" w:hAnsi="Times New Roman" w:eastAsia="宋体" w:cs="Times New Roman"/>
                <w:color w:val="000000"/>
                <w:kern w:val="0"/>
                <w:sz w:val="24"/>
                <w:szCs w:val="24"/>
                <w:lang w:val="en-US" w:eastAsia="zh-CN" w:bidi="ar"/>
              </w:rPr>
              <w:t>[2008]269</w:t>
            </w:r>
            <w:r>
              <w:rPr>
                <w:rFonts w:hint="eastAsia" w:ascii="宋体" w:hAnsi="宋体" w:eastAsia="宋体" w:cs="宋体"/>
                <w:color w:val="000000"/>
                <w:kern w:val="0"/>
                <w:sz w:val="24"/>
                <w:szCs w:val="24"/>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56" w:type="dxa"/>
            <w:noWrap w:val="0"/>
            <w:vAlign w:val="center"/>
          </w:tcPr>
          <w:p>
            <w:pPr>
              <w:adjustRightInd w:val="0"/>
              <w:snapToGrid w:val="0"/>
              <w:jc w:val="center"/>
              <w:rPr>
                <w:sz w:val="24"/>
                <w:szCs w:val="24"/>
              </w:rPr>
            </w:pPr>
            <w:r>
              <w:rPr>
                <w:sz w:val="24"/>
                <w:szCs w:val="24"/>
              </w:rPr>
              <w:t>规划环境影响</w:t>
            </w:r>
          </w:p>
          <w:p>
            <w:pPr>
              <w:adjustRightInd w:val="0"/>
              <w:snapToGrid w:val="0"/>
              <w:jc w:val="center"/>
              <w:rPr>
                <w:kern w:val="0"/>
                <w:szCs w:val="21"/>
              </w:rPr>
            </w:pPr>
            <w:r>
              <w:rPr>
                <w:sz w:val="24"/>
                <w:szCs w:val="24"/>
              </w:rPr>
              <w:t>评价情况</w:t>
            </w:r>
          </w:p>
        </w:tc>
        <w:tc>
          <w:tcPr>
            <w:tcW w:w="7788" w:type="dxa"/>
            <w:gridSpan w:val="3"/>
            <w:noWrap w:val="0"/>
            <w:vAlign w:val="center"/>
          </w:tcPr>
          <w:p>
            <w:pPr>
              <w:keepNext w:val="0"/>
              <w:keepLines w:val="0"/>
              <w:pageBreakBefore w:val="0"/>
              <w:widowControl/>
              <w:suppressLineNumbers w:val="0"/>
              <w:kinsoku/>
              <w:wordWrap/>
              <w:overflowPunct/>
              <w:topLinePunct w:val="0"/>
              <w:bidi w:val="0"/>
              <w:spacing w:line="360" w:lineRule="auto"/>
              <w:jc w:val="left"/>
              <w:textAlignment w:val="auto"/>
              <w:rPr>
                <w:rFonts w:hint="eastAsia" w:ascii="宋体" w:hAnsi="宋体" w:eastAsia="宋体" w:cs="宋体"/>
                <w:color w:val="000000"/>
                <w:kern w:val="0"/>
                <w:sz w:val="24"/>
                <w:szCs w:val="24"/>
                <w:lang w:val="en-US" w:eastAsia="zh-CN" w:bidi="ar"/>
              </w:rPr>
            </w:pPr>
            <w:r>
              <w:rPr>
                <w:rFonts w:hint="eastAsia" w:ascii="宋体" w:hAnsi="宋体" w:cs="宋体"/>
                <w:kern w:val="0"/>
                <w:sz w:val="24"/>
                <w:szCs w:val="24"/>
                <w:lang w:eastAsia="zh-CN"/>
              </w:rPr>
              <w:t>规划环境影响评价文件名称：《</w:t>
            </w:r>
            <w:r>
              <w:rPr>
                <w:rFonts w:hint="eastAsia" w:ascii="宋体" w:hAnsi="宋体" w:eastAsia="宋体" w:cs="宋体"/>
                <w:color w:val="000000"/>
                <w:kern w:val="0"/>
                <w:sz w:val="24"/>
                <w:szCs w:val="24"/>
                <w:lang w:val="en-US" w:eastAsia="zh-CN" w:bidi="ar"/>
              </w:rPr>
              <w:t>乐山市市中区工业集中区水口</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w:t>
            </w:r>
            <w:r>
              <w:rPr>
                <w:rFonts w:hint="default" w:ascii="Times New Roman" w:hAnsi="Times New Roman" w:eastAsia="宋体" w:cs="Times New Roman"/>
                <w:color w:val="000000"/>
                <w:kern w:val="0"/>
                <w:sz w:val="24"/>
                <w:szCs w:val="24"/>
                <w:lang w:val="en-US" w:eastAsia="zh-CN" w:bidi="ar"/>
              </w:rPr>
              <w:t>5.39km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）规划环境影响报告书》</w:t>
            </w:r>
          </w:p>
          <w:p>
            <w:pPr>
              <w:keepNext w:val="0"/>
              <w:keepLines w:val="0"/>
              <w:pageBreakBefore w:val="0"/>
              <w:widowControl/>
              <w:suppressLineNumbers w:val="0"/>
              <w:kinsoku/>
              <w:wordWrap/>
              <w:overflowPunct/>
              <w:topLinePunct w:val="0"/>
              <w:bidi w:val="0"/>
              <w:spacing w:line="360" w:lineRule="auto"/>
              <w:jc w:val="left"/>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审批机关：乐山市环境保护局</w:t>
            </w:r>
          </w:p>
          <w:p>
            <w:pPr>
              <w:pStyle w:val="2"/>
              <w:keepNext w:val="0"/>
              <w:keepLines w:val="0"/>
              <w:pageBreakBefore w:val="0"/>
              <w:kinsoku/>
              <w:wordWrap/>
              <w:overflowPunct/>
              <w:topLinePunct w:val="0"/>
              <w:bidi w:val="0"/>
              <w:spacing w:after="0" w:line="360" w:lineRule="auto"/>
              <w:ind w:left="0" w:leftChars="0" w:firstLine="0" w:firstLineChars="0"/>
              <w:jc w:val="both"/>
              <w:textAlignment w:val="auto"/>
              <w:rPr>
                <w:rFonts w:hint="eastAsia" w:ascii="宋体" w:hAnsi="宋体" w:eastAsia="宋体" w:cs="宋体"/>
                <w:color w:val="000000"/>
                <w:kern w:val="0"/>
                <w:sz w:val="24"/>
                <w:szCs w:val="24"/>
                <w:lang w:val="en-US" w:eastAsia="zh-CN" w:bidi="ar"/>
              </w:rPr>
            </w:pPr>
            <w:r>
              <w:rPr>
                <w:rFonts w:hint="eastAsia"/>
                <w:sz w:val="24"/>
                <w:szCs w:val="24"/>
                <w:lang w:val="en-US" w:eastAsia="zh-CN"/>
              </w:rPr>
              <w:t>审查文件名称及文号：</w:t>
            </w:r>
            <w:r>
              <w:rPr>
                <w:rFonts w:hint="eastAsia" w:ascii="宋体" w:hAnsi="宋体" w:eastAsia="宋体" w:cs="宋体"/>
                <w:color w:val="000000"/>
                <w:kern w:val="0"/>
                <w:sz w:val="24"/>
                <w:szCs w:val="24"/>
                <w:lang w:val="en-US" w:eastAsia="zh-CN" w:bidi="ar"/>
              </w:rPr>
              <w:t>乐市环审</w:t>
            </w:r>
            <w:r>
              <w:rPr>
                <w:rFonts w:hint="default" w:ascii="Times New Roman" w:hAnsi="Times New Roman" w:eastAsia="宋体" w:cs="Times New Roman"/>
                <w:color w:val="000000"/>
                <w:kern w:val="0"/>
                <w:sz w:val="24"/>
                <w:szCs w:val="24"/>
                <w:lang w:val="en-US" w:eastAsia="zh-CN" w:bidi="ar"/>
              </w:rPr>
              <w:t>[2009]81</w:t>
            </w:r>
            <w:r>
              <w:rPr>
                <w:rFonts w:hint="eastAsia" w:ascii="宋体" w:hAnsi="宋体" w:eastAsia="宋体" w:cs="宋体"/>
                <w:color w:val="000000"/>
                <w:kern w:val="0"/>
                <w:sz w:val="24"/>
                <w:szCs w:val="24"/>
                <w:lang w:val="en-US" w:eastAsia="zh-CN" w:bidi="ar"/>
              </w:rPr>
              <w:t>号</w:t>
            </w:r>
          </w:p>
          <w:p>
            <w:pPr>
              <w:pStyle w:val="2"/>
              <w:keepNext w:val="0"/>
              <w:keepLines w:val="0"/>
              <w:pageBreakBefore w:val="0"/>
              <w:kinsoku/>
              <w:wordWrap/>
              <w:overflowPunct/>
              <w:topLinePunct w:val="0"/>
              <w:bidi w:val="0"/>
              <w:spacing w:after="0" w:line="360" w:lineRule="auto"/>
              <w:ind w:left="0" w:leftChars="0" w:firstLine="0" w:firstLineChars="0"/>
              <w:jc w:val="both"/>
              <w:textAlignment w:val="auto"/>
              <w:rPr>
                <w:sz w:val="24"/>
                <w:szCs w:val="24"/>
              </w:rPr>
            </w:pPr>
            <w:r>
              <w:rPr>
                <w:rFonts w:hint="eastAsia" w:ascii="宋体" w:hAnsi="宋体" w:cs="宋体"/>
                <w:color w:val="000000"/>
                <w:kern w:val="0"/>
                <w:sz w:val="24"/>
                <w:szCs w:val="24"/>
                <w:lang w:val="en-US" w:eastAsia="zh-CN" w:bidi="ar"/>
              </w:rPr>
              <w:t>规划环境影响评价文件名称：</w:t>
            </w:r>
            <w:r>
              <w:rPr>
                <w:rFonts w:hint="eastAsia" w:ascii="宋体" w:hAnsi="宋体" w:eastAsia="宋体" w:cs="宋体"/>
                <w:color w:val="000000"/>
                <w:kern w:val="0"/>
                <w:sz w:val="24"/>
                <w:szCs w:val="24"/>
                <w:lang w:val="en-US" w:eastAsia="zh-CN" w:bidi="ar"/>
              </w:rPr>
              <w:t>《乐山市工业集中区水口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罗汉工业园区扩区（</w:t>
            </w:r>
            <w:r>
              <w:rPr>
                <w:rFonts w:hint="default" w:ascii="Times New Roman" w:hAnsi="Times New Roman" w:eastAsia="宋体" w:cs="Times New Roman"/>
                <w:color w:val="000000"/>
                <w:kern w:val="0"/>
                <w:sz w:val="24"/>
                <w:szCs w:val="24"/>
                <w:lang w:val="en-US" w:eastAsia="zh-CN" w:bidi="ar"/>
              </w:rPr>
              <w:t>11.89km</w:t>
            </w:r>
            <w:r>
              <w:rPr>
                <w:rFonts w:hint="eastAsia"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）规划环境影响报告书》</w:t>
            </w:r>
          </w:p>
          <w:p>
            <w:pPr>
              <w:keepNext w:val="0"/>
              <w:keepLines w:val="0"/>
              <w:pageBreakBefore w:val="0"/>
              <w:widowControl/>
              <w:suppressLineNumbers w:val="0"/>
              <w:kinsoku/>
              <w:wordWrap/>
              <w:overflowPunct/>
              <w:topLinePunct w:val="0"/>
              <w:bidi w:val="0"/>
              <w:spacing w:line="360" w:lineRule="auto"/>
              <w:jc w:val="left"/>
              <w:textAlignment w:val="auto"/>
              <w:rPr>
                <w:sz w:val="24"/>
                <w:szCs w:val="24"/>
              </w:rPr>
            </w:pPr>
            <w:r>
              <w:rPr>
                <w:rFonts w:hint="eastAsia"/>
                <w:sz w:val="24"/>
                <w:szCs w:val="24"/>
                <w:lang w:eastAsia="zh-CN"/>
              </w:rPr>
              <w:t>审批机关：</w:t>
            </w:r>
            <w:r>
              <w:rPr>
                <w:rFonts w:hint="eastAsia" w:ascii="宋体" w:hAnsi="宋体" w:eastAsia="宋体" w:cs="宋体"/>
                <w:color w:val="000000"/>
                <w:kern w:val="0"/>
                <w:sz w:val="24"/>
                <w:szCs w:val="24"/>
                <w:lang w:val="en-US" w:eastAsia="zh-CN" w:bidi="ar"/>
              </w:rPr>
              <w:t>四川省环境保护厅</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pPr>
            <w:r>
              <w:rPr>
                <w:rFonts w:hint="eastAsia"/>
                <w:sz w:val="24"/>
                <w:szCs w:val="24"/>
                <w:lang w:eastAsia="zh-CN"/>
              </w:rPr>
              <w:t>审查文件名称及文号：</w:t>
            </w:r>
            <w:r>
              <w:rPr>
                <w:rFonts w:hint="eastAsia" w:ascii="宋体" w:hAnsi="宋体" w:eastAsia="宋体" w:cs="宋体"/>
                <w:color w:val="000000"/>
                <w:kern w:val="0"/>
                <w:sz w:val="24"/>
                <w:szCs w:val="24"/>
                <w:lang w:val="en-US" w:eastAsia="zh-CN" w:bidi="ar"/>
              </w:rPr>
              <w:t>川环建函</w:t>
            </w:r>
            <w:r>
              <w:rPr>
                <w:rFonts w:hint="default" w:ascii="Times New Roman" w:hAnsi="Times New Roman" w:eastAsia="宋体" w:cs="Times New Roman"/>
                <w:color w:val="000000"/>
                <w:kern w:val="0"/>
                <w:sz w:val="24"/>
                <w:szCs w:val="24"/>
                <w:lang w:val="en-US" w:eastAsia="zh-CN" w:bidi="ar"/>
              </w:rPr>
              <w:t>[2013]240</w:t>
            </w:r>
            <w:r>
              <w:rPr>
                <w:rFonts w:hint="eastAsia" w:ascii="宋体" w:hAnsi="宋体" w:eastAsia="宋体" w:cs="宋体"/>
                <w:color w:val="000000"/>
                <w:kern w:val="0"/>
                <w:sz w:val="24"/>
                <w:szCs w:val="24"/>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56" w:type="dxa"/>
            <w:noWrap w:val="0"/>
            <w:vAlign w:val="center"/>
          </w:tcPr>
          <w:p>
            <w:pPr>
              <w:autoSpaceDE w:val="0"/>
              <w:autoSpaceDN w:val="0"/>
              <w:adjustRightInd w:val="0"/>
              <w:snapToGrid w:val="0"/>
              <w:jc w:val="center"/>
              <w:rPr>
                <w:kern w:val="0"/>
                <w:szCs w:val="21"/>
              </w:rPr>
            </w:pPr>
            <w:r>
              <w:rPr>
                <w:kern w:val="0"/>
                <w:sz w:val="24"/>
                <w:szCs w:val="24"/>
              </w:rPr>
              <w:t>规划及规划环境影响评价符合性分析</w:t>
            </w:r>
          </w:p>
        </w:tc>
        <w:tc>
          <w:tcPr>
            <w:tcW w:w="7788" w:type="dxa"/>
            <w:gridSpan w:val="3"/>
            <w:noWrap w:val="0"/>
            <w:vAlign w:val="center"/>
          </w:tcPr>
          <w:p>
            <w:pPr>
              <w:keepNext w:val="0"/>
              <w:keepLines w:val="0"/>
              <w:widowControl/>
              <w:suppressLineNumbers w:val="0"/>
              <w:spacing w:line="360" w:lineRule="auto"/>
              <w:jc w:val="left"/>
              <w:rPr>
                <w:sz w:val="24"/>
                <w:szCs w:val="24"/>
              </w:rPr>
            </w:pPr>
            <w:r>
              <w:rPr>
                <w:rFonts w:hint="eastAsia" w:ascii="宋体" w:hAnsi="宋体" w:cs="宋体"/>
                <w:b/>
                <w:bCs/>
                <w:color w:val="000000"/>
                <w:kern w:val="0"/>
                <w:sz w:val="24"/>
                <w:szCs w:val="24"/>
                <w:lang w:val="en-US" w:eastAsia="zh-CN" w:bidi="ar"/>
              </w:rPr>
              <w:t>一、</w:t>
            </w:r>
            <w:r>
              <w:rPr>
                <w:rFonts w:hint="eastAsia" w:ascii="宋体" w:hAnsi="宋体" w:eastAsia="宋体" w:cs="宋体"/>
                <w:b/>
                <w:bCs/>
                <w:color w:val="000000"/>
                <w:kern w:val="0"/>
                <w:sz w:val="24"/>
                <w:szCs w:val="24"/>
                <w:lang w:val="en-US" w:eastAsia="zh-CN" w:bidi="ar"/>
              </w:rPr>
              <w:t>与《乐山市工业集中区水口</w:t>
            </w:r>
            <w:r>
              <w:rPr>
                <w:rFonts w:hint="eastAsia" w:ascii="宋体" w:hAnsi="宋体" w:cs="宋体"/>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罗汉工业园区》规划及规划环评符合性分析</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本项目位于乐山市工业集中区中的水口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罗汉工业园区内。乐山市工业集中区是由乐山市经济委员会于</w:t>
            </w:r>
            <w:r>
              <w:rPr>
                <w:rFonts w:hint="default" w:ascii="Times New Roman" w:hAnsi="Times New Roman" w:eastAsia="宋体" w:cs="Times New Roman"/>
                <w:color w:val="000000"/>
                <w:kern w:val="0"/>
                <w:sz w:val="24"/>
                <w:szCs w:val="24"/>
                <w:lang w:val="en-US" w:eastAsia="zh-CN" w:bidi="ar"/>
              </w:rPr>
              <w:t>2008</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19</w:t>
            </w:r>
            <w:r>
              <w:rPr>
                <w:rFonts w:hint="eastAsia" w:ascii="宋体" w:hAnsi="宋体" w:eastAsia="宋体" w:cs="宋体"/>
                <w:color w:val="000000"/>
                <w:kern w:val="0"/>
                <w:sz w:val="24"/>
                <w:szCs w:val="24"/>
                <w:lang w:val="en-US" w:eastAsia="zh-CN" w:bidi="ar"/>
              </w:rPr>
              <w:t>日以</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乐市经</w:t>
            </w:r>
            <w:r>
              <w:rPr>
                <w:rFonts w:hint="default" w:ascii="Times New Roman" w:hAnsi="Times New Roman" w:eastAsia="宋体" w:cs="Times New Roman"/>
                <w:color w:val="000000"/>
                <w:kern w:val="0"/>
                <w:sz w:val="24"/>
                <w:szCs w:val="24"/>
                <w:lang w:val="en-US" w:eastAsia="zh-CN" w:bidi="ar"/>
              </w:rPr>
              <w:t>[2008]269</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文同意成立的，是乐山市</w:t>
            </w:r>
            <w:r>
              <w:rPr>
                <w:rFonts w:hint="default" w:ascii="Times New Roman" w:hAnsi="Times New Roman" w:eastAsia="宋体" w:cs="Times New Roman"/>
                <w:color w:val="000000"/>
                <w:kern w:val="0"/>
                <w:sz w:val="24"/>
                <w:szCs w:val="24"/>
                <w:lang w:val="en-US" w:eastAsia="zh-CN" w:bidi="ar"/>
              </w:rPr>
              <w:t>“4+3”</w:t>
            </w:r>
            <w:r>
              <w:rPr>
                <w:rFonts w:hint="eastAsia" w:ascii="宋体" w:hAnsi="宋体" w:eastAsia="宋体" w:cs="宋体"/>
                <w:color w:val="000000"/>
                <w:kern w:val="0"/>
                <w:sz w:val="24"/>
                <w:szCs w:val="24"/>
                <w:lang w:val="en-US" w:eastAsia="zh-CN" w:bidi="ar"/>
              </w:rPr>
              <w:t>重点推进园区之一。乐山市工业集中区规划面积为</w:t>
            </w:r>
            <w:r>
              <w:rPr>
                <w:rFonts w:hint="default" w:ascii="Times New Roman" w:hAnsi="Times New Roman" w:eastAsia="宋体" w:cs="Times New Roman"/>
                <w:color w:val="000000"/>
                <w:kern w:val="0"/>
                <w:sz w:val="24"/>
                <w:szCs w:val="24"/>
                <w:lang w:val="en-US" w:eastAsia="zh-CN" w:bidi="ar"/>
              </w:rPr>
              <w:t>7km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，分为水口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罗汉工业园区（本项目所在位置，规划面积为</w:t>
            </w:r>
            <w:r>
              <w:rPr>
                <w:rFonts w:hint="default" w:ascii="Times New Roman" w:hAnsi="Times New Roman" w:eastAsia="宋体" w:cs="Times New Roman"/>
                <w:color w:val="000000"/>
                <w:kern w:val="0"/>
                <w:sz w:val="24"/>
                <w:szCs w:val="24"/>
                <w:lang w:val="en-US" w:eastAsia="zh-CN" w:bidi="ar"/>
              </w:rPr>
              <w:t>5km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）和土主轻纺工业园区（规划面积为</w:t>
            </w:r>
            <w:r>
              <w:rPr>
                <w:rFonts w:hint="default" w:ascii="Times New Roman" w:hAnsi="Times New Roman" w:eastAsia="宋体" w:cs="Times New Roman"/>
                <w:color w:val="000000"/>
                <w:kern w:val="0"/>
                <w:sz w:val="24"/>
                <w:szCs w:val="24"/>
                <w:lang w:val="en-US" w:eastAsia="zh-CN" w:bidi="ar"/>
              </w:rPr>
              <w:t>2km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）。其中，水口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位于乐山市中心城区西南部，地处市中区水口镇与罗汉镇之间，东以苏沙路为界，西至老鹰岩山脚，北至羊儿山、磨儿山一带，南至李山扁，主导产业为生物制药、新型建材、机械制造、精细化工等；土主轻纺工业园区位于乐山市市中区土主镇，主导产业为轻纺工业。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罗汉工业园区结构为</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一轴两园两区</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的组团式结构，</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一轴</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是指沿苏沙路形成规划区的发展轴线，</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两园</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是指北面的水口工业园和南面的罗汉工业园，</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两区</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是指依托水口镇形成的水口生活配套区和依托罗汉镇形成的罗汉生活配套区。</w:t>
            </w:r>
            <w:r>
              <w:rPr>
                <w:rFonts w:hint="default" w:ascii="Times New Roman" w:hAnsi="Times New Roman" w:eastAsia="宋体" w:cs="Times New Roman"/>
                <w:color w:val="000000"/>
                <w:kern w:val="0"/>
                <w:sz w:val="24"/>
                <w:szCs w:val="24"/>
                <w:lang w:val="en-US" w:eastAsia="zh-CN" w:bidi="ar"/>
              </w:rPr>
              <w:t>2009</w:t>
            </w:r>
            <w:r>
              <w:rPr>
                <w:rFonts w:hint="eastAsia" w:ascii="宋体" w:hAnsi="宋体" w:eastAsia="宋体" w:cs="宋体"/>
                <w:color w:val="000000"/>
                <w:kern w:val="0"/>
                <w:sz w:val="24"/>
                <w:szCs w:val="24"/>
                <w:lang w:val="en-US" w:eastAsia="zh-CN" w:bidi="ar"/>
              </w:rPr>
              <w:t>年，乐山市工业集中区管委会委托环评单位编制了《乐山市市中区工业集中区水口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w:t>
            </w:r>
            <w:r>
              <w:rPr>
                <w:rFonts w:hint="default" w:ascii="Times New Roman" w:hAnsi="Times New Roman" w:eastAsia="宋体" w:cs="Times New Roman"/>
                <w:color w:val="000000"/>
                <w:kern w:val="0"/>
                <w:sz w:val="24"/>
                <w:szCs w:val="24"/>
                <w:lang w:val="en-US" w:eastAsia="zh-CN" w:bidi="ar"/>
              </w:rPr>
              <w:t>5.39km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）规划环境影响报告书》，同年</w:t>
            </w:r>
            <w:r>
              <w:rPr>
                <w:rFonts w:hint="default"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月，乐山市环境保护局以</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乐市环审</w:t>
            </w:r>
            <w:r>
              <w:rPr>
                <w:rFonts w:hint="default" w:ascii="Times New Roman" w:hAnsi="Times New Roman" w:eastAsia="宋体" w:cs="Times New Roman"/>
                <w:color w:val="000000"/>
                <w:kern w:val="0"/>
                <w:sz w:val="24"/>
                <w:szCs w:val="24"/>
                <w:lang w:val="en-US" w:eastAsia="zh-CN" w:bidi="ar"/>
              </w:rPr>
              <w:t>[2009]81</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文对报告书出具了审查意见；</w:t>
            </w:r>
            <w:r>
              <w:rPr>
                <w:rFonts w:hint="default" w:ascii="Times New Roman" w:hAnsi="Times New Roman" w:eastAsia="宋体" w:cs="Times New Roman"/>
                <w:color w:val="000000"/>
                <w:kern w:val="0"/>
                <w:sz w:val="24"/>
                <w:szCs w:val="24"/>
                <w:lang w:val="en-US" w:eastAsia="zh-CN" w:bidi="ar"/>
              </w:rPr>
              <w:t>2013</w:t>
            </w:r>
            <w:r>
              <w:rPr>
                <w:rFonts w:hint="eastAsia" w:ascii="宋体" w:hAnsi="宋体" w:eastAsia="宋体" w:cs="宋体"/>
                <w:color w:val="000000"/>
                <w:kern w:val="0"/>
                <w:sz w:val="24"/>
                <w:szCs w:val="24"/>
                <w:lang w:val="en-US" w:eastAsia="zh-CN" w:bidi="ar"/>
              </w:rPr>
              <w:t>年，乐山市工业集中区管委会委托环评单位编制了《乐山市工业集中区水口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罗汉工业园区扩区（</w:t>
            </w:r>
            <w:r>
              <w:rPr>
                <w:rFonts w:hint="default" w:ascii="Times New Roman" w:hAnsi="Times New Roman" w:eastAsia="宋体" w:cs="Times New Roman"/>
                <w:color w:val="000000"/>
                <w:kern w:val="0"/>
                <w:sz w:val="24"/>
                <w:szCs w:val="24"/>
                <w:lang w:val="en-US" w:eastAsia="zh-CN" w:bidi="ar"/>
              </w:rPr>
              <w:t>11.89km</w:t>
            </w:r>
            <w:r>
              <w:rPr>
                <w:rFonts w:hint="default" w:ascii="Times New Roman" w:hAnsi="Times New Roman" w:eastAsia="宋体"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）规划环境影响报告书》，同年</w:t>
            </w:r>
            <w:r>
              <w:rPr>
                <w:rFonts w:hint="default" w:ascii="Times New Roman" w:hAnsi="Times New Roman" w:eastAsia="宋体"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月，四川省环境保护厅以</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川环建函</w:t>
            </w:r>
            <w:r>
              <w:rPr>
                <w:rFonts w:hint="default" w:ascii="Times New Roman" w:hAnsi="Times New Roman" w:eastAsia="宋体" w:cs="Times New Roman"/>
                <w:color w:val="000000"/>
                <w:kern w:val="0"/>
                <w:sz w:val="24"/>
                <w:szCs w:val="24"/>
                <w:lang w:val="en-US" w:eastAsia="zh-CN" w:bidi="ar"/>
              </w:rPr>
              <w:t>[2013]240</w:t>
            </w:r>
            <w:r>
              <w:rPr>
                <w:rFonts w:hint="eastAsia" w:ascii="宋体" w:hAnsi="宋体" w:eastAsia="宋体" w:cs="宋体"/>
                <w:color w:val="000000"/>
                <w:kern w:val="0"/>
                <w:sz w:val="24"/>
                <w:szCs w:val="24"/>
                <w:lang w:val="en-US" w:eastAsia="zh-CN" w:bidi="ar"/>
              </w:rPr>
              <w:t>号</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文对报告书出具了审查意见。目前，园区实际规划面积为</w:t>
            </w:r>
            <w:r>
              <w:rPr>
                <w:rFonts w:hint="default" w:ascii="Times New Roman" w:hAnsi="Times New Roman" w:eastAsia="宋体" w:cs="Times New Roman"/>
                <w:color w:val="000000"/>
                <w:kern w:val="0"/>
                <w:sz w:val="24"/>
                <w:szCs w:val="24"/>
                <w:lang w:val="en-US" w:eastAsia="zh-CN" w:bidi="ar"/>
              </w:rPr>
              <w:t>5.39km</w:t>
            </w:r>
            <w:r>
              <w:rPr>
                <w:rFonts w:hint="eastAsia" w:cs="Times New Roman"/>
                <w:color w:val="000000"/>
                <w:kern w:val="0"/>
                <w:sz w:val="24"/>
                <w:szCs w:val="24"/>
                <w:vertAlign w:val="superscript"/>
                <w:lang w:val="en-US" w:eastAsia="zh-CN" w:bidi="ar"/>
              </w:rPr>
              <w:t>2</w:t>
            </w:r>
            <w:r>
              <w:rPr>
                <w:rFonts w:hint="eastAsia" w:ascii="宋体" w:hAnsi="宋体" w:eastAsia="宋体" w:cs="宋体"/>
                <w:color w:val="000000"/>
                <w:kern w:val="0"/>
                <w:sz w:val="24"/>
                <w:szCs w:val="24"/>
                <w:lang w:val="en-US" w:eastAsia="zh-CN" w:bidi="ar"/>
              </w:rPr>
              <w:t>。园区交通便捷，距乐山市中心城区约</w:t>
            </w:r>
            <w:r>
              <w:rPr>
                <w:rFonts w:hint="default" w:ascii="Times New Roman" w:hAnsi="Times New Roman" w:eastAsia="宋体" w:cs="Times New Roman"/>
                <w:color w:val="000000"/>
                <w:kern w:val="0"/>
                <w:sz w:val="24"/>
                <w:szCs w:val="24"/>
                <w:lang w:val="en-US" w:eastAsia="zh-CN" w:bidi="ar"/>
              </w:rPr>
              <w:t>7km</w:t>
            </w:r>
            <w:r>
              <w:rPr>
                <w:rFonts w:hint="eastAsia" w:ascii="宋体" w:hAnsi="宋体" w:eastAsia="宋体" w:cs="宋体"/>
                <w:color w:val="000000"/>
                <w:kern w:val="0"/>
                <w:sz w:val="24"/>
                <w:szCs w:val="24"/>
                <w:lang w:val="en-US" w:eastAsia="zh-CN" w:bidi="ar"/>
              </w:rPr>
              <w:t>，园内基础设施完善，可为入园企业提供水、电、气、网等配套公用设施。</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根据《乐山市工业集中区水口罗汉工业园区扩区规划环境影响报告书》及其审查意见的函可知，园区鼓励类和禁止进入规划区行业名录如下：</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园区产业定位：医药、新型建材、机械制造、精细化工。</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①鼓励类</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A</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符合园区主导产业和功能分区的项目；</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B</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主导产业或重要项目的上下游企业，或有利于区域实现循环经济和可持续发展的企业，若与规划区或片区主业发展不形成交叉影响，鼓励其发展。</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②禁止类</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A</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不符合国家现行产业政策的相关项目。</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B</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新建水泥、冶炼、有色和黑色冶炼产品、石墨及炭素制品、焦化、纯碱、烧碱、硫酸、硝酸、盐酸、燃煤发电机组、进口废旧物资和工业废物焚烧处理等大气污染物排放量大的项目。</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C</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新建生猪屠宰、制浆造纸、印染、制革、农药等水污染物排放量大的项目。</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D</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禁止技术落后，项目清洁生产水平不能达到行业清洁生产标准二级标准要求或低于全国同类企业平均清洁生产水平的项目。</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E</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规划区严禁设立专业电镀厂，规划区涉及机械制造产业可能会涉及到机械设备电镀等表面处理等工艺，在符合四川省及乐山市</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十二五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重金属污染防治规划，满足区域重金属污染物总量控制的前提下，对企业配套的电镀生产不作限制。但环评要求对电镀等表面处理工序应采取严格有效的环保治理措施，对电镀产生的废水、废气等污染物进行处理，确保废水、废气等污染物处理后达到电镀污染物排放标准，并满足《清洁生产标准</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电镀行业》二级标准及以上的要求，加强对重金属的污染控制，确保满足总量控制要求。</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③允许类</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不属于上述鼓励类</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禁止类，选址于周围环境相容的其他项目。</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本项目为商品混凝土生产项目，不属于园区鼓励类及禁止类，因此，本项目属于园区允许类项目，符合乐山市工业集中区水口</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罗汉工业园区规划要求，本项目已取得园区管委会出具的入园许可证明</w:t>
            </w:r>
            <w:r>
              <w:rPr>
                <w:rFonts w:hint="eastAsia" w:ascii="宋体" w:hAnsi="宋体" w:cs="宋体"/>
                <w:b/>
                <w:bCs/>
                <w:color w:val="000000"/>
                <w:kern w:val="0"/>
                <w:sz w:val="24"/>
                <w:szCs w:val="24"/>
                <w:lang w:val="en-US" w:eastAsia="zh-CN" w:bidi="ar"/>
              </w:rPr>
              <w:t>。</w:t>
            </w:r>
          </w:p>
          <w:p>
            <w:pPr>
              <w:keepNext w:val="0"/>
              <w:keepLines w:val="0"/>
              <w:widowControl/>
              <w:suppressLineNumbers w:val="0"/>
              <w:spacing w:line="360" w:lineRule="auto"/>
              <w:jc w:val="left"/>
              <w:rPr>
                <w:sz w:val="24"/>
                <w:szCs w:val="24"/>
              </w:rPr>
            </w:pPr>
            <w:r>
              <w:rPr>
                <w:rFonts w:hint="eastAsia" w:ascii="宋体" w:hAnsi="宋体" w:cs="宋体"/>
                <w:b/>
                <w:bCs/>
                <w:color w:val="000000"/>
                <w:kern w:val="0"/>
                <w:sz w:val="24"/>
                <w:szCs w:val="24"/>
                <w:lang w:val="en-US" w:eastAsia="zh-CN" w:bidi="ar"/>
              </w:rPr>
              <w:t>二、</w:t>
            </w:r>
            <w:r>
              <w:rPr>
                <w:rFonts w:hint="eastAsia" w:ascii="宋体" w:hAnsi="宋体" w:eastAsia="宋体" w:cs="宋体"/>
                <w:b/>
                <w:bCs/>
                <w:color w:val="000000"/>
                <w:kern w:val="0"/>
                <w:sz w:val="24"/>
                <w:szCs w:val="24"/>
                <w:lang w:val="en-US" w:eastAsia="zh-CN" w:bidi="ar"/>
              </w:rPr>
              <w:t>与《乐山市工业集中区水口</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罗汉工业园区扩区》跟踪环评符合性分析</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①规划实施过程中存在的主要环境问题及解决对策</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区域环境空气质量整体改善明显，但仍属不达标区域，主要超标因子为</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24"/>
                <w:szCs w:val="24"/>
                <w:vertAlign w:val="subscript"/>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24"/>
                <w:szCs w:val="24"/>
                <w:vertAlign w:val="subscript"/>
                <w:lang w:val="en-US" w:eastAsia="zh-CN" w:bidi="ar"/>
              </w:rPr>
              <w:t>2</w:t>
            </w:r>
            <w:r>
              <w:rPr>
                <w:rFonts w:hint="eastAsia" w:cs="Times New Roman"/>
                <w:color w:val="000000"/>
                <w:kern w:val="0"/>
                <w:sz w:val="24"/>
                <w:szCs w:val="24"/>
                <w:vertAlign w:val="subscript"/>
                <w:lang w:val="en-US" w:eastAsia="zh-CN" w:bidi="ar"/>
              </w:rPr>
              <w:t>.</w:t>
            </w:r>
            <w:r>
              <w:rPr>
                <w:rFonts w:hint="default" w:ascii="Times New Roman" w:hAnsi="Times New Roman" w:eastAsia="宋体" w:cs="Times New Roman"/>
                <w:color w:val="000000"/>
                <w:kern w:val="0"/>
                <w:sz w:val="24"/>
                <w:szCs w:val="24"/>
                <w:vertAlign w:val="subscript"/>
                <w:lang w:val="en-US" w:eastAsia="zh-CN" w:bidi="ar"/>
              </w:rPr>
              <w:t>5</w:t>
            </w:r>
            <w:r>
              <w:rPr>
                <w:rFonts w:hint="eastAsia" w:ascii="宋体" w:hAnsi="宋体" w:eastAsia="宋体" w:cs="宋体"/>
                <w:color w:val="000000"/>
                <w:kern w:val="0"/>
                <w:sz w:val="24"/>
                <w:szCs w:val="24"/>
                <w:lang w:val="en-US" w:eastAsia="zh-CN" w:bidi="ar"/>
              </w:rPr>
              <w:t>，对规划实施形成制约。</w:t>
            </w:r>
          </w:p>
          <w:p>
            <w:pPr>
              <w:keepNext w:val="0"/>
              <w:keepLines w:val="0"/>
              <w:widowControl/>
              <w:suppressLineNumbers w:val="0"/>
              <w:spacing w:line="360" w:lineRule="auto"/>
              <w:ind w:firstLine="482" w:firstLineChars="200"/>
              <w:jc w:val="left"/>
              <w:rPr>
                <w:rFonts w:hint="eastAsia" w:ascii="宋体" w:hAnsi="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解决对</w:t>
            </w:r>
            <w:r>
              <w:rPr>
                <w:rFonts w:hint="eastAsia" w:ascii="宋体" w:hAnsi="宋体" w:cs="宋体"/>
                <w:b/>
                <w:bCs/>
                <w:color w:val="000000"/>
                <w:kern w:val="0"/>
                <w:sz w:val="24"/>
                <w:szCs w:val="24"/>
                <w:lang w:val="en-US" w:eastAsia="zh-CN" w:bidi="ar"/>
              </w:rPr>
              <w:t>策：</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）全面落实《乐山市大气环境质量限期达标规划》、《四川省挥发性有机物污染防治实施方案</w:t>
            </w:r>
            <w:r>
              <w:rPr>
                <w:rFonts w:hint="default" w:ascii="Times New Roman" w:hAnsi="Times New Roman" w:eastAsia="宋体" w:cs="Times New Roman"/>
                <w:color w:val="000000"/>
                <w:kern w:val="0"/>
                <w:sz w:val="24"/>
                <w:szCs w:val="24"/>
                <w:lang w:val="en-US" w:eastAsia="zh-CN" w:bidi="ar"/>
              </w:rPr>
              <w:t>(2018-2020</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》、《四川省生态环境厅关于执行大气污染物特别排放限值的公告》等相关要求，加强大气污染物减排工作，持续改善区域环境空气质量。</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）加强园区内现有企业污染治理设施升级改造，持续推进污染物减排。全面提升园区制药等企业全过程挥发性有机物控制水平，严格控制无组织排放。</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②对规划实施的优化调整建议</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园区与乐山市城市总体规划已不相符合，建议尽快启动园区新一轮的修编工作，修编前规划区与城市总体规划不相符的区域禁止引入工业项目。</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③生态环境准入清单</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）禁止引入精细化工项目。</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）禁止引入化学合成类、发酵类医药项目（退城入园的长征制药项目除外）。</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）禁止引入专业电镀。</w:t>
            </w:r>
          </w:p>
          <w:p>
            <w:pPr>
              <w:keepNext w:val="0"/>
              <w:keepLines w:val="0"/>
              <w:widowControl/>
              <w:suppressLineNumbers w:val="0"/>
              <w:spacing w:line="360" w:lineRule="auto"/>
              <w:ind w:firstLine="480" w:firstLineChars="200"/>
              <w:jc w:val="left"/>
              <w:rPr>
                <w:sz w:val="24"/>
                <w:szCs w:val="24"/>
              </w:rPr>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）禁止引入含炉窑焙烧工艺的项目。</w:t>
            </w:r>
          </w:p>
          <w:p>
            <w:pPr>
              <w:autoSpaceDE w:val="0"/>
              <w:autoSpaceDN w:val="0"/>
              <w:adjustRightInd w:val="0"/>
              <w:snapToGrid w:val="0"/>
              <w:spacing w:line="360" w:lineRule="auto"/>
              <w:ind w:firstLine="482" w:firstLineChars="200"/>
              <w:rPr>
                <w:kern w:val="0"/>
                <w:szCs w:val="21"/>
              </w:rPr>
            </w:pPr>
            <w:r>
              <w:rPr>
                <w:rFonts w:hint="eastAsia" w:ascii="宋体" w:hAnsi="宋体" w:eastAsia="宋体" w:cs="宋体"/>
                <w:b/>
                <w:bCs/>
                <w:color w:val="000000"/>
                <w:kern w:val="0"/>
                <w:sz w:val="24"/>
                <w:szCs w:val="24"/>
                <w:lang w:val="en-US" w:eastAsia="zh-CN" w:bidi="ar"/>
              </w:rPr>
              <w:t>本项目为商品混凝土生产项目，不属于跟踪环评中禁止引入项目。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56" w:type="dxa"/>
            <w:noWrap w:val="0"/>
            <w:vAlign w:val="center"/>
          </w:tcPr>
          <w:p>
            <w:pPr>
              <w:autoSpaceDE w:val="0"/>
              <w:autoSpaceDN w:val="0"/>
              <w:adjustRightInd w:val="0"/>
              <w:snapToGrid w:val="0"/>
              <w:jc w:val="center"/>
              <w:rPr>
                <w:kern w:val="0"/>
                <w:szCs w:val="21"/>
              </w:rPr>
            </w:pPr>
            <w:r>
              <w:rPr>
                <w:kern w:val="0"/>
                <w:sz w:val="24"/>
                <w:szCs w:val="24"/>
              </w:rPr>
              <w:t>其他符合性分析</w:t>
            </w:r>
          </w:p>
        </w:tc>
        <w:tc>
          <w:tcPr>
            <w:tcW w:w="7788" w:type="dxa"/>
            <w:gridSpan w:val="3"/>
            <w:noWrap w:val="0"/>
            <w:vAlign w:val="center"/>
          </w:tcPr>
          <w:p>
            <w:pPr>
              <w:topLinePunct/>
              <w:adjustRightInd w:val="0"/>
              <w:snapToGrid w:val="0"/>
              <w:spacing w:line="360" w:lineRule="auto"/>
              <w:ind w:firstLine="482" w:firstLineChars="200"/>
              <w:rPr>
                <w:b/>
                <w:bCs/>
                <w:kern w:val="0"/>
                <w:sz w:val="24"/>
                <w:szCs w:val="24"/>
              </w:rPr>
            </w:pPr>
            <w:r>
              <w:rPr>
                <w:rFonts w:hint="eastAsia"/>
                <w:b/>
                <w:bCs/>
                <w:kern w:val="0"/>
                <w:sz w:val="24"/>
                <w:szCs w:val="24"/>
                <w:lang w:val="en-US" w:eastAsia="zh-CN"/>
              </w:rPr>
              <w:t>一、</w:t>
            </w:r>
            <w:r>
              <w:rPr>
                <w:b/>
                <w:bCs/>
                <w:kern w:val="0"/>
                <w:sz w:val="24"/>
                <w:szCs w:val="24"/>
              </w:rPr>
              <w:t>产业政策符合性分析</w:t>
            </w:r>
          </w:p>
          <w:p>
            <w:pPr>
              <w:spacing w:line="360" w:lineRule="auto"/>
              <w:ind w:firstLine="480" w:firstLineChars="200"/>
              <w:rPr>
                <w:sz w:val="24"/>
                <w:szCs w:val="24"/>
              </w:rPr>
            </w:pPr>
            <w:r>
              <w:rPr>
                <w:rFonts w:hint="eastAsia"/>
                <w:sz w:val="24"/>
                <w:szCs w:val="24"/>
              </w:rPr>
              <w:t>根据《国民经济行业</w:t>
            </w:r>
            <w:r>
              <w:rPr>
                <w:sz w:val="24"/>
                <w:szCs w:val="24"/>
              </w:rPr>
              <w:t>分类</w:t>
            </w:r>
            <w:r>
              <w:rPr>
                <w:rFonts w:hint="eastAsia"/>
                <w:sz w:val="24"/>
                <w:szCs w:val="24"/>
              </w:rPr>
              <w:t>》（2019修订版）</w:t>
            </w:r>
            <w:r>
              <w:rPr>
                <w:sz w:val="24"/>
                <w:szCs w:val="24"/>
              </w:rPr>
              <w:t>本项目为</w:t>
            </w:r>
            <w:r>
              <w:rPr>
                <w:rFonts w:hint="eastAsia"/>
                <w:sz w:val="24"/>
                <w:szCs w:val="24"/>
              </w:rPr>
              <w:t>C3021水泥制品制造</w:t>
            </w:r>
            <w:r>
              <w:rPr>
                <w:sz w:val="24"/>
                <w:szCs w:val="24"/>
              </w:rPr>
              <w:t>，根据中华人民共和国国家发展和改革委员会令第29号《产业结构调整指导目录》（2019年本），本项目不属于鼓励类、限制类和淘汰类，</w:t>
            </w:r>
            <w:r>
              <w:rPr>
                <w:rFonts w:hint="eastAsia"/>
                <w:sz w:val="24"/>
                <w:szCs w:val="24"/>
              </w:rPr>
              <w:t>根据国务院发布实施的《促进产业结构调整暂行规定》（国发[2005]40号）第十三条规定：“不属于鼓励类、限制类和淘汰类，且符合国家有关法律、法规和政策规定的为允许类。”因此，本项目为允许类</w:t>
            </w:r>
            <w:r>
              <w:rPr>
                <w:sz w:val="24"/>
                <w:szCs w:val="24"/>
              </w:rPr>
              <w:t>建设项目。根据建设单位提供的工艺设计说明、生产设备清单和原辅料耗用情况，项目采取的生产工艺和使用的生产设备均不属于限制类和淘汰类。</w:t>
            </w:r>
          </w:p>
          <w:p>
            <w:pPr>
              <w:spacing w:line="360" w:lineRule="auto"/>
              <w:ind w:firstLine="480" w:firstLineChars="200"/>
              <w:rPr>
                <w:sz w:val="24"/>
                <w:szCs w:val="24"/>
              </w:rPr>
            </w:pPr>
            <w:r>
              <w:rPr>
                <w:sz w:val="24"/>
                <w:szCs w:val="24"/>
              </w:rPr>
              <w:t>因此，本项目符合国家现行产业政策。</w:t>
            </w:r>
          </w:p>
          <w:p>
            <w:pPr>
              <w:spacing w:line="360" w:lineRule="auto"/>
              <w:ind w:firstLine="482" w:firstLineChars="200"/>
              <w:rPr>
                <w:rFonts w:hint="eastAsia"/>
                <w:b/>
                <w:color w:val="auto"/>
                <w:sz w:val="24"/>
              </w:rPr>
            </w:pPr>
            <w:r>
              <w:rPr>
                <w:rFonts w:hint="eastAsia"/>
                <w:b/>
                <w:color w:val="auto"/>
                <w:sz w:val="24"/>
                <w:lang w:val="en-US" w:eastAsia="zh-CN"/>
              </w:rPr>
              <w:t>二、</w:t>
            </w:r>
            <w:r>
              <w:rPr>
                <w:rFonts w:hint="eastAsia"/>
                <w:b/>
                <w:color w:val="auto"/>
                <w:sz w:val="24"/>
              </w:rPr>
              <w:t>行业准入符合性分析</w:t>
            </w:r>
          </w:p>
          <w:p>
            <w:pPr>
              <w:widowControl/>
              <w:spacing w:line="360" w:lineRule="auto"/>
              <w:ind w:firstLine="480" w:firstLineChars="200"/>
              <w:jc w:val="left"/>
              <w:rPr>
                <w:rFonts w:hint="eastAsia"/>
                <w:color w:val="auto"/>
                <w:kern w:val="44"/>
                <w:sz w:val="24"/>
              </w:rPr>
            </w:pPr>
            <w:r>
              <w:rPr>
                <w:rFonts w:hint="eastAsia"/>
                <w:color w:val="auto"/>
                <w:kern w:val="44"/>
                <w:sz w:val="24"/>
              </w:rPr>
              <w:t>根据《四川省绿色环保搅拌站建设、管理和评价标准》（BDJ51/T104-2018）的规范和产能要求：“干混砂浆单条生产线设计年产能规模不低于30万吨/年，湿拌砂浆生产线设计年产能规模不低于20万立方米/年；预拌混凝土搅拌站设计年产能规模不低于30万立方米/年，且应有专用湿拌砂浆生产线，不得与预拌混凝土生产线混用。”本项目建设内容为2条合计60万立方米商品砼生产线（每条生产线各30万立方米），符合上述标准要求。</w:t>
            </w:r>
          </w:p>
          <w:p>
            <w:pPr>
              <w:spacing w:line="360" w:lineRule="auto"/>
              <w:ind w:firstLine="482" w:firstLineChars="200"/>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三、项目用地规划符合性分析</w:t>
            </w:r>
          </w:p>
          <w:p>
            <w:pPr>
              <w:keepNext w:val="0"/>
              <w:keepLines w:val="0"/>
              <w:widowControl/>
              <w:suppressLineNumbers w:val="0"/>
              <w:spacing w:line="360" w:lineRule="auto"/>
              <w:ind w:firstLine="480" w:firstLineChars="200"/>
              <w:jc w:val="left"/>
              <w:rPr>
                <w:rFonts w:hint="eastAsia"/>
                <w:lang w:val="en-US" w:eastAsia="zh-CN"/>
              </w:rPr>
            </w:pPr>
            <w:r>
              <w:rPr>
                <w:rFonts w:hint="eastAsia" w:ascii="宋体" w:hAnsi="宋体" w:eastAsia="宋体" w:cs="宋体"/>
                <w:color w:val="000000"/>
                <w:kern w:val="0"/>
                <w:sz w:val="24"/>
                <w:szCs w:val="24"/>
                <w:lang w:val="en-US" w:eastAsia="zh-CN" w:bidi="ar"/>
              </w:rPr>
              <w:t>本项目位于乐山市工业集中区水口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罗汉工业园区内。根据乐山市工业集中区控制性详细规划图，该项目区域用地性质为工业用地，本项目已取得不动产权证川（</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）乐山市不动产权第</w:t>
            </w:r>
            <w:r>
              <w:rPr>
                <w:rFonts w:hint="default" w:ascii="Times New Roman" w:hAnsi="Times New Roman" w:eastAsia="宋体" w:cs="Times New Roman"/>
                <w:color w:val="000000"/>
                <w:kern w:val="0"/>
                <w:sz w:val="24"/>
                <w:szCs w:val="24"/>
                <w:lang w:val="en-US" w:eastAsia="zh-CN" w:bidi="ar"/>
              </w:rPr>
              <w:t>00</w:t>
            </w:r>
            <w:r>
              <w:rPr>
                <w:rFonts w:hint="eastAsia" w:ascii="Times New Roman" w:hAnsi="Times New Roman" w:eastAsia="宋体" w:cs="Times New Roman"/>
                <w:color w:val="000000"/>
                <w:kern w:val="0"/>
                <w:sz w:val="24"/>
                <w:szCs w:val="24"/>
                <w:lang w:val="en-US" w:eastAsia="zh-CN" w:bidi="ar"/>
              </w:rPr>
              <w:t>4547</w:t>
            </w:r>
            <w:r>
              <w:rPr>
                <w:rFonts w:hint="eastAsia" w:ascii="宋体" w:hAnsi="宋体" w:eastAsia="宋体" w:cs="宋体"/>
                <w:color w:val="000000"/>
                <w:kern w:val="0"/>
                <w:sz w:val="24"/>
                <w:szCs w:val="24"/>
                <w:lang w:val="en-US" w:eastAsia="zh-CN" w:bidi="ar"/>
              </w:rPr>
              <w:t>号，用地类型为工业用地，因此，本项目用地符合乐山市用地的规划。</w:t>
            </w:r>
          </w:p>
          <w:p>
            <w:pPr>
              <w:spacing w:line="360" w:lineRule="auto"/>
              <w:ind w:firstLine="482" w:firstLineChars="200"/>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四、与大气污染防治相关规划符合性分析</w:t>
            </w:r>
          </w:p>
          <w:p>
            <w:pPr>
              <w:spacing w:line="360" w:lineRule="auto"/>
              <w:ind w:firstLine="480" w:firstLineChars="200"/>
              <w:rPr>
                <w:rFonts w:hint="eastAsia"/>
                <w:color w:val="000000"/>
                <w:sz w:val="24"/>
              </w:rPr>
            </w:pPr>
            <w:r>
              <w:rPr>
                <w:rFonts w:hint="eastAsia"/>
                <w:color w:val="000000"/>
                <w:sz w:val="24"/>
              </w:rPr>
              <w:t>本项目与《四川省蓝天保卫行动方案（2017-2020年）》（川污防“三大战役”办[2017]33号）、四川省打赢蓝天保卫战等九个实施方案通知》（川府发[2019]4号）、《乐山市打赢蓝天保卫战实施方案》、《乐山市打好“散乱污”企业整治攻坚战实施方案》的符合性如下：</w:t>
            </w:r>
          </w:p>
          <w:p>
            <w:pPr>
              <w:autoSpaceDE w:val="0"/>
              <w:autoSpaceDN w:val="0"/>
              <w:adjustRightInd w:val="0"/>
              <w:snapToGrid w:val="0"/>
              <w:spacing w:line="240" w:lineRule="atLeast"/>
              <w:jc w:val="center"/>
              <w:rPr>
                <w:rFonts w:hint="eastAsia"/>
                <w:b/>
                <w:bCs/>
                <w:kern w:val="0"/>
                <w:szCs w:val="21"/>
              </w:rPr>
            </w:pPr>
            <w:r>
              <w:rPr>
                <w:rFonts w:hint="eastAsia"/>
                <w:b/>
                <w:bCs/>
                <w:kern w:val="0"/>
                <w:szCs w:val="21"/>
              </w:rPr>
              <w:t xml:space="preserve">      表1-</w:t>
            </w:r>
            <w:r>
              <w:rPr>
                <w:rFonts w:hint="eastAsia"/>
                <w:b/>
                <w:bCs/>
                <w:kern w:val="0"/>
                <w:szCs w:val="21"/>
                <w:lang w:val="en-US" w:eastAsia="zh-CN"/>
              </w:rPr>
              <w:t>2</w:t>
            </w:r>
            <w:r>
              <w:rPr>
                <w:rFonts w:hint="eastAsia"/>
                <w:b/>
                <w:bCs/>
                <w:kern w:val="0"/>
                <w:szCs w:val="21"/>
              </w:rPr>
              <w:t xml:space="preserve"> 与大气污染防治相关规划符合性</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3848"/>
              <w:gridCol w:w="1445"/>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 w:type="dxa"/>
                  <w:noWrap w:val="0"/>
                  <w:vAlign w:val="center"/>
                </w:tcPr>
                <w:p>
                  <w:pPr>
                    <w:widowControl/>
                    <w:jc w:val="center"/>
                    <w:rPr>
                      <w:rFonts w:hint="eastAsia"/>
                      <w:b/>
                      <w:snapToGrid w:val="0"/>
                      <w:kern w:val="0"/>
                      <w:szCs w:val="21"/>
                    </w:rPr>
                  </w:pPr>
                  <w:r>
                    <w:rPr>
                      <w:rFonts w:hint="eastAsia"/>
                      <w:b/>
                      <w:snapToGrid w:val="0"/>
                      <w:kern w:val="0"/>
                      <w:szCs w:val="21"/>
                    </w:rPr>
                    <w:t>文件</w:t>
                  </w:r>
                </w:p>
              </w:tc>
              <w:tc>
                <w:tcPr>
                  <w:tcW w:w="3848" w:type="dxa"/>
                  <w:noWrap w:val="0"/>
                  <w:vAlign w:val="center"/>
                </w:tcPr>
                <w:p>
                  <w:pPr>
                    <w:widowControl/>
                    <w:jc w:val="center"/>
                    <w:rPr>
                      <w:rFonts w:hint="eastAsia"/>
                      <w:b/>
                      <w:snapToGrid w:val="0"/>
                      <w:kern w:val="0"/>
                      <w:szCs w:val="21"/>
                    </w:rPr>
                  </w:pPr>
                  <w:r>
                    <w:rPr>
                      <w:rFonts w:hint="eastAsia"/>
                      <w:b/>
                      <w:snapToGrid w:val="0"/>
                      <w:kern w:val="0"/>
                      <w:szCs w:val="21"/>
                    </w:rPr>
                    <w:t>相关要求</w:t>
                  </w:r>
                </w:p>
              </w:tc>
              <w:tc>
                <w:tcPr>
                  <w:tcW w:w="1445" w:type="dxa"/>
                  <w:noWrap w:val="0"/>
                  <w:vAlign w:val="center"/>
                </w:tcPr>
                <w:p>
                  <w:pPr>
                    <w:widowControl/>
                    <w:jc w:val="center"/>
                    <w:rPr>
                      <w:rFonts w:hint="eastAsia"/>
                      <w:b/>
                      <w:snapToGrid w:val="0"/>
                      <w:kern w:val="0"/>
                      <w:szCs w:val="21"/>
                    </w:rPr>
                  </w:pPr>
                  <w:r>
                    <w:rPr>
                      <w:rFonts w:hint="eastAsia"/>
                      <w:b/>
                      <w:snapToGrid w:val="0"/>
                      <w:kern w:val="0"/>
                      <w:szCs w:val="21"/>
                    </w:rPr>
                    <w:t>本项目情况</w:t>
                  </w:r>
                </w:p>
              </w:tc>
              <w:tc>
                <w:tcPr>
                  <w:tcW w:w="710" w:type="dxa"/>
                  <w:noWrap w:val="0"/>
                  <w:vAlign w:val="center"/>
                </w:tcPr>
                <w:p>
                  <w:pPr>
                    <w:widowControl/>
                    <w:jc w:val="center"/>
                    <w:rPr>
                      <w:rFonts w:hint="eastAsia"/>
                      <w:b/>
                      <w:snapToGrid w:val="0"/>
                      <w:kern w:val="0"/>
                      <w:szCs w:val="21"/>
                    </w:rPr>
                  </w:pPr>
                  <w:r>
                    <w:rPr>
                      <w:rFonts w:hint="eastAsia"/>
                      <w:b/>
                      <w:snapToGrid w:val="0"/>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 w:type="dxa"/>
                  <w:noWrap w:val="0"/>
                  <w:vAlign w:val="center"/>
                </w:tcPr>
                <w:p>
                  <w:pPr>
                    <w:widowControl/>
                    <w:jc w:val="center"/>
                    <w:rPr>
                      <w:rFonts w:hint="eastAsia"/>
                      <w:snapToGrid w:val="0"/>
                      <w:kern w:val="0"/>
                      <w:szCs w:val="21"/>
                    </w:rPr>
                  </w:pPr>
                  <w:r>
                    <w:rPr>
                      <w:rFonts w:hint="eastAsia"/>
                      <w:snapToGrid w:val="0"/>
                      <w:kern w:val="0"/>
                      <w:szCs w:val="21"/>
                    </w:rPr>
                    <w:t>四川省蓝天保卫行动方案（2017-2020年）（川污防“三大战役”办[2017]33号）</w:t>
                  </w:r>
                </w:p>
              </w:tc>
              <w:tc>
                <w:tcPr>
                  <w:tcW w:w="3848" w:type="dxa"/>
                  <w:noWrap w:val="0"/>
                  <w:vAlign w:val="center"/>
                </w:tcPr>
                <w:p>
                  <w:pPr>
                    <w:widowControl/>
                    <w:jc w:val="center"/>
                    <w:rPr>
                      <w:rFonts w:hint="eastAsia"/>
                      <w:snapToGrid w:val="0"/>
                      <w:kern w:val="0"/>
                      <w:szCs w:val="21"/>
                    </w:rPr>
                  </w:pPr>
                  <w:r>
                    <w:rPr>
                      <w:rFonts w:hint="eastAsia"/>
                      <w:snapToGrid w:val="0"/>
                      <w:kern w:val="0"/>
                      <w:szCs w:val="21"/>
                    </w:rPr>
                    <w:t>三、重点工作任务 （四）强力推进城市扬尘综合整治1.严格施工扬尘监管……施工现场严禁搅拌混凝土和砂浆……2.强化堆场扬尘管控……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物料装卸配备喷淋等防尘措施，转运物料尽量采取封闭式皮带输送。</w:t>
                  </w:r>
                </w:p>
              </w:tc>
              <w:tc>
                <w:tcPr>
                  <w:tcW w:w="1445" w:type="dxa"/>
                  <w:vMerge w:val="restart"/>
                  <w:noWrap w:val="0"/>
                  <w:vAlign w:val="center"/>
                </w:tcPr>
                <w:p>
                  <w:pPr>
                    <w:widowControl/>
                    <w:jc w:val="center"/>
                    <w:rPr>
                      <w:rFonts w:hint="eastAsia"/>
                      <w:snapToGrid w:val="0"/>
                      <w:kern w:val="0"/>
                      <w:szCs w:val="21"/>
                    </w:rPr>
                  </w:pPr>
                  <w:r>
                    <w:rPr>
                      <w:rFonts w:hint="eastAsia"/>
                      <w:snapToGrid w:val="0"/>
                      <w:kern w:val="0"/>
                      <w:szCs w:val="21"/>
                    </w:rPr>
                    <w:t>（1）本项目为商品混土生产项目，位于乐山市水口工业集中区，项目建成后可为当地各大施工场地提供合格的商品混凝土，有效避免了施工现场搅拌混凝土和砂浆。</w:t>
                  </w:r>
                </w:p>
                <w:p>
                  <w:pPr>
                    <w:widowControl/>
                    <w:jc w:val="center"/>
                    <w:rPr>
                      <w:rFonts w:hint="eastAsia"/>
                      <w:snapToGrid w:val="0"/>
                      <w:kern w:val="0"/>
                      <w:szCs w:val="21"/>
                    </w:rPr>
                  </w:pPr>
                  <w:r>
                    <w:rPr>
                      <w:rFonts w:hint="eastAsia"/>
                      <w:snapToGrid w:val="0"/>
                      <w:kern w:val="0"/>
                      <w:szCs w:val="21"/>
                    </w:rPr>
                    <w:t>（2）项目水泥、粉煤灰</w:t>
                  </w:r>
                  <w:r>
                    <w:rPr>
                      <w:rFonts w:hint="eastAsia"/>
                      <w:snapToGrid w:val="0"/>
                      <w:kern w:val="0"/>
                      <w:szCs w:val="21"/>
                      <w:lang w:eastAsia="zh-CN"/>
                    </w:rPr>
                    <w:t>、</w:t>
                  </w:r>
                  <w:r>
                    <w:rPr>
                      <w:rFonts w:hint="eastAsia"/>
                      <w:snapToGrid w:val="0"/>
                      <w:kern w:val="0"/>
                      <w:szCs w:val="21"/>
                      <w:lang w:val="en-US" w:eastAsia="zh-CN"/>
                    </w:rPr>
                    <w:t>矿粉</w:t>
                  </w:r>
                  <w:r>
                    <w:rPr>
                      <w:rFonts w:hint="eastAsia"/>
                      <w:snapToGrid w:val="0"/>
                      <w:kern w:val="0"/>
                      <w:szCs w:val="21"/>
                    </w:rPr>
                    <w:t>采用气力输送、封闭式料仓贮存，混凝土搅拌作业位于密闭搅拌楼内，骨料输送采用封闭式皮带输送。</w:t>
                  </w:r>
                </w:p>
                <w:p>
                  <w:pPr>
                    <w:widowControl/>
                    <w:jc w:val="center"/>
                    <w:rPr>
                      <w:rFonts w:hint="eastAsia"/>
                      <w:snapToGrid w:val="0"/>
                      <w:kern w:val="0"/>
                      <w:szCs w:val="21"/>
                    </w:rPr>
                  </w:pPr>
                  <w:r>
                    <w:rPr>
                      <w:rFonts w:hint="eastAsia"/>
                      <w:snapToGrid w:val="0"/>
                      <w:kern w:val="0"/>
                      <w:szCs w:val="21"/>
                    </w:rPr>
                    <w:t>（3）项目执行重污染天气时禁止进行产生扬尘的作业。</w:t>
                  </w:r>
                </w:p>
              </w:tc>
              <w:tc>
                <w:tcPr>
                  <w:tcW w:w="710" w:type="dxa"/>
                  <w:vMerge w:val="restart"/>
                  <w:noWrap w:val="0"/>
                  <w:vAlign w:val="center"/>
                </w:tcPr>
                <w:p>
                  <w:pPr>
                    <w:widowControl/>
                    <w:jc w:val="center"/>
                    <w:rPr>
                      <w:rFonts w:hint="eastAsia"/>
                      <w:snapToGrid w:val="0"/>
                      <w:kern w:val="0"/>
                      <w:szCs w:val="21"/>
                    </w:rPr>
                  </w:pPr>
                  <w:r>
                    <w:rPr>
                      <w:rFonts w:hint="eastAsia"/>
                      <w:snapToGrid w:val="0"/>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 w:type="dxa"/>
                  <w:noWrap w:val="0"/>
                  <w:vAlign w:val="center"/>
                </w:tcPr>
                <w:p>
                  <w:pPr>
                    <w:widowControl/>
                    <w:jc w:val="center"/>
                    <w:rPr>
                      <w:rFonts w:hint="eastAsia"/>
                      <w:snapToGrid w:val="0"/>
                      <w:kern w:val="0"/>
                      <w:szCs w:val="21"/>
                    </w:rPr>
                  </w:pPr>
                  <w:r>
                    <w:rPr>
                      <w:rFonts w:hint="eastAsia"/>
                      <w:snapToGrid w:val="0"/>
                      <w:kern w:val="0"/>
                      <w:szCs w:val="21"/>
                    </w:rPr>
                    <w:t>《四川省打赢蓝天保卫战等九个实施方案通知》（川府发[2019]4号）</w:t>
                  </w:r>
                </w:p>
              </w:tc>
              <w:tc>
                <w:tcPr>
                  <w:tcW w:w="3848" w:type="dxa"/>
                  <w:noWrap w:val="0"/>
                  <w:vAlign w:val="center"/>
                </w:tcPr>
                <w:p>
                  <w:pPr>
                    <w:widowControl/>
                    <w:jc w:val="center"/>
                    <w:rPr>
                      <w:rFonts w:hint="eastAsia"/>
                      <w:snapToGrid w:val="0"/>
                      <w:kern w:val="0"/>
                      <w:szCs w:val="21"/>
                    </w:rPr>
                  </w:pPr>
                  <w:r>
                    <w:rPr>
                      <w:rFonts w:hint="eastAsia"/>
                      <w:snapToGrid w:val="0"/>
                      <w:kern w:val="0"/>
                      <w:szCs w:val="21"/>
                    </w:rPr>
                    <w:t>三、重点任务（四）加强扬尘管控，提高城市环境管理水平。严格施工扬尘监管……严格落实“六必须、六不准”管控要求（含“现场搅拌混凝土”）……强化堆场扬尘管控。……易产生扬尘的物料堆场采用封闭式库仓，不具备封闭式库仓改造条件的，应设置不低于料堆高度的严密围挡，并采取覆盖措施有效控制扬尘污染；堆场内进行搅拌、粉碎、筛分等作业时应喷水抑尘，遇重污染天气时禁止进行产生扬尘的作业。物料装卸配备喷淋等防尘措施，转运物料尽量采取封闭式皮带输送…</w:t>
                  </w:r>
                </w:p>
              </w:tc>
              <w:tc>
                <w:tcPr>
                  <w:tcW w:w="1445" w:type="dxa"/>
                  <w:vMerge w:val="continue"/>
                  <w:noWrap w:val="0"/>
                  <w:vAlign w:val="center"/>
                </w:tcPr>
                <w:p>
                  <w:pPr>
                    <w:widowControl/>
                    <w:jc w:val="center"/>
                    <w:rPr>
                      <w:rFonts w:hint="eastAsia"/>
                      <w:snapToGrid w:val="0"/>
                      <w:kern w:val="0"/>
                      <w:szCs w:val="21"/>
                    </w:rPr>
                  </w:pPr>
                </w:p>
              </w:tc>
              <w:tc>
                <w:tcPr>
                  <w:tcW w:w="710" w:type="dxa"/>
                  <w:vMerge w:val="continue"/>
                  <w:noWrap w:val="0"/>
                  <w:vAlign w:val="center"/>
                </w:tcPr>
                <w:p>
                  <w:pPr>
                    <w:widowControl/>
                    <w:jc w:val="left"/>
                    <w:rPr>
                      <w:rFonts w:hint="eastAsia"/>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 w:type="dxa"/>
                  <w:noWrap w:val="0"/>
                  <w:vAlign w:val="center"/>
                </w:tcPr>
                <w:p>
                  <w:pPr>
                    <w:widowControl/>
                    <w:jc w:val="center"/>
                    <w:rPr>
                      <w:rFonts w:hint="eastAsia"/>
                      <w:snapToGrid w:val="0"/>
                      <w:kern w:val="0"/>
                      <w:szCs w:val="21"/>
                    </w:rPr>
                  </w:pPr>
                  <w:r>
                    <w:rPr>
                      <w:rFonts w:hint="eastAsia"/>
                      <w:snapToGrid w:val="0"/>
                      <w:kern w:val="0"/>
                      <w:szCs w:val="21"/>
                    </w:rPr>
                    <w:t>《乐山市打赢蓝天保卫战实施方案》</w:t>
                  </w:r>
                </w:p>
              </w:tc>
              <w:tc>
                <w:tcPr>
                  <w:tcW w:w="3848" w:type="dxa"/>
                  <w:noWrap w:val="0"/>
                  <w:vAlign w:val="center"/>
                </w:tcPr>
                <w:p>
                  <w:pPr>
                    <w:widowControl/>
                    <w:jc w:val="center"/>
                    <w:rPr>
                      <w:rFonts w:hint="eastAsia"/>
                      <w:snapToGrid w:val="0"/>
                      <w:kern w:val="0"/>
                      <w:szCs w:val="21"/>
                    </w:rPr>
                  </w:pPr>
                  <w:r>
                    <w:rPr>
                      <w:rFonts w:hint="eastAsia"/>
                      <w:snapToGrid w:val="0"/>
                      <w:kern w:val="0"/>
                      <w:szCs w:val="21"/>
                    </w:rPr>
                    <w:t>三、重点任务（六）深化扬尘污染治理。强化堆场扬尘管控。……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物料装卸配备喷淋等防尘设施，转运物料尽量采取封闭式皮带输送。……</w:t>
                  </w:r>
                </w:p>
              </w:tc>
              <w:tc>
                <w:tcPr>
                  <w:tcW w:w="1445" w:type="dxa"/>
                  <w:vMerge w:val="continue"/>
                  <w:noWrap w:val="0"/>
                  <w:vAlign w:val="center"/>
                </w:tcPr>
                <w:p>
                  <w:pPr>
                    <w:widowControl/>
                    <w:jc w:val="center"/>
                    <w:rPr>
                      <w:rFonts w:hint="eastAsia"/>
                      <w:snapToGrid w:val="0"/>
                      <w:kern w:val="0"/>
                      <w:szCs w:val="21"/>
                    </w:rPr>
                  </w:pPr>
                </w:p>
              </w:tc>
              <w:tc>
                <w:tcPr>
                  <w:tcW w:w="710" w:type="dxa"/>
                  <w:vMerge w:val="continue"/>
                  <w:noWrap w:val="0"/>
                  <w:vAlign w:val="center"/>
                </w:tcPr>
                <w:p>
                  <w:pPr>
                    <w:widowControl/>
                    <w:jc w:val="left"/>
                    <w:rPr>
                      <w:rFonts w:hint="eastAsia"/>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7" w:type="dxa"/>
                  <w:noWrap w:val="0"/>
                  <w:vAlign w:val="center"/>
                </w:tcPr>
                <w:p>
                  <w:pPr>
                    <w:widowControl/>
                    <w:jc w:val="center"/>
                    <w:rPr>
                      <w:rFonts w:hint="eastAsia"/>
                      <w:snapToGrid w:val="0"/>
                      <w:kern w:val="0"/>
                      <w:szCs w:val="21"/>
                    </w:rPr>
                  </w:pPr>
                  <w:r>
                    <w:rPr>
                      <w:rFonts w:hint="eastAsia"/>
                      <w:snapToGrid w:val="0"/>
                      <w:kern w:val="0"/>
                      <w:szCs w:val="21"/>
                    </w:rPr>
                    <w:t>《乐山市打好“散乱</w:t>
                  </w:r>
                </w:p>
                <w:p>
                  <w:pPr>
                    <w:widowControl/>
                    <w:jc w:val="center"/>
                    <w:rPr>
                      <w:rFonts w:hint="eastAsia"/>
                      <w:snapToGrid w:val="0"/>
                      <w:kern w:val="0"/>
                      <w:szCs w:val="21"/>
                    </w:rPr>
                  </w:pPr>
                  <w:r>
                    <w:rPr>
                      <w:rFonts w:hint="eastAsia"/>
                      <w:snapToGrid w:val="0"/>
                      <w:kern w:val="0"/>
                      <w:szCs w:val="21"/>
                    </w:rPr>
                    <w:t>污”企业整治攻坚战</w:t>
                  </w:r>
                </w:p>
                <w:p>
                  <w:pPr>
                    <w:widowControl/>
                    <w:jc w:val="center"/>
                    <w:rPr>
                      <w:rFonts w:hint="eastAsia"/>
                      <w:snapToGrid w:val="0"/>
                      <w:kern w:val="0"/>
                      <w:szCs w:val="21"/>
                    </w:rPr>
                  </w:pPr>
                  <w:r>
                    <w:rPr>
                      <w:rFonts w:hint="eastAsia"/>
                      <w:snapToGrid w:val="0"/>
                      <w:kern w:val="0"/>
                      <w:szCs w:val="21"/>
                    </w:rPr>
                    <w:t>实施方案》</w:t>
                  </w:r>
                </w:p>
              </w:tc>
              <w:tc>
                <w:tcPr>
                  <w:tcW w:w="3848" w:type="dxa"/>
                  <w:noWrap w:val="0"/>
                  <w:vAlign w:val="center"/>
                </w:tcPr>
                <w:p>
                  <w:pPr>
                    <w:widowControl/>
                    <w:jc w:val="center"/>
                    <w:rPr>
                      <w:rFonts w:hint="eastAsia"/>
                      <w:snapToGrid w:val="0"/>
                      <w:kern w:val="0"/>
                      <w:szCs w:val="21"/>
                    </w:rPr>
                  </w:pPr>
                  <w:r>
                    <w:rPr>
                      <w:rFonts w:hint="eastAsia"/>
                      <w:snapToGrid w:val="0"/>
                      <w:kern w:val="0"/>
                      <w:szCs w:val="21"/>
                    </w:rPr>
                    <w:t>对不符合产业政策或不符合产业布局规划，应办而未办理相关手续违法违规生产经营，不能达到环保、质量、安全、能耗等标准的工业企业及集群，按照“先停后治”的原则，实施分类处置。</w:t>
                  </w:r>
                </w:p>
              </w:tc>
              <w:tc>
                <w:tcPr>
                  <w:tcW w:w="1445" w:type="dxa"/>
                  <w:noWrap w:val="0"/>
                  <w:vAlign w:val="center"/>
                </w:tcPr>
                <w:p>
                  <w:pPr>
                    <w:widowControl/>
                    <w:jc w:val="center"/>
                    <w:rPr>
                      <w:rFonts w:hint="eastAsia"/>
                      <w:snapToGrid w:val="0"/>
                      <w:kern w:val="0"/>
                      <w:szCs w:val="21"/>
                    </w:rPr>
                  </w:pPr>
                  <w:r>
                    <w:rPr>
                      <w:rFonts w:hint="eastAsia"/>
                      <w:snapToGrid w:val="0"/>
                      <w:kern w:val="0"/>
                      <w:szCs w:val="21"/>
                    </w:rPr>
                    <w:t>本项目符合国家产业政策，已</w:t>
                  </w:r>
                </w:p>
                <w:p>
                  <w:pPr>
                    <w:widowControl/>
                    <w:jc w:val="center"/>
                    <w:rPr>
                      <w:rFonts w:hint="eastAsia"/>
                      <w:snapToGrid w:val="0"/>
                      <w:kern w:val="0"/>
                      <w:szCs w:val="21"/>
                    </w:rPr>
                  </w:pPr>
                  <w:r>
                    <w:rPr>
                      <w:rFonts w:hint="eastAsia"/>
                      <w:snapToGrid w:val="0"/>
                      <w:kern w:val="0"/>
                      <w:szCs w:val="21"/>
                    </w:rPr>
                    <w:t>取得主管部门准入批复，运营后能达到环保、质量、安全、能耗等标准。</w:t>
                  </w:r>
                </w:p>
              </w:tc>
              <w:tc>
                <w:tcPr>
                  <w:tcW w:w="710" w:type="dxa"/>
                  <w:noWrap w:val="0"/>
                  <w:vAlign w:val="center"/>
                </w:tcPr>
                <w:p>
                  <w:pPr>
                    <w:widowControl/>
                    <w:jc w:val="left"/>
                    <w:rPr>
                      <w:rFonts w:hint="eastAsia"/>
                      <w:snapToGrid w:val="0"/>
                      <w:kern w:val="0"/>
                      <w:szCs w:val="21"/>
                    </w:rPr>
                  </w:pPr>
                  <w:r>
                    <w:rPr>
                      <w:snapToGrid w:val="0"/>
                      <w:kern w:val="0"/>
                      <w:szCs w:val="21"/>
                    </w:rPr>
                    <w:t>符合</w:t>
                  </w:r>
                </w:p>
              </w:tc>
            </w:tr>
          </w:tbl>
          <w:p>
            <w:pPr>
              <w:spacing w:line="360" w:lineRule="auto"/>
              <w:ind w:firstLine="480" w:firstLineChars="200"/>
              <w:rPr>
                <w:rFonts w:hint="eastAsia" w:hAnsi="宋体"/>
                <w:sz w:val="24"/>
              </w:rPr>
            </w:pPr>
            <w:r>
              <w:rPr>
                <w:rFonts w:hint="eastAsia" w:hAnsi="宋体"/>
                <w:sz w:val="24"/>
              </w:rPr>
              <w:t>综上所述，本项目为商品混凝土生产项目，项目建成后可为当地基础设施等建设工程提供合格的商品混凝土，有效避免了施工现场搅拌混凝土和砂浆；项目水泥、粉煤灰</w:t>
            </w:r>
            <w:r>
              <w:rPr>
                <w:rFonts w:hint="eastAsia" w:hAnsi="宋体"/>
                <w:sz w:val="24"/>
                <w:lang w:eastAsia="zh-CN"/>
              </w:rPr>
              <w:t>、</w:t>
            </w:r>
            <w:r>
              <w:rPr>
                <w:rFonts w:hint="eastAsia" w:hAnsi="宋体"/>
                <w:sz w:val="24"/>
                <w:lang w:val="en-US" w:eastAsia="zh-CN"/>
              </w:rPr>
              <w:t>矿粉</w:t>
            </w:r>
            <w:r>
              <w:rPr>
                <w:rFonts w:hint="eastAsia" w:hAnsi="宋体"/>
                <w:sz w:val="24"/>
              </w:rPr>
              <w:t>采用气力输送、封闭式料仓贮存，混凝土搅拌作业位于密闭搅拌楼内，骨料输送采用封闭式皮带输送，有效的控制了扬尘的产生及排放。</w:t>
            </w:r>
          </w:p>
          <w:p>
            <w:pPr>
              <w:spacing w:line="360" w:lineRule="auto"/>
              <w:ind w:firstLine="480" w:firstLineChars="200"/>
              <w:rPr>
                <w:rFonts w:hint="eastAsia" w:hAnsi="宋体"/>
                <w:sz w:val="24"/>
              </w:rPr>
            </w:pPr>
            <w:r>
              <w:rPr>
                <w:rFonts w:hint="eastAsia" w:hAnsi="宋体"/>
                <w:sz w:val="24"/>
              </w:rPr>
              <w:t>因此，项目符合乐山市大气污染防治相关要求。</w:t>
            </w:r>
          </w:p>
          <w:p>
            <w:pPr>
              <w:spacing w:line="360" w:lineRule="auto"/>
              <w:ind w:firstLine="482" w:firstLineChars="200"/>
              <w:rPr>
                <w:rFonts w:hint="eastAsia"/>
                <w:b/>
                <w:sz w:val="24"/>
              </w:rPr>
            </w:pPr>
            <w:r>
              <w:rPr>
                <w:rFonts w:hint="eastAsia"/>
                <w:b/>
                <w:sz w:val="24"/>
                <w:lang w:val="en-US" w:eastAsia="zh-CN"/>
              </w:rPr>
              <w:t>五、</w:t>
            </w:r>
            <w:r>
              <w:rPr>
                <w:rFonts w:hint="eastAsia"/>
                <w:b/>
                <w:sz w:val="24"/>
              </w:rPr>
              <w:t>与水污染防治相关规划符合性分析</w:t>
            </w:r>
          </w:p>
          <w:p>
            <w:pPr>
              <w:tabs>
                <w:tab w:val="left" w:pos="600"/>
              </w:tabs>
              <w:spacing w:line="360" w:lineRule="auto"/>
              <w:ind w:firstLine="567"/>
              <w:rPr>
                <w:rFonts w:hint="eastAsia" w:hAnsi="宋体"/>
                <w:sz w:val="24"/>
              </w:rPr>
            </w:pPr>
            <w:r>
              <w:rPr>
                <w:rFonts w:hint="eastAsia" w:hAnsi="宋体"/>
                <w:sz w:val="24"/>
              </w:rPr>
              <w:t>本项目与《四川省人民政府关于印发水污染防治行动计划四川省工作方案的通知》（川府发〔2015〕59号）、《四川省打赢碧水保卫战实施方案》（川府发[2019]4号）、《乐山市打赢碧水保卫战实施方案》的符合性如下：</w:t>
            </w:r>
          </w:p>
          <w:p>
            <w:pPr>
              <w:autoSpaceDE w:val="0"/>
              <w:autoSpaceDN w:val="0"/>
              <w:adjustRightInd w:val="0"/>
              <w:snapToGrid w:val="0"/>
              <w:spacing w:line="240" w:lineRule="atLeast"/>
              <w:jc w:val="center"/>
              <w:rPr>
                <w:rFonts w:hint="eastAsia"/>
                <w:b/>
                <w:bCs/>
                <w:kern w:val="0"/>
                <w:szCs w:val="21"/>
              </w:rPr>
            </w:pPr>
            <w:r>
              <w:rPr>
                <w:rFonts w:hint="eastAsia"/>
                <w:b/>
                <w:bCs/>
                <w:kern w:val="0"/>
                <w:szCs w:val="21"/>
              </w:rPr>
              <w:t xml:space="preserve">      表1-</w:t>
            </w:r>
            <w:r>
              <w:rPr>
                <w:rFonts w:hint="eastAsia"/>
                <w:b/>
                <w:bCs/>
                <w:kern w:val="0"/>
                <w:szCs w:val="21"/>
                <w:lang w:val="en-US" w:eastAsia="zh-CN"/>
              </w:rPr>
              <w:t>3</w:t>
            </w:r>
            <w:r>
              <w:rPr>
                <w:rFonts w:hint="eastAsia"/>
                <w:b/>
                <w:bCs/>
                <w:kern w:val="0"/>
                <w:szCs w:val="21"/>
              </w:rPr>
              <w:t xml:space="preserve"> 与水污染防治相关规划符合性</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969"/>
              <w:gridCol w:w="1985"/>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noWrap w:val="0"/>
                  <w:vAlign w:val="center"/>
                </w:tcPr>
                <w:p>
                  <w:pPr>
                    <w:tabs>
                      <w:tab w:val="left" w:pos="600"/>
                    </w:tabs>
                    <w:jc w:val="center"/>
                    <w:rPr>
                      <w:rFonts w:hint="eastAsia" w:hAnsi="宋体"/>
                      <w:szCs w:val="21"/>
                    </w:rPr>
                  </w:pPr>
                  <w:r>
                    <w:rPr>
                      <w:rFonts w:hint="eastAsia" w:hAnsi="宋体"/>
                      <w:szCs w:val="21"/>
                    </w:rPr>
                    <w:t>文件</w:t>
                  </w:r>
                </w:p>
              </w:tc>
              <w:tc>
                <w:tcPr>
                  <w:tcW w:w="3969" w:type="dxa"/>
                  <w:noWrap w:val="0"/>
                  <w:vAlign w:val="center"/>
                </w:tcPr>
                <w:p>
                  <w:pPr>
                    <w:tabs>
                      <w:tab w:val="left" w:pos="600"/>
                    </w:tabs>
                    <w:jc w:val="center"/>
                    <w:rPr>
                      <w:rFonts w:hint="eastAsia" w:hAnsi="宋体"/>
                      <w:szCs w:val="21"/>
                    </w:rPr>
                  </w:pPr>
                  <w:r>
                    <w:rPr>
                      <w:rFonts w:hint="eastAsia" w:hAnsi="宋体"/>
                      <w:szCs w:val="21"/>
                    </w:rPr>
                    <w:t>相关要求</w:t>
                  </w:r>
                </w:p>
              </w:tc>
              <w:tc>
                <w:tcPr>
                  <w:tcW w:w="1985" w:type="dxa"/>
                  <w:noWrap w:val="0"/>
                  <w:vAlign w:val="center"/>
                </w:tcPr>
                <w:p>
                  <w:pPr>
                    <w:tabs>
                      <w:tab w:val="left" w:pos="600"/>
                    </w:tabs>
                    <w:jc w:val="center"/>
                    <w:rPr>
                      <w:rFonts w:hint="eastAsia" w:hAnsi="宋体"/>
                      <w:szCs w:val="21"/>
                    </w:rPr>
                  </w:pPr>
                  <w:r>
                    <w:rPr>
                      <w:rFonts w:hint="eastAsia" w:hAnsi="宋体"/>
                      <w:szCs w:val="21"/>
                    </w:rPr>
                    <w:t>本项目情况</w:t>
                  </w:r>
                </w:p>
              </w:tc>
              <w:tc>
                <w:tcPr>
                  <w:tcW w:w="1031" w:type="dxa"/>
                  <w:noWrap w:val="0"/>
                  <w:vAlign w:val="center"/>
                </w:tcPr>
                <w:p>
                  <w:pPr>
                    <w:tabs>
                      <w:tab w:val="left" w:pos="600"/>
                    </w:tabs>
                    <w:jc w:val="center"/>
                    <w:rPr>
                      <w:rFonts w:hint="eastAsia" w:hAnsi="宋体"/>
                      <w:szCs w:val="21"/>
                    </w:rPr>
                  </w:pPr>
                  <w:r>
                    <w:rPr>
                      <w:rFonts w:hint="eastAsia" w:hAnsi="宋体"/>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noWrap w:val="0"/>
                  <w:vAlign w:val="center"/>
                </w:tcPr>
                <w:p>
                  <w:pPr>
                    <w:tabs>
                      <w:tab w:val="left" w:pos="600"/>
                    </w:tabs>
                    <w:jc w:val="center"/>
                    <w:rPr>
                      <w:rFonts w:hint="eastAsia" w:hAnsi="宋体"/>
                      <w:szCs w:val="21"/>
                    </w:rPr>
                  </w:pPr>
                  <w:r>
                    <w:rPr>
                      <w:rFonts w:hint="eastAsia" w:hAnsi="宋体"/>
                      <w:szCs w:val="21"/>
                    </w:rPr>
                    <w:t>《四川省人民政府关于印发水污染防治行动计划四川省工作方案的通知》（川府发〔2015〕59号）</w:t>
                  </w:r>
                </w:p>
              </w:tc>
              <w:tc>
                <w:tcPr>
                  <w:tcW w:w="3969" w:type="dxa"/>
                  <w:noWrap w:val="0"/>
                  <w:vAlign w:val="center"/>
                </w:tcPr>
                <w:p>
                  <w:pPr>
                    <w:tabs>
                      <w:tab w:val="left" w:pos="600"/>
                    </w:tabs>
                    <w:jc w:val="center"/>
                    <w:rPr>
                      <w:rFonts w:hint="eastAsia" w:hAnsi="宋体"/>
                      <w:szCs w:val="21"/>
                    </w:rPr>
                  </w:pPr>
                  <w:r>
                    <w:rPr>
                      <w:rFonts w:hint="eastAsia" w:hAnsi="宋体"/>
                      <w:szCs w:val="21"/>
                    </w:rPr>
                    <w:t>（一）全面控制污染物排放（1）狠抓工业污染防治；…….②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1985" w:type="dxa"/>
                  <w:noWrap w:val="0"/>
                  <w:vAlign w:val="center"/>
                </w:tcPr>
                <w:p>
                  <w:pPr>
                    <w:tabs>
                      <w:tab w:val="left" w:pos="600"/>
                    </w:tabs>
                    <w:jc w:val="center"/>
                    <w:rPr>
                      <w:rFonts w:hint="eastAsia" w:hAnsi="宋体"/>
                      <w:szCs w:val="21"/>
                    </w:rPr>
                  </w:pPr>
                  <w:r>
                    <w:rPr>
                      <w:rFonts w:hint="eastAsia" w:hAnsi="宋体"/>
                      <w:szCs w:val="21"/>
                    </w:rPr>
                    <w:t>本项目为新建项目，不属于专项整治的十大重点行业，项目生产及生活废水均不外排。</w:t>
                  </w:r>
                </w:p>
              </w:tc>
              <w:tc>
                <w:tcPr>
                  <w:tcW w:w="1031" w:type="dxa"/>
                  <w:noWrap w:val="0"/>
                  <w:vAlign w:val="center"/>
                </w:tcPr>
                <w:p>
                  <w:pPr>
                    <w:tabs>
                      <w:tab w:val="left" w:pos="600"/>
                    </w:tabs>
                    <w:jc w:val="center"/>
                    <w:rPr>
                      <w:rFonts w:hint="eastAsia" w:hAnsi="宋体"/>
                      <w:szCs w:val="21"/>
                    </w:rPr>
                  </w:pPr>
                  <w:r>
                    <w:rPr>
                      <w:rFonts w:hint="eastAsia"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noWrap w:val="0"/>
                  <w:vAlign w:val="center"/>
                </w:tcPr>
                <w:p>
                  <w:pPr>
                    <w:tabs>
                      <w:tab w:val="left" w:pos="600"/>
                    </w:tabs>
                    <w:jc w:val="center"/>
                    <w:rPr>
                      <w:rFonts w:hint="eastAsia" w:hAnsi="宋体"/>
                      <w:szCs w:val="21"/>
                    </w:rPr>
                  </w:pPr>
                  <w:r>
                    <w:rPr>
                      <w:rFonts w:hint="eastAsia" w:hAnsi="宋体"/>
                      <w:szCs w:val="21"/>
                    </w:rPr>
                    <w:t>《四川省打赢碧水保卫战实施方案》（川府发[2019]4号）</w:t>
                  </w:r>
                </w:p>
              </w:tc>
              <w:tc>
                <w:tcPr>
                  <w:tcW w:w="3969" w:type="dxa"/>
                  <w:noWrap w:val="0"/>
                  <w:vAlign w:val="center"/>
                </w:tcPr>
                <w:p>
                  <w:pPr>
                    <w:tabs>
                      <w:tab w:val="left" w:pos="600"/>
                    </w:tabs>
                    <w:jc w:val="center"/>
                    <w:rPr>
                      <w:rFonts w:hint="eastAsia" w:hAnsi="宋体"/>
                      <w:szCs w:val="21"/>
                    </w:rPr>
                  </w:pPr>
                  <w:r>
                    <w:rPr>
                      <w:rFonts w:hint="eastAsia" w:hAnsi="宋体"/>
                      <w:szCs w:val="21"/>
                    </w:rPr>
                    <w:t>（三）实施工业污染治理工程……减少工业废水排放量。减少重点行业工业企业废水排放量。岷江、沱江流域的制浆造纸、白酒、啤酒、制革等重点行业企业要尽快进行清洁生产改造，确保单位产品基准排水量达到《四川省岷江、沱江流域水污染物排放标准》。指导钢铁、印染、造纸、石油石化、化工、制革等高耗水企业废水深度处理回收利用。对具备使用再生水条件但未充分利用的企业，暂停其新增取水许可审批。……</w:t>
                  </w:r>
                </w:p>
              </w:tc>
              <w:tc>
                <w:tcPr>
                  <w:tcW w:w="1985" w:type="dxa"/>
                  <w:vMerge w:val="restart"/>
                  <w:noWrap w:val="0"/>
                  <w:vAlign w:val="center"/>
                </w:tcPr>
                <w:p>
                  <w:pPr>
                    <w:tabs>
                      <w:tab w:val="left" w:pos="600"/>
                    </w:tabs>
                    <w:jc w:val="center"/>
                    <w:rPr>
                      <w:rFonts w:hint="eastAsia" w:hAnsi="宋体"/>
                      <w:szCs w:val="21"/>
                    </w:rPr>
                  </w:pPr>
                  <w:r>
                    <w:rPr>
                      <w:rFonts w:hint="eastAsia" w:hAnsi="宋体"/>
                      <w:szCs w:val="21"/>
                    </w:rPr>
                    <w:t>本项目为商品混凝土生产项目，不属于方案中重点行业，项目生产废水全部回用，不外排；生活污水经化粪池处理后进入水口工业集中区污水管网，不外排。</w:t>
                  </w:r>
                </w:p>
              </w:tc>
              <w:tc>
                <w:tcPr>
                  <w:tcW w:w="1031" w:type="dxa"/>
                  <w:vMerge w:val="restart"/>
                  <w:noWrap w:val="0"/>
                  <w:vAlign w:val="center"/>
                </w:tcPr>
                <w:p>
                  <w:pPr>
                    <w:jc w:val="center"/>
                    <w:rPr>
                      <w:rFonts w:hint="eastAsia" w:hAnsi="宋体"/>
                      <w:szCs w:val="21"/>
                    </w:rPr>
                  </w:pPr>
                  <w:r>
                    <w:rPr>
                      <w:rFonts w:hAnsi="宋体"/>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noWrap w:val="0"/>
                  <w:vAlign w:val="center"/>
                </w:tcPr>
                <w:p>
                  <w:pPr>
                    <w:tabs>
                      <w:tab w:val="left" w:pos="600"/>
                    </w:tabs>
                    <w:jc w:val="center"/>
                    <w:rPr>
                      <w:rFonts w:hint="eastAsia" w:hAnsi="宋体"/>
                      <w:szCs w:val="21"/>
                    </w:rPr>
                  </w:pPr>
                  <w:r>
                    <w:rPr>
                      <w:rFonts w:hint="eastAsia" w:hAnsi="宋体"/>
                      <w:szCs w:val="21"/>
                    </w:rPr>
                    <w:t>《乐山市打赢碧水保卫战实施方案》</w:t>
                  </w:r>
                </w:p>
              </w:tc>
              <w:tc>
                <w:tcPr>
                  <w:tcW w:w="3969" w:type="dxa"/>
                  <w:noWrap w:val="0"/>
                  <w:vAlign w:val="center"/>
                </w:tcPr>
                <w:p>
                  <w:pPr>
                    <w:tabs>
                      <w:tab w:val="left" w:pos="600"/>
                    </w:tabs>
                    <w:jc w:val="center"/>
                    <w:rPr>
                      <w:rFonts w:hint="eastAsia" w:hAnsi="宋体"/>
                      <w:szCs w:val="21"/>
                    </w:rPr>
                  </w:pPr>
                  <w:r>
                    <w:rPr>
                      <w:rFonts w:hint="eastAsia" w:hAnsi="宋体"/>
                      <w:szCs w:val="21"/>
                    </w:rPr>
                    <w:t>（二）实施工业水污染治理攻坚行动。……3.减少工业废水排放量。减少重点行业工业企业废水排放量。制浆造纸、发酵酒精和白酒、啤酒、制革及毛皮加工、无机磷化工、有机磷农药等重点行业企业要尽快实施清洁生产改造，确保单位产品基准排水量达到《四川省岷江、沱江流域水污染物排放标准》。加大钢铁、印染、造纸、化工、制革等高耗水企业废水深度处理回收利用，对具备使用再生水条件但未充分利用的企业，暂停其新增取水许可审批。……</w:t>
                  </w:r>
                </w:p>
              </w:tc>
              <w:tc>
                <w:tcPr>
                  <w:tcW w:w="1985" w:type="dxa"/>
                  <w:vMerge w:val="continue"/>
                  <w:noWrap w:val="0"/>
                  <w:vAlign w:val="center"/>
                </w:tcPr>
                <w:p>
                  <w:pPr>
                    <w:tabs>
                      <w:tab w:val="left" w:pos="600"/>
                    </w:tabs>
                    <w:jc w:val="center"/>
                    <w:rPr>
                      <w:rFonts w:hint="eastAsia" w:hAnsi="宋体"/>
                      <w:szCs w:val="21"/>
                    </w:rPr>
                  </w:pPr>
                </w:p>
              </w:tc>
              <w:tc>
                <w:tcPr>
                  <w:tcW w:w="1031" w:type="dxa"/>
                  <w:vMerge w:val="continue"/>
                  <w:noWrap w:val="0"/>
                  <w:vAlign w:val="center"/>
                </w:tcPr>
                <w:p>
                  <w:pPr>
                    <w:jc w:val="center"/>
                    <w:rPr>
                      <w:rFonts w:hAnsi="宋体"/>
                      <w:szCs w:val="21"/>
                    </w:rPr>
                  </w:pPr>
                </w:p>
              </w:tc>
            </w:tr>
          </w:tbl>
          <w:p>
            <w:pPr>
              <w:spacing w:line="360" w:lineRule="auto"/>
              <w:ind w:firstLine="480" w:firstLineChars="200"/>
              <w:rPr>
                <w:rFonts w:hint="eastAsia" w:hAnsi="宋体"/>
                <w:sz w:val="24"/>
              </w:rPr>
            </w:pPr>
            <w:r>
              <w:rPr>
                <w:rFonts w:hint="eastAsia" w:hAnsi="宋体"/>
                <w:sz w:val="24"/>
              </w:rPr>
              <w:t>综上所述，本项目为商品混凝土生产项目，不属于水污染专项整治的十大重点行业，项目生产废水全部回用，不外排；生活污水经化粪池处理后进入工业集中区市政管网，也不外排。</w:t>
            </w:r>
          </w:p>
          <w:p>
            <w:pPr>
              <w:spacing w:line="360" w:lineRule="auto"/>
              <w:ind w:firstLine="480" w:firstLineChars="200"/>
              <w:rPr>
                <w:rFonts w:hint="eastAsia" w:hAnsi="宋体"/>
                <w:sz w:val="24"/>
              </w:rPr>
            </w:pPr>
            <w:r>
              <w:rPr>
                <w:rFonts w:hint="eastAsia" w:hAnsi="宋体"/>
                <w:sz w:val="24"/>
              </w:rPr>
              <w:t>因此，项目有效控制了水污染物排放，符合水污染防治相关要求。</w:t>
            </w:r>
          </w:p>
          <w:p>
            <w:pPr>
              <w:tabs>
                <w:tab w:val="left" w:pos="600"/>
              </w:tabs>
              <w:spacing w:line="360" w:lineRule="auto"/>
              <w:ind w:firstLine="567"/>
              <w:rPr>
                <w:rFonts w:hAnsi="宋体"/>
                <w:sz w:val="24"/>
              </w:rPr>
            </w:pPr>
            <w:r>
              <w:rPr>
                <w:rFonts w:hint="eastAsia"/>
                <w:b/>
                <w:sz w:val="24"/>
                <w:lang w:val="en-US" w:eastAsia="zh-CN"/>
              </w:rPr>
              <w:t>六、</w:t>
            </w:r>
            <w:r>
              <w:rPr>
                <w:b/>
                <w:sz w:val="24"/>
              </w:rPr>
              <w:t>与《四川省绿色环保搅拌站建设、管理和评价标准》（DBJ51/T104-2018）和《四川省散装水泥管理条例》符合性分析</w:t>
            </w:r>
          </w:p>
          <w:p>
            <w:pPr>
              <w:autoSpaceDE w:val="0"/>
              <w:autoSpaceDN w:val="0"/>
              <w:adjustRightInd w:val="0"/>
              <w:snapToGrid w:val="0"/>
              <w:spacing w:line="240" w:lineRule="atLeast"/>
              <w:jc w:val="center"/>
              <w:rPr>
                <w:b/>
                <w:bCs/>
                <w:kern w:val="0"/>
                <w:szCs w:val="21"/>
              </w:rPr>
            </w:pPr>
            <w:r>
              <w:rPr>
                <w:b/>
                <w:bCs/>
                <w:kern w:val="0"/>
                <w:szCs w:val="21"/>
              </w:rPr>
              <w:t>表1-</w:t>
            </w:r>
            <w:r>
              <w:rPr>
                <w:rFonts w:hint="eastAsia"/>
                <w:b/>
                <w:bCs/>
                <w:kern w:val="0"/>
                <w:szCs w:val="21"/>
                <w:lang w:val="en-US" w:eastAsia="zh-CN"/>
              </w:rPr>
              <w:t>4</w:t>
            </w:r>
            <w:r>
              <w:rPr>
                <w:b/>
                <w:bCs/>
                <w:kern w:val="0"/>
                <w:szCs w:val="21"/>
              </w:rPr>
              <w:t xml:space="preserve"> </w:t>
            </w:r>
            <w:r>
              <w:rPr>
                <w:rFonts w:hint="eastAsia"/>
                <w:b/>
                <w:bCs/>
                <w:kern w:val="0"/>
                <w:szCs w:val="21"/>
              </w:rPr>
              <w:t>与</w:t>
            </w:r>
            <w:r>
              <w:rPr>
                <w:b/>
                <w:bCs/>
                <w:kern w:val="0"/>
                <w:szCs w:val="21"/>
              </w:rPr>
              <w:t>《四川省绿色环保搅拌站建设、管理和评价标准》符合性分析</w:t>
            </w:r>
          </w:p>
          <w:tbl>
            <w:tblPr>
              <w:tblStyle w:val="3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3562"/>
              <w:gridCol w:w="2382"/>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3" w:type="pct"/>
                  <w:noWrap w:val="0"/>
                  <w:vAlign w:val="center"/>
                </w:tcPr>
                <w:p>
                  <w:pPr>
                    <w:tabs>
                      <w:tab w:val="left" w:pos="600"/>
                    </w:tabs>
                    <w:jc w:val="center"/>
                    <w:rPr>
                      <w:rFonts w:hAnsi="宋体"/>
                      <w:b/>
                      <w:szCs w:val="21"/>
                    </w:rPr>
                  </w:pPr>
                  <w:r>
                    <w:rPr>
                      <w:rFonts w:hAnsi="宋体"/>
                      <w:b/>
                      <w:szCs w:val="21"/>
                    </w:rPr>
                    <w:t>条款</w:t>
                  </w:r>
                </w:p>
              </w:tc>
              <w:tc>
                <w:tcPr>
                  <w:tcW w:w="2357" w:type="pct"/>
                  <w:noWrap w:val="0"/>
                  <w:vAlign w:val="center"/>
                </w:tcPr>
                <w:p>
                  <w:pPr>
                    <w:tabs>
                      <w:tab w:val="left" w:pos="600"/>
                    </w:tabs>
                    <w:jc w:val="center"/>
                    <w:rPr>
                      <w:rFonts w:hAnsi="宋体"/>
                      <w:b/>
                      <w:szCs w:val="21"/>
                    </w:rPr>
                  </w:pPr>
                  <w:r>
                    <w:rPr>
                      <w:rFonts w:hAnsi="宋体"/>
                      <w:b/>
                      <w:szCs w:val="21"/>
                    </w:rPr>
                    <w:t>规范要求</w:t>
                  </w:r>
                </w:p>
              </w:tc>
              <w:tc>
                <w:tcPr>
                  <w:tcW w:w="1576" w:type="pct"/>
                  <w:noWrap w:val="0"/>
                  <w:vAlign w:val="center"/>
                </w:tcPr>
                <w:p>
                  <w:pPr>
                    <w:tabs>
                      <w:tab w:val="left" w:pos="600"/>
                    </w:tabs>
                    <w:jc w:val="center"/>
                    <w:rPr>
                      <w:rFonts w:hAnsi="宋体"/>
                      <w:b/>
                      <w:szCs w:val="21"/>
                    </w:rPr>
                  </w:pPr>
                  <w:r>
                    <w:rPr>
                      <w:rFonts w:hAnsi="宋体"/>
                      <w:b/>
                      <w:szCs w:val="21"/>
                    </w:rPr>
                    <w:t>符合性分析</w:t>
                  </w:r>
                </w:p>
              </w:tc>
              <w:tc>
                <w:tcPr>
                  <w:tcW w:w="422" w:type="pct"/>
                  <w:noWrap w:val="0"/>
                  <w:vAlign w:val="center"/>
                </w:tcPr>
                <w:p>
                  <w:pPr>
                    <w:tabs>
                      <w:tab w:val="left" w:pos="600"/>
                    </w:tabs>
                    <w:jc w:val="center"/>
                    <w:rPr>
                      <w:rFonts w:hAnsi="宋体"/>
                      <w:b/>
                      <w:szCs w:val="21"/>
                    </w:rPr>
                  </w:pPr>
                  <w:r>
                    <w:rPr>
                      <w:rFonts w:hAnsi="宋体"/>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1</w:t>
                  </w:r>
                </w:p>
              </w:tc>
              <w:tc>
                <w:tcPr>
                  <w:tcW w:w="2357" w:type="pct"/>
                  <w:noWrap w:val="0"/>
                  <w:vAlign w:val="center"/>
                </w:tcPr>
                <w:p>
                  <w:pPr>
                    <w:tabs>
                      <w:tab w:val="left" w:pos="600"/>
                    </w:tabs>
                    <w:jc w:val="center"/>
                    <w:rPr>
                      <w:rFonts w:hAnsi="宋体"/>
                      <w:szCs w:val="21"/>
                    </w:rPr>
                  </w:pPr>
                  <w:r>
                    <w:rPr>
                      <w:rFonts w:hAnsi="宋体"/>
                      <w:szCs w:val="21"/>
                    </w:rPr>
                    <w:t>预拌混凝土搅拌站年产能规模应不小于3×10</w:t>
                  </w:r>
                  <w:r>
                    <w:rPr>
                      <w:rFonts w:hAnsi="宋体"/>
                      <w:szCs w:val="21"/>
                      <w:vertAlign w:val="superscript"/>
                    </w:rPr>
                    <w:t>5</w:t>
                  </w:r>
                  <w:r>
                    <w:rPr>
                      <w:rFonts w:hAnsi="宋体"/>
                      <w:szCs w:val="21"/>
                    </w:rPr>
                    <w:t>m</w:t>
                  </w:r>
                  <w:r>
                    <w:rPr>
                      <w:rFonts w:hAnsi="宋体"/>
                      <w:szCs w:val="21"/>
                      <w:vertAlign w:val="superscript"/>
                    </w:rPr>
                    <w:t>3</w:t>
                  </w:r>
                  <w:r>
                    <w:rPr>
                      <w:rFonts w:hAnsi="宋体"/>
                      <w:szCs w:val="21"/>
                    </w:rPr>
                    <w:t>。预拌砂浆搅拌站的湿拌砂浆年产能规模应不小于2×10</w:t>
                  </w:r>
                  <w:r>
                    <w:rPr>
                      <w:rFonts w:hAnsi="宋体"/>
                      <w:szCs w:val="21"/>
                      <w:vertAlign w:val="superscript"/>
                    </w:rPr>
                    <w:t>5</w:t>
                  </w:r>
                  <w:r>
                    <w:rPr>
                      <w:rFonts w:hAnsi="宋体"/>
                      <w:szCs w:val="21"/>
                    </w:rPr>
                    <w:t>m</w:t>
                  </w:r>
                  <w:r>
                    <w:rPr>
                      <w:rFonts w:hAnsi="宋体"/>
                      <w:szCs w:val="21"/>
                      <w:vertAlign w:val="superscript"/>
                    </w:rPr>
                    <w:t>3</w:t>
                  </w:r>
                  <w:r>
                    <w:rPr>
                      <w:rFonts w:hAnsi="宋体"/>
                      <w:szCs w:val="21"/>
                    </w:rPr>
                    <w:t>，干混砂浆年产能规模应不小于3×10</w:t>
                  </w:r>
                  <w:r>
                    <w:rPr>
                      <w:rFonts w:hAnsi="宋体"/>
                      <w:szCs w:val="21"/>
                      <w:vertAlign w:val="superscript"/>
                    </w:rPr>
                    <w:t>5</w:t>
                  </w:r>
                  <w:r>
                    <w:rPr>
                      <w:rFonts w:hAnsi="宋体"/>
                      <w:szCs w:val="21"/>
                    </w:rPr>
                    <w:t>t。搅拌站的年产能规模与生产线应相协调一致。</w:t>
                  </w:r>
                </w:p>
              </w:tc>
              <w:tc>
                <w:tcPr>
                  <w:tcW w:w="1576" w:type="pct"/>
                  <w:noWrap w:val="0"/>
                  <w:vAlign w:val="center"/>
                </w:tcPr>
                <w:p>
                  <w:pPr>
                    <w:tabs>
                      <w:tab w:val="left" w:pos="600"/>
                    </w:tabs>
                    <w:jc w:val="center"/>
                    <w:rPr>
                      <w:rFonts w:hAnsi="宋体"/>
                      <w:szCs w:val="21"/>
                    </w:rPr>
                  </w:pPr>
                  <w:r>
                    <w:rPr>
                      <w:rFonts w:hint="eastAsia" w:hAnsi="宋体"/>
                      <w:szCs w:val="21"/>
                    </w:rPr>
                    <w:t>本项目建设2条合计60万立方米商品砼生产线（每条生产线各30万立方米）</w:t>
                  </w:r>
                  <w:r>
                    <w:rPr>
                      <w:rFonts w:hAnsi="宋体"/>
                      <w:szCs w:val="21"/>
                    </w:rPr>
                    <w:t>。</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2</w:t>
                  </w:r>
                </w:p>
              </w:tc>
              <w:tc>
                <w:tcPr>
                  <w:tcW w:w="2357" w:type="pct"/>
                  <w:noWrap w:val="0"/>
                  <w:vAlign w:val="center"/>
                </w:tcPr>
                <w:p>
                  <w:pPr>
                    <w:tabs>
                      <w:tab w:val="left" w:pos="600"/>
                    </w:tabs>
                    <w:jc w:val="center"/>
                    <w:rPr>
                      <w:rFonts w:hAnsi="宋体"/>
                      <w:szCs w:val="21"/>
                    </w:rPr>
                  </w:pPr>
                  <w:r>
                    <w:rPr>
                      <w:rFonts w:hAnsi="宋体"/>
                      <w:szCs w:val="21"/>
                    </w:rPr>
                    <w:t>遵循以人为本、因地制宜和保护生态环境的绿色发展指导思想，按照以无粉尘污染、低噪音生产、废弃物零排放的绿色环保标准及绿色建材要求，进行规划设计、建设、生产和管理的新建、改建和扩建的预拌混凝土、预拌砂浆搅拌站。</w:t>
                  </w:r>
                </w:p>
              </w:tc>
              <w:tc>
                <w:tcPr>
                  <w:tcW w:w="1576" w:type="pct"/>
                  <w:noWrap w:val="0"/>
                  <w:vAlign w:val="center"/>
                </w:tcPr>
                <w:p>
                  <w:pPr>
                    <w:tabs>
                      <w:tab w:val="left" w:pos="600"/>
                    </w:tabs>
                    <w:jc w:val="center"/>
                    <w:rPr>
                      <w:rFonts w:hAnsi="宋体"/>
                      <w:szCs w:val="21"/>
                    </w:rPr>
                  </w:pPr>
                  <w:r>
                    <w:rPr>
                      <w:rFonts w:hAnsi="宋体"/>
                      <w:szCs w:val="21"/>
                    </w:rPr>
                    <w:t>本项目产生的粉尘经过除尘器</w:t>
                  </w:r>
                  <w:r>
                    <w:rPr>
                      <w:rFonts w:hint="eastAsia" w:hAnsi="宋体"/>
                      <w:szCs w:val="21"/>
                    </w:rPr>
                    <w:t>等</w:t>
                  </w:r>
                  <w:r>
                    <w:rPr>
                      <w:rFonts w:hAnsi="宋体"/>
                      <w:szCs w:val="21"/>
                    </w:rPr>
                    <w:t>处理达标后排放；选用的是低噪声设备；生产废水循环使用，不外排。</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3</w:t>
                  </w:r>
                </w:p>
              </w:tc>
              <w:tc>
                <w:tcPr>
                  <w:tcW w:w="2357" w:type="pct"/>
                  <w:noWrap w:val="0"/>
                  <w:vAlign w:val="center"/>
                </w:tcPr>
                <w:p>
                  <w:pPr>
                    <w:tabs>
                      <w:tab w:val="left" w:pos="600"/>
                    </w:tabs>
                    <w:jc w:val="center"/>
                    <w:rPr>
                      <w:rFonts w:hAnsi="宋体"/>
                      <w:szCs w:val="21"/>
                    </w:rPr>
                  </w:pPr>
                  <w:r>
                    <w:rPr>
                      <w:rFonts w:hAnsi="宋体"/>
                      <w:szCs w:val="21"/>
                    </w:rPr>
                    <w:t>搅拌站的布局建设不应在风景名胜区、生态保护区、自然和文化遗产保护区、饮用水源保护区、城市建成区或非工业规划区内，不应破坏所在地区的自然风貌和生态环境。</w:t>
                  </w:r>
                </w:p>
              </w:tc>
              <w:tc>
                <w:tcPr>
                  <w:tcW w:w="1576" w:type="pct"/>
                  <w:noWrap w:val="0"/>
                  <w:vAlign w:val="center"/>
                </w:tcPr>
                <w:p>
                  <w:pPr>
                    <w:tabs>
                      <w:tab w:val="left" w:pos="600"/>
                    </w:tabs>
                    <w:jc w:val="center"/>
                    <w:rPr>
                      <w:rFonts w:hAnsi="宋体"/>
                      <w:szCs w:val="21"/>
                    </w:rPr>
                  </w:pPr>
                  <w:r>
                    <w:rPr>
                      <w:rFonts w:hAnsi="宋体"/>
                      <w:szCs w:val="21"/>
                    </w:rPr>
                    <w:t>本项目位于乐山市工业集中区水口-罗汉工业园区内，不涉及风景名胜区、生态保护区、自然和文化遗产保护</w:t>
                  </w:r>
                </w:p>
                <w:p>
                  <w:pPr>
                    <w:tabs>
                      <w:tab w:val="left" w:pos="600"/>
                    </w:tabs>
                    <w:jc w:val="center"/>
                    <w:rPr>
                      <w:rFonts w:hAnsi="宋体"/>
                      <w:szCs w:val="21"/>
                    </w:rPr>
                  </w:pPr>
                  <w:r>
                    <w:rPr>
                      <w:rFonts w:hAnsi="宋体"/>
                      <w:szCs w:val="21"/>
                    </w:rPr>
                    <w:t>区、饮用水源保护区等</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4</w:t>
                  </w:r>
                </w:p>
              </w:tc>
              <w:tc>
                <w:tcPr>
                  <w:tcW w:w="2357" w:type="pct"/>
                  <w:noWrap w:val="0"/>
                  <w:vAlign w:val="center"/>
                </w:tcPr>
                <w:p>
                  <w:pPr>
                    <w:tabs>
                      <w:tab w:val="left" w:pos="600"/>
                    </w:tabs>
                    <w:jc w:val="center"/>
                    <w:rPr>
                      <w:rFonts w:hAnsi="宋体"/>
                      <w:color w:val="auto"/>
                      <w:szCs w:val="21"/>
                    </w:rPr>
                  </w:pPr>
                  <w:r>
                    <w:rPr>
                      <w:rFonts w:hAnsi="宋体"/>
                      <w:color w:val="auto"/>
                      <w:szCs w:val="21"/>
                    </w:rPr>
                    <w:t>站区内的生产、办公、生活及其他必要的设施应布局合理，功能分区明确，易于运营管理。</w:t>
                  </w:r>
                </w:p>
              </w:tc>
              <w:tc>
                <w:tcPr>
                  <w:tcW w:w="1576" w:type="pct"/>
                  <w:noWrap w:val="0"/>
                  <w:vAlign w:val="center"/>
                </w:tcPr>
                <w:p>
                  <w:pPr>
                    <w:tabs>
                      <w:tab w:val="left" w:pos="600"/>
                    </w:tabs>
                    <w:jc w:val="center"/>
                    <w:rPr>
                      <w:rFonts w:hint="eastAsia" w:hAnsi="宋体" w:eastAsia="宋体"/>
                      <w:color w:val="auto"/>
                      <w:szCs w:val="21"/>
                      <w:lang w:eastAsia="zh-CN"/>
                    </w:rPr>
                  </w:pPr>
                  <w:r>
                    <w:rPr>
                      <w:rFonts w:hAnsi="宋体"/>
                      <w:color w:val="auto"/>
                      <w:szCs w:val="21"/>
                    </w:rPr>
                    <w:t>办公和生产区分开设置</w:t>
                  </w:r>
                  <w:r>
                    <w:rPr>
                      <w:rFonts w:hint="eastAsia" w:hAnsi="宋体"/>
                      <w:color w:val="auto"/>
                      <w:szCs w:val="21"/>
                      <w:lang w:eastAsia="zh-CN"/>
                    </w:rPr>
                    <w:t>。</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5</w:t>
                  </w:r>
                </w:p>
              </w:tc>
              <w:tc>
                <w:tcPr>
                  <w:tcW w:w="2357" w:type="pct"/>
                  <w:noWrap w:val="0"/>
                  <w:vAlign w:val="center"/>
                </w:tcPr>
                <w:p>
                  <w:pPr>
                    <w:tabs>
                      <w:tab w:val="left" w:pos="600"/>
                    </w:tabs>
                    <w:jc w:val="center"/>
                    <w:rPr>
                      <w:rFonts w:hAnsi="宋体"/>
                      <w:color w:val="auto"/>
                      <w:szCs w:val="21"/>
                    </w:rPr>
                  </w:pPr>
                  <w:r>
                    <w:rPr>
                      <w:rFonts w:hAnsi="宋体"/>
                      <w:color w:val="auto"/>
                      <w:szCs w:val="21"/>
                    </w:rPr>
                    <w:t>生产区应布置在当地常年主导风向的下风侧，办公及生活区应布置在当地常年主导风向的上风侧。站区周边应采用造型与整体环境相协调的围墙进行封闭维护。</w:t>
                  </w:r>
                </w:p>
              </w:tc>
              <w:tc>
                <w:tcPr>
                  <w:tcW w:w="1576" w:type="pct"/>
                  <w:noWrap w:val="0"/>
                  <w:vAlign w:val="center"/>
                </w:tcPr>
                <w:p>
                  <w:pPr>
                    <w:tabs>
                      <w:tab w:val="left" w:pos="600"/>
                    </w:tabs>
                    <w:jc w:val="center"/>
                    <w:rPr>
                      <w:rFonts w:hAnsi="宋体"/>
                      <w:color w:val="auto"/>
                      <w:szCs w:val="21"/>
                    </w:rPr>
                  </w:pPr>
                  <w:r>
                    <w:rPr>
                      <w:rFonts w:hAnsi="宋体"/>
                      <w:color w:val="auto"/>
                      <w:szCs w:val="21"/>
                    </w:rPr>
                    <w:t>办公区</w:t>
                  </w:r>
                  <w:r>
                    <w:rPr>
                      <w:rFonts w:hint="eastAsia" w:hAnsi="宋体"/>
                      <w:color w:val="auto"/>
                      <w:szCs w:val="21"/>
                      <w:lang w:val="en-US" w:eastAsia="zh-CN"/>
                    </w:rPr>
                    <w:t>不在</w:t>
                  </w:r>
                  <w:r>
                    <w:rPr>
                      <w:rFonts w:hAnsi="宋体"/>
                      <w:color w:val="auto"/>
                      <w:szCs w:val="21"/>
                    </w:rPr>
                    <w:t>生产区</w:t>
                  </w:r>
                  <w:r>
                    <w:rPr>
                      <w:rFonts w:hint="eastAsia" w:hAnsi="宋体"/>
                      <w:color w:val="auto"/>
                      <w:szCs w:val="21"/>
                      <w:lang w:val="en-US" w:eastAsia="zh-CN"/>
                    </w:rPr>
                    <w:t>下</w:t>
                  </w:r>
                  <w:r>
                    <w:rPr>
                      <w:rFonts w:hAnsi="宋体"/>
                      <w:color w:val="auto"/>
                      <w:szCs w:val="21"/>
                    </w:rPr>
                    <w:t>风向，生产区全封闭</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6</w:t>
                  </w:r>
                </w:p>
              </w:tc>
              <w:tc>
                <w:tcPr>
                  <w:tcW w:w="2357" w:type="pct"/>
                  <w:noWrap w:val="0"/>
                  <w:vAlign w:val="center"/>
                </w:tcPr>
                <w:p>
                  <w:pPr>
                    <w:tabs>
                      <w:tab w:val="left" w:pos="600"/>
                    </w:tabs>
                    <w:jc w:val="center"/>
                    <w:rPr>
                      <w:rFonts w:hAnsi="宋体"/>
                      <w:szCs w:val="21"/>
                    </w:rPr>
                  </w:pPr>
                  <w:r>
                    <w:rPr>
                      <w:rFonts w:hAnsi="宋体"/>
                      <w:szCs w:val="21"/>
                    </w:rPr>
                    <w:t>站区道路及生产作业区地面应采用不起尘的混凝土或沥青混凝土等硬质地面。生产作业区须采取有效措施保持场地整洁无扬尘，并应对未硬化处理的空地进行绿化。</w:t>
                  </w:r>
                </w:p>
              </w:tc>
              <w:tc>
                <w:tcPr>
                  <w:tcW w:w="1576" w:type="pct"/>
                  <w:noWrap w:val="0"/>
                  <w:vAlign w:val="center"/>
                </w:tcPr>
                <w:p>
                  <w:pPr>
                    <w:tabs>
                      <w:tab w:val="left" w:pos="600"/>
                    </w:tabs>
                    <w:jc w:val="center"/>
                    <w:rPr>
                      <w:rFonts w:hAnsi="宋体"/>
                      <w:szCs w:val="21"/>
                    </w:rPr>
                  </w:pPr>
                  <w:r>
                    <w:rPr>
                      <w:rFonts w:hAnsi="宋体"/>
                      <w:szCs w:val="21"/>
                    </w:rPr>
                    <w:t>生产作业区地面采用混凝土地面，且生产区密闭，厂界绿化</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3" w:type="pct"/>
                  <w:noWrap w:val="0"/>
                  <w:vAlign w:val="center"/>
                </w:tcPr>
                <w:p>
                  <w:pPr>
                    <w:tabs>
                      <w:tab w:val="left" w:pos="600"/>
                    </w:tabs>
                    <w:jc w:val="center"/>
                    <w:rPr>
                      <w:rFonts w:hAnsi="宋体"/>
                      <w:szCs w:val="21"/>
                    </w:rPr>
                  </w:pPr>
                  <w:r>
                    <w:rPr>
                      <w:rFonts w:hAnsi="宋体"/>
                      <w:szCs w:val="21"/>
                    </w:rPr>
                    <w:t>7</w:t>
                  </w:r>
                </w:p>
              </w:tc>
              <w:tc>
                <w:tcPr>
                  <w:tcW w:w="2357" w:type="pct"/>
                  <w:noWrap w:val="0"/>
                  <w:vAlign w:val="center"/>
                </w:tcPr>
                <w:p>
                  <w:pPr>
                    <w:tabs>
                      <w:tab w:val="left" w:pos="600"/>
                    </w:tabs>
                    <w:jc w:val="center"/>
                    <w:rPr>
                      <w:rFonts w:hAnsi="宋体"/>
                      <w:szCs w:val="21"/>
                    </w:rPr>
                  </w:pPr>
                  <w:r>
                    <w:rPr>
                      <w:rFonts w:hAnsi="宋体"/>
                      <w:szCs w:val="21"/>
                    </w:rPr>
                    <w:t>骨料堆场为封闭式堆场，进出口设置冲洗轮胎和喷淋降尘设施</w:t>
                  </w:r>
                  <w:r>
                    <w:rPr>
                      <w:rFonts w:hint="eastAsia" w:hAnsi="宋体"/>
                      <w:szCs w:val="21"/>
                    </w:rPr>
                    <w:t>。</w:t>
                  </w:r>
                </w:p>
              </w:tc>
              <w:tc>
                <w:tcPr>
                  <w:tcW w:w="1576" w:type="pct"/>
                  <w:noWrap w:val="0"/>
                  <w:vAlign w:val="center"/>
                </w:tcPr>
                <w:p>
                  <w:pPr>
                    <w:tabs>
                      <w:tab w:val="left" w:pos="600"/>
                    </w:tabs>
                    <w:jc w:val="center"/>
                    <w:rPr>
                      <w:rFonts w:hAnsi="宋体"/>
                      <w:szCs w:val="21"/>
                    </w:rPr>
                  </w:pPr>
                  <w:r>
                    <w:rPr>
                      <w:rFonts w:hAnsi="宋体"/>
                      <w:szCs w:val="21"/>
                    </w:rPr>
                    <w:t>堆场密闭，在</w:t>
                  </w:r>
                  <w:r>
                    <w:rPr>
                      <w:rFonts w:hint="eastAsia" w:hAnsi="宋体"/>
                      <w:szCs w:val="21"/>
                    </w:rPr>
                    <w:t>厂区</w:t>
                  </w:r>
                  <w:r>
                    <w:rPr>
                      <w:rFonts w:hAnsi="宋体"/>
                      <w:szCs w:val="21"/>
                    </w:rPr>
                    <w:t>出入口设置洗车槽，在产尘点设置喷淋</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8</w:t>
                  </w:r>
                </w:p>
              </w:tc>
              <w:tc>
                <w:tcPr>
                  <w:tcW w:w="2357" w:type="pct"/>
                  <w:noWrap w:val="0"/>
                  <w:vAlign w:val="center"/>
                </w:tcPr>
                <w:p>
                  <w:pPr>
                    <w:tabs>
                      <w:tab w:val="left" w:pos="600"/>
                    </w:tabs>
                    <w:jc w:val="center"/>
                    <w:rPr>
                      <w:rFonts w:hAnsi="宋体"/>
                      <w:szCs w:val="21"/>
                    </w:rPr>
                  </w:pPr>
                  <w:r>
                    <w:rPr>
                      <w:rFonts w:hAnsi="宋体"/>
                      <w:szCs w:val="21"/>
                    </w:rPr>
                    <w:t>站区内应根据搅拌站所在地区年平均降雨量设置适宜容积的雨水收集池，雨水经沉淀、净化后可根据实际需要再利用。</w:t>
                  </w:r>
                </w:p>
              </w:tc>
              <w:tc>
                <w:tcPr>
                  <w:tcW w:w="1576" w:type="pct"/>
                  <w:noWrap w:val="0"/>
                  <w:vAlign w:val="center"/>
                </w:tcPr>
                <w:p>
                  <w:pPr>
                    <w:tabs>
                      <w:tab w:val="left" w:pos="600"/>
                    </w:tabs>
                    <w:jc w:val="center"/>
                    <w:rPr>
                      <w:rFonts w:hAnsi="宋体"/>
                      <w:szCs w:val="21"/>
                    </w:rPr>
                  </w:pPr>
                  <w:r>
                    <w:rPr>
                      <w:rFonts w:hAnsi="宋体"/>
                      <w:szCs w:val="21"/>
                    </w:rPr>
                    <w:t>在厂区设置雨水收集池经雨水收集沉淀后回用与生产</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9</w:t>
                  </w:r>
                </w:p>
              </w:tc>
              <w:tc>
                <w:tcPr>
                  <w:tcW w:w="2357" w:type="pct"/>
                  <w:noWrap w:val="0"/>
                  <w:vAlign w:val="center"/>
                </w:tcPr>
                <w:p>
                  <w:pPr>
                    <w:tabs>
                      <w:tab w:val="left" w:pos="600"/>
                    </w:tabs>
                    <w:jc w:val="center"/>
                    <w:rPr>
                      <w:rFonts w:hAnsi="宋体"/>
                      <w:szCs w:val="21"/>
                    </w:rPr>
                  </w:pPr>
                  <w:r>
                    <w:rPr>
                      <w:rFonts w:hAnsi="宋体"/>
                      <w:szCs w:val="21"/>
                    </w:rPr>
                    <w:t>预拌混凝土、湿拌砂浆运输车应配备防撒漏装置和清洗装置, 干混砂浆移动筒仓应配备除尘装置。</w:t>
                  </w:r>
                </w:p>
              </w:tc>
              <w:tc>
                <w:tcPr>
                  <w:tcW w:w="1576" w:type="pct"/>
                  <w:noWrap w:val="0"/>
                  <w:vAlign w:val="center"/>
                </w:tcPr>
                <w:p>
                  <w:pPr>
                    <w:tabs>
                      <w:tab w:val="left" w:pos="600"/>
                    </w:tabs>
                    <w:jc w:val="center"/>
                    <w:rPr>
                      <w:rFonts w:hAnsi="宋体"/>
                      <w:szCs w:val="21"/>
                    </w:rPr>
                  </w:pPr>
                  <w:r>
                    <w:rPr>
                      <w:rFonts w:hAnsi="宋体"/>
                      <w:szCs w:val="21"/>
                    </w:rPr>
                    <w:t>专用运输车辆搭盖篷布，筒仓</w:t>
                  </w:r>
                  <w:r>
                    <w:rPr>
                      <w:rFonts w:hint="eastAsia" w:hAnsi="宋体"/>
                      <w:szCs w:val="21"/>
                    </w:rPr>
                    <w:t>顶部自带</w:t>
                  </w:r>
                  <w:r>
                    <w:rPr>
                      <w:rFonts w:hAnsi="宋体"/>
                      <w:szCs w:val="21"/>
                    </w:rPr>
                    <w:t>除尘装置</w:t>
                  </w:r>
                </w:p>
              </w:tc>
              <w:tc>
                <w:tcPr>
                  <w:tcW w:w="422"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10</w:t>
                  </w:r>
                </w:p>
              </w:tc>
              <w:tc>
                <w:tcPr>
                  <w:tcW w:w="2357" w:type="pct"/>
                  <w:noWrap w:val="0"/>
                  <w:vAlign w:val="center"/>
                </w:tcPr>
                <w:p>
                  <w:pPr>
                    <w:tabs>
                      <w:tab w:val="left" w:pos="600"/>
                    </w:tabs>
                    <w:jc w:val="center"/>
                    <w:rPr>
                      <w:rFonts w:hAnsi="宋体"/>
                      <w:szCs w:val="21"/>
                    </w:rPr>
                  </w:pPr>
                  <w:r>
                    <w:rPr>
                      <w:rFonts w:hAnsi="宋体"/>
                      <w:szCs w:val="21"/>
                    </w:rPr>
                    <w:t>当采用压滤机对生产废水、废浆进行处理时，压滤后的废水、废浆应通过专用管道进入废水回收利用装置，压滤后的固体物应做无害化处理。</w:t>
                  </w:r>
                </w:p>
              </w:tc>
              <w:tc>
                <w:tcPr>
                  <w:tcW w:w="1576" w:type="pct"/>
                  <w:noWrap w:val="0"/>
                  <w:vAlign w:val="center"/>
                </w:tcPr>
                <w:p>
                  <w:pPr>
                    <w:tabs>
                      <w:tab w:val="left" w:pos="600"/>
                    </w:tabs>
                    <w:jc w:val="center"/>
                    <w:rPr>
                      <w:rFonts w:hAnsi="宋体"/>
                      <w:szCs w:val="21"/>
                    </w:rPr>
                  </w:pPr>
                  <w:r>
                    <w:rPr>
                      <w:rFonts w:hAnsi="宋体"/>
                      <w:szCs w:val="21"/>
                    </w:rPr>
                    <w:t>生产废水和压滤后的泥浆经</w:t>
                  </w:r>
                  <w:r>
                    <w:rPr>
                      <w:rFonts w:hint="eastAsia" w:hAnsi="宋体"/>
                      <w:szCs w:val="21"/>
                    </w:rPr>
                    <w:t>浓密机处理</w:t>
                  </w:r>
                  <w:r>
                    <w:rPr>
                      <w:rFonts w:hAnsi="宋体"/>
                      <w:szCs w:val="21"/>
                    </w:rPr>
                    <w:t>后回用于生产中</w:t>
                  </w:r>
                </w:p>
              </w:tc>
              <w:tc>
                <w:tcPr>
                  <w:tcW w:w="422" w:type="pct"/>
                  <w:noWrap w:val="0"/>
                  <w:vAlign w:val="center"/>
                </w:tcPr>
                <w:p>
                  <w:pPr>
                    <w:tabs>
                      <w:tab w:val="left" w:pos="600"/>
                    </w:tabs>
                    <w:jc w:val="center"/>
                    <w:rPr>
                      <w:rFonts w:hAnsi="宋体"/>
                      <w:szCs w:val="21"/>
                    </w:rPr>
                  </w:pPr>
                  <w:r>
                    <w:rPr>
                      <w:rFonts w:hAnsi="宋体"/>
                      <w:szCs w:val="21"/>
                    </w:rPr>
                    <w:t>符合要求</w:t>
                  </w:r>
                </w:p>
              </w:tc>
            </w:tr>
          </w:tbl>
          <w:p>
            <w:pPr>
              <w:adjustRightInd w:val="0"/>
              <w:snapToGrid w:val="0"/>
              <w:jc w:val="center"/>
              <w:rPr>
                <w:rFonts w:hint="eastAsia"/>
                <w:b/>
                <w:bCs/>
                <w:szCs w:val="21"/>
              </w:rPr>
            </w:pPr>
          </w:p>
          <w:p>
            <w:pPr>
              <w:adjustRightInd w:val="0"/>
              <w:snapToGrid w:val="0"/>
              <w:jc w:val="center"/>
              <w:rPr>
                <w:b/>
                <w:bCs/>
                <w:szCs w:val="21"/>
              </w:rPr>
            </w:pPr>
            <w:r>
              <w:rPr>
                <w:b/>
                <w:bCs/>
                <w:szCs w:val="21"/>
              </w:rPr>
              <w:t>表1-</w:t>
            </w:r>
            <w:r>
              <w:rPr>
                <w:rFonts w:hint="eastAsia"/>
                <w:b/>
                <w:bCs/>
                <w:szCs w:val="21"/>
                <w:lang w:val="en-US" w:eastAsia="zh-CN"/>
              </w:rPr>
              <w:t>5</w:t>
            </w:r>
            <w:r>
              <w:rPr>
                <w:rFonts w:hint="eastAsia"/>
                <w:b/>
                <w:bCs/>
                <w:szCs w:val="21"/>
              </w:rPr>
              <w:t xml:space="preserve">  与</w:t>
            </w:r>
            <w:r>
              <w:rPr>
                <w:b/>
                <w:bCs/>
                <w:szCs w:val="21"/>
              </w:rPr>
              <w:t>《四川省散装水泥管理条例》符合性分析</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3562"/>
              <w:gridCol w:w="2383"/>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b/>
                      <w:szCs w:val="21"/>
                    </w:rPr>
                  </w:pPr>
                  <w:r>
                    <w:rPr>
                      <w:rFonts w:hAnsi="宋体"/>
                      <w:b/>
                      <w:szCs w:val="21"/>
                    </w:rPr>
                    <w:t>条款</w:t>
                  </w:r>
                </w:p>
              </w:tc>
              <w:tc>
                <w:tcPr>
                  <w:tcW w:w="2356" w:type="pct"/>
                  <w:noWrap w:val="0"/>
                  <w:vAlign w:val="center"/>
                </w:tcPr>
                <w:p>
                  <w:pPr>
                    <w:tabs>
                      <w:tab w:val="left" w:pos="600"/>
                    </w:tabs>
                    <w:jc w:val="center"/>
                    <w:rPr>
                      <w:rFonts w:hAnsi="宋体"/>
                      <w:b/>
                      <w:szCs w:val="21"/>
                    </w:rPr>
                  </w:pPr>
                  <w:r>
                    <w:rPr>
                      <w:rFonts w:hAnsi="宋体"/>
                      <w:b/>
                      <w:szCs w:val="21"/>
                    </w:rPr>
                    <w:t>规范要求</w:t>
                  </w:r>
                </w:p>
              </w:tc>
              <w:tc>
                <w:tcPr>
                  <w:tcW w:w="1576" w:type="pct"/>
                  <w:noWrap w:val="0"/>
                  <w:vAlign w:val="center"/>
                </w:tcPr>
                <w:p>
                  <w:pPr>
                    <w:tabs>
                      <w:tab w:val="left" w:pos="600"/>
                    </w:tabs>
                    <w:jc w:val="center"/>
                    <w:rPr>
                      <w:rFonts w:hAnsi="宋体"/>
                      <w:b/>
                      <w:szCs w:val="21"/>
                    </w:rPr>
                  </w:pPr>
                  <w:r>
                    <w:rPr>
                      <w:rFonts w:hAnsi="宋体"/>
                      <w:b/>
                      <w:szCs w:val="21"/>
                    </w:rPr>
                    <w:t>符合性分析</w:t>
                  </w:r>
                </w:p>
              </w:tc>
              <w:tc>
                <w:tcPr>
                  <w:tcW w:w="424" w:type="pct"/>
                  <w:noWrap w:val="0"/>
                  <w:vAlign w:val="center"/>
                </w:tcPr>
                <w:p>
                  <w:pPr>
                    <w:tabs>
                      <w:tab w:val="left" w:pos="600"/>
                    </w:tabs>
                    <w:jc w:val="center"/>
                    <w:rPr>
                      <w:rFonts w:hAnsi="宋体"/>
                      <w:b/>
                      <w:szCs w:val="21"/>
                    </w:rPr>
                  </w:pPr>
                  <w:r>
                    <w:rPr>
                      <w:rFonts w:hAnsi="宋体"/>
                      <w:b/>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1</w:t>
                  </w:r>
                </w:p>
              </w:tc>
              <w:tc>
                <w:tcPr>
                  <w:tcW w:w="2356" w:type="pct"/>
                  <w:noWrap w:val="0"/>
                  <w:vAlign w:val="center"/>
                </w:tcPr>
                <w:p>
                  <w:pPr>
                    <w:tabs>
                      <w:tab w:val="left" w:pos="600"/>
                    </w:tabs>
                    <w:jc w:val="center"/>
                    <w:rPr>
                      <w:rFonts w:hAnsi="宋体"/>
                      <w:szCs w:val="21"/>
                    </w:rPr>
                  </w:pPr>
                  <w:r>
                    <w:rPr>
                      <w:rFonts w:hAnsi="宋体"/>
                      <w:szCs w:val="21"/>
                    </w:rPr>
                    <w:t>新建、改建预拌混凝土和预拌砂浆搅拌站，应当按照无粉尘污染、低噪音生产、废弃物零排放的绿色环保标准进行设计和建设。</w:t>
                  </w:r>
                </w:p>
              </w:tc>
              <w:tc>
                <w:tcPr>
                  <w:tcW w:w="1576" w:type="pct"/>
                  <w:noWrap w:val="0"/>
                  <w:vAlign w:val="center"/>
                </w:tcPr>
                <w:p>
                  <w:pPr>
                    <w:tabs>
                      <w:tab w:val="left" w:pos="600"/>
                    </w:tabs>
                    <w:jc w:val="center"/>
                    <w:rPr>
                      <w:rFonts w:hAnsi="宋体"/>
                      <w:szCs w:val="21"/>
                    </w:rPr>
                  </w:pPr>
                  <w:r>
                    <w:rPr>
                      <w:rFonts w:hAnsi="宋体"/>
                      <w:szCs w:val="21"/>
                    </w:rPr>
                    <w:t>本项目产生的粉尘经过除尘器</w:t>
                  </w:r>
                  <w:r>
                    <w:rPr>
                      <w:rFonts w:hint="eastAsia" w:hAnsi="宋体"/>
                      <w:szCs w:val="21"/>
                    </w:rPr>
                    <w:t>等措施</w:t>
                  </w:r>
                  <w:r>
                    <w:rPr>
                      <w:rFonts w:hAnsi="宋体"/>
                      <w:szCs w:val="21"/>
                    </w:rPr>
                    <w:t>处理达标后排放；选用的是低噪声设备；生产废水循环使用，不外排。</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2</w:t>
                  </w:r>
                </w:p>
              </w:tc>
              <w:tc>
                <w:tcPr>
                  <w:tcW w:w="2356" w:type="pct"/>
                  <w:noWrap w:val="0"/>
                  <w:vAlign w:val="center"/>
                </w:tcPr>
                <w:p>
                  <w:pPr>
                    <w:tabs>
                      <w:tab w:val="left" w:pos="600"/>
                    </w:tabs>
                    <w:jc w:val="center"/>
                    <w:rPr>
                      <w:rFonts w:hAnsi="宋体"/>
                      <w:szCs w:val="21"/>
                    </w:rPr>
                  </w:pPr>
                  <w:r>
                    <w:rPr>
                      <w:rFonts w:hAnsi="宋体"/>
                      <w:szCs w:val="21"/>
                    </w:rPr>
                    <w:t>鼓励企业建立规模化、专业化的散装水泥、预拌混凝土和预拌砂浆现代运输服务体系。</w:t>
                  </w:r>
                </w:p>
              </w:tc>
              <w:tc>
                <w:tcPr>
                  <w:tcW w:w="1576" w:type="pct"/>
                  <w:noWrap w:val="0"/>
                  <w:vAlign w:val="center"/>
                </w:tcPr>
                <w:p>
                  <w:pPr>
                    <w:tabs>
                      <w:tab w:val="left" w:pos="600"/>
                    </w:tabs>
                    <w:jc w:val="center"/>
                    <w:rPr>
                      <w:rFonts w:hAnsi="宋体"/>
                      <w:szCs w:val="21"/>
                    </w:rPr>
                  </w:pPr>
                  <w:r>
                    <w:rPr>
                      <w:rFonts w:hAnsi="宋体"/>
                      <w:szCs w:val="21"/>
                    </w:rPr>
                    <w:t>年产量</w:t>
                  </w:r>
                  <w:r>
                    <w:rPr>
                      <w:rFonts w:hint="eastAsia" w:hAnsi="宋体"/>
                      <w:szCs w:val="21"/>
                      <w:lang w:val="en-US" w:eastAsia="zh-CN"/>
                    </w:rPr>
                    <w:t>60</w:t>
                  </w:r>
                  <w:r>
                    <w:rPr>
                      <w:rFonts w:hAnsi="宋体"/>
                      <w:szCs w:val="21"/>
                    </w:rPr>
                    <w:t>万</w:t>
                  </w:r>
                  <w:r>
                    <w:rPr>
                      <w:rFonts w:hint="eastAsia" w:hAnsi="宋体"/>
                      <w:szCs w:val="21"/>
                      <w:lang w:val="en-US" w:eastAsia="zh-CN"/>
                    </w:rPr>
                    <w:t>方</w:t>
                  </w:r>
                  <w:r>
                    <w:rPr>
                      <w:rFonts w:hint="eastAsia" w:hAnsi="宋体"/>
                      <w:szCs w:val="21"/>
                    </w:rPr>
                    <w:t>商品混凝土</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3</w:t>
                  </w:r>
                </w:p>
              </w:tc>
              <w:tc>
                <w:tcPr>
                  <w:tcW w:w="2356" w:type="pct"/>
                  <w:noWrap w:val="0"/>
                  <w:vAlign w:val="center"/>
                </w:tcPr>
                <w:p>
                  <w:pPr>
                    <w:tabs>
                      <w:tab w:val="left" w:pos="600"/>
                    </w:tabs>
                    <w:jc w:val="center"/>
                    <w:rPr>
                      <w:rFonts w:hAnsi="宋体"/>
                      <w:szCs w:val="21"/>
                    </w:rPr>
                  </w:pPr>
                  <w:r>
                    <w:rPr>
                      <w:rFonts w:hAnsi="宋体"/>
                      <w:szCs w:val="21"/>
                    </w:rPr>
                    <w:t>输散装水泥、预拌混凝土和预拌砂浆应当使用符合国家标准的专用车辆。</w:t>
                  </w:r>
                </w:p>
              </w:tc>
              <w:tc>
                <w:tcPr>
                  <w:tcW w:w="1576" w:type="pct"/>
                  <w:noWrap w:val="0"/>
                  <w:vAlign w:val="center"/>
                </w:tcPr>
                <w:p>
                  <w:pPr>
                    <w:tabs>
                      <w:tab w:val="left" w:pos="600"/>
                    </w:tabs>
                    <w:jc w:val="center"/>
                    <w:rPr>
                      <w:rFonts w:hAnsi="宋体"/>
                      <w:szCs w:val="21"/>
                    </w:rPr>
                  </w:pPr>
                  <w:r>
                    <w:rPr>
                      <w:rFonts w:hAnsi="宋体"/>
                      <w:szCs w:val="21"/>
                    </w:rPr>
                    <w:t>配备专用运输车辆</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4</w:t>
                  </w:r>
                </w:p>
              </w:tc>
              <w:tc>
                <w:tcPr>
                  <w:tcW w:w="2356" w:type="pct"/>
                  <w:noWrap w:val="0"/>
                  <w:vAlign w:val="center"/>
                </w:tcPr>
                <w:p>
                  <w:pPr>
                    <w:tabs>
                      <w:tab w:val="left" w:pos="600"/>
                    </w:tabs>
                    <w:jc w:val="center"/>
                    <w:rPr>
                      <w:rFonts w:hAnsi="宋体"/>
                      <w:szCs w:val="21"/>
                    </w:rPr>
                  </w:pPr>
                  <w:r>
                    <w:rPr>
                      <w:rFonts w:hAnsi="宋体"/>
                      <w:szCs w:val="21"/>
                    </w:rPr>
                    <w:t>企业生产预拌混凝土、预拌砂浆和混凝土预制构件，应当全部使用散装水泥。</w:t>
                  </w:r>
                </w:p>
              </w:tc>
              <w:tc>
                <w:tcPr>
                  <w:tcW w:w="1576" w:type="pct"/>
                  <w:noWrap w:val="0"/>
                  <w:vAlign w:val="center"/>
                </w:tcPr>
                <w:p>
                  <w:pPr>
                    <w:tabs>
                      <w:tab w:val="left" w:pos="600"/>
                    </w:tabs>
                    <w:jc w:val="center"/>
                    <w:rPr>
                      <w:rFonts w:hAnsi="宋体"/>
                      <w:szCs w:val="21"/>
                    </w:rPr>
                  </w:pPr>
                  <w:r>
                    <w:rPr>
                      <w:rFonts w:hAnsi="宋体"/>
                      <w:szCs w:val="21"/>
                    </w:rPr>
                    <w:t>使用散装水泥</w:t>
                  </w:r>
                  <w:r>
                    <w:rPr>
                      <w:rFonts w:hint="eastAsia" w:hAnsi="宋体"/>
                      <w:szCs w:val="21"/>
                    </w:rPr>
                    <w:t>，在生产车间设置有筒仓储存</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5</w:t>
                  </w:r>
                </w:p>
              </w:tc>
              <w:tc>
                <w:tcPr>
                  <w:tcW w:w="2356" w:type="pct"/>
                  <w:noWrap w:val="0"/>
                  <w:vAlign w:val="center"/>
                </w:tcPr>
                <w:p>
                  <w:pPr>
                    <w:tabs>
                      <w:tab w:val="left" w:pos="600"/>
                    </w:tabs>
                    <w:jc w:val="center"/>
                    <w:rPr>
                      <w:rFonts w:hAnsi="宋体"/>
                      <w:szCs w:val="21"/>
                    </w:rPr>
                  </w:pPr>
                  <w:r>
                    <w:rPr>
                      <w:rFonts w:hAnsi="宋体"/>
                      <w:szCs w:val="21"/>
                    </w:rPr>
                    <w:t>新建、改建、扩建预拌混凝土和预拌砂浆生产项目应当符合当地散装水泥发展应用专项规划，进行环境影响评价。</w:t>
                  </w:r>
                </w:p>
              </w:tc>
              <w:tc>
                <w:tcPr>
                  <w:tcW w:w="1576" w:type="pct"/>
                  <w:noWrap w:val="0"/>
                  <w:vAlign w:val="center"/>
                </w:tcPr>
                <w:p>
                  <w:pPr>
                    <w:tabs>
                      <w:tab w:val="left" w:pos="600"/>
                    </w:tabs>
                    <w:jc w:val="center"/>
                    <w:rPr>
                      <w:rFonts w:hAnsi="宋体"/>
                      <w:szCs w:val="21"/>
                    </w:rPr>
                  </w:pPr>
                  <w:r>
                    <w:rPr>
                      <w:rFonts w:hAnsi="宋体"/>
                      <w:szCs w:val="21"/>
                    </w:rPr>
                    <w:t>项目位于乐山市工业集中区水口-罗汉工业园区内，符合园区规划</w:t>
                  </w:r>
                  <w:r>
                    <w:rPr>
                      <w:rFonts w:hint="eastAsia" w:hAnsi="宋体"/>
                      <w:szCs w:val="21"/>
                    </w:rPr>
                    <w:t>，并取得了主管部门的行业准入批复，符合当地水泥行业发展规划</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6</w:t>
                  </w:r>
                </w:p>
              </w:tc>
              <w:tc>
                <w:tcPr>
                  <w:tcW w:w="2356" w:type="pct"/>
                  <w:noWrap w:val="0"/>
                  <w:vAlign w:val="center"/>
                </w:tcPr>
                <w:p>
                  <w:pPr>
                    <w:tabs>
                      <w:tab w:val="left" w:pos="600"/>
                    </w:tabs>
                    <w:jc w:val="center"/>
                    <w:rPr>
                      <w:rFonts w:hAnsi="宋体"/>
                      <w:szCs w:val="21"/>
                    </w:rPr>
                  </w:pPr>
                  <w:r>
                    <w:rPr>
                      <w:rFonts w:hAnsi="宋体"/>
                      <w:szCs w:val="21"/>
                    </w:rPr>
                    <w:t>预拌砂浆生产企业应当按照国家有关规定向所在市（州）散装水泥管理机构登记备案。生产和应用应当符合国家和省相关技术标准、规程。</w:t>
                  </w:r>
                </w:p>
              </w:tc>
              <w:tc>
                <w:tcPr>
                  <w:tcW w:w="1576" w:type="pct"/>
                  <w:noWrap w:val="0"/>
                  <w:vAlign w:val="center"/>
                </w:tcPr>
                <w:p>
                  <w:pPr>
                    <w:tabs>
                      <w:tab w:val="left" w:pos="600"/>
                    </w:tabs>
                    <w:jc w:val="center"/>
                    <w:rPr>
                      <w:rFonts w:hAnsi="宋体"/>
                      <w:szCs w:val="21"/>
                    </w:rPr>
                  </w:pPr>
                  <w:r>
                    <w:rPr>
                      <w:rFonts w:hint="eastAsia" w:hAnsi="宋体"/>
                      <w:szCs w:val="21"/>
                    </w:rPr>
                    <w:t>取得了主管部门的行业准入批复，</w:t>
                  </w:r>
                  <w:r>
                    <w:rPr>
                      <w:rFonts w:hAnsi="宋体"/>
                      <w:szCs w:val="21"/>
                    </w:rPr>
                    <w:t>项目采用</w:t>
                  </w:r>
                  <w:r>
                    <w:rPr>
                      <w:rFonts w:hint="eastAsia" w:hAnsi="宋体"/>
                      <w:szCs w:val="21"/>
                    </w:rPr>
                    <w:t>标准</w:t>
                  </w:r>
                  <w:r>
                    <w:rPr>
                      <w:rFonts w:hAnsi="宋体"/>
                      <w:szCs w:val="21"/>
                    </w:rPr>
                    <w:t>自动化生产线</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7</w:t>
                  </w:r>
                </w:p>
              </w:tc>
              <w:tc>
                <w:tcPr>
                  <w:tcW w:w="2356" w:type="pct"/>
                  <w:noWrap w:val="0"/>
                  <w:vAlign w:val="center"/>
                </w:tcPr>
                <w:p>
                  <w:pPr>
                    <w:tabs>
                      <w:tab w:val="left" w:pos="600"/>
                    </w:tabs>
                    <w:jc w:val="center"/>
                    <w:rPr>
                      <w:rFonts w:hAnsi="宋体"/>
                      <w:szCs w:val="21"/>
                    </w:rPr>
                  </w:pPr>
                  <w:r>
                    <w:rPr>
                      <w:rFonts w:hAnsi="宋体"/>
                      <w:szCs w:val="21"/>
                    </w:rPr>
                    <w:t>散装水泥、预拌混凝土、预拌砂浆和混凝土预制构件生产企业应当建立健全质量控制体系，严格质量和计量管理，产品应当符合质量标准和计量要求。</w:t>
                  </w:r>
                </w:p>
              </w:tc>
              <w:tc>
                <w:tcPr>
                  <w:tcW w:w="1576" w:type="pct"/>
                  <w:noWrap w:val="0"/>
                  <w:vAlign w:val="center"/>
                </w:tcPr>
                <w:p>
                  <w:pPr>
                    <w:tabs>
                      <w:tab w:val="left" w:pos="600"/>
                    </w:tabs>
                    <w:jc w:val="center"/>
                    <w:rPr>
                      <w:rFonts w:hAnsi="宋体"/>
                      <w:szCs w:val="21"/>
                    </w:rPr>
                  </w:pPr>
                  <w:r>
                    <w:rPr>
                      <w:rFonts w:hAnsi="宋体"/>
                      <w:szCs w:val="21"/>
                    </w:rPr>
                    <w:t>督促企业后期建立健全质量控制体系，严格质量和计量管理，产品应当符合质量标准和计量要求</w:t>
                  </w:r>
                </w:p>
              </w:tc>
              <w:tc>
                <w:tcPr>
                  <w:tcW w:w="424" w:type="pct"/>
                  <w:noWrap w:val="0"/>
                  <w:vAlign w:val="center"/>
                </w:tcPr>
                <w:p>
                  <w:pPr>
                    <w:tabs>
                      <w:tab w:val="left" w:pos="600"/>
                    </w:tabs>
                    <w:jc w:val="center"/>
                    <w:rPr>
                      <w:rFonts w:hAnsi="宋体"/>
                      <w:szCs w:val="21"/>
                    </w:rPr>
                  </w:pPr>
                  <w:r>
                    <w:rPr>
                      <w:rFonts w:hAnsi="宋体"/>
                      <w:szCs w:val="21"/>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3" w:type="pct"/>
                  <w:noWrap w:val="0"/>
                  <w:vAlign w:val="center"/>
                </w:tcPr>
                <w:p>
                  <w:pPr>
                    <w:tabs>
                      <w:tab w:val="left" w:pos="600"/>
                    </w:tabs>
                    <w:jc w:val="center"/>
                    <w:rPr>
                      <w:rFonts w:hAnsi="宋体"/>
                      <w:szCs w:val="21"/>
                    </w:rPr>
                  </w:pPr>
                  <w:r>
                    <w:rPr>
                      <w:rFonts w:hAnsi="宋体"/>
                      <w:szCs w:val="21"/>
                    </w:rPr>
                    <w:t>8</w:t>
                  </w:r>
                </w:p>
              </w:tc>
              <w:tc>
                <w:tcPr>
                  <w:tcW w:w="2356" w:type="pct"/>
                  <w:noWrap w:val="0"/>
                  <w:vAlign w:val="center"/>
                </w:tcPr>
                <w:p>
                  <w:pPr>
                    <w:tabs>
                      <w:tab w:val="left" w:pos="600"/>
                    </w:tabs>
                    <w:jc w:val="center"/>
                    <w:rPr>
                      <w:rFonts w:hAnsi="宋体"/>
                      <w:szCs w:val="21"/>
                    </w:rPr>
                  </w:pPr>
                  <w:r>
                    <w:rPr>
                      <w:rFonts w:hAnsi="宋体"/>
                      <w:szCs w:val="21"/>
                    </w:rPr>
                    <w:t>散装水泥、预拌混凝土和预拌砂浆专用车辆装载水泥、混凝土和砂浆，应当符合核定载重量进行标准装载，严禁超载、超限、超速，防止抛洒滴漏，保持车辆清洁。</w:t>
                  </w:r>
                </w:p>
              </w:tc>
              <w:tc>
                <w:tcPr>
                  <w:tcW w:w="1576" w:type="pct"/>
                  <w:noWrap w:val="0"/>
                  <w:vAlign w:val="center"/>
                </w:tcPr>
                <w:p>
                  <w:pPr>
                    <w:tabs>
                      <w:tab w:val="left" w:pos="600"/>
                    </w:tabs>
                    <w:jc w:val="center"/>
                    <w:rPr>
                      <w:rFonts w:hAnsi="宋体"/>
                      <w:szCs w:val="21"/>
                    </w:rPr>
                  </w:pPr>
                  <w:r>
                    <w:rPr>
                      <w:rFonts w:hAnsi="宋体"/>
                      <w:szCs w:val="21"/>
                    </w:rPr>
                    <w:t>专用运输车辆在运营期严格按照相关要求进行运输</w:t>
                  </w:r>
                </w:p>
              </w:tc>
              <w:tc>
                <w:tcPr>
                  <w:tcW w:w="424" w:type="pct"/>
                  <w:noWrap w:val="0"/>
                  <w:vAlign w:val="center"/>
                </w:tcPr>
                <w:p>
                  <w:pPr>
                    <w:tabs>
                      <w:tab w:val="left" w:pos="600"/>
                    </w:tabs>
                    <w:jc w:val="center"/>
                    <w:rPr>
                      <w:rFonts w:hAnsi="宋体"/>
                      <w:szCs w:val="21"/>
                    </w:rPr>
                  </w:pPr>
                  <w:r>
                    <w:rPr>
                      <w:rFonts w:hAnsi="宋体"/>
                      <w:szCs w:val="21"/>
                    </w:rPr>
                    <w:t>符合要求</w:t>
                  </w:r>
                </w:p>
              </w:tc>
            </w:tr>
          </w:tbl>
          <w:p>
            <w:pPr>
              <w:tabs>
                <w:tab w:val="left" w:pos="600"/>
              </w:tabs>
              <w:spacing w:line="360" w:lineRule="auto"/>
              <w:ind w:firstLine="567"/>
              <w:rPr>
                <w:rFonts w:hAnsi="宋体"/>
                <w:sz w:val="24"/>
              </w:rPr>
            </w:pPr>
            <w:r>
              <w:rPr>
                <w:rFonts w:hAnsi="宋体"/>
                <w:sz w:val="24"/>
              </w:rPr>
              <w:t>综上，经过与《四川省绿色环保搅拌站建设、管理和评价标准》和《四川省散装水泥管理条例》进行对照后，本项目在采取相应措施后，符合《四川省绿色环保搅拌站建设、管理和评价标准》和《四川省散装水泥管理条例》要求。</w:t>
            </w:r>
          </w:p>
          <w:p>
            <w:pPr>
              <w:tabs>
                <w:tab w:val="left" w:pos="600"/>
              </w:tabs>
              <w:spacing w:line="360" w:lineRule="auto"/>
              <w:ind w:firstLine="567"/>
              <w:rPr>
                <w:rFonts w:hint="default"/>
                <w:b/>
                <w:bCs/>
                <w:sz w:val="24"/>
                <w:szCs w:val="24"/>
                <w:lang w:val="en-US" w:eastAsia="zh-CN"/>
              </w:rPr>
            </w:pPr>
            <w:r>
              <w:rPr>
                <w:rFonts w:hint="eastAsia"/>
                <w:b/>
                <w:bCs/>
                <w:sz w:val="24"/>
                <w:szCs w:val="24"/>
                <w:lang w:val="en-US" w:eastAsia="zh-CN"/>
              </w:rPr>
              <w:t>七、</w:t>
            </w:r>
            <w:r>
              <w:rPr>
                <w:b/>
                <w:sz w:val="24"/>
              </w:rPr>
              <w:t>与《</w:t>
            </w:r>
            <w:r>
              <w:rPr>
                <w:rFonts w:hint="eastAsia"/>
                <w:b/>
                <w:bCs/>
                <w:sz w:val="24"/>
                <w:szCs w:val="24"/>
                <w:lang w:val="en-US" w:eastAsia="zh-CN"/>
              </w:rPr>
              <w:t>乐山市砂石加工场污染防治验收标准</w:t>
            </w:r>
            <w:r>
              <w:rPr>
                <w:b/>
                <w:sz w:val="24"/>
              </w:rPr>
              <w:t>准》和</w:t>
            </w:r>
            <w:r>
              <w:rPr>
                <w:rFonts w:hint="eastAsia" w:ascii="宋体" w:hAnsi="宋体" w:eastAsia="宋体" w:cs="宋体"/>
                <w:b/>
                <w:bCs/>
                <w:color w:val="000000"/>
                <w:kern w:val="0"/>
                <w:sz w:val="24"/>
                <w:szCs w:val="24"/>
                <w:lang w:val="en-US" w:eastAsia="zh-CN" w:bidi="ar"/>
              </w:rPr>
              <w:t>《机制砂骨料工厂设计规范》（</w:t>
            </w:r>
            <w:r>
              <w:rPr>
                <w:rFonts w:hint="default" w:ascii="Times New Roman" w:hAnsi="Times New Roman" w:eastAsia="宋体" w:cs="Times New Roman"/>
                <w:b/>
                <w:bCs/>
                <w:color w:val="000000"/>
                <w:kern w:val="0"/>
                <w:sz w:val="24"/>
                <w:szCs w:val="24"/>
                <w:lang w:val="en-US" w:eastAsia="zh-CN" w:bidi="ar"/>
              </w:rPr>
              <w:t>GB51186-2016</w:t>
            </w:r>
            <w:r>
              <w:rPr>
                <w:rFonts w:hint="eastAsia" w:ascii="宋体" w:hAnsi="宋体" w:eastAsia="宋体" w:cs="宋体"/>
                <w:b/>
                <w:bCs/>
                <w:color w:val="000000"/>
                <w:kern w:val="0"/>
                <w:sz w:val="24"/>
                <w:szCs w:val="24"/>
                <w:lang w:val="en-US" w:eastAsia="zh-CN" w:bidi="ar"/>
              </w:rPr>
              <w:t>）</w:t>
            </w:r>
            <w:r>
              <w:rPr>
                <w:b/>
                <w:sz w:val="24"/>
              </w:rPr>
              <w:t>符合性分析</w:t>
            </w:r>
          </w:p>
          <w:p>
            <w:pPr>
              <w:numPr>
                <w:ilvl w:val="0"/>
                <w:numId w:val="0"/>
              </w:numPr>
              <w:spacing w:line="360" w:lineRule="auto"/>
              <w:ind w:firstLine="482" w:firstLineChars="200"/>
              <w:rPr>
                <w:rFonts w:hint="eastAsia"/>
                <w:b/>
                <w:bCs/>
                <w:sz w:val="24"/>
                <w:szCs w:val="24"/>
                <w:lang w:val="en-US" w:eastAsia="zh-CN"/>
              </w:rPr>
            </w:pPr>
            <w:r>
              <w:rPr>
                <w:rFonts w:hint="eastAsia"/>
                <w:b/>
                <w:bCs/>
                <w:sz w:val="24"/>
                <w:szCs w:val="24"/>
                <w:lang w:val="en-US" w:eastAsia="zh-CN"/>
              </w:rPr>
              <w:t>1.与《乐山市砂石加工场污染防治验收标准》符合性行分析</w:t>
            </w:r>
          </w:p>
          <w:p>
            <w:pPr>
              <w:pStyle w:val="2"/>
              <w:spacing w:line="360" w:lineRule="auto"/>
              <w:ind w:left="0" w:leftChars="0" w:firstLine="480" w:firstLineChars="200"/>
              <w:rPr>
                <w:rFonts w:hint="eastAsia"/>
                <w:sz w:val="24"/>
                <w:szCs w:val="24"/>
                <w:lang w:val="en-US" w:eastAsia="zh-CN"/>
              </w:rPr>
            </w:pPr>
            <w:r>
              <w:rPr>
                <w:rFonts w:hint="eastAsia"/>
                <w:sz w:val="24"/>
                <w:szCs w:val="24"/>
                <w:lang w:val="en-US" w:eastAsia="zh-CN"/>
              </w:rPr>
              <w:t>为规范和理顺砂石加工场环保验收标准，明确砂石加工场环保工作要求，乐山市水务局和乐山市环境保护局以乐水函[2017]330号文件下达了乐山市砂石加工场污染防治验收标准的通知。本项目建设地点位于乐山市市中区水口镇高河村（乐山市工业集中区水口-罗汉工业园区），项目与《乐山市砂石加工场污染防治验收标准》的符合性分析如下：</w:t>
            </w:r>
          </w:p>
          <w:p>
            <w:pPr>
              <w:jc w:val="center"/>
              <w:rPr>
                <w:rFonts w:hint="default"/>
                <w:b/>
                <w:bCs/>
                <w:sz w:val="24"/>
                <w:szCs w:val="24"/>
                <w:lang w:val="en-US" w:eastAsia="zh-CN"/>
              </w:rPr>
            </w:pPr>
            <w:r>
              <w:rPr>
                <w:rFonts w:hint="eastAsia"/>
                <w:b/>
                <w:bCs/>
                <w:sz w:val="24"/>
                <w:szCs w:val="24"/>
                <w:lang w:val="en-US" w:eastAsia="zh-CN"/>
              </w:rPr>
              <w:t>表1-6与《乐山市砂石加工场污染防治验收标准》的符合性分析</w:t>
            </w:r>
          </w:p>
          <w:tbl>
            <w:tblPr>
              <w:tblStyle w:val="39"/>
              <w:tblW w:w="74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260"/>
              <w:gridCol w:w="2055"/>
              <w:gridCol w:w="1950"/>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64" w:type="dxa"/>
                  <w:noWrap w:val="0"/>
                  <w:vAlign w:val="center"/>
                </w:tcPr>
                <w:p>
                  <w:pPr>
                    <w:pStyle w:val="2"/>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管理类别</w:t>
                  </w:r>
                </w:p>
              </w:tc>
              <w:tc>
                <w:tcPr>
                  <w:tcW w:w="1260" w:type="dxa"/>
                  <w:noWrap w:val="0"/>
                  <w:vAlign w:val="center"/>
                </w:tcPr>
                <w:p>
                  <w:pPr>
                    <w:pStyle w:val="2"/>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环保措施</w:t>
                  </w:r>
                </w:p>
              </w:tc>
              <w:tc>
                <w:tcPr>
                  <w:tcW w:w="2055" w:type="dxa"/>
                  <w:noWrap w:val="0"/>
                  <w:vAlign w:val="center"/>
                </w:tcPr>
                <w:p>
                  <w:pPr>
                    <w:pStyle w:val="2"/>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环保控制要求</w:t>
                  </w:r>
                </w:p>
              </w:tc>
              <w:tc>
                <w:tcPr>
                  <w:tcW w:w="1950" w:type="dxa"/>
                  <w:noWrap w:val="0"/>
                  <w:vAlign w:val="center"/>
                </w:tcPr>
                <w:p>
                  <w:pPr>
                    <w:pStyle w:val="2"/>
                    <w:spacing w:line="240" w:lineRule="auto"/>
                    <w:ind w:left="0" w:leftChars="0" w:firstLine="0" w:firstLineChars="0"/>
                    <w:jc w:val="center"/>
                    <w:rPr>
                      <w:rFonts w:hint="default"/>
                      <w:b/>
                      <w:bCs/>
                      <w:sz w:val="21"/>
                      <w:szCs w:val="21"/>
                      <w:vertAlign w:val="baseline"/>
                      <w:lang w:val="en-US" w:eastAsia="zh-CN"/>
                    </w:rPr>
                  </w:pPr>
                  <w:r>
                    <w:rPr>
                      <w:rFonts w:hint="eastAsia"/>
                      <w:b/>
                      <w:bCs/>
                      <w:sz w:val="21"/>
                      <w:szCs w:val="21"/>
                      <w:vertAlign w:val="baseline"/>
                      <w:lang w:val="en-US" w:eastAsia="zh-CN"/>
                    </w:rPr>
                    <w:t>本项目环评要求</w:t>
                  </w:r>
                </w:p>
              </w:tc>
              <w:tc>
                <w:tcPr>
                  <w:tcW w:w="1065" w:type="dxa"/>
                  <w:noWrap w:val="0"/>
                  <w:vAlign w:val="center"/>
                </w:tcPr>
                <w:p>
                  <w:pPr>
                    <w:pStyle w:val="2"/>
                    <w:spacing w:line="240" w:lineRule="auto"/>
                    <w:ind w:left="0" w:leftChars="0" w:firstLine="0" w:firstLineChars="0"/>
                    <w:jc w:val="center"/>
                    <w:rPr>
                      <w:rFonts w:hint="eastAsia"/>
                      <w:b/>
                      <w:bCs/>
                      <w:sz w:val="21"/>
                      <w:szCs w:val="21"/>
                      <w:vertAlign w:val="baseline"/>
                      <w:lang w:val="en-US" w:eastAsia="zh-CN"/>
                    </w:rPr>
                  </w:pPr>
                  <w:r>
                    <w:rPr>
                      <w:rFonts w:hint="eastAsia"/>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4"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原料堆场</w:t>
                  </w:r>
                </w:p>
              </w:tc>
              <w:tc>
                <w:tcPr>
                  <w:tcW w:w="126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堆料场四周打围封隔</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堆料四周应当设置不低于堆放物料高度的落地围栏，防止堆料滑落扬尘</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原料堆场建棚遮盖，设置喷雾装置</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9" w:hRule="atLeast"/>
              </w:trPr>
              <w:tc>
                <w:tcPr>
                  <w:tcW w:w="1164" w:type="dxa"/>
                  <w:vMerge w:val="restart"/>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砂石料加工生产</w:t>
                  </w:r>
                </w:p>
              </w:tc>
              <w:tc>
                <w:tcPr>
                  <w:tcW w:w="126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砂石破碎加工进料口全封闭</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砂石加工、破碎、分筛必须在全封闭设施进行，通过防尘、隔音、喷雾装置，防止、减少噪音和扬尘污染</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砂石加工、破碎、筛分等工序均在厂房内进行，车间内除主要物流通道外实现全封闭，破碎、输送带转运处设置喷雾装置；采用低噪声设备，并采取隔音、减振措施</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1164" w:type="dxa"/>
                  <w:vMerge w:val="continue"/>
                  <w:noWrap w:val="0"/>
                  <w:vAlign w:val="center"/>
                </w:tcPr>
                <w:p>
                  <w:pPr>
                    <w:pStyle w:val="2"/>
                    <w:spacing w:line="240" w:lineRule="auto"/>
                    <w:ind w:left="0" w:leftChars="0" w:firstLine="0" w:firstLineChars="0"/>
                    <w:jc w:val="center"/>
                    <w:rPr>
                      <w:rFonts w:hint="default"/>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修建配套生产废水处理回用设施</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所有生产废水必须全部循环使用，要做到防渗防雨处理，严禁乱排、直排</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砂石废水回用于生产</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64" w:type="dxa"/>
                  <w:vMerge w:val="continue"/>
                  <w:noWrap w:val="0"/>
                  <w:vAlign w:val="center"/>
                </w:tcPr>
                <w:p>
                  <w:pPr>
                    <w:pStyle w:val="2"/>
                    <w:spacing w:line="240" w:lineRule="auto"/>
                    <w:ind w:left="0" w:leftChars="0" w:firstLine="0" w:firstLineChars="0"/>
                    <w:jc w:val="center"/>
                    <w:rPr>
                      <w:rFonts w:hint="default"/>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物料传送建立密闭系统</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通过密闭、喷水传送，确保无泄露、无散落、无飞尘</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输送带全封闭，进出料口两端设置洒水点，洒水降尘</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164" w:type="dxa"/>
                  <w:vMerge w:val="continue"/>
                  <w:noWrap w:val="0"/>
                  <w:vAlign w:val="center"/>
                </w:tcPr>
                <w:p>
                  <w:pPr>
                    <w:pStyle w:val="2"/>
                    <w:spacing w:line="240" w:lineRule="auto"/>
                    <w:ind w:left="0" w:leftChars="0" w:firstLine="0" w:firstLineChars="0"/>
                    <w:jc w:val="center"/>
                    <w:rPr>
                      <w:rFonts w:hint="default"/>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装卸物料密闭喷淋</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通过喷淋确保物料装卸不起尘</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洒水降尘</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1164" w:type="dxa"/>
                  <w:vMerge w:val="continue"/>
                  <w:noWrap w:val="0"/>
                  <w:vAlign w:val="center"/>
                </w:tcPr>
                <w:p>
                  <w:pPr>
                    <w:pStyle w:val="2"/>
                    <w:spacing w:line="240" w:lineRule="auto"/>
                    <w:ind w:left="0" w:leftChars="0" w:firstLine="0" w:firstLineChars="0"/>
                    <w:jc w:val="center"/>
                    <w:rPr>
                      <w:rFonts w:hint="default"/>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场地内运输道路硬化</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要配置冲洗，做好除尘、降尘</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厂区内运输道路硬化，场地入口处有洗车池对轮胎及车身进行冲洗；及时清扫散落物料，洒水降尘</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1164" w:type="dxa"/>
                  <w:vMerge w:val="continue"/>
                  <w:noWrap w:val="0"/>
                  <w:vAlign w:val="center"/>
                </w:tcPr>
                <w:p>
                  <w:pPr>
                    <w:pStyle w:val="2"/>
                    <w:spacing w:line="240" w:lineRule="auto"/>
                    <w:ind w:left="0" w:leftChars="0" w:firstLine="0" w:firstLineChars="0"/>
                    <w:jc w:val="center"/>
                    <w:rPr>
                      <w:rFonts w:hint="default"/>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规范作业时间</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每日早6:00前、晚20:00后禁止加工作业和装卸运输，杜绝噪声扰民</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合理安排工作时间，夜间（20:00-次日6:00）不生产，物料加工及装卸运输均在白天进行</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1164" w:type="dxa"/>
                  <w:vMerge w:val="restart"/>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其他要求</w:t>
                  </w: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修建生活污水收集设施</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场内产生的所有生活污水应全部收集处理后还田还林综合利用，严禁外排、直排</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生活污水经污水预处理池收集处理后进入园区污水管网，经园区污水处理厂处理后排入大渡河</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164" w:type="dxa"/>
                  <w:vMerge w:val="continue"/>
                  <w:noWrap w:val="0"/>
                  <w:vAlign w:val="center"/>
                </w:tcPr>
                <w:p>
                  <w:pPr>
                    <w:pStyle w:val="2"/>
                    <w:spacing w:line="240" w:lineRule="auto"/>
                    <w:ind w:left="0" w:leftChars="0" w:firstLine="0" w:firstLineChars="0"/>
                    <w:jc w:val="center"/>
                    <w:rPr>
                      <w:rFonts w:hint="eastAsia"/>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生活垃圾集中处理</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场内生活垃圾要集中收集交由环卫部门处理，严禁随便倾倒污染环境</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生活垃圾集中收集后，定期交由当地环卫部门统一处理</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1" w:hRule="atLeast"/>
              </w:trPr>
              <w:tc>
                <w:tcPr>
                  <w:tcW w:w="1164" w:type="dxa"/>
                  <w:vMerge w:val="continue"/>
                  <w:noWrap w:val="0"/>
                  <w:vAlign w:val="center"/>
                </w:tcPr>
                <w:p>
                  <w:pPr>
                    <w:pStyle w:val="2"/>
                    <w:spacing w:line="240" w:lineRule="auto"/>
                    <w:ind w:left="0" w:leftChars="0" w:firstLine="0" w:firstLineChars="0"/>
                    <w:jc w:val="center"/>
                    <w:rPr>
                      <w:rFonts w:hint="eastAsia"/>
                      <w:sz w:val="21"/>
                      <w:szCs w:val="21"/>
                      <w:vertAlign w:val="baseline"/>
                      <w:lang w:val="en-US" w:eastAsia="zh-CN"/>
                    </w:rPr>
                  </w:pPr>
                </w:p>
              </w:tc>
              <w:tc>
                <w:tcPr>
                  <w:tcW w:w="1260"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场地内无加油设施和机械维修行为</w:t>
                  </w:r>
                </w:p>
              </w:tc>
              <w:tc>
                <w:tcPr>
                  <w:tcW w:w="2055"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场地内不得私自存储油料，防火防爆，不得进行机械维修防止油污废水污染</w:t>
                  </w:r>
                </w:p>
              </w:tc>
              <w:tc>
                <w:tcPr>
                  <w:tcW w:w="1950" w:type="dxa"/>
                  <w:noWrap w:val="0"/>
                  <w:vAlign w:val="center"/>
                </w:tcPr>
                <w:p>
                  <w:pPr>
                    <w:pStyle w:val="2"/>
                    <w:spacing w:line="240" w:lineRule="auto"/>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各类机械设备所需柴油均从加油站现购，不在场区进行油料贮存；所有设备维修在场地外的机械设备维修车间进行</w:t>
                  </w:r>
                </w:p>
              </w:tc>
              <w:tc>
                <w:tcPr>
                  <w:tcW w:w="1065" w:type="dxa"/>
                  <w:noWrap w:val="0"/>
                  <w:vAlign w:val="center"/>
                </w:tcPr>
                <w:p>
                  <w:pPr>
                    <w:pStyle w:val="2"/>
                    <w:spacing w:line="240" w:lineRule="auto"/>
                    <w:ind w:left="0" w:leftChars="0" w:firstLine="0" w:firstLineChars="0"/>
                    <w:jc w:val="center"/>
                    <w:rPr>
                      <w:rFonts w:hint="eastAsia"/>
                      <w:sz w:val="21"/>
                      <w:szCs w:val="21"/>
                      <w:vertAlign w:val="baseline"/>
                      <w:lang w:val="en-US" w:eastAsia="zh-CN"/>
                    </w:rPr>
                  </w:pPr>
                  <w:r>
                    <w:rPr>
                      <w:rFonts w:hint="eastAsia"/>
                      <w:sz w:val="21"/>
                      <w:szCs w:val="21"/>
                      <w:vertAlign w:val="baseline"/>
                      <w:lang w:val="en-US" w:eastAsia="zh-CN"/>
                    </w:rPr>
                    <w:t>符合</w:t>
                  </w:r>
                </w:p>
              </w:tc>
            </w:tr>
          </w:tbl>
          <w:p>
            <w:pPr>
              <w:keepNext w:val="0"/>
              <w:keepLines w:val="0"/>
              <w:widowControl/>
              <w:numPr>
                <w:ilvl w:val="0"/>
                <w:numId w:val="0"/>
              </w:numPr>
              <w:suppressLineNumbers w:val="0"/>
              <w:spacing w:line="360" w:lineRule="auto"/>
              <w:jc w:val="left"/>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2.与</w:t>
            </w:r>
            <w:r>
              <w:rPr>
                <w:rFonts w:hint="eastAsia" w:ascii="宋体" w:hAnsi="宋体" w:eastAsia="宋体" w:cs="宋体"/>
                <w:b/>
                <w:bCs/>
                <w:color w:val="000000"/>
                <w:kern w:val="0"/>
                <w:sz w:val="24"/>
                <w:szCs w:val="24"/>
                <w:lang w:val="en-US" w:eastAsia="zh-CN" w:bidi="ar"/>
              </w:rPr>
              <w:t>《机制砂骨料工厂设计规范》（</w:t>
            </w:r>
            <w:r>
              <w:rPr>
                <w:rFonts w:hint="default" w:ascii="Times New Roman" w:hAnsi="Times New Roman" w:eastAsia="宋体" w:cs="Times New Roman"/>
                <w:b/>
                <w:bCs/>
                <w:color w:val="000000"/>
                <w:kern w:val="0"/>
                <w:sz w:val="24"/>
                <w:szCs w:val="24"/>
                <w:lang w:val="en-US" w:eastAsia="zh-CN" w:bidi="ar"/>
              </w:rPr>
              <w:t>GB51186-2016</w:t>
            </w:r>
            <w:r>
              <w:rPr>
                <w:rFonts w:hint="eastAsia" w:ascii="宋体" w:hAnsi="宋体" w:eastAsia="宋体" w:cs="宋体"/>
                <w:b/>
                <w:bCs/>
                <w:color w:val="000000"/>
                <w:kern w:val="0"/>
                <w:sz w:val="24"/>
                <w:szCs w:val="24"/>
                <w:lang w:val="en-US" w:eastAsia="zh-CN" w:bidi="ar"/>
              </w:rPr>
              <w:t>）的符合性分析</w:t>
            </w:r>
          </w:p>
          <w:p>
            <w:pPr>
              <w:keepNext w:val="0"/>
              <w:keepLines w:val="0"/>
              <w:widowControl/>
              <w:suppressLineNumbers w:val="0"/>
              <w:jc w:val="center"/>
              <w:rPr>
                <w:rFonts w:hint="default" w:ascii="宋体" w:hAnsi="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cs="Times New Roman"/>
                <w:b/>
                <w:bCs/>
                <w:color w:val="000000"/>
                <w:kern w:val="0"/>
                <w:sz w:val="24"/>
                <w:szCs w:val="24"/>
                <w:lang w:val="en-US" w:eastAsia="zh-CN" w:bidi="ar"/>
              </w:rPr>
              <w:t>1-</w:t>
            </w:r>
            <w:r>
              <w:rPr>
                <w:rFonts w:hint="eastAsia" w:cs="Times New Roman"/>
                <w:b/>
                <w:bCs/>
                <w:color w:val="000000"/>
                <w:kern w:val="0"/>
                <w:sz w:val="24"/>
                <w:szCs w:val="24"/>
                <w:lang w:val="en-US" w:eastAsia="zh-CN" w:bidi="ar"/>
              </w:rPr>
              <w:t>7</w:t>
            </w:r>
            <w:r>
              <w:rPr>
                <w:rFonts w:hint="eastAsia" w:ascii="宋体" w:hAnsi="宋体" w:eastAsia="宋体" w:cs="宋体"/>
                <w:b/>
                <w:bCs/>
                <w:color w:val="000000"/>
                <w:kern w:val="0"/>
                <w:sz w:val="24"/>
                <w:szCs w:val="24"/>
                <w:lang w:val="en-US" w:eastAsia="zh-CN" w:bidi="ar"/>
              </w:rPr>
              <w:t>《机制砂骨料工厂设计规范》（</w:t>
            </w:r>
            <w:r>
              <w:rPr>
                <w:rFonts w:hint="default" w:ascii="Times New Roman" w:hAnsi="Times New Roman" w:eastAsia="宋体" w:cs="Times New Roman"/>
                <w:b/>
                <w:bCs/>
                <w:color w:val="000000"/>
                <w:kern w:val="0"/>
                <w:sz w:val="24"/>
                <w:szCs w:val="24"/>
                <w:lang w:val="en-US" w:eastAsia="zh-CN" w:bidi="ar"/>
              </w:rPr>
              <w:t>GB51186-2016</w:t>
            </w:r>
            <w:r>
              <w:rPr>
                <w:rFonts w:hint="eastAsia" w:ascii="宋体" w:hAnsi="宋体" w:eastAsia="宋体" w:cs="宋体"/>
                <w:b/>
                <w:bCs/>
                <w:color w:val="000000"/>
                <w:kern w:val="0"/>
                <w:sz w:val="24"/>
                <w:szCs w:val="24"/>
                <w:lang w:val="en-US" w:eastAsia="zh-CN" w:bidi="ar"/>
              </w:rPr>
              <w:t>）</w:t>
            </w:r>
          </w:p>
          <w:tbl>
            <w:tblPr>
              <w:tblStyle w:val="39"/>
              <w:tblW w:w="7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493"/>
              <w:gridCol w:w="198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bCs/>
                      <w:color w:val="000000"/>
                      <w:kern w:val="0"/>
                      <w:sz w:val="21"/>
                      <w:szCs w:val="21"/>
                      <w:vertAlign w:val="baseline"/>
                      <w:lang w:val="en-US" w:eastAsia="zh-CN" w:bidi="ar"/>
                    </w:rPr>
                  </w:pPr>
                  <w:r>
                    <w:rPr>
                      <w:rFonts w:hint="eastAsia" w:ascii="宋体" w:hAnsi="宋体" w:cs="宋体"/>
                      <w:b/>
                      <w:bCs/>
                      <w:color w:val="000000"/>
                      <w:kern w:val="0"/>
                      <w:sz w:val="21"/>
                      <w:szCs w:val="21"/>
                      <w:vertAlign w:val="baseline"/>
                      <w:lang w:val="en-US" w:eastAsia="zh-CN" w:bidi="ar"/>
                    </w:rPr>
                    <w:t>条款</w:t>
                  </w:r>
                </w:p>
              </w:tc>
              <w:tc>
                <w:tcPr>
                  <w:tcW w:w="3493"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bCs/>
                      <w:color w:val="000000"/>
                      <w:kern w:val="0"/>
                      <w:sz w:val="21"/>
                      <w:szCs w:val="21"/>
                      <w:vertAlign w:val="baseline"/>
                      <w:lang w:val="en-US" w:eastAsia="zh-CN" w:bidi="ar"/>
                    </w:rPr>
                  </w:pPr>
                  <w:r>
                    <w:rPr>
                      <w:rFonts w:hint="eastAsia" w:ascii="宋体" w:hAnsi="宋体" w:cs="宋体"/>
                      <w:b/>
                      <w:bCs/>
                      <w:color w:val="000000"/>
                      <w:kern w:val="0"/>
                      <w:sz w:val="21"/>
                      <w:szCs w:val="21"/>
                      <w:vertAlign w:val="baseline"/>
                      <w:lang w:val="en-US" w:eastAsia="zh-CN" w:bidi="ar"/>
                    </w:rPr>
                    <w:t>相关要求</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bCs/>
                      <w:color w:val="000000"/>
                      <w:kern w:val="0"/>
                      <w:sz w:val="21"/>
                      <w:szCs w:val="21"/>
                      <w:vertAlign w:val="baseline"/>
                      <w:lang w:val="en-US" w:eastAsia="zh-CN" w:bidi="ar"/>
                    </w:rPr>
                  </w:pPr>
                  <w:r>
                    <w:rPr>
                      <w:rFonts w:hint="eastAsia" w:ascii="宋体" w:hAnsi="宋体" w:cs="宋体"/>
                      <w:b/>
                      <w:bCs/>
                      <w:color w:val="000000"/>
                      <w:kern w:val="0"/>
                      <w:sz w:val="21"/>
                      <w:szCs w:val="21"/>
                      <w:vertAlign w:val="baseline"/>
                      <w:lang w:val="en-US" w:eastAsia="zh-CN" w:bidi="ar"/>
                    </w:rPr>
                    <w:t>本项目情况</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bCs/>
                      <w:color w:val="000000"/>
                      <w:kern w:val="0"/>
                      <w:sz w:val="21"/>
                      <w:szCs w:val="21"/>
                      <w:vertAlign w:val="baseline"/>
                      <w:lang w:val="en-US" w:eastAsia="zh-CN" w:bidi="ar"/>
                    </w:rPr>
                  </w:pPr>
                  <w:r>
                    <w:rPr>
                      <w:rFonts w:hint="eastAsia" w:ascii="宋体" w:hAnsi="宋体" w:cs="宋体"/>
                      <w:b/>
                      <w:bCs/>
                      <w:color w:val="000000"/>
                      <w:kern w:val="0"/>
                      <w:sz w:val="21"/>
                      <w:szCs w:val="21"/>
                      <w:vertAlign w:val="baseline"/>
                      <w:lang w:val="en-US" w:eastAsia="zh-CN"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restart"/>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4.1</w:t>
                  </w:r>
                  <w:r>
                    <w:rPr>
                      <w:rFonts w:hint="eastAsia" w:ascii="宋体" w:hAnsi="宋体" w:cs="宋体"/>
                      <w:b w:val="0"/>
                      <w:bCs w:val="0"/>
                      <w:color w:val="000000"/>
                      <w:kern w:val="0"/>
                      <w:sz w:val="21"/>
                      <w:szCs w:val="21"/>
                      <w:vertAlign w:val="baseline"/>
                      <w:lang w:val="en-US" w:eastAsia="zh-CN" w:bidi="ar"/>
                    </w:rPr>
                    <w:t>一般规定</w:t>
                  </w:r>
                </w:p>
              </w:tc>
              <w:tc>
                <w:tcPr>
                  <w:tcW w:w="3493"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4.1.1</w:t>
                  </w:r>
                  <w:r>
                    <w:rPr>
                      <w:rFonts w:hint="eastAsia" w:ascii="宋体" w:hAnsi="宋体" w:eastAsia="宋体" w:cs="宋体"/>
                      <w:color w:val="000000"/>
                      <w:kern w:val="0"/>
                      <w:sz w:val="21"/>
                      <w:szCs w:val="21"/>
                      <w:lang w:val="en-US" w:eastAsia="zh-CN" w:bidi="ar"/>
                    </w:rPr>
                    <w:t>总图布置应根据厂区地形地质条件，选择经济合理的布置方案，并应做到生产流程简捷流畅、布置紧凑合理、道路连接平顺</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本项目位于乐山市中区工业集中区南侧平地，原料堆场临路设置，方便运输</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4.1.2</w:t>
                  </w:r>
                  <w:r>
                    <w:rPr>
                      <w:rFonts w:hint="eastAsia" w:ascii="宋体" w:hAnsi="宋体" w:eastAsia="宋体" w:cs="宋体"/>
                      <w:color w:val="000000"/>
                      <w:kern w:val="0"/>
                      <w:sz w:val="21"/>
                      <w:szCs w:val="21"/>
                      <w:lang w:val="en-US" w:eastAsia="zh-CN" w:bidi="ar"/>
                    </w:rPr>
                    <w:t>总图布置应满足城镇发展规划和外部协作的要求，并应合理确定厂区辅助生产和生活设施的规模</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本项目辅助生产和生活设施规模满足项目要求</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4.1.3</w:t>
                  </w:r>
                  <w:r>
                    <w:rPr>
                      <w:rFonts w:hint="eastAsia" w:ascii="宋体" w:hAnsi="宋体" w:eastAsia="宋体" w:cs="宋体"/>
                      <w:color w:val="000000"/>
                      <w:kern w:val="0"/>
                      <w:sz w:val="21"/>
                      <w:szCs w:val="21"/>
                      <w:lang w:val="en-US" w:eastAsia="zh-CN" w:bidi="ar"/>
                    </w:rPr>
                    <w:t>工厂分期建设时，应统一规划、分期实施。设计时应兼顾近期与远期设施的布置衔接</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本项目为一期建设</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restart"/>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4.2</w:t>
                  </w:r>
                  <w:r>
                    <w:rPr>
                      <w:rFonts w:hint="eastAsia" w:ascii="宋体" w:hAnsi="宋体" w:cs="宋体"/>
                      <w:b w:val="0"/>
                      <w:bCs w:val="0"/>
                      <w:color w:val="000000"/>
                      <w:kern w:val="0"/>
                      <w:sz w:val="21"/>
                      <w:szCs w:val="21"/>
                      <w:vertAlign w:val="baseline"/>
                      <w:lang w:val="en-US" w:eastAsia="zh-CN" w:bidi="ar"/>
                    </w:rPr>
                    <w:t>厂址选择</w:t>
                  </w:r>
                </w:p>
              </w:tc>
              <w:tc>
                <w:tcPr>
                  <w:tcW w:w="3493" w:type="dxa"/>
                  <w:noWrap w:val="0"/>
                  <w:vAlign w:val="center"/>
                </w:tcPr>
                <w:p>
                  <w:pPr>
                    <w:keepNext w:val="0"/>
                    <w:keepLines w:val="0"/>
                    <w:widowControl/>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厂址选择应靠近资源所在地，并应远离居民区</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本项目位于工业集中区</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2</w:t>
                  </w:r>
                  <w:r>
                    <w:rPr>
                      <w:rFonts w:hint="eastAsia" w:ascii="宋体" w:hAnsi="宋体" w:eastAsia="宋体" w:cs="宋体"/>
                      <w:color w:val="000000"/>
                      <w:kern w:val="0"/>
                      <w:sz w:val="21"/>
                      <w:szCs w:val="21"/>
                      <w:lang w:val="en-US" w:eastAsia="zh-CN" w:bidi="ar"/>
                    </w:rPr>
                    <w:t>厂址应选择在工程地质和水文地质较好的地带，并应避开山洪、滑坡、泥石流等地质灾害易发地段</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本项目位于市中区工业集中区平地，周围无山洪、滑坡、泥石流等地质灾害易发地段</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3</w:t>
                  </w:r>
                  <w:r>
                    <w:rPr>
                      <w:rFonts w:hint="eastAsia" w:ascii="宋体" w:hAnsi="宋体" w:eastAsia="宋体" w:cs="宋体"/>
                      <w:color w:val="000000"/>
                      <w:kern w:val="0"/>
                      <w:sz w:val="21"/>
                      <w:szCs w:val="21"/>
                      <w:lang w:val="en-US" w:eastAsia="zh-CN" w:bidi="ar"/>
                    </w:rPr>
                    <w:t>厂址选择宜利用荒山地、山坡地，不占或少占农田、林地，不宜动迁村庄</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本项目占地类型为工业用地，不涉及搬迁</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5</w:t>
                  </w:r>
                  <w:r>
                    <w:rPr>
                      <w:rFonts w:hint="eastAsia" w:ascii="宋体" w:hAnsi="宋体" w:eastAsia="宋体" w:cs="宋体"/>
                      <w:color w:val="000000"/>
                      <w:kern w:val="0"/>
                      <w:sz w:val="21"/>
                      <w:szCs w:val="21"/>
                      <w:lang w:val="en-US" w:eastAsia="zh-CN" w:bidi="ar"/>
                    </w:rPr>
                    <w:t>厂址应具有良好的外部建设条件，并应有利于外部的协作</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本项目临近道路，方便物料的运输</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restart"/>
                  <w:noWrap w:val="0"/>
                  <w:vAlign w:val="center"/>
                </w:tcPr>
                <w:p>
                  <w:pPr>
                    <w:keepNext w:val="0"/>
                    <w:keepLines w:val="0"/>
                    <w:widowControl/>
                    <w:numPr>
                      <w:ilvl w:val="0"/>
                      <w:numId w:val="0"/>
                    </w:numPr>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4.3</w:t>
                  </w:r>
                  <w:r>
                    <w:rPr>
                      <w:rFonts w:hint="eastAsia" w:ascii="宋体" w:hAnsi="宋体" w:cs="宋体"/>
                      <w:b w:val="0"/>
                      <w:bCs w:val="0"/>
                      <w:color w:val="000000"/>
                      <w:kern w:val="0"/>
                      <w:sz w:val="21"/>
                      <w:szCs w:val="21"/>
                      <w:vertAlign w:val="baseline"/>
                      <w:lang w:val="en-US" w:eastAsia="zh-CN" w:bidi="ar"/>
                    </w:rPr>
                    <w:t>平面布置</w:t>
                  </w:r>
                </w:p>
              </w:tc>
              <w:tc>
                <w:tcPr>
                  <w:tcW w:w="3493" w:type="dxa"/>
                  <w:noWrap w:val="0"/>
                  <w:vAlign w:val="center"/>
                </w:tcPr>
                <w:p>
                  <w:pPr>
                    <w:keepNext w:val="0"/>
                    <w:keepLines w:val="0"/>
                    <w:widowControl/>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4.3.1</w:t>
                  </w:r>
                  <w:r>
                    <w:rPr>
                      <w:rFonts w:hint="eastAsia" w:ascii="宋体" w:hAnsi="宋体" w:eastAsia="宋体" w:cs="宋体"/>
                      <w:color w:val="000000"/>
                      <w:kern w:val="0"/>
                      <w:sz w:val="21"/>
                      <w:szCs w:val="21"/>
                      <w:lang w:val="en-US" w:eastAsia="zh-CN" w:bidi="ar"/>
                    </w:rPr>
                    <w:t>总平面布置宜采用集中布置方式，并应按功能合理设置分区。建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构</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筑物应满足生产需要</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本项目机械设备集中布置，并按照相应的功能区合理设置</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4.3.2</w:t>
                  </w:r>
                  <w:r>
                    <w:rPr>
                      <w:rFonts w:hint="eastAsia" w:ascii="宋体" w:hAnsi="宋体" w:eastAsia="宋体" w:cs="宋体"/>
                      <w:color w:val="000000"/>
                      <w:kern w:val="0"/>
                      <w:sz w:val="21"/>
                      <w:szCs w:val="21"/>
                      <w:lang w:val="en-US" w:eastAsia="zh-CN" w:bidi="ar"/>
                    </w:rPr>
                    <w:t>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构</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筑物的防火间距应符合现行国家标准《建筑设计防火规范》</w:t>
                  </w:r>
                  <w:r>
                    <w:rPr>
                      <w:rFonts w:hint="default" w:ascii="Times New Roman" w:hAnsi="Times New Roman"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GB50016</w:t>
                  </w:r>
                  <w:r>
                    <w:rPr>
                      <w:rFonts w:hint="default" w:ascii="Times New Roman" w:hAnsi="Times New Roman"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的有关规定</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本项目砂石车间、原料堆场等留有相应的间距，满足要求</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4.3.3</w:t>
                  </w:r>
                  <w:r>
                    <w:rPr>
                      <w:rFonts w:hint="eastAsia" w:ascii="宋体" w:hAnsi="宋体" w:eastAsia="宋体" w:cs="宋体"/>
                      <w:color w:val="000000"/>
                      <w:kern w:val="0"/>
                      <w:sz w:val="21"/>
                      <w:szCs w:val="21"/>
                      <w:lang w:val="en-US" w:eastAsia="zh-CN" w:bidi="ar"/>
                    </w:rPr>
                    <w:t>产生高噪声的破碎、筛分车间，与相邻建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构</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筑物的防噪声间距应符合现行国家标准《工业企业噪声控制设计规范》</w:t>
                  </w:r>
                  <w:r>
                    <w:rPr>
                      <w:rFonts w:hint="default" w:ascii="Times New Roman" w:hAnsi="Times New Roman" w:eastAsia="宋体" w:cs="Times New Roman"/>
                      <w:color w:val="000000"/>
                      <w:kern w:val="0"/>
                      <w:sz w:val="21"/>
                      <w:szCs w:val="21"/>
                      <w:lang w:val="en-US" w:eastAsia="zh-CN" w:bidi="ar"/>
                    </w:rPr>
                    <w:t>GB/T50087</w:t>
                  </w:r>
                  <w:r>
                    <w:rPr>
                      <w:rFonts w:hint="eastAsia" w:ascii="宋体" w:hAnsi="宋体" w:eastAsia="宋体" w:cs="宋体"/>
                      <w:color w:val="000000"/>
                      <w:kern w:val="0"/>
                      <w:sz w:val="21"/>
                      <w:szCs w:val="21"/>
                      <w:lang w:val="en-US" w:eastAsia="zh-CN" w:bidi="ar"/>
                    </w:rPr>
                    <w:t>的有关规</w:t>
                  </w:r>
                  <w:r>
                    <w:rPr>
                      <w:rFonts w:hint="eastAsia" w:ascii="宋体" w:hAnsi="宋体" w:cs="宋体"/>
                      <w:color w:val="000000"/>
                      <w:kern w:val="0"/>
                      <w:sz w:val="21"/>
                      <w:szCs w:val="21"/>
                      <w:lang w:val="en-US" w:eastAsia="zh-CN" w:bidi="ar"/>
                    </w:rPr>
                    <w:t>定</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本项目高噪声设备破碎筛分机置于封闭厂房内，满足相关要求</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4.3.4</w:t>
                  </w:r>
                  <w:r>
                    <w:rPr>
                      <w:rFonts w:hint="eastAsia" w:ascii="宋体" w:hAnsi="宋体" w:eastAsia="宋体" w:cs="宋体"/>
                      <w:color w:val="000000"/>
                      <w:kern w:val="0"/>
                      <w:sz w:val="21"/>
                      <w:szCs w:val="21"/>
                      <w:lang w:val="en-US" w:eastAsia="zh-CN" w:bidi="ar"/>
                    </w:rPr>
                    <w:t>产生强烈振动的生产设施与防震要求较高的建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构</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筑物的防震间距应符合现行国家标准《工业企业总平面设计规范》</w:t>
                  </w:r>
                  <w:r>
                    <w:rPr>
                      <w:rFonts w:hint="default" w:ascii="Times New Roman" w:hAnsi="Times New Roman" w:eastAsia="宋体" w:cs="Times New Roman"/>
                      <w:color w:val="000000"/>
                      <w:kern w:val="0"/>
                      <w:sz w:val="21"/>
                      <w:szCs w:val="21"/>
                      <w:lang w:val="en-US" w:eastAsia="zh-CN" w:bidi="ar"/>
                    </w:rPr>
                    <w:t>GB50187</w:t>
                  </w:r>
                  <w:r>
                    <w:rPr>
                      <w:rFonts w:hint="eastAsia" w:ascii="宋体" w:hAnsi="宋体" w:eastAsia="宋体" w:cs="宋体"/>
                      <w:color w:val="000000"/>
                      <w:kern w:val="0"/>
                      <w:sz w:val="21"/>
                      <w:szCs w:val="21"/>
                      <w:lang w:val="en-US" w:eastAsia="zh-CN" w:bidi="ar"/>
                    </w:rPr>
                    <w:t>的有关规定</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本项目产生强烈振动的设施主要是破碎机等，主要设置与厂区中部</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eastAsia" w:ascii="宋体" w:hAnsi="宋体" w:cs="宋体"/>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4.3.5</w:t>
                  </w:r>
                  <w:r>
                    <w:rPr>
                      <w:rFonts w:hint="eastAsia" w:ascii="宋体" w:hAnsi="宋体" w:eastAsia="宋体" w:cs="宋体"/>
                      <w:color w:val="000000"/>
                      <w:kern w:val="0"/>
                      <w:sz w:val="21"/>
                      <w:szCs w:val="21"/>
                      <w:lang w:val="en-US" w:eastAsia="zh-CN" w:bidi="ar"/>
                    </w:rPr>
                    <w:t>基本生活设施应根据需要设置，宜利用厂区周围的服务设施</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本项目生活设施临近加工厂</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eastAsia" w:ascii="宋体" w:hAnsi="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4.3.6</w:t>
                  </w:r>
                  <w:r>
                    <w:rPr>
                      <w:rFonts w:hint="eastAsia" w:ascii="宋体" w:hAnsi="宋体" w:eastAsia="宋体" w:cs="宋体"/>
                      <w:color w:val="000000"/>
                      <w:kern w:val="0"/>
                      <w:sz w:val="21"/>
                      <w:szCs w:val="21"/>
                      <w:lang w:val="en-US" w:eastAsia="zh-CN" w:bidi="ar"/>
                    </w:rPr>
                    <w:t>变</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配</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电所、空压机房应靠近负荷中心布置。控制室、机电维修车间、材料库等生产辅助设施可与服务对象合建或就近布置</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本项目布局紧凑，按照生产工艺就近布置</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4.3.7</w:t>
                  </w:r>
                  <w:r>
                    <w:rPr>
                      <w:rFonts w:hint="eastAsia" w:ascii="宋体" w:hAnsi="宋体" w:eastAsia="宋体" w:cs="宋体"/>
                      <w:color w:val="000000"/>
                      <w:kern w:val="0"/>
                      <w:sz w:val="21"/>
                      <w:szCs w:val="21"/>
                      <w:lang w:val="en-US" w:eastAsia="zh-CN" w:bidi="ar"/>
                    </w:rPr>
                    <w:t>洗车台宜露天布置，可采用贯通式或尽头式。洗车台应设置排水沟，排水沟应与排水系统连通</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评价要求建设单位洗车台设置与出场道路，设置沉淀池</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sz w:val="21"/>
                      <w:szCs w:val="21"/>
                    </w:rPr>
                  </w:pPr>
                  <w:r>
                    <w:rPr>
                      <w:rFonts w:hint="default" w:ascii="Times New Roman" w:hAnsi="Times New Roman" w:eastAsia="宋体" w:cs="Times New Roman"/>
                      <w:color w:val="000000"/>
                      <w:kern w:val="0"/>
                      <w:sz w:val="21"/>
                      <w:szCs w:val="21"/>
                      <w:lang w:val="en-US" w:eastAsia="zh-CN" w:bidi="ar"/>
                    </w:rPr>
                    <w:t>4.3.8</w:t>
                  </w:r>
                  <w:r>
                    <w:rPr>
                      <w:rFonts w:hint="eastAsia" w:ascii="宋体" w:hAnsi="宋体" w:eastAsia="宋体" w:cs="宋体"/>
                      <w:color w:val="000000"/>
                      <w:kern w:val="0"/>
                      <w:sz w:val="21"/>
                      <w:szCs w:val="21"/>
                      <w:lang w:val="en-US" w:eastAsia="zh-CN" w:bidi="ar"/>
                    </w:rPr>
                    <w:t>成品库</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堆场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设计应符合下列规定：</w:t>
                  </w:r>
                </w:p>
                <w:p>
                  <w:pPr>
                    <w:keepNext w:val="0"/>
                    <w:keepLines w:val="0"/>
                    <w:widowControl/>
                    <w:suppressLineNumbers w:val="0"/>
                    <w:spacing w:line="240" w:lineRule="auto"/>
                    <w:jc w:val="center"/>
                    <w:rPr>
                      <w:sz w:val="21"/>
                      <w:szCs w:val="21"/>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成品库</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堆场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的场地宜满足物料进行装</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卸</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车、倒堆储存及转运要求，并应具有满足装卸和储存要求的装</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卸</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车位及储存场地；</w:t>
                  </w:r>
                </w:p>
                <w:p>
                  <w:pPr>
                    <w:keepNext w:val="0"/>
                    <w:keepLines w:val="0"/>
                    <w:widowControl/>
                    <w:suppressLineNumbers w:val="0"/>
                    <w:spacing w:line="240" w:lineRule="auto"/>
                    <w:jc w:val="center"/>
                    <w:rPr>
                      <w:sz w:val="21"/>
                      <w:szCs w:val="21"/>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成品库</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堆场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设计储存能力应满足生产对储存期及装</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卸</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车长度要求；</w:t>
                  </w:r>
                </w:p>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成品库</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堆场</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竖向设计及地表水排放宜与厂区竖向设计和排水系统协调一致</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成品库的场地满足物料进行装</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卸</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车、倒堆储存及转运要求，设计储存能力满足生产对储存期及装</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卸</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车长度要求；</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4.3.9</w:t>
                  </w:r>
                  <w:r>
                    <w:rPr>
                      <w:rFonts w:hint="eastAsia" w:ascii="宋体" w:hAnsi="宋体" w:eastAsia="宋体" w:cs="宋体"/>
                      <w:color w:val="000000"/>
                      <w:kern w:val="0"/>
                      <w:sz w:val="21"/>
                      <w:szCs w:val="21"/>
                      <w:lang w:val="en-US" w:eastAsia="zh-CN" w:bidi="ar"/>
                    </w:rPr>
                    <w:t>厂区道路设计应符合现行国家标准《厂矿道路设计规范》</w:t>
                  </w:r>
                  <w:r>
                    <w:rPr>
                      <w:rFonts w:hint="default" w:ascii="Times New Roman" w:hAnsi="Times New Roman" w:eastAsia="宋体" w:cs="Times New Roman"/>
                      <w:color w:val="000000"/>
                      <w:kern w:val="0"/>
                      <w:sz w:val="21"/>
                      <w:szCs w:val="21"/>
                      <w:lang w:val="en-US" w:eastAsia="zh-CN" w:bidi="ar"/>
                    </w:rPr>
                    <w:t>GBJ22</w:t>
                  </w:r>
                  <w:r>
                    <w:rPr>
                      <w:rFonts w:hint="eastAsia" w:ascii="宋体" w:hAnsi="宋体" w:eastAsia="宋体" w:cs="宋体"/>
                      <w:color w:val="000000"/>
                      <w:kern w:val="0"/>
                      <w:sz w:val="21"/>
                      <w:szCs w:val="21"/>
                      <w:lang w:val="en-US" w:eastAsia="zh-CN" w:bidi="ar"/>
                    </w:rPr>
                    <w:t>的有关规定。消防通道路面宽度不应小</w:t>
                  </w:r>
                  <w:r>
                    <w:rPr>
                      <w:rFonts w:hint="eastAsia" w:ascii="宋体" w:hAnsi="宋体" w:cs="宋体"/>
                      <w:color w:val="000000"/>
                      <w:kern w:val="0"/>
                      <w:sz w:val="21"/>
                      <w:szCs w:val="21"/>
                      <w:lang w:val="en-US" w:eastAsia="zh-CN" w:bidi="ar"/>
                    </w:rPr>
                    <w:t>于</w:t>
                  </w:r>
                  <w:r>
                    <w:rPr>
                      <w:rFonts w:hint="default" w:ascii="Times New Roman" w:hAnsi="Times New Roman" w:cs="Times New Roman"/>
                      <w:color w:val="000000"/>
                      <w:kern w:val="0"/>
                      <w:sz w:val="21"/>
                      <w:szCs w:val="21"/>
                      <w:lang w:val="en-US" w:eastAsia="zh-CN" w:bidi="ar"/>
                    </w:rPr>
                    <w:t>4.0</w:t>
                  </w:r>
                  <w:r>
                    <w:rPr>
                      <w:rFonts w:hint="default" w:ascii="Times New Roman" w:hAnsi="Times New Roman" w:eastAsia="宋体" w:cs="Times New Roman"/>
                      <w:color w:val="000000"/>
                      <w:kern w:val="0"/>
                      <w:sz w:val="21"/>
                      <w:szCs w:val="21"/>
                      <w:lang w:val="en-US" w:eastAsia="zh-CN" w:bidi="ar"/>
                    </w:rPr>
                    <w:t>m</w:t>
                  </w:r>
                  <w:r>
                    <w:rPr>
                      <w:rFonts w:hint="eastAsia" w:ascii="宋体" w:hAnsi="宋体" w:eastAsia="宋体" w:cs="宋体"/>
                      <w:color w:val="000000"/>
                      <w:kern w:val="0"/>
                      <w:sz w:val="21"/>
                      <w:szCs w:val="21"/>
                      <w:lang w:val="en-US" w:eastAsia="zh-CN" w:bidi="ar"/>
                    </w:rPr>
                    <w:t>、通行净空高度不应小于</w:t>
                  </w:r>
                  <w:r>
                    <w:rPr>
                      <w:rFonts w:hint="default" w:ascii="Times New Roman" w:hAnsi="Times New Roman" w:eastAsia="宋体" w:cs="Times New Roman"/>
                      <w:color w:val="000000"/>
                      <w:kern w:val="0"/>
                      <w:sz w:val="21"/>
                      <w:szCs w:val="21"/>
                      <w:lang w:val="en-US" w:eastAsia="zh-CN" w:bidi="ar"/>
                    </w:rPr>
                    <w:t>4.5m</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本项目道路符合《厂矿道路设计规范》</w:t>
                  </w:r>
                  <w:r>
                    <w:rPr>
                      <w:rFonts w:hint="default" w:ascii="Times New Roman" w:hAnsi="Times New Roman" w:eastAsia="宋体" w:cs="Times New Roman"/>
                      <w:color w:val="000000"/>
                      <w:kern w:val="0"/>
                      <w:sz w:val="21"/>
                      <w:szCs w:val="21"/>
                      <w:lang w:val="en-US" w:eastAsia="zh-CN" w:bidi="ar"/>
                    </w:rPr>
                    <w:t>GBJ22</w:t>
                  </w:r>
                  <w:r>
                    <w:rPr>
                      <w:rFonts w:hint="eastAsia" w:ascii="宋体" w:hAnsi="宋体" w:eastAsia="宋体" w:cs="宋体"/>
                      <w:color w:val="000000"/>
                      <w:kern w:val="0"/>
                      <w:sz w:val="21"/>
                      <w:szCs w:val="21"/>
                      <w:lang w:val="en-US" w:eastAsia="zh-CN" w:bidi="ar"/>
                    </w:rPr>
                    <w:t>的有关规定</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4.3.10</w:t>
                  </w:r>
                  <w:r>
                    <w:rPr>
                      <w:rFonts w:hint="eastAsia" w:ascii="宋体" w:hAnsi="宋体" w:eastAsia="宋体" w:cs="宋体"/>
                      <w:color w:val="000000"/>
                      <w:kern w:val="0"/>
                      <w:sz w:val="21"/>
                      <w:szCs w:val="21"/>
                      <w:lang w:val="en-US" w:eastAsia="zh-CN" w:bidi="ar"/>
                    </w:rPr>
                    <w:t>厂区生产运输道路可兼作消防通道，消防通道应全场贯通无障碍。断头路在道路尽头处应设置回车场地</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本项目厂区道路设有回车场地</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4.3.11</w:t>
                  </w:r>
                  <w:r>
                    <w:rPr>
                      <w:rFonts w:hint="eastAsia" w:ascii="宋体" w:hAnsi="宋体" w:eastAsia="宋体" w:cs="宋体"/>
                      <w:color w:val="000000"/>
                      <w:kern w:val="0"/>
                      <w:sz w:val="21"/>
                      <w:szCs w:val="21"/>
                      <w:lang w:val="en-US" w:eastAsia="zh-CN" w:bidi="ar"/>
                    </w:rPr>
                    <w:t>厂区出入口设置应满足厂区消防要求。主要人流出入口应与货运出入口分开布置，并应靠近生活设施区</w:t>
                  </w:r>
                </w:p>
              </w:tc>
              <w:tc>
                <w:tcPr>
                  <w:tcW w:w="1980" w:type="dxa"/>
                  <w:noWrap w:val="0"/>
                  <w:vAlign w:val="center"/>
                </w:tcPr>
                <w:p>
                  <w:pPr>
                    <w:keepNext w:val="0"/>
                    <w:keepLines w:val="0"/>
                    <w:widowControl/>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eastAsia="宋体" w:cs="宋体"/>
                      <w:color w:val="000000"/>
                      <w:kern w:val="0"/>
                      <w:sz w:val="21"/>
                      <w:szCs w:val="21"/>
                      <w:lang w:val="en-US" w:eastAsia="zh-CN" w:bidi="ar"/>
                    </w:rPr>
                    <w:t>根设据置现应场满调足查厂，区厂消区防入要口求。主要人流出入口应与货运出入口分开布置，并应靠近生活设施</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4.3.12</w:t>
                  </w:r>
                  <w:r>
                    <w:rPr>
                      <w:rFonts w:hint="eastAsia" w:ascii="宋体" w:hAnsi="宋体" w:eastAsia="宋体" w:cs="宋体"/>
                      <w:color w:val="000000"/>
                      <w:kern w:val="0"/>
                      <w:sz w:val="21"/>
                      <w:szCs w:val="21"/>
                      <w:lang w:val="en-US" w:eastAsia="zh-CN" w:bidi="ar"/>
                    </w:rPr>
                    <w:t>厂区内应进行绿化设计</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厂区内有绿化设置</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4.3.13</w:t>
                  </w:r>
                  <w:r>
                    <w:rPr>
                      <w:rFonts w:hint="eastAsia" w:ascii="宋体" w:hAnsi="宋体" w:eastAsia="宋体" w:cs="宋体"/>
                      <w:color w:val="000000"/>
                      <w:kern w:val="0"/>
                      <w:sz w:val="21"/>
                      <w:szCs w:val="21"/>
                      <w:lang w:val="en-US" w:eastAsia="zh-CN" w:bidi="ar"/>
                    </w:rPr>
                    <w:t>厂区周围宜设有围墙</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本项目厂区周围设有围墙</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eastAsia="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restart"/>
                  <w:noWrap w:val="0"/>
                  <w:vAlign w:val="center"/>
                </w:tcPr>
                <w:p>
                  <w:pPr>
                    <w:keepNext w:val="0"/>
                    <w:keepLines w:val="0"/>
                    <w:widowControl/>
                    <w:numPr>
                      <w:ilvl w:val="0"/>
                      <w:numId w:val="0"/>
                    </w:numPr>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w:t>
                  </w:r>
                  <w:r>
                    <w:rPr>
                      <w:rFonts w:hint="eastAsia" w:ascii="宋体" w:hAnsi="宋体" w:cs="宋体"/>
                      <w:b w:val="0"/>
                      <w:bCs w:val="0"/>
                      <w:color w:val="000000"/>
                      <w:kern w:val="0"/>
                      <w:sz w:val="21"/>
                      <w:szCs w:val="21"/>
                      <w:vertAlign w:val="baseline"/>
                      <w:lang w:val="en-US" w:eastAsia="zh-CN" w:bidi="ar"/>
                    </w:rPr>
                    <w:t>环境保护</w:t>
                  </w:r>
                </w:p>
              </w:tc>
              <w:tc>
                <w:tcPr>
                  <w:tcW w:w="3493" w:type="dxa"/>
                  <w:noWrap w:val="0"/>
                  <w:vAlign w:val="center"/>
                </w:tcPr>
                <w:p>
                  <w:pPr>
                    <w:keepNext w:val="0"/>
                    <w:keepLines w:val="0"/>
                    <w:widowControl/>
                    <w:suppressLineNumbers w:val="0"/>
                    <w:spacing w:line="240" w:lineRule="auto"/>
                    <w:jc w:val="center"/>
                    <w:rPr>
                      <w:rFonts w:hint="default" w:ascii="Times New Roman" w:hAnsi="Times New Roman" w:cs="Times New Roman"/>
                      <w:color w:val="000000"/>
                      <w:kern w:val="0"/>
                      <w:sz w:val="21"/>
                      <w:szCs w:val="21"/>
                      <w:lang w:val="en-US" w:eastAsia="zh-CN" w:bidi="ar"/>
                    </w:rPr>
                  </w:pPr>
                  <w:r>
                    <w:rPr>
                      <w:rFonts w:hint="eastAsia" w:cs="Times New Roman"/>
                      <w:color w:val="000000"/>
                      <w:kern w:val="0"/>
                      <w:sz w:val="21"/>
                      <w:szCs w:val="21"/>
                      <w:lang w:val="en-US" w:eastAsia="zh-CN" w:bidi="ar"/>
                    </w:rPr>
                    <w:t>8.0.2机制砂石骨料生产线必须配有收尘系统</w:t>
                  </w:r>
                </w:p>
              </w:tc>
              <w:tc>
                <w:tcPr>
                  <w:tcW w:w="1980" w:type="dxa"/>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本项目为湿式加工，并在产尘点安装水雾喷头，控制粉尘产生</w:t>
                  </w:r>
                </w:p>
              </w:tc>
              <w:tc>
                <w:tcPr>
                  <w:tcW w:w="1050" w:type="dxa"/>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default" w:ascii="Times New Roman" w:hAnsi="Times New Roman" w:cs="Times New Roman"/>
                      <w:color w:val="000000"/>
                      <w:kern w:val="0"/>
                      <w:sz w:val="21"/>
                      <w:szCs w:val="21"/>
                      <w:lang w:val="en-US" w:eastAsia="zh-CN" w:bidi="ar"/>
                    </w:rPr>
                  </w:pPr>
                  <w:r>
                    <w:rPr>
                      <w:rFonts w:hint="eastAsia" w:cs="Times New Roman"/>
                      <w:color w:val="000000"/>
                      <w:kern w:val="0"/>
                      <w:sz w:val="21"/>
                      <w:szCs w:val="21"/>
                      <w:lang w:val="en-US" w:eastAsia="zh-CN" w:bidi="ar"/>
                    </w:rPr>
                    <w:t>8.0.3机制砂石骨料湿法生产线必须设置废水处理系统，并应循环用水</w:t>
                  </w:r>
                </w:p>
              </w:tc>
              <w:tc>
                <w:tcPr>
                  <w:tcW w:w="1980" w:type="dxa"/>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本项目设置了生产废水浓密设施+沉淀池，并回用于生产</w:t>
                  </w:r>
                </w:p>
              </w:tc>
              <w:tc>
                <w:tcPr>
                  <w:tcW w:w="1050" w:type="dxa"/>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vMerge w:val="continue"/>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eastAsia"/>
                      <w:sz w:val="21"/>
                      <w:szCs w:val="21"/>
                      <w:lang w:val="en-US" w:eastAsia="zh-CN"/>
                    </w:rPr>
                  </w:pPr>
                  <w:r>
                    <w:rPr>
                      <w:rFonts w:hint="eastAsia"/>
                      <w:sz w:val="21"/>
                      <w:szCs w:val="21"/>
                      <w:lang w:val="en-US" w:eastAsia="zh-CN"/>
                    </w:rPr>
                    <w:t>8.0.5粉尘污染防治应符合下列规定：</w:t>
                  </w:r>
                </w:p>
                <w:p>
                  <w:pPr>
                    <w:pStyle w:val="2"/>
                    <w:ind w:left="0" w:leftChars="0" w:firstLine="0" w:firstLineChars="0"/>
                    <w:jc w:val="center"/>
                    <w:rPr>
                      <w:rFonts w:hint="eastAsia"/>
                      <w:sz w:val="21"/>
                      <w:szCs w:val="21"/>
                      <w:lang w:val="en-US" w:eastAsia="zh-CN"/>
                    </w:rPr>
                  </w:pPr>
                  <w:r>
                    <w:rPr>
                      <w:rFonts w:hint="eastAsia"/>
                      <w:sz w:val="21"/>
                      <w:szCs w:val="21"/>
                      <w:lang w:val="en-US" w:eastAsia="zh-CN"/>
                    </w:rPr>
                    <w:t>1机制砂石骨料工厂应对破碎、筛分及输送等生产环节采取密布措施</w:t>
                  </w:r>
                </w:p>
                <w:p>
                  <w:pPr>
                    <w:jc w:val="center"/>
                    <w:rPr>
                      <w:rFonts w:hint="eastAsia"/>
                      <w:sz w:val="21"/>
                      <w:szCs w:val="21"/>
                      <w:lang w:val="en-US" w:eastAsia="zh-CN"/>
                    </w:rPr>
                  </w:pPr>
                  <w:r>
                    <w:rPr>
                      <w:rFonts w:hint="eastAsia"/>
                      <w:sz w:val="21"/>
                      <w:szCs w:val="21"/>
                      <w:lang w:val="en-US" w:eastAsia="zh-CN"/>
                    </w:rPr>
                    <w:t>2机制砂石骨料工厂应对破碎、筛分及输送等转运站等扬尘点设置收尘装置，粉尘排放浓度应符合现行国家标准《大气污染物综合排放标准》GB16297的有关规定，并应满足厂区所在地区的环保要求</w:t>
                  </w:r>
                </w:p>
                <w:p>
                  <w:pPr>
                    <w:pStyle w:val="2"/>
                    <w:ind w:left="0" w:leftChars="0" w:firstLine="0" w:firstLineChars="0"/>
                    <w:jc w:val="center"/>
                    <w:rPr>
                      <w:rFonts w:hint="default"/>
                      <w:sz w:val="21"/>
                      <w:szCs w:val="21"/>
                      <w:lang w:val="en-US" w:eastAsia="zh-CN"/>
                    </w:rPr>
                  </w:pPr>
                  <w:r>
                    <w:rPr>
                      <w:rFonts w:hint="eastAsia"/>
                      <w:sz w:val="21"/>
                      <w:szCs w:val="21"/>
                      <w:lang w:val="en-US" w:eastAsia="zh-CN"/>
                    </w:rPr>
                    <w:t>3对于无组织排放的扬尘场所，应采取喷雾、洒水、封闭等防尘措施</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本项目生产设备全封闭式布置；破碎、筛分及输送等扬尘点安装水雾喷头进行喷雾降尘；无组织排放的扬尘场所全封闭并设置喷雾降尘装置</w:t>
                  </w:r>
                </w:p>
              </w:tc>
              <w:tc>
                <w:tcPr>
                  <w:tcW w:w="1050" w:type="dxa"/>
                  <w:noWrap w:val="0"/>
                  <w:vAlign w:val="center"/>
                </w:tcPr>
                <w:p>
                  <w:pPr>
                    <w:keepNext w:val="0"/>
                    <w:keepLines w:val="0"/>
                    <w:widowControl/>
                    <w:numPr>
                      <w:ilvl w:val="0"/>
                      <w:numId w:val="0"/>
                    </w:numPr>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 w:type="dxa"/>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p>
              </w:tc>
              <w:tc>
                <w:tcPr>
                  <w:tcW w:w="3493" w:type="dxa"/>
                  <w:noWrap w:val="0"/>
                  <w:vAlign w:val="center"/>
                </w:tcPr>
                <w:p>
                  <w:pPr>
                    <w:keepNext w:val="0"/>
                    <w:keepLines w:val="0"/>
                    <w:widowControl/>
                    <w:suppressLineNumbers w:val="0"/>
                    <w:spacing w:line="240" w:lineRule="auto"/>
                    <w:jc w:val="center"/>
                    <w:rPr>
                      <w:rFonts w:hint="eastAsia"/>
                      <w:lang w:val="en-US" w:eastAsia="zh-CN"/>
                    </w:rPr>
                  </w:pPr>
                  <w:r>
                    <w:rPr>
                      <w:rFonts w:hint="eastAsia"/>
                      <w:lang w:val="en-US" w:eastAsia="zh-CN"/>
                    </w:rPr>
                    <w:t>8.0.7废水污染防治应符合下列规定：</w:t>
                  </w:r>
                </w:p>
                <w:p>
                  <w:pPr>
                    <w:pStyle w:val="2"/>
                    <w:ind w:left="0" w:leftChars="0" w:firstLine="0" w:firstLineChars="0"/>
                    <w:jc w:val="center"/>
                    <w:rPr>
                      <w:rFonts w:hint="eastAsia"/>
                      <w:sz w:val="21"/>
                      <w:szCs w:val="21"/>
                      <w:lang w:val="en-US" w:eastAsia="zh-CN"/>
                    </w:rPr>
                  </w:pPr>
                  <w:r>
                    <w:rPr>
                      <w:rFonts w:hint="eastAsia"/>
                      <w:sz w:val="21"/>
                      <w:szCs w:val="21"/>
                      <w:lang w:val="en-US" w:eastAsia="zh-CN"/>
                    </w:rPr>
                    <w:t>1生产排水、雨水和生活污水，应清污分流</w:t>
                  </w:r>
                </w:p>
                <w:p>
                  <w:pPr>
                    <w:jc w:val="center"/>
                    <w:rPr>
                      <w:rFonts w:hint="default"/>
                      <w:lang w:val="en-US" w:eastAsia="zh-CN"/>
                    </w:rPr>
                  </w:pPr>
                  <w:r>
                    <w:rPr>
                      <w:rFonts w:hint="eastAsia"/>
                      <w:lang w:val="en-US" w:eastAsia="zh-CN"/>
                    </w:rPr>
                    <w:t>5生产废水应经自然沉淀或机械脱水，固液分离后的清水应回用于生产系统</w:t>
                  </w:r>
                </w:p>
              </w:tc>
              <w:tc>
                <w:tcPr>
                  <w:tcW w:w="1980" w:type="dxa"/>
                  <w:noWrap w:val="0"/>
                  <w:vAlign w:val="center"/>
                </w:tcPr>
                <w:p>
                  <w:pPr>
                    <w:keepNext w:val="0"/>
                    <w:keepLines w:val="0"/>
                    <w:widowControl/>
                    <w:numPr>
                      <w:ilvl w:val="0"/>
                      <w:numId w:val="0"/>
                    </w:numPr>
                    <w:suppressLineNumbers w:val="0"/>
                    <w:spacing w:line="240" w:lineRule="auto"/>
                    <w:jc w:val="center"/>
                    <w:rPr>
                      <w:rFonts w:hint="default"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本项目生产废水利用浓密设施+沉淀池处理，雨水进入场区沉淀池，生活污水进入污水预处理池，分开处理；生产废水经浓密设施处理后回用于生产</w:t>
                  </w:r>
                </w:p>
              </w:tc>
              <w:tc>
                <w:tcPr>
                  <w:tcW w:w="1050" w:type="dxa"/>
                  <w:noWrap w:val="0"/>
                  <w:vAlign w:val="center"/>
                </w:tcPr>
                <w:p>
                  <w:pPr>
                    <w:keepNext w:val="0"/>
                    <w:keepLines w:val="0"/>
                    <w:widowControl/>
                    <w:numPr>
                      <w:ilvl w:val="0"/>
                      <w:numId w:val="0"/>
                    </w:numPr>
                    <w:suppressLineNumbers w:val="0"/>
                    <w:spacing w:line="240" w:lineRule="auto"/>
                    <w:jc w:val="center"/>
                    <w:rPr>
                      <w:rFonts w:hint="eastAsia" w:ascii="宋体" w:hAnsi="宋体" w:cs="宋体"/>
                      <w:b w:val="0"/>
                      <w:bCs w:val="0"/>
                      <w:color w:val="000000"/>
                      <w:kern w:val="0"/>
                      <w:sz w:val="21"/>
                      <w:szCs w:val="21"/>
                      <w:vertAlign w:val="baseline"/>
                      <w:lang w:val="en-US" w:eastAsia="zh-CN" w:bidi="ar"/>
                    </w:rPr>
                  </w:pPr>
                  <w:r>
                    <w:rPr>
                      <w:rFonts w:hint="eastAsia" w:ascii="宋体" w:hAnsi="宋体" w:cs="宋体"/>
                      <w:b w:val="0"/>
                      <w:bCs w:val="0"/>
                      <w:color w:val="000000"/>
                      <w:kern w:val="0"/>
                      <w:sz w:val="21"/>
                      <w:szCs w:val="21"/>
                      <w:vertAlign w:val="baseline"/>
                      <w:lang w:val="en-US" w:eastAsia="zh-CN" w:bidi="ar"/>
                    </w:rPr>
                    <w:t>符合</w:t>
                  </w:r>
                </w:p>
              </w:tc>
            </w:tr>
          </w:tbl>
          <w:p>
            <w:pPr>
              <w:keepNext w:val="0"/>
              <w:keepLines w:val="0"/>
              <w:widowControl/>
              <w:suppressLineNumbers w:val="0"/>
              <w:spacing w:line="360" w:lineRule="auto"/>
              <w:ind w:firstLine="480" w:firstLineChars="200"/>
              <w:jc w:val="left"/>
            </w:pPr>
            <w:r>
              <w:rPr>
                <w:rFonts w:hint="eastAsia" w:ascii="宋体" w:hAnsi="宋体" w:eastAsia="宋体" w:cs="宋体"/>
                <w:b w:val="0"/>
                <w:bCs w:val="0"/>
                <w:color w:val="auto"/>
                <w:kern w:val="0"/>
                <w:sz w:val="24"/>
                <w:szCs w:val="24"/>
                <w:lang w:val="en-US" w:eastAsia="zh-CN" w:bidi="ar"/>
              </w:rPr>
              <w:t>综上所述，本项目作为砂石加工生产线，符合</w:t>
            </w:r>
            <w:r>
              <w:rPr>
                <w:rFonts w:hint="eastAsia"/>
                <w:b w:val="0"/>
                <w:bCs w:val="0"/>
                <w:color w:val="auto"/>
                <w:sz w:val="24"/>
                <w:szCs w:val="24"/>
                <w:lang w:val="en-US" w:eastAsia="zh-CN"/>
              </w:rPr>
              <w:t>《乐山市砂石加工场污染防治验收标准》、</w:t>
            </w:r>
            <w:r>
              <w:rPr>
                <w:rFonts w:hint="eastAsia" w:ascii="宋体" w:hAnsi="宋体" w:eastAsia="宋体" w:cs="宋体"/>
                <w:b w:val="0"/>
                <w:bCs w:val="0"/>
                <w:color w:val="auto"/>
                <w:kern w:val="0"/>
                <w:sz w:val="24"/>
                <w:szCs w:val="24"/>
                <w:lang w:val="en-US" w:eastAsia="zh-CN" w:bidi="ar"/>
              </w:rPr>
              <w:t>《机制砂骨料工厂设计规范》要求。</w:t>
            </w:r>
          </w:p>
          <w:p>
            <w:pPr>
              <w:keepNext w:val="0"/>
              <w:keepLines w:val="0"/>
              <w:widowControl/>
              <w:suppressLineNumbers w:val="0"/>
              <w:spacing w:line="360" w:lineRule="auto"/>
              <w:ind w:firstLine="482" w:firstLineChars="200"/>
              <w:jc w:val="left"/>
              <w:rPr>
                <w:sz w:val="24"/>
                <w:szCs w:val="24"/>
              </w:rPr>
            </w:pPr>
            <w:r>
              <w:rPr>
                <w:rFonts w:hint="eastAsia" w:ascii="宋体" w:hAnsi="宋体" w:cs="宋体"/>
                <w:b/>
                <w:bCs/>
                <w:color w:val="000000"/>
                <w:kern w:val="0"/>
                <w:sz w:val="24"/>
                <w:szCs w:val="24"/>
                <w:lang w:val="en-US" w:eastAsia="zh-CN" w:bidi="ar"/>
              </w:rPr>
              <w:t>八、</w:t>
            </w:r>
            <w:r>
              <w:rPr>
                <w:rFonts w:hint="eastAsia" w:ascii="宋体" w:hAnsi="宋体" w:eastAsia="宋体" w:cs="宋体"/>
                <w:b/>
                <w:bCs/>
                <w:color w:val="000000"/>
                <w:kern w:val="0"/>
                <w:sz w:val="24"/>
                <w:szCs w:val="24"/>
                <w:lang w:val="en-US" w:eastAsia="zh-CN" w:bidi="ar"/>
              </w:rPr>
              <w:t>选址符合性分析</w:t>
            </w:r>
          </w:p>
          <w:p>
            <w:pPr>
              <w:keepNext w:val="0"/>
              <w:keepLines w:val="0"/>
              <w:widowControl/>
              <w:suppressLineNumbers w:val="0"/>
              <w:spacing w:line="360" w:lineRule="auto"/>
              <w:ind w:firstLine="480" w:firstLineChars="200"/>
              <w:jc w:val="left"/>
              <w:rPr>
                <w:rFonts w:hint="eastAsia" w:ascii="宋体" w:hAnsi="宋体" w:eastAsia="宋体" w:cs="宋体"/>
                <w:color w:val="FF0000"/>
                <w:kern w:val="0"/>
                <w:sz w:val="24"/>
                <w:szCs w:val="24"/>
                <w:lang w:val="en-US" w:eastAsia="zh-CN" w:bidi="ar"/>
              </w:rPr>
            </w:pPr>
            <w:r>
              <w:rPr>
                <w:rFonts w:hint="eastAsia" w:ascii="宋体" w:hAnsi="宋体" w:eastAsia="宋体" w:cs="宋体"/>
                <w:color w:val="auto"/>
                <w:kern w:val="0"/>
                <w:sz w:val="24"/>
                <w:szCs w:val="24"/>
                <w:lang w:val="en-US" w:eastAsia="zh-CN" w:bidi="ar"/>
              </w:rPr>
              <w:t>本项目位于乐山市工业集中区水口</w:t>
            </w:r>
            <w:r>
              <w:rPr>
                <w:rFonts w:hint="default" w:ascii="Times New Roman" w:hAnsi="Times New Roman"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罗汉工业园区内，据现场勘查：本项目北侧为义博建材有限公司；南侧紧邻园区道路；东侧紧邻庄大商混，西侧紧邻</w:t>
            </w:r>
            <w:r>
              <w:rPr>
                <w:rFonts w:hint="eastAsia" w:ascii="Times New Roman" w:hAnsi="Times New Roman" w:eastAsia="宋体" w:cs="Times New Roman"/>
                <w:color w:val="auto"/>
                <w:kern w:val="0"/>
                <w:sz w:val="24"/>
                <w:szCs w:val="24"/>
                <w:lang w:val="en-US" w:eastAsia="zh-CN" w:bidi="ar"/>
              </w:rPr>
              <w:t>乐山杭加节能新材料有限公司</w:t>
            </w:r>
            <w:r>
              <w:rPr>
                <w:rFonts w:hint="eastAsia" w:ascii="宋体" w:hAnsi="宋体" w:eastAsia="宋体" w:cs="宋体"/>
                <w:color w:val="auto"/>
                <w:kern w:val="0"/>
                <w:sz w:val="24"/>
                <w:szCs w:val="24"/>
                <w:lang w:val="en-US" w:eastAsia="zh-CN" w:bidi="ar"/>
              </w:rPr>
              <w:t>。</w:t>
            </w:r>
            <w:r>
              <w:rPr>
                <w:rFonts w:hint="eastAsia"/>
                <w:sz w:val="24"/>
              </w:rPr>
              <w:t>东面约</w:t>
            </w:r>
            <w:r>
              <w:rPr>
                <w:rFonts w:hint="eastAsia"/>
                <w:sz w:val="24"/>
                <w:lang w:val="en-US" w:eastAsia="zh-CN"/>
              </w:rPr>
              <w:t>600</w:t>
            </w:r>
            <w:r>
              <w:rPr>
                <w:rFonts w:hint="eastAsia"/>
                <w:sz w:val="24"/>
              </w:rPr>
              <w:t>m处为大渡河</w:t>
            </w:r>
          </w:p>
          <w:p>
            <w:pPr>
              <w:keepNext w:val="0"/>
              <w:keepLines w:val="0"/>
              <w:widowControl/>
              <w:suppressLineNumbers w:val="0"/>
              <w:spacing w:line="360" w:lineRule="auto"/>
              <w:ind w:firstLine="480" w:firstLineChars="200"/>
              <w:jc w:val="left"/>
              <w:rPr>
                <w:rFonts w:hint="eastAsia"/>
                <w:color w:val="auto"/>
                <w:sz w:val="24"/>
              </w:rPr>
            </w:pPr>
            <w:r>
              <w:rPr>
                <w:rFonts w:hint="eastAsia" w:ascii="宋体" w:hAnsi="宋体" w:eastAsia="宋体" w:cs="宋体"/>
                <w:color w:val="auto"/>
                <w:kern w:val="0"/>
                <w:sz w:val="24"/>
                <w:szCs w:val="24"/>
                <w:lang w:val="en-US" w:eastAsia="zh-CN" w:bidi="ar"/>
              </w:rPr>
              <w:t>敏感点情况：</w:t>
            </w:r>
            <w:r>
              <w:rPr>
                <w:rFonts w:hint="eastAsia"/>
                <w:color w:val="auto"/>
                <w:sz w:val="24"/>
              </w:rPr>
              <w:t>项目南侧</w:t>
            </w:r>
            <w:r>
              <w:rPr>
                <w:rFonts w:hint="eastAsia"/>
                <w:color w:val="auto"/>
                <w:sz w:val="24"/>
                <w:lang w:val="en-US" w:eastAsia="zh-CN"/>
              </w:rPr>
              <w:t>40</w:t>
            </w:r>
            <w:r>
              <w:rPr>
                <w:rFonts w:hint="eastAsia"/>
                <w:color w:val="auto"/>
                <w:sz w:val="24"/>
              </w:rPr>
              <w:t>~</w:t>
            </w:r>
            <w:r>
              <w:rPr>
                <w:rFonts w:hint="eastAsia"/>
                <w:color w:val="auto"/>
                <w:sz w:val="24"/>
                <w:lang w:val="en-US" w:eastAsia="zh-CN"/>
              </w:rPr>
              <w:t>2</w:t>
            </w:r>
            <w:r>
              <w:rPr>
                <w:rFonts w:hint="eastAsia"/>
                <w:color w:val="auto"/>
                <w:sz w:val="24"/>
              </w:rPr>
              <w:t>00</w:t>
            </w:r>
            <w:r>
              <w:rPr>
                <w:rFonts w:hint="eastAsia"/>
                <w:color w:val="auto"/>
                <w:sz w:val="24"/>
                <w:lang w:val="en-US" w:eastAsia="zh-CN"/>
              </w:rPr>
              <w:t>m</w:t>
            </w:r>
            <w:r>
              <w:rPr>
                <w:rFonts w:hint="eastAsia" w:ascii="宋体" w:hAnsi="宋体" w:eastAsia="宋体" w:cs="宋体"/>
                <w:color w:val="auto"/>
                <w:kern w:val="0"/>
                <w:sz w:val="24"/>
                <w:szCs w:val="24"/>
                <w:lang w:val="en-US" w:eastAsia="zh-CN" w:bidi="ar"/>
              </w:rPr>
              <w:t>外有白玉村</w:t>
            </w: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0</w:t>
            </w:r>
            <w:r>
              <w:rPr>
                <w:rFonts w:hint="eastAsia" w:ascii="宋体" w:hAnsi="宋体" w:eastAsia="宋体" w:cs="宋体"/>
                <w:color w:val="auto"/>
                <w:kern w:val="0"/>
                <w:sz w:val="24"/>
                <w:szCs w:val="24"/>
                <w:lang w:val="en-US" w:eastAsia="zh-CN" w:bidi="ar"/>
              </w:rPr>
              <w:t>户居民</w:t>
            </w:r>
            <w:r>
              <w:rPr>
                <w:rFonts w:hint="eastAsia"/>
                <w:color w:val="auto"/>
                <w:sz w:val="24"/>
              </w:rPr>
              <w:t>，</w:t>
            </w:r>
            <w:r>
              <w:rPr>
                <w:rFonts w:hint="eastAsia"/>
                <w:color w:val="auto"/>
                <w:sz w:val="24"/>
                <w:lang w:val="en-US" w:eastAsia="zh-CN"/>
              </w:rPr>
              <w:t>东</w:t>
            </w:r>
            <w:r>
              <w:rPr>
                <w:rFonts w:hint="eastAsia"/>
                <w:color w:val="auto"/>
                <w:sz w:val="24"/>
              </w:rPr>
              <w:t>侧</w:t>
            </w:r>
            <w:r>
              <w:rPr>
                <w:rFonts w:hint="eastAsia"/>
                <w:color w:val="auto"/>
                <w:sz w:val="24"/>
                <w:lang w:val="en-US" w:eastAsia="zh-CN"/>
              </w:rPr>
              <w:t>240</w:t>
            </w:r>
            <w:r>
              <w:rPr>
                <w:rFonts w:hint="eastAsia"/>
                <w:color w:val="auto"/>
                <w:sz w:val="24"/>
              </w:rPr>
              <w:t>~</w:t>
            </w:r>
            <w:r>
              <w:rPr>
                <w:rFonts w:hint="eastAsia"/>
                <w:color w:val="auto"/>
                <w:sz w:val="24"/>
                <w:lang w:val="en-US" w:eastAsia="zh-CN"/>
              </w:rPr>
              <w:t>5</w:t>
            </w:r>
            <w:r>
              <w:rPr>
                <w:rFonts w:hint="eastAsia"/>
                <w:color w:val="auto"/>
                <w:sz w:val="24"/>
              </w:rPr>
              <w:t>00</w:t>
            </w:r>
            <w:r>
              <w:rPr>
                <w:rFonts w:hint="eastAsia"/>
                <w:color w:val="auto"/>
                <w:sz w:val="24"/>
                <w:lang w:val="en-US" w:eastAsia="zh-CN"/>
              </w:rPr>
              <w:t>m</w:t>
            </w:r>
            <w:r>
              <w:rPr>
                <w:rFonts w:hint="eastAsia" w:ascii="宋体" w:hAnsi="宋体" w:eastAsia="宋体" w:cs="宋体"/>
                <w:color w:val="auto"/>
                <w:kern w:val="0"/>
                <w:sz w:val="24"/>
                <w:szCs w:val="24"/>
                <w:lang w:val="en-US" w:eastAsia="zh-CN" w:bidi="ar"/>
              </w:rPr>
              <w:t>外有黎明村</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户居民</w:t>
            </w:r>
          </w:p>
          <w:p>
            <w:pPr>
              <w:keepNext w:val="0"/>
              <w:keepLines w:val="0"/>
              <w:widowControl/>
              <w:suppressLineNumbers w:val="0"/>
              <w:spacing w:line="360" w:lineRule="auto"/>
              <w:ind w:firstLine="480" w:firstLineChars="200"/>
              <w:jc w:val="left"/>
              <w:rPr>
                <w:b w:val="0"/>
                <w:bCs w:val="0"/>
                <w:color w:val="auto"/>
                <w:sz w:val="24"/>
                <w:szCs w:val="24"/>
              </w:rPr>
            </w:pPr>
            <w:r>
              <w:rPr>
                <w:rFonts w:hint="eastAsia" w:ascii="宋体" w:hAnsi="宋体" w:eastAsia="宋体" w:cs="宋体"/>
                <w:b w:val="0"/>
                <w:bCs w:val="0"/>
                <w:color w:val="auto"/>
                <w:kern w:val="0"/>
                <w:sz w:val="24"/>
                <w:szCs w:val="24"/>
                <w:lang w:val="en-US" w:eastAsia="zh-CN" w:bidi="ar"/>
              </w:rPr>
              <w:t>根据周边敏感点情况，本项目将破碎、制砂等高噪设备安装于项目中部，距离南侧最近居民约</w:t>
            </w:r>
            <w:r>
              <w:rPr>
                <w:rFonts w:hint="eastAsia" w:ascii="Times New Roman" w:hAnsi="Times New Roman" w:eastAsia="宋体" w:cs="Times New Roman"/>
                <w:b w:val="0"/>
                <w:bCs w:val="0"/>
                <w:color w:val="auto"/>
                <w:kern w:val="0"/>
                <w:sz w:val="24"/>
                <w:szCs w:val="24"/>
                <w:lang w:val="en-US" w:eastAsia="zh-CN" w:bidi="ar"/>
              </w:rPr>
              <w:t>13</w:t>
            </w:r>
            <w:r>
              <w:rPr>
                <w:rFonts w:hint="default" w:ascii="Times New Roman" w:hAnsi="Times New Roman" w:eastAsia="宋体" w:cs="Times New Roman"/>
                <w:b w:val="0"/>
                <w:bCs w:val="0"/>
                <w:color w:val="auto"/>
                <w:kern w:val="0"/>
                <w:sz w:val="24"/>
                <w:szCs w:val="24"/>
                <w:lang w:val="en-US" w:eastAsia="zh-CN" w:bidi="ar"/>
              </w:rPr>
              <w:t>0m</w:t>
            </w:r>
            <w:r>
              <w:rPr>
                <w:rFonts w:hint="eastAsia" w:ascii="宋体" w:hAnsi="宋体" w:eastAsia="宋体" w:cs="宋体"/>
                <w:b w:val="0"/>
                <w:bCs w:val="0"/>
                <w:color w:val="auto"/>
                <w:kern w:val="0"/>
                <w:sz w:val="24"/>
                <w:szCs w:val="24"/>
                <w:lang w:val="en-US" w:eastAsia="zh-CN" w:bidi="ar"/>
              </w:rPr>
              <w:t>。本项目原料运输量较大，均通过苏沙路及项目西侧规划园区道路进行运输，运输线路距离居民较近，为避免交通运输噪声扰民，环评要求原料安排在昼间（</w:t>
            </w:r>
            <w:r>
              <w:rPr>
                <w:rFonts w:hint="default" w:ascii="Times New Roman" w:hAnsi="Times New Roman" w:eastAsia="宋体" w:cs="Times New Roman"/>
                <w:b w:val="0"/>
                <w:bCs w:val="0"/>
                <w:color w:val="auto"/>
                <w:kern w:val="0"/>
                <w:sz w:val="24"/>
                <w:szCs w:val="24"/>
                <w:lang w:val="en-US" w:eastAsia="zh-CN" w:bidi="ar"/>
              </w:rPr>
              <w:t>6</w:t>
            </w:r>
            <w:r>
              <w:rPr>
                <w:rFonts w:hint="eastAsia" w:ascii="Times New Roman" w:hAnsi="Times New Roman"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00-22</w:t>
            </w:r>
            <w:r>
              <w:rPr>
                <w:rFonts w:hint="default" w:ascii="Times New Roman" w:hAnsi="Times New Roman"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00</w:t>
            </w:r>
            <w:r>
              <w:rPr>
                <w:rFonts w:hint="eastAsia" w:ascii="宋体" w:hAnsi="宋体" w:eastAsia="宋体" w:cs="宋体"/>
                <w:b w:val="0"/>
                <w:bCs w:val="0"/>
                <w:color w:val="auto"/>
                <w:kern w:val="0"/>
                <w:sz w:val="24"/>
                <w:szCs w:val="24"/>
                <w:lang w:val="en-US" w:eastAsia="zh-CN" w:bidi="ar"/>
              </w:rPr>
              <w:t>）运输进场，夜间禁止运输原料，减小对周边居民影响。</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本项目产生废气均安装收集处理装置后达标排放，对周边居民影响较小；经预测本项目噪声经厂房隔声及距离衰减后可实现厂界达标，对最近居民影响较小。目前，本项目所在园区内污水、雨水收集管网均已建成，集中式工业污水处理厂已建成，项目产生的生活污水经厂区预处理池处理后通过园区污水管网进入乐山市工业集中区污水处理厂处理后达标排放。项目周围无大型重污染工业项目，无对大气环境要求较高企业。</w:t>
            </w:r>
          </w:p>
          <w:p>
            <w:pPr>
              <w:pStyle w:val="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sz w:val="24"/>
                <w:szCs w:val="24"/>
              </w:rPr>
            </w:pPr>
            <w:r>
              <w:rPr>
                <w:rFonts w:hint="eastAsia" w:ascii="宋体" w:hAnsi="宋体" w:eastAsia="宋体" w:cs="宋体"/>
                <w:b w:val="0"/>
                <w:bCs w:val="0"/>
                <w:color w:val="000000"/>
                <w:kern w:val="0"/>
                <w:sz w:val="24"/>
                <w:szCs w:val="24"/>
                <w:lang w:val="en-US" w:eastAsia="zh-CN" w:bidi="ar"/>
              </w:rPr>
              <w:t>综上，项目外环境关系简单，无大的环境制约因素，本项目营运期污染物经采取处理措施后对周边环境影响较小，项目选址合理。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cs="Times New Roman"/>
                <w:color w:val="auto"/>
                <w:kern w:val="0"/>
                <w:sz w:val="24"/>
                <w:szCs w:val="24"/>
                <w:lang w:val="en-US" w:eastAsia="zh-CN" w:bidi="ar"/>
              </w:rPr>
            </w:pPr>
            <w:r>
              <w:rPr>
                <w:rFonts w:hint="eastAsia" w:ascii="宋体" w:hAnsi="宋体" w:cs="宋体"/>
                <w:b/>
                <w:bCs/>
                <w:color w:val="auto"/>
                <w:kern w:val="0"/>
                <w:sz w:val="24"/>
                <w:szCs w:val="24"/>
                <w:lang w:val="en-US" w:eastAsia="zh-CN" w:bidi="ar"/>
              </w:rPr>
              <w:t>九、</w:t>
            </w:r>
            <w:r>
              <w:rPr>
                <w:rFonts w:hint="eastAsia" w:ascii="宋体" w:hAnsi="宋体" w:eastAsia="宋体" w:cs="宋体"/>
                <w:b/>
                <w:bCs/>
                <w:color w:val="auto"/>
                <w:kern w:val="0"/>
                <w:sz w:val="24"/>
                <w:szCs w:val="24"/>
                <w:lang w:val="en-US" w:eastAsia="zh-CN" w:bidi="ar"/>
              </w:rPr>
              <w:t>与“三线一单”符合性分析</w:t>
            </w:r>
          </w:p>
          <w:p>
            <w:pPr>
              <w:topLinePunct/>
              <w:adjustRightInd w:val="0"/>
              <w:snapToGrid w:val="0"/>
              <w:spacing w:line="360" w:lineRule="auto"/>
              <w:ind w:firstLine="480" w:firstLineChars="200"/>
              <w:rPr>
                <w:b/>
                <w:bCs/>
                <w:kern w:val="0"/>
              </w:rPr>
            </w:pPr>
            <w:r>
              <w:rPr>
                <w:bCs/>
                <w:color w:val="000000"/>
                <w:kern w:val="0"/>
                <w:sz w:val="24"/>
                <w:szCs w:val="24"/>
              </w:rPr>
              <w:t>“三线一单”是以改善环境质量为核心，将生态保护红线、环境质量底线、资源利用上线落实到不同的环境管控单元，并建立环境准入负面清单的环境分区管控体系。</w:t>
            </w: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rPr>
                <w:b/>
                <w:bCs/>
                <w:kern w:val="0"/>
              </w:rPr>
            </w:pPr>
          </w:p>
          <w:p>
            <w:pPr>
              <w:pStyle w:val="2"/>
            </w:pPr>
          </w:p>
          <w:p>
            <w:pPr>
              <w:pStyle w:val="2"/>
              <w:rPr>
                <w:b/>
                <w:bCs/>
                <w:kern w:val="0"/>
              </w:rPr>
            </w:pPr>
          </w:p>
          <w:p>
            <w:pPr>
              <w:rPr>
                <w:b/>
                <w:bCs/>
                <w:kern w:val="0"/>
              </w:rPr>
            </w:pPr>
          </w:p>
          <w:p>
            <w:pPr>
              <w:rPr>
                <w:b/>
                <w:bCs/>
                <w:kern w:val="0"/>
              </w:rPr>
            </w:pPr>
            <w:r>
              <w:rPr>
                <w:b/>
                <w:color w:val="000000"/>
                <w:sz w:val="28"/>
                <w:szCs w:val="28"/>
              </w:rPr>
              <w:drawing>
                <wp:anchor distT="0" distB="0" distL="114300" distR="114300" simplePos="0" relativeHeight="251730944" behindDoc="0" locked="0" layoutInCell="1" allowOverlap="1">
                  <wp:simplePos x="0" y="0"/>
                  <wp:positionH relativeFrom="column">
                    <wp:posOffset>-21590</wp:posOffset>
                  </wp:positionH>
                  <wp:positionV relativeFrom="paragraph">
                    <wp:posOffset>38100</wp:posOffset>
                  </wp:positionV>
                  <wp:extent cx="4846320" cy="6855460"/>
                  <wp:effectExtent l="0" t="0" r="11430" b="2540"/>
                  <wp:wrapNone/>
                  <wp:docPr id="77" name="图片 6" descr="511100乐山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descr="511100乐山市"/>
                          <pic:cNvPicPr>
                            <a:picLocks noChangeAspect="1"/>
                          </pic:cNvPicPr>
                        </pic:nvPicPr>
                        <pic:blipFill>
                          <a:blip r:embed="rId9"/>
                          <a:stretch>
                            <a:fillRect/>
                          </a:stretch>
                        </pic:blipFill>
                        <pic:spPr>
                          <a:xfrm>
                            <a:off x="0" y="0"/>
                            <a:ext cx="4846320" cy="6855460"/>
                          </a:xfrm>
                          <a:prstGeom prst="rect">
                            <a:avLst/>
                          </a:prstGeom>
                          <a:noFill/>
                          <a:ln>
                            <a:noFill/>
                          </a:ln>
                        </pic:spPr>
                      </pic:pic>
                    </a:graphicData>
                  </a:graphic>
                </wp:anchor>
              </w:drawing>
            </w: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r>
              <w:rPr>
                <w:sz w:val="28"/>
              </w:rPr>
              <mc:AlternateContent>
                <mc:Choice Requires="wps">
                  <w:drawing>
                    <wp:anchor distT="0" distB="0" distL="114300" distR="114300" simplePos="0" relativeHeight="251731968" behindDoc="0" locked="0" layoutInCell="1" allowOverlap="1">
                      <wp:simplePos x="0" y="0"/>
                      <wp:positionH relativeFrom="column">
                        <wp:posOffset>2613660</wp:posOffset>
                      </wp:positionH>
                      <wp:positionV relativeFrom="paragraph">
                        <wp:posOffset>300990</wp:posOffset>
                      </wp:positionV>
                      <wp:extent cx="655955" cy="346075"/>
                      <wp:effectExtent l="5080" t="4445" r="5715" b="11430"/>
                      <wp:wrapNone/>
                      <wp:docPr id="78" name="上箭头标注 78"/>
                      <wp:cNvGraphicFramePr/>
                      <a:graphic xmlns:a="http://schemas.openxmlformats.org/drawingml/2006/main">
                        <a:graphicData uri="http://schemas.microsoft.com/office/word/2010/wordprocessingShape">
                          <wps:wsp>
                            <wps:cNvSpPr/>
                            <wps:spPr>
                              <a:xfrm>
                                <a:off x="4630420" y="2713990"/>
                                <a:ext cx="655955" cy="346075"/>
                              </a:xfrm>
                              <a:prstGeom prst="upArrowCallout">
                                <a:avLst/>
                              </a:prstGeom>
                              <a:noFill/>
                              <a:ln w="6350" cap="flat" cmpd="sng" algn="ctr">
                                <a:solidFill>
                                  <a:srgbClr val="000000"/>
                                </a:solidFill>
                                <a:prstDash val="solid"/>
                              </a:ln>
                              <a:effectLst/>
                            </wps:spPr>
                            <wps:txbx>
                              <w:txbxContent>
                                <w:p>
                                  <w:pPr>
                                    <w:jc w:val="center"/>
                                    <w:rPr>
                                      <w:rFonts w:hint="eastAsia" w:eastAsia="宋体"/>
                                      <w:color w:val="000000"/>
                                      <w:sz w:val="18"/>
                                      <w:szCs w:val="18"/>
                                      <w:lang w:eastAsia="zh-CN"/>
                                    </w:rPr>
                                  </w:pPr>
                                  <w:r>
                                    <w:rPr>
                                      <w:rFonts w:hint="eastAsia"/>
                                      <w:color w:val="000000"/>
                                      <w:sz w:val="18"/>
                                      <w:szCs w:val="18"/>
                                      <w:lang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9" type="#_x0000_t79" style="position:absolute;left:0pt;margin-left:205.8pt;margin-top:23.7pt;height:27.25pt;width:51.65pt;z-index:251731968;v-text-anchor:middle;mso-width-relative:page;mso-height-relative:page;" filled="f" stroked="t" coordsize="21600,21600" o:gfxdata="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LvnZ2QAA&#10;AAoBAAAPAAAAAAAAAAEAIAAAACIAAABkcnMvZG93bnJldi54bWxQSwECFAAUAAAACACHTuJA1x05&#10;vI8CAADsBAAADgAAAAAAAAABACAAAAAoAQAAZHJzL2Uyb0RvYy54bWxQSwUGAAAAAAYABgBZAQAA&#10;KQYAAAAA&#10;" adj="7565,7951,5400,9375">
                      <v:path/>
                      <v:fill on="f" focussize="0,0"/>
                      <v:stroke weight="0.5pt" joinstyle="round"/>
                      <v:imagedata o:title=""/>
                      <o:lock v:ext="edit" aspectratio="f"/>
                      <v:textbox>
                        <w:txbxContent>
                          <w:p>
                            <w:pPr>
                              <w:jc w:val="center"/>
                              <w:rPr>
                                <w:rFonts w:hint="eastAsia" w:eastAsia="宋体"/>
                                <w:color w:val="000000"/>
                                <w:sz w:val="18"/>
                                <w:szCs w:val="18"/>
                                <w:lang w:eastAsia="zh-CN"/>
                              </w:rPr>
                            </w:pPr>
                            <w:r>
                              <w:rPr>
                                <w:rFonts w:hint="eastAsia"/>
                                <w:color w:val="000000"/>
                                <w:sz w:val="18"/>
                                <w:szCs w:val="18"/>
                                <w:lang w:eastAsia="zh-CN"/>
                              </w:rPr>
                              <w:t>项目位置</w:t>
                            </w:r>
                          </w:p>
                        </w:txbxContent>
                      </v:textbox>
                    </v:shape>
                  </w:pict>
                </mc:Fallback>
              </mc:AlternateContent>
            </w: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rPr>
                <w:b/>
                <w:bCs/>
                <w:kern w:val="0"/>
              </w:rPr>
            </w:pPr>
          </w:p>
          <w:p>
            <w:pPr>
              <w:rPr>
                <w:b/>
                <w:bCs/>
                <w:kern w:val="0"/>
              </w:rPr>
            </w:pPr>
          </w:p>
          <w:p>
            <w:pPr>
              <w:pStyle w:val="2"/>
            </w:pPr>
          </w:p>
          <w:p>
            <w:pPr>
              <w:autoSpaceDE w:val="0"/>
              <w:autoSpaceDN w:val="0"/>
              <w:spacing w:line="360" w:lineRule="auto"/>
              <w:ind w:firstLine="482" w:firstLineChars="200"/>
              <w:jc w:val="center"/>
              <w:rPr>
                <w:rFonts w:hint="eastAsia" w:ascii="Times New Roman" w:hAnsi="Times New Roman" w:eastAsia="宋体" w:cs="Times New Roman"/>
                <w:b/>
                <w:bCs/>
                <w:color w:val="000000"/>
                <w:sz w:val="24"/>
                <w:szCs w:val="24"/>
              </w:rPr>
            </w:pPr>
            <w:r>
              <w:rPr>
                <w:rFonts w:hint="eastAsia"/>
                <w:b/>
                <w:bCs/>
                <w:sz w:val="24"/>
                <w:szCs w:val="24"/>
                <w:lang w:val="en-US" w:eastAsia="zh-CN"/>
              </w:rPr>
              <w:t>图1-1</w:t>
            </w:r>
            <w:r>
              <w:rPr>
                <w:rFonts w:hint="eastAsia" w:ascii="Times New Roman" w:hAnsi="Times New Roman" w:eastAsia="宋体" w:cs="Times New Roman"/>
                <w:b/>
                <w:bCs/>
                <w:color w:val="000000"/>
                <w:sz w:val="24"/>
                <w:szCs w:val="24"/>
              </w:rPr>
              <w:t>项目与生态红线的位置关系图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0"/>
              <w:rPr>
                <w:rFonts w:hint="eastAsia"/>
                <w:bCs/>
                <w:color w:val="000000"/>
                <w:kern w:val="0"/>
                <w:sz w:val="24"/>
                <w:szCs w:val="24"/>
              </w:rPr>
            </w:pPr>
            <w:r>
              <w:rPr>
                <w:rFonts w:hint="eastAsia"/>
                <w:bCs/>
                <w:color w:val="000000"/>
                <w:kern w:val="0"/>
                <w:sz w:val="24"/>
                <w:szCs w:val="24"/>
              </w:rPr>
              <w:t>根据</w:t>
            </w:r>
            <w:r>
              <w:rPr>
                <w:bCs/>
                <w:color w:val="000000"/>
                <w:kern w:val="0"/>
                <w:sz w:val="24"/>
                <w:szCs w:val="24"/>
              </w:rPr>
              <w:t>四川省生态环境厅办公室关于印发《</w:t>
            </w:r>
            <w:r>
              <w:rPr>
                <w:rFonts w:hint="eastAsia"/>
                <w:bCs/>
                <w:color w:val="000000"/>
                <w:kern w:val="0"/>
                <w:sz w:val="24"/>
                <w:szCs w:val="24"/>
              </w:rPr>
              <w:t>产业园区</w:t>
            </w:r>
            <w:r>
              <w:rPr>
                <w:bCs/>
                <w:color w:val="000000"/>
                <w:kern w:val="0"/>
                <w:sz w:val="24"/>
                <w:szCs w:val="24"/>
              </w:rPr>
              <w:t>规划环评“</w:t>
            </w:r>
            <w:r>
              <w:rPr>
                <w:rFonts w:hint="eastAsia"/>
                <w:bCs/>
                <w:color w:val="000000"/>
                <w:kern w:val="0"/>
                <w:sz w:val="24"/>
                <w:szCs w:val="24"/>
              </w:rPr>
              <w:t>三线一单</w:t>
            </w:r>
            <w:r>
              <w:rPr>
                <w:bCs/>
                <w:color w:val="000000"/>
                <w:kern w:val="0"/>
                <w:sz w:val="24"/>
                <w:szCs w:val="24"/>
              </w:rPr>
              <w:t>”</w:t>
            </w:r>
            <w:r>
              <w:rPr>
                <w:rFonts w:hint="eastAsia"/>
                <w:bCs/>
                <w:color w:val="000000"/>
                <w:kern w:val="0"/>
                <w:sz w:val="24"/>
                <w:szCs w:val="24"/>
              </w:rPr>
              <w:t>符合性</w:t>
            </w:r>
            <w:r>
              <w:rPr>
                <w:bCs/>
                <w:color w:val="000000"/>
                <w:kern w:val="0"/>
                <w:sz w:val="24"/>
                <w:szCs w:val="24"/>
              </w:rPr>
              <w:t>分析技术要点（</w:t>
            </w:r>
            <w:r>
              <w:rPr>
                <w:rFonts w:hint="eastAsia"/>
                <w:bCs/>
                <w:color w:val="000000"/>
                <w:kern w:val="0"/>
                <w:sz w:val="24"/>
                <w:szCs w:val="24"/>
              </w:rPr>
              <w:t>试行</w:t>
            </w:r>
            <w:r>
              <w:rPr>
                <w:bCs/>
                <w:color w:val="000000"/>
                <w:kern w:val="0"/>
                <w:sz w:val="24"/>
                <w:szCs w:val="24"/>
              </w:rPr>
              <w:t>）》</w:t>
            </w:r>
            <w:r>
              <w:rPr>
                <w:rFonts w:hint="eastAsia"/>
                <w:bCs/>
                <w:color w:val="000000"/>
                <w:kern w:val="0"/>
                <w:sz w:val="24"/>
                <w:szCs w:val="24"/>
              </w:rPr>
              <w:t>和</w:t>
            </w:r>
            <w:r>
              <w:rPr>
                <w:bCs/>
                <w:color w:val="000000"/>
                <w:kern w:val="0"/>
                <w:sz w:val="24"/>
                <w:szCs w:val="24"/>
              </w:rPr>
              <w:t>《</w:t>
            </w:r>
            <w:r>
              <w:rPr>
                <w:rFonts w:hint="eastAsia"/>
                <w:bCs/>
                <w:color w:val="000000"/>
                <w:kern w:val="0"/>
                <w:sz w:val="24"/>
                <w:szCs w:val="24"/>
              </w:rPr>
              <w:t>项目</w:t>
            </w:r>
            <w:r>
              <w:rPr>
                <w:bCs/>
                <w:color w:val="000000"/>
                <w:kern w:val="0"/>
                <w:sz w:val="24"/>
                <w:szCs w:val="24"/>
              </w:rPr>
              <w:t>环评“</w:t>
            </w:r>
            <w:r>
              <w:rPr>
                <w:rFonts w:hint="eastAsia"/>
                <w:bCs/>
                <w:color w:val="000000"/>
                <w:kern w:val="0"/>
                <w:sz w:val="24"/>
                <w:szCs w:val="24"/>
              </w:rPr>
              <w:t>三线一单</w:t>
            </w:r>
            <w:r>
              <w:rPr>
                <w:bCs/>
                <w:color w:val="000000"/>
                <w:kern w:val="0"/>
                <w:sz w:val="24"/>
                <w:szCs w:val="24"/>
              </w:rPr>
              <w:t>”</w:t>
            </w:r>
            <w:r>
              <w:rPr>
                <w:rFonts w:hint="eastAsia"/>
                <w:bCs/>
                <w:color w:val="000000"/>
                <w:kern w:val="0"/>
                <w:sz w:val="24"/>
                <w:szCs w:val="24"/>
              </w:rPr>
              <w:t>符合性</w:t>
            </w:r>
            <w:r>
              <w:rPr>
                <w:bCs/>
                <w:color w:val="000000"/>
                <w:kern w:val="0"/>
                <w:sz w:val="24"/>
                <w:szCs w:val="24"/>
              </w:rPr>
              <w:t>分析技术要点（</w:t>
            </w:r>
            <w:r>
              <w:rPr>
                <w:rFonts w:hint="eastAsia"/>
                <w:bCs/>
                <w:color w:val="000000"/>
                <w:kern w:val="0"/>
                <w:sz w:val="24"/>
                <w:szCs w:val="24"/>
              </w:rPr>
              <w:t>试行</w:t>
            </w:r>
            <w:r>
              <w:rPr>
                <w:bCs/>
                <w:color w:val="000000"/>
                <w:kern w:val="0"/>
                <w:sz w:val="24"/>
                <w:szCs w:val="24"/>
              </w:rPr>
              <w:t>）》</w:t>
            </w:r>
            <w:r>
              <w:rPr>
                <w:rFonts w:hint="eastAsia"/>
                <w:bCs/>
                <w:color w:val="000000"/>
                <w:kern w:val="0"/>
                <w:sz w:val="24"/>
                <w:szCs w:val="24"/>
              </w:rPr>
              <w:t>的</w:t>
            </w:r>
            <w:r>
              <w:rPr>
                <w:bCs/>
                <w:color w:val="000000"/>
                <w:kern w:val="0"/>
                <w:sz w:val="24"/>
                <w:szCs w:val="24"/>
              </w:rPr>
              <w:t>通知（</w:t>
            </w:r>
            <w:r>
              <w:rPr>
                <w:rFonts w:hint="eastAsia"/>
                <w:bCs/>
                <w:color w:val="000000"/>
                <w:kern w:val="0"/>
                <w:sz w:val="24"/>
                <w:szCs w:val="24"/>
              </w:rPr>
              <w:t>川</w:t>
            </w:r>
            <w:r>
              <w:rPr>
                <w:bCs/>
                <w:color w:val="000000"/>
                <w:kern w:val="0"/>
                <w:sz w:val="24"/>
                <w:szCs w:val="24"/>
              </w:rPr>
              <w:t>环办</w:t>
            </w:r>
            <w:r>
              <w:rPr>
                <w:rFonts w:hint="eastAsia"/>
                <w:bCs/>
                <w:color w:val="000000"/>
                <w:kern w:val="0"/>
                <w:sz w:val="24"/>
                <w:szCs w:val="24"/>
              </w:rPr>
              <w:t>函﹝2021﹞469号</w:t>
            </w:r>
            <w:r>
              <w:rPr>
                <w:bCs/>
                <w:color w:val="000000"/>
                <w:kern w:val="0"/>
                <w:sz w:val="24"/>
                <w:szCs w:val="24"/>
              </w:rPr>
              <w:t>）</w:t>
            </w:r>
            <w:r>
              <w:rPr>
                <w:rFonts w:hint="eastAsia"/>
                <w:bCs/>
                <w:color w:val="000000"/>
                <w:kern w:val="0"/>
                <w:sz w:val="24"/>
                <w:szCs w:val="24"/>
              </w:rPr>
              <w:t>文件</w:t>
            </w:r>
            <w:r>
              <w:rPr>
                <w:bCs/>
                <w:color w:val="000000"/>
                <w:kern w:val="0"/>
                <w:sz w:val="24"/>
                <w:szCs w:val="24"/>
              </w:rPr>
              <w:t>，</w:t>
            </w:r>
            <w:r>
              <w:rPr>
                <w:rFonts w:hint="eastAsia"/>
                <w:bCs/>
                <w:color w:val="000000"/>
                <w:kern w:val="0"/>
                <w:sz w:val="24"/>
                <w:szCs w:val="24"/>
              </w:rPr>
              <w:t>建设</w:t>
            </w:r>
            <w:r>
              <w:rPr>
                <w:bCs/>
                <w:color w:val="000000"/>
                <w:kern w:val="0"/>
                <w:sz w:val="24"/>
                <w:szCs w:val="24"/>
              </w:rPr>
              <w:t>项目环境影响评价中“</w:t>
            </w:r>
            <w:r>
              <w:rPr>
                <w:rFonts w:hint="eastAsia"/>
                <w:bCs/>
                <w:color w:val="000000"/>
                <w:kern w:val="0"/>
                <w:sz w:val="24"/>
                <w:szCs w:val="24"/>
              </w:rPr>
              <w:t>三线一单</w:t>
            </w:r>
            <w:r>
              <w:rPr>
                <w:bCs/>
                <w:color w:val="000000"/>
                <w:kern w:val="0"/>
                <w:sz w:val="24"/>
                <w:szCs w:val="24"/>
              </w:rPr>
              <w:t>”</w:t>
            </w:r>
            <w:r>
              <w:rPr>
                <w:rFonts w:hint="eastAsia"/>
                <w:bCs/>
                <w:color w:val="000000"/>
                <w:kern w:val="0"/>
                <w:sz w:val="24"/>
                <w:szCs w:val="24"/>
              </w:rPr>
              <w:t>符合性</w:t>
            </w:r>
            <w:r>
              <w:rPr>
                <w:bCs/>
                <w:color w:val="000000"/>
                <w:kern w:val="0"/>
                <w:sz w:val="24"/>
                <w:szCs w:val="24"/>
              </w:rPr>
              <w:t>分析结构如下图所示：</w:t>
            </w:r>
          </w:p>
          <w:p>
            <w:pPr>
              <w:pStyle w:val="16"/>
              <w:rPr>
                <w:color w:val="000000"/>
              </w:rPr>
            </w:pPr>
            <w:r>
              <w:rPr>
                <w:color w:val="000000"/>
              </w:rPr>
              <w:drawing>
                <wp:anchor distT="0" distB="0" distL="114300" distR="114300" simplePos="0" relativeHeight="251734016" behindDoc="0" locked="0" layoutInCell="1" allowOverlap="1">
                  <wp:simplePos x="0" y="0"/>
                  <wp:positionH relativeFrom="column">
                    <wp:posOffset>597535</wp:posOffset>
                  </wp:positionH>
                  <wp:positionV relativeFrom="paragraph">
                    <wp:posOffset>38735</wp:posOffset>
                  </wp:positionV>
                  <wp:extent cx="3961765" cy="3045460"/>
                  <wp:effectExtent l="0" t="0" r="635" b="2540"/>
                  <wp:wrapNone/>
                  <wp:docPr id="8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pic:cNvPicPr>
                            <a:picLocks noChangeAspect="1"/>
                          </pic:cNvPicPr>
                        </pic:nvPicPr>
                        <pic:blipFill>
                          <a:blip r:embed="rId10"/>
                          <a:srcRect b="2501"/>
                          <a:stretch>
                            <a:fillRect/>
                          </a:stretch>
                        </pic:blipFill>
                        <pic:spPr>
                          <a:xfrm>
                            <a:off x="0" y="0"/>
                            <a:ext cx="3961765" cy="3045460"/>
                          </a:xfrm>
                          <a:prstGeom prst="rect">
                            <a:avLst/>
                          </a:prstGeom>
                          <a:noFill/>
                          <a:ln>
                            <a:noFill/>
                          </a:ln>
                        </pic:spPr>
                      </pic:pic>
                    </a:graphicData>
                  </a:graphic>
                </wp:anchor>
              </w:drawing>
            </w: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center"/>
              <w:rPr>
                <w:rFonts w:hint="eastAsia" w:ascii="Times New Roman" w:hAnsi="Times New Roman" w:eastAsia="宋体" w:cs="Times New Roman"/>
                <w:b/>
                <w:bCs/>
                <w:color w:val="000000"/>
                <w:sz w:val="24"/>
                <w:szCs w:val="24"/>
              </w:rPr>
            </w:pPr>
          </w:p>
          <w:p>
            <w:pPr>
              <w:jc w:val="both"/>
              <w:rPr>
                <w:rFonts w:hint="eastAsia" w:ascii="Times New Roman" w:hAnsi="Times New Roman" w:eastAsia="宋体" w:cs="Times New Roman"/>
                <w:b/>
                <w:bCs/>
                <w:color w:val="000000"/>
                <w:sz w:val="24"/>
                <w:szCs w:val="24"/>
              </w:rPr>
            </w:pP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图1</w:t>
            </w:r>
            <w:r>
              <w:rPr>
                <w:rFonts w:hint="eastAsia" w:ascii="Times New Roman" w:hAnsi="Times New Roman" w:eastAsia="宋体" w:cs="Times New Roman"/>
                <w:b/>
                <w:bCs/>
                <w:color w:val="000000"/>
                <w:sz w:val="24"/>
                <w:szCs w:val="24"/>
                <w:lang w:val="en-US" w:eastAsia="zh-CN"/>
              </w:rPr>
              <w:t>-</w:t>
            </w:r>
            <w:r>
              <w:rPr>
                <w:rFonts w:hint="eastAsia" w:ascii="Times New Roman" w:hAnsi="Times New Roman" w:eastAsia="宋体" w:cs="Times New Roman"/>
                <w:b/>
                <w:bCs/>
                <w:color w:val="000000"/>
                <w:sz w:val="24"/>
                <w:szCs w:val="24"/>
              </w:rPr>
              <w:t>2建设项目环境影响评价中“三线一单”符合性分析结构示意图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4"/>
                <w:lang w:eastAsia="zh-CN"/>
              </w:rPr>
            </w:pPr>
            <w:r>
              <w:rPr>
                <w:rFonts w:hint="eastAsia" w:ascii="宋体" w:hAnsi="宋体"/>
                <w:color w:val="000000"/>
                <w:sz w:val="24"/>
                <w:szCs w:val="24"/>
              </w:rPr>
              <w:t>根据《建设项目环境影响报告表编制技术指南》(污染影响类)(试行)：本项目属于污染影响为主要特征的建设项目。项目位</w:t>
            </w:r>
            <w:r>
              <w:rPr>
                <w:rFonts w:hint="eastAsia" w:ascii="Times New Roman" w:hAnsi="Times New Roman" w:eastAsia="宋体" w:cs="Times New Roman"/>
                <w:color w:val="000000"/>
                <w:sz w:val="24"/>
                <w:szCs w:val="24"/>
              </w:rPr>
              <w:t>于</w:t>
            </w:r>
            <w:r>
              <w:rPr>
                <w:rFonts w:hint="eastAsia" w:ascii="Times New Roman" w:hAnsi="Times New Roman" w:cs="Times New Roman"/>
                <w:color w:val="000000"/>
                <w:kern w:val="0"/>
                <w:sz w:val="24"/>
                <w:lang w:val="en-US" w:eastAsia="zh-CN"/>
              </w:rPr>
              <w:t>乐山高新技术产业开发区</w:t>
            </w:r>
            <w:r>
              <w:rPr>
                <w:rFonts w:hint="default" w:ascii="Times New Roman" w:hAnsi="Times New Roman" w:cs="Times New Roman"/>
                <w:color w:val="000000"/>
                <w:sz w:val="24"/>
                <w:szCs w:val="24"/>
              </w:rPr>
              <w:t>，属于园区</w:t>
            </w:r>
            <w:r>
              <w:rPr>
                <w:rFonts w:hint="default" w:ascii="Times New Roman" w:hAnsi="Times New Roman" w:cs="Times New Roman"/>
                <w:color w:val="000000"/>
                <w:sz w:val="24"/>
                <w:szCs w:val="24"/>
                <w:lang w:eastAsia="zh-CN"/>
              </w:rPr>
              <w:t>内</w:t>
            </w:r>
            <w:r>
              <w:rPr>
                <w:rFonts w:hint="default" w:ascii="Times New Roman" w:hAnsi="Times New Roman" w:cs="Times New Roman"/>
                <w:color w:val="000000"/>
                <w:sz w:val="24"/>
                <w:szCs w:val="24"/>
              </w:rPr>
              <w:t>项目，</w:t>
            </w:r>
            <w:r>
              <w:rPr>
                <w:rFonts w:hint="eastAsia" w:ascii="Times New Roman" w:hAnsi="Times New Roman" w:cs="Times New Roman"/>
                <w:color w:val="000000"/>
                <w:sz w:val="24"/>
                <w:szCs w:val="24"/>
                <w:lang w:val="en-US" w:eastAsia="zh-CN"/>
              </w:rPr>
              <w:t>规划环评为</w:t>
            </w:r>
            <w:r>
              <w:rPr>
                <w:rFonts w:hint="default" w:ascii="Times New Roman" w:hAnsi="Times New Roman" w:cs="Times New Roman"/>
                <w:color w:val="000000"/>
                <w:kern w:val="0"/>
                <w:sz w:val="24"/>
                <w:szCs w:val="24"/>
              </w:rPr>
              <w:t>《</w:t>
            </w:r>
            <w:r>
              <w:rPr>
                <w:rFonts w:hint="eastAsia" w:ascii="Times New Roman" w:hAnsi="Times New Roman" w:eastAsia="宋体" w:cs="Times New Roman"/>
                <w:b w:val="0"/>
                <w:bCs/>
                <w:color w:val="000000"/>
                <w:sz w:val="24"/>
                <w:szCs w:val="24"/>
                <w:lang w:val="en-US" w:eastAsia="zh-CN"/>
              </w:rPr>
              <w:t>乐山</w:t>
            </w:r>
            <w:r>
              <w:rPr>
                <w:rFonts w:hint="eastAsia" w:eastAsia="宋体" w:cs="Times New Roman"/>
                <w:b w:val="0"/>
                <w:bCs/>
                <w:color w:val="000000"/>
                <w:sz w:val="24"/>
                <w:szCs w:val="24"/>
                <w:lang w:val="en-US" w:eastAsia="zh-CN"/>
              </w:rPr>
              <w:t>市工业集中区水口-罗汉工业园区扩区规划</w:t>
            </w:r>
            <w:r>
              <w:rPr>
                <w:rFonts w:hint="eastAsia" w:ascii="Times New Roman" w:hAnsi="Times New Roman" w:eastAsia="宋体" w:cs="Times New Roman"/>
                <w:b w:val="0"/>
                <w:bCs/>
                <w:color w:val="000000"/>
                <w:sz w:val="24"/>
                <w:szCs w:val="24"/>
                <w:lang w:val="en-US" w:eastAsia="zh-CN"/>
              </w:rPr>
              <w:t>环境影响</w:t>
            </w:r>
            <w:r>
              <w:rPr>
                <w:rFonts w:hint="eastAsia" w:eastAsia="宋体" w:cs="Times New Roman"/>
                <w:b w:val="0"/>
                <w:bCs/>
                <w:color w:val="000000"/>
                <w:sz w:val="24"/>
                <w:szCs w:val="24"/>
                <w:lang w:val="en-US" w:eastAsia="zh-CN"/>
              </w:rPr>
              <w:t>跟踪</w:t>
            </w:r>
            <w:r>
              <w:rPr>
                <w:rFonts w:hint="eastAsia" w:ascii="Times New Roman" w:hAnsi="Times New Roman" w:eastAsia="宋体" w:cs="Times New Roman"/>
                <w:b w:val="0"/>
                <w:bCs/>
                <w:color w:val="000000"/>
                <w:sz w:val="24"/>
                <w:szCs w:val="24"/>
                <w:lang w:val="en-US" w:eastAsia="zh-CN"/>
              </w:rPr>
              <w:t>评价报告书》</w:t>
            </w:r>
            <w:r>
              <w:rPr>
                <w:rFonts w:hint="eastAsia" w:ascii="Times New Roman" w:hAnsi="Times New Roman" w:eastAsia="宋体" w:cs="Times New Roman"/>
                <w:color w:val="000000"/>
                <w:kern w:val="0"/>
                <w:sz w:val="24"/>
                <w:szCs w:val="24"/>
                <w:lang w:eastAsia="zh-CN"/>
              </w:rPr>
              <w:t>。</w:t>
            </w:r>
          </w:p>
          <w:p>
            <w:pPr>
              <w:pStyle w:val="16"/>
              <w:keepNext w:val="0"/>
              <w:keepLines w:val="0"/>
              <w:pageBreakBefore w:val="0"/>
              <w:kinsoku/>
              <w:wordWrap/>
              <w:overflowPunct/>
              <w:topLinePunct w:val="0"/>
              <w:autoSpaceDE/>
              <w:autoSpaceDN/>
              <w:bidi w:val="0"/>
              <w:snapToGrid w:val="0"/>
              <w:spacing w:before="0" w:after="0" w:line="360" w:lineRule="auto"/>
              <w:ind w:firstLine="480" w:firstLineChars="200"/>
              <w:textAlignment w:val="auto"/>
              <w:rPr>
                <w:rFonts w:hint="eastAsia"/>
                <w:bCs/>
                <w:color w:val="000000"/>
                <w:kern w:val="0"/>
                <w:sz w:val="24"/>
                <w:szCs w:val="24"/>
                <w:lang w:val="en-US" w:eastAsia="zh-CN"/>
              </w:rPr>
            </w:pPr>
            <w:r>
              <w:rPr>
                <w:rFonts w:hint="eastAsia"/>
                <w:bCs/>
                <w:color w:val="000000"/>
                <w:kern w:val="0"/>
                <w:sz w:val="24"/>
                <w:szCs w:val="24"/>
              </w:rPr>
              <w:t>根据</w:t>
            </w:r>
            <w:r>
              <w:rPr>
                <w:bCs/>
                <w:color w:val="000000"/>
                <w:kern w:val="0"/>
                <w:sz w:val="24"/>
                <w:szCs w:val="24"/>
              </w:rPr>
              <w:t>四川省生态环境厅办公室关于印发《</w:t>
            </w:r>
            <w:r>
              <w:rPr>
                <w:rFonts w:hint="eastAsia"/>
                <w:bCs/>
                <w:color w:val="000000"/>
                <w:kern w:val="0"/>
                <w:sz w:val="24"/>
                <w:szCs w:val="24"/>
              </w:rPr>
              <w:t>产业园区</w:t>
            </w:r>
            <w:r>
              <w:rPr>
                <w:bCs/>
                <w:color w:val="000000"/>
                <w:kern w:val="0"/>
                <w:sz w:val="24"/>
                <w:szCs w:val="24"/>
              </w:rPr>
              <w:t>规划环评“</w:t>
            </w:r>
            <w:r>
              <w:rPr>
                <w:rFonts w:hint="eastAsia"/>
                <w:bCs/>
                <w:color w:val="000000"/>
                <w:kern w:val="0"/>
                <w:sz w:val="24"/>
                <w:szCs w:val="24"/>
              </w:rPr>
              <w:t>三线一单</w:t>
            </w:r>
            <w:r>
              <w:rPr>
                <w:bCs/>
                <w:color w:val="000000"/>
                <w:kern w:val="0"/>
                <w:sz w:val="24"/>
                <w:szCs w:val="24"/>
              </w:rPr>
              <w:t>”</w:t>
            </w:r>
            <w:r>
              <w:rPr>
                <w:rFonts w:hint="eastAsia"/>
                <w:bCs/>
                <w:color w:val="000000"/>
                <w:kern w:val="0"/>
                <w:sz w:val="24"/>
                <w:szCs w:val="24"/>
              </w:rPr>
              <w:t>符合性</w:t>
            </w:r>
            <w:r>
              <w:rPr>
                <w:bCs/>
                <w:color w:val="000000"/>
                <w:kern w:val="0"/>
                <w:sz w:val="24"/>
                <w:szCs w:val="24"/>
              </w:rPr>
              <w:t>分析技术要点（</w:t>
            </w:r>
            <w:r>
              <w:rPr>
                <w:rFonts w:hint="eastAsia"/>
                <w:bCs/>
                <w:color w:val="000000"/>
                <w:kern w:val="0"/>
                <w:sz w:val="24"/>
                <w:szCs w:val="24"/>
              </w:rPr>
              <w:t>试行</w:t>
            </w:r>
            <w:r>
              <w:rPr>
                <w:bCs/>
                <w:color w:val="000000"/>
                <w:kern w:val="0"/>
                <w:sz w:val="24"/>
                <w:szCs w:val="24"/>
              </w:rPr>
              <w:t>）》</w:t>
            </w:r>
            <w:r>
              <w:rPr>
                <w:rFonts w:hint="eastAsia"/>
                <w:bCs/>
                <w:color w:val="000000"/>
                <w:kern w:val="0"/>
                <w:sz w:val="24"/>
                <w:szCs w:val="24"/>
              </w:rPr>
              <w:t>和</w:t>
            </w:r>
            <w:r>
              <w:rPr>
                <w:bCs/>
                <w:color w:val="000000"/>
                <w:kern w:val="0"/>
                <w:sz w:val="24"/>
                <w:szCs w:val="24"/>
              </w:rPr>
              <w:t>《</w:t>
            </w:r>
            <w:r>
              <w:rPr>
                <w:rFonts w:hint="eastAsia"/>
                <w:bCs/>
                <w:color w:val="000000"/>
                <w:kern w:val="0"/>
                <w:sz w:val="24"/>
                <w:szCs w:val="24"/>
              </w:rPr>
              <w:t>项目</w:t>
            </w:r>
            <w:r>
              <w:rPr>
                <w:bCs/>
                <w:color w:val="000000"/>
                <w:kern w:val="0"/>
                <w:sz w:val="24"/>
                <w:szCs w:val="24"/>
              </w:rPr>
              <w:t>环评“</w:t>
            </w:r>
            <w:r>
              <w:rPr>
                <w:rFonts w:hint="eastAsia"/>
                <w:bCs/>
                <w:color w:val="000000"/>
                <w:kern w:val="0"/>
                <w:sz w:val="24"/>
                <w:szCs w:val="24"/>
              </w:rPr>
              <w:t>三线一单</w:t>
            </w:r>
            <w:r>
              <w:rPr>
                <w:bCs/>
                <w:color w:val="000000"/>
                <w:kern w:val="0"/>
                <w:sz w:val="24"/>
                <w:szCs w:val="24"/>
              </w:rPr>
              <w:t>”</w:t>
            </w:r>
            <w:r>
              <w:rPr>
                <w:rFonts w:hint="eastAsia"/>
                <w:bCs/>
                <w:color w:val="000000"/>
                <w:kern w:val="0"/>
                <w:sz w:val="24"/>
                <w:szCs w:val="24"/>
              </w:rPr>
              <w:t>符合性</w:t>
            </w:r>
            <w:r>
              <w:rPr>
                <w:bCs/>
                <w:color w:val="000000"/>
                <w:kern w:val="0"/>
                <w:sz w:val="24"/>
                <w:szCs w:val="24"/>
              </w:rPr>
              <w:t>分析技术要点（</w:t>
            </w:r>
            <w:r>
              <w:rPr>
                <w:rFonts w:hint="eastAsia"/>
                <w:bCs/>
                <w:color w:val="000000"/>
                <w:kern w:val="0"/>
                <w:sz w:val="24"/>
                <w:szCs w:val="24"/>
              </w:rPr>
              <w:t>试行</w:t>
            </w:r>
            <w:r>
              <w:rPr>
                <w:bCs/>
                <w:color w:val="000000"/>
                <w:kern w:val="0"/>
                <w:sz w:val="24"/>
                <w:szCs w:val="24"/>
              </w:rPr>
              <w:t>）》</w:t>
            </w:r>
            <w:r>
              <w:rPr>
                <w:rFonts w:hint="eastAsia"/>
                <w:bCs/>
                <w:color w:val="000000"/>
                <w:kern w:val="0"/>
                <w:sz w:val="24"/>
                <w:szCs w:val="24"/>
              </w:rPr>
              <w:t>的</w:t>
            </w:r>
            <w:r>
              <w:rPr>
                <w:bCs/>
                <w:color w:val="000000"/>
                <w:kern w:val="0"/>
                <w:sz w:val="24"/>
                <w:szCs w:val="24"/>
              </w:rPr>
              <w:t>通知（</w:t>
            </w:r>
            <w:r>
              <w:rPr>
                <w:rFonts w:hint="eastAsia"/>
                <w:bCs/>
                <w:color w:val="000000"/>
                <w:kern w:val="0"/>
                <w:sz w:val="24"/>
                <w:szCs w:val="24"/>
              </w:rPr>
              <w:t>川</w:t>
            </w:r>
            <w:r>
              <w:rPr>
                <w:bCs/>
                <w:color w:val="000000"/>
                <w:kern w:val="0"/>
                <w:sz w:val="24"/>
                <w:szCs w:val="24"/>
              </w:rPr>
              <w:t>环办</w:t>
            </w:r>
            <w:r>
              <w:rPr>
                <w:rFonts w:hint="eastAsia"/>
                <w:bCs/>
                <w:color w:val="000000"/>
                <w:kern w:val="0"/>
                <w:sz w:val="24"/>
                <w:szCs w:val="24"/>
              </w:rPr>
              <w:t>函﹝2021﹞469号</w:t>
            </w:r>
            <w:r>
              <w:rPr>
                <w:bCs/>
                <w:color w:val="000000"/>
                <w:kern w:val="0"/>
                <w:sz w:val="24"/>
                <w:szCs w:val="24"/>
              </w:rPr>
              <w:t>）</w:t>
            </w:r>
            <w:r>
              <w:rPr>
                <w:rFonts w:hint="eastAsia"/>
                <w:bCs/>
                <w:color w:val="000000"/>
                <w:kern w:val="0"/>
                <w:sz w:val="24"/>
                <w:szCs w:val="24"/>
              </w:rPr>
              <w:t>文件</w:t>
            </w:r>
            <w:r>
              <w:rPr>
                <w:rFonts w:hint="eastAsia"/>
                <w:bCs/>
                <w:color w:val="000000"/>
                <w:kern w:val="0"/>
                <w:sz w:val="24"/>
                <w:szCs w:val="24"/>
                <w:lang w:val="en-US" w:eastAsia="zh-CN"/>
              </w:rPr>
              <w:t>可知：“位于园区内项目，且产业产业园区规划环境影响评价中已经开展了园区“三线一单”符合性分析，则项目环评只需要分析于产业园区规划环评生态环境准入要求的符合性。”</w:t>
            </w:r>
          </w:p>
          <w:p>
            <w:pPr>
              <w:pStyle w:val="16"/>
              <w:keepNext w:val="0"/>
              <w:keepLines w:val="0"/>
              <w:pageBreakBefore w:val="0"/>
              <w:kinsoku/>
              <w:wordWrap/>
              <w:overflowPunct/>
              <w:topLinePunct w:val="0"/>
              <w:autoSpaceDE/>
              <w:autoSpaceDN/>
              <w:bidi w:val="0"/>
              <w:snapToGrid w:val="0"/>
              <w:spacing w:before="0" w:after="0" w:line="360" w:lineRule="auto"/>
              <w:ind w:firstLine="480" w:firstLineChars="200"/>
              <w:textAlignment w:val="auto"/>
              <w:rPr>
                <w:rFonts w:hint="eastAsia" w:ascii="Times New Roman" w:hAnsi="Times New Roman" w:eastAsia="宋体" w:cs="Times New Roman"/>
                <w:b w:val="0"/>
                <w:bCs/>
                <w:color w:val="000000"/>
                <w:sz w:val="24"/>
                <w:szCs w:val="24"/>
                <w:lang w:val="en-US" w:eastAsia="zh-CN"/>
              </w:rPr>
            </w:pPr>
            <w:r>
              <w:rPr>
                <w:rFonts w:hint="eastAsia" w:ascii="Times New Roman"/>
                <w:color w:val="000000"/>
                <w:sz w:val="24"/>
                <w:szCs w:val="24"/>
                <w:lang w:val="en-US" w:eastAsia="zh-CN"/>
              </w:rPr>
              <w:t>根据查询《</w:t>
            </w:r>
            <w:r>
              <w:rPr>
                <w:rFonts w:hint="eastAsia" w:ascii="Times New Roman" w:hAnsi="Times New Roman" w:eastAsia="宋体" w:cs="Times New Roman"/>
                <w:b w:val="0"/>
                <w:bCs/>
                <w:color w:val="000000"/>
                <w:sz w:val="24"/>
                <w:szCs w:val="24"/>
                <w:lang w:val="en-US" w:eastAsia="zh-CN"/>
              </w:rPr>
              <w:t>乐山</w:t>
            </w:r>
            <w:r>
              <w:rPr>
                <w:rFonts w:hint="eastAsia" w:eastAsia="宋体" w:cs="Times New Roman"/>
                <w:b w:val="0"/>
                <w:bCs/>
                <w:color w:val="000000"/>
                <w:sz w:val="24"/>
                <w:szCs w:val="24"/>
                <w:lang w:val="en-US" w:eastAsia="zh-CN"/>
              </w:rPr>
              <w:t>市工业集中区水口-罗汉工业园区扩区规划</w:t>
            </w:r>
            <w:r>
              <w:rPr>
                <w:rFonts w:hint="eastAsia" w:ascii="Times New Roman" w:hAnsi="Times New Roman" w:eastAsia="宋体" w:cs="Times New Roman"/>
                <w:b w:val="0"/>
                <w:bCs/>
                <w:color w:val="000000"/>
                <w:sz w:val="24"/>
                <w:szCs w:val="24"/>
                <w:lang w:val="en-US" w:eastAsia="zh-CN"/>
              </w:rPr>
              <w:t>环境影响</w:t>
            </w:r>
            <w:r>
              <w:rPr>
                <w:rFonts w:hint="eastAsia" w:eastAsia="宋体" w:cs="Times New Roman"/>
                <w:b w:val="0"/>
                <w:bCs/>
                <w:color w:val="000000"/>
                <w:sz w:val="24"/>
                <w:szCs w:val="24"/>
                <w:lang w:val="en-US" w:eastAsia="zh-CN"/>
              </w:rPr>
              <w:t>跟踪</w:t>
            </w:r>
            <w:r>
              <w:rPr>
                <w:rFonts w:hint="eastAsia" w:ascii="Times New Roman" w:hAnsi="Times New Roman" w:eastAsia="宋体" w:cs="Times New Roman"/>
                <w:b w:val="0"/>
                <w:bCs/>
                <w:color w:val="000000"/>
                <w:sz w:val="24"/>
                <w:szCs w:val="24"/>
                <w:lang w:val="en-US" w:eastAsia="zh-CN"/>
              </w:rPr>
              <w:t>评价报告书》可知，因报告编制较早，乐山</w:t>
            </w:r>
            <w:r>
              <w:rPr>
                <w:rFonts w:hint="eastAsia" w:cs="Times New Roman"/>
                <w:b w:val="0"/>
                <w:bCs/>
                <w:color w:val="000000"/>
                <w:sz w:val="24"/>
                <w:szCs w:val="24"/>
                <w:lang w:val="en-US" w:eastAsia="zh-CN"/>
              </w:rPr>
              <w:t>市工业集中区水口-罗汉工业园区</w:t>
            </w:r>
            <w:r>
              <w:rPr>
                <w:rFonts w:hint="eastAsia" w:ascii="Times New Roman" w:hAnsi="Times New Roman" w:eastAsia="宋体" w:cs="Times New Roman"/>
                <w:b w:val="0"/>
                <w:bCs/>
                <w:color w:val="000000"/>
                <w:sz w:val="24"/>
                <w:szCs w:val="24"/>
                <w:lang w:val="en-US" w:eastAsia="zh-CN"/>
              </w:rPr>
              <w:t>未分析与“三线一单”的符合性，因此本次评价分析项目与“三线一单”的符合性。</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default" w:ascii="宋体" w:hAnsi="宋体" w:eastAsia="宋体"/>
                <w:b/>
                <w:bCs/>
                <w:color w:val="000000"/>
                <w:sz w:val="24"/>
                <w:szCs w:val="24"/>
                <w:lang w:val="en-US" w:eastAsia="zh-CN"/>
              </w:rPr>
            </w:pPr>
            <w:r>
              <w:rPr>
                <w:rFonts w:hint="eastAsia" w:ascii="宋体" w:hAnsi="宋体"/>
                <w:b/>
                <w:bCs/>
                <w:color w:val="000000"/>
                <w:sz w:val="24"/>
                <w:szCs w:val="24"/>
              </w:rPr>
              <w:t>（1）</w:t>
            </w:r>
            <w:r>
              <w:rPr>
                <w:rFonts w:hint="eastAsia" w:ascii="宋体" w:hAnsi="宋体"/>
                <w:b/>
                <w:bCs/>
                <w:color w:val="000000"/>
                <w:sz w:val="24"/>
                <w:szCs w:val="24"/>
                <w:lang w:val="en-US" w:eastAsia="zh-CN"/>
              </w:rPr>
              <w:t>环境管控单元</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color w:val="000000"/>
                <w:sz w:val="24"/>
                <w:szCs w:val="24"/>
              </w:rPr>
              <w:t>根据《建设项目环境影响报告表编制技术指南》(污染影响类)(试行)：本项目属于污染影响为主要特征的建设项目。项目位于</w:t>
            </w:r>
            <w:r>
              <w:rPr>
                <w:rFonts w:hint="default" w:ascii="Times New Roman" w:hAnsi="Times New Roman" w:cs="Times New Roman"/>
                <w:color w:val="000000"/>
                <w:sz w:val="24"/>
                <w:szCs w:val="24"/>
                <w:lang w:val="en-US" w:eastAsia="zh-CN"/>
              </w:rPr>
              <w:t>乐山</w:t>
            </w:r>
            <w:r>
              <w:rPr>
                <w:rFonts w:hint="eastAsia" w:cs="Times New Roman"/>
                <w:color w:val="000000"/>
                <w:sz w:val="24"/>
                <w:szCs w:val="24"/>
                <w:lang w:val="en-US" w:eastAsia="zh-CN"/>
              </w:rPr>
              <w:t>市工业集中区水口-罗汉工业园区</w:t>
            </w:r>
            <w:r>
              <w:rPr>
                <w:rFonts w:hint="default" w:ascii="Times New Roman" w:hAnsi="Times New Roman" w:cs="Times New Roman"/>
                <w:color w:val="000000"/>
                <w:sz w:val="24"/>
                <w:szCs w:val="24"/>
              </w:rPr>
              <w:t>，属于园区</w:t>
            </w:r>
            <w:r>
              <w:rPr>
                <w:rFonts w:hint="default" w:ascii="Times New Roman" w:hAnsi="Times New Roman" w:cs="Times New Roman"/>
                <w:color w:val="000000"/>
                <w:sz w:val="24"/>
                <w:szCs w:val="24"/>
                <w:lang w:val="en-US" w:eastAsia="zh-CN"/>
              </w:rPr>
              <w:t>内</w:t>
            </w:r>
            <w:r>
              <w:rPr>
                <w:rFonts w:hint="default" w:ascii="Times New Roman" w:hAnsi="Times New Roman" w:cs="Times New Roman"/>
                <w:color w:val="000000"/>
                <w:sz w:val="24"/>
                <w:szCs w:val="24"/>
              </w:rPr>
              <w:t>项目，</w:t>
            </w:r>
            <w:r>
              <w:rPr>
                <w:rFonts w:hint="default" w:ascii="Times New Roman" w:hAnsi="Times New Roman" w:cs="Times New Roman"/>
                <w:color w:val="000000"/>
                <w:sz w:val="24"/>
                <w:szCs w:val="24"/>
                <w:lang w:val="en-US" w:eastAsia="zh-CN"/>
              </w:rPr>
              <w:t>规划环评未论述“三线一单”，因此</w:t>
            </w:r>
            <w:r>
              <w:rPr>
                <w:rFonts w:hint="default" w:ascii="Times New Roman" w:hAnsi="Times New Roman" w:cs="Times New Roman"/>
                <w:color w:val="000000"/>
                <w:sz w:val="24"/>
                <w:szCs w:val="24"/>
              </w:rPr>
              <w:t>重点分析项目空间符合性分析。本项目涉及到环境管控单元</w:t>
            </w:r>
            <w:r>
              <w:rPr>
                <w:rFonts w:hint="default" w:ascii="Times New Roman" w:hAnsi="Times New Roman" w:eastAsia="仿宋_GB2312" w:cs="Times New Roman"/>
                <w:color w:val="000000"/>
                <w:sz w:val="24"/>
                <w:szCs w:val="24"/>
                <w:lang w:val="en-US" w:eastAsia="zh-CN"/>
              </w:rPr>
              <w:t>4</w:t>
            </w:r>
            <w:r>
              <w:rPr>
                <w:rFonts w:hint="default" w:ascii="Times New Roman" w:hAnsi="Times New Roman" w:cs="Times New Roman"/>
                <w:color w:val="000000"/>
                <w:sz w:val="24"/>
                <w:szCs w:val="24"/>
              </w:rPr>
              <w:t>个，涉及到管控单元见表</w:t>
            </w:r>
            <w:r>
              <w:rPr>
                <w:rFonts w:hint="eastAsia" w:cs="Times New Roman"/>
                <w:color w:val="000000"/>
                <w:sz w:val="24"/>
                <w:szCs w:val="24"/>
                <w:lang w:val="en-US" w:eastAsia="zh-CN"/>
              </w:rPr>
              <w:t>1-8。</w:t>
            </w:r>
          </w:p>
          <w:p>
            <w:pPr>
              <w:pStyle w:val="16"/>
              <w:keepNext w:val="0"/>
              <w:keepLines w:val="0"/>
              <w:pageBreakBefore w:val="0"/>
              <w:kinsoku/>
              <w:wordWrap/>
              <w:overflowPunct/>
              <w:topLinePunct w:val="0"/>
              <w:autoSpaceDE/>
              <w:autoSpaceDN/>
              <w:bidi w:val="0"/>
              <w:adjustRightInd/>
              <w:spacing w:before="0" w:after="0" w:line="240" w:lineRule="auto"/>
              <w:jc w:val="center"/>
              <w:textAlignment w:val="auto"/>
              <w:rPr>
                <w:rFonts w:hint="default" w:eastAsia="宋体"/>
                <w:b/>
                <w:bCs/>
                <w:sz w:val="24"/>
                <w:szCs w:val="24"/>
                <w:lang w:val="en-US" w:eastAsia="zh-CN"/>
              </w:rPr>
            </w:pPr>
            <w:r>
              <w:rPr>
                <w:rFonts w:hint="eastAsia" w:cs="Times New Roman"/>
                <w:b/>
                <w:bCs/>
                <w:color w:val="000000"/>
                <w:sz w:val="24"/>
                <w:szCs w:val="24"/>
                <w:lang w:eastAsia="zh-CN"/>
              </w:rPr>
              <w:t>表</w:t>
            </w:r>
            <w:r>
              <w:rPr>
                <w:rFonts w:hint="eastAsia" w:cs="Times New Roman"/>
                <w:b/>
                <w:bCs/>
                <w:color w:val="000000"/>
                <w:sz w:val="24"/>
                <w:szCs w:val="24"/>
                <w:lang w:val="en-US" w:eastAsia="zh-CN"/>
              </w:rPr>
              <w:t>1-8项目所在地涉及的管控单元</w:t>
            </w:r>
          </w:p>
          <w:tbl>
            <w:tblPr>
              <w:tblStyle w:val="39"/>
              <w:tblW w:w="7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678"/>
              <w:gridCol w:w="791"/>
              <w:gridCol w:w="859"/>
              <w:gridCol w:w="1145"/>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5" w:type="dxa"/>
                  <w:noWrap w:val="0"/>
                  <w:vAlign w:val="center"/>
                </w:tcPr>
                <w:p>
                  <w:pPr>
                    <w:pStyle w:val="16"/>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环境管控单元编码</w:t>
                  </w:r>
                </w:p>
              </w:tc>
              <w:tc>
                <w:tcPr>
                  <w:tcW w:w="1678" w:type="dxa"/>
                  <w:noWrap w:val="0"/>
                  <w:vAlign w:val="center"/>
                </w:tcPr>
                <w:p>
                  <w:pPr>
                    <w:pStyle w:val="16"/>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环境管控单元名称</w:t>
                  </w:r>
                </w:p>
              </w:tc>
              <w:tc>
                <w:tcPr>
                  <w:tcW w:w="791" w:type="dxa"/>
                  <w:noWrap w:val="0"/>
                  <w:vAlign w:val="center"/>
                </w:tcPr>
                <w:p>
                  <w:pPr>
                    <w:pStyle w:val="16"/>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所属城市</w:t>
                  </w:r>
                </w:p>
              </w:tc>
              <w:tc>
                <w:tcPr>
                  <w:tcW w:w="859" w:type="dxa"/>
                  <w:noWrap w:val="0"/>
                  <w:vAlign w:val="center"/>
                </w:tcPr>
                <w:p>
                  <w:pPr>
                    <w:pStyle w:val="16"/>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所属区县</w:t>
                  </w:r>
                </w:p>
              </w:tc>
              <w:tc>
                <w:tcPr>
                  <w:tcW w:w="1145" w:type="dxa"/>
                  <w:noWrap w:val="0"/>
                  <w:vAlign w:val="center"/>
                </w:tcPr>
                <w:p>
                  <w:pPr>
                    <w:pStyle w:val="16"/>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准入清单类型</w:t>
                  </w:r>
                </w:p>
              </w:tc>
              <w:tc>
                <w:tcPr>
                  <w:tcW w:w="1692" w:type="dxa"/>
                  <w:noWrap w:val="0"/>
                  <w:vAlign w:val="center"/>
                </w:tcPr>
                <w:p>
                  <w:pPr>
                    <w:pStyle w:val="16"/>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133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ZH51110220002</w:t>
                  </w:r>
                </w:p>
              </w:tc>
              <w:tc>
                <w:tcPr>
                  <w:tcW w:w="1678"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乐山高新技术产业开发区嘉州工业园</w:t>
                  </w:r>
                </w:p>
              </w:tc>
              <w:tc>
                <w:tcPr>
                  <w:tcW w:w="791"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乐山市</w:t>
                  </w:r>
                </w:p>
              </w:tc>
              <w:tc>
                <w:tcPr>
                  <w:tcW w:w="859"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市中区</w:t>
                  </w:r>
                </w:p>
              </w:tc>
              <w:tc>
                <w:tcPr>
                  <w:tcW w:w="114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环境综合</w:t>
                  </w:r>
                </w:p>
              </w:tc>
              <w:tc>
                <w:tcPr>
                  <w:tcW w:w="1692"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YS5111022210018</w:t>
                  </w:r>
                </w:p>
              </w:tc>
              <w:tc>
                <w:tcPr>
                  <w:tcW w:w="1678"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大渡河市中区李码头控制单元</w:t>
                  </w:r>
                </w:p>
              </w:tc>
              <w:tc>
                <w:tcPr>
                  <w:tcW w:w="791"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乐山市</w:t>
                  </w:r>
                </w:p>
              </w:tc>
              <w:tc>
                <w:tcPr>
                  <w:tcW w:w="859"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市中区</w:t>
                  </w:r>
                </w:p>
              </w:tc>
              <w:tc>
                <w:tcPr>
                  <w:tcW w:w="114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水环境分区</w:t>
                  </w:r>
                </w:p>
              </w:tc>
              <w:tc>
                <w:tcPr>
                  <w:tcW w:w="1692"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YS5111022310002</w:t>
                  </w:r>
                </w:p>
              </w:tc>
              <w:tc>
                <w:tcPr>
                  <w:tcW w:w="1678" w:type="dxa"/>
                  <w:noWrap w:val="0"/>
                  <w:vAlign w:val="center"/>
                </w:tcPr>
                <w:p>
                  <w:pPr>
                    <w:pStyle w:val="184"/>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乐山高新技术产业开发区嘉州工业园</w:t>
                  </w:r>
                </w:p>
              </w:tc>
              <w:tc>
                <w:tcPr>
                  <w:tcW w:w="791"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乐山市</w:t>
                  </w:r>
                </w:p>
              </w:tc>
              <w:tc>
                <w:tcPr>
                  <w:tcW w:w="859"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市中区</w:t>
                  </w:r>
                </w:p>
              </w:tc>
              <w:tc>
                <w:tcPr>
                  <w:tcW w:w="114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大气环境分区</w:t>
                  </w:r>
                </w:p>
              </w:tc>
              <w:tc>
                <w:tcPr>
                  <w:tcW w:w="1692"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5" w:type="dxa"/>
                  <w:noWrap w:val="0"/>
                  <w:vAlign w:val="center"/>
                </w:tcPr>
                <w:p>
                  <w:pPr>
                    <w:pStyle w:val="184"/>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YS5111022420002</w:t>
                  </w:r>
                </w:p>
              </w:tc>
              <w:tc>
                <w:tcPr>
                  <w:tcW w:w="1678"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乐山市市中区建设用地污染风险重点管控区2</w:t>
                  </w:r>
                </w:p>
              </w:tc>
              <w:tc>
                <w:tcPr>
                  <w:tcW w:w="791"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乐山市</w:t>
                  </w:r>
                </w:p>
              </w:tc>
              <w:tc>
                <w:tcPr>
                  <w:tcW w:w="859"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市中区</w:t>
                  </w:r>
                </w:p>
              </w:tc>
              <w:tc>
                <w:tcPr>
                  <w:tcW w:w="1145" w:type="dxa"/>
                  <w:noWrap w:val="0"/>
                  <w:vAlign w:val="center"/>
                </w:tcPr>
                <w:p>
                  <w:pPr>
                    <w:pStyle w:val="16"/>
                    <w:spacing w:line="240" w:lineRule="auto"/>
                    <w:jc w:val="center"/>
                    <w:rPr>
                      <w:rFonts w:hint="default" w:ascii="Times New Roman" w:hAnsi="Times New Roman" w:cs="Times New Roman"/>
                      <w:sz w:val="21"/>
                      <w:szCs w:val="21"/>
                      <w:vertAlign w:val="baseline"/>
                      <w:lang w:val="en-US" w:eastAsia="zh-CN"/>
                    </w:rPr>
                  </w:pPr>
                  <w:r>
                    <w:rPr>
                      <w:rStyle w:val="40"/>
                      <w:rFonts w:hint="default" w:ascii="Times New Roman" w:hAnsi="Times New Roman" w:eastAsia="宋体" w:cs="Times New Roman"/>
                      <w:kern w:val="2"/>
                      <w:sz w:val="21"/>
                      <w:szCs w:val="21"/>
                      <w:lang w:val="en-US" w:eastAsia="zh-CN" w:bidi="ar-SA"/>
                    </w:rPr>
                    <w:t>土壤环境</w:t>
                  </w:r>
                </w:p>
              </w:tc>
              <w:tc>
                <w:tcPr>
                  <w:tcW w:w="1692" w:type="dxa"/>
                  <w:noWrap w:val="0"/>
                  <w:vAlign w:val="center"/>
                </w:tcPr>
                <w:p>
                  <w:pPr>
                    <w:pStyle w:val="184"/>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建设用地污染风险重点管控区</w:t>
                  </w:r>
                </w:p>
              </w:tc>
            </w:tr>
          </w:tbl>
          <w:p>
            <w:pPr>
              <w:pStyle w:val="16"/>
              <w:keepNext w:val="0"/>
              <w:keepLines w:val="0"/>
              <w:pageBreakBefore w:val="0"/>
              <w:kinsoku/>
              <w:wordWrap/>
              <w:overflowPunct/>
              <w:topLinePunct w:val="0"/>
              <w:autoSpaceDE/>
              <w:autoSpaceDN/>
              <w:bidi w:val="0"/>
              <w:adjustRightInd/>
              <w:spacing w:before="0" w:after="0"/>
              <w:jc w:val="center"/>
              <w:textAlignment w:val="auto"/>
              <w:rPr>
                <w:rFonts w:hint="default" w:ascii="Helvetica" w:hAnsi="Helvetica" w:eastAsia="Helvetica"/>
                <w:sz w:val="28"/>
                <w:szCs w:val="24"/>
              </w:rPr>
            </w:pPr>
            <w:r>
              <w:rPr>
                <w:rFonts w:hint="default" w:ascii="Helvetica" w:hAnsi="Helvetica" w:eastAsia="Helvetica"/>
                <w:sz w:val="28"/>
                <w:szCs w:val="24"/>
              </w:rPr>
              <w:drawing>
                <wp:anchor distT="0" distB="0" distL="114300" distR="114300" simplePos="0" relativeHeight="251735040" behindDoc="0" locked="0" layoutInCell="1" allowOverlap="1">
                  <wp:simplePos x="0" y="0"/>
                  <wp:positionH relativeFrom="column">
                    <wp:posOffset>478155</wp:posOffset>
                  </wp:positionH>
                  <wp:positionV relativeFrom="paragraph">
                    <wp:posOffset>208915</wp:posOffset>
                  </wp:positionV>
                  <wp:extent cx="3969385" cy="2381885"/>
                  <wp:effectExtent l="0" t="0" r="12065" b="18415"/>
                  <wp:wrapNone/>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11"/>
                          <a:stretch>
                            <a:fillRect/>
                          </a:stretch>
                        </pic:blipFill>
                        <pic:spPr>
                          <a:xfrm>
                            <a:off x="0" y="0"/>
                            <a:ext cx="3969385" cy="238188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pStyle w:val="2"/>
              <w:rPr>
                <w:rFonts w:hint="eastAsia"/>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Helvetica" w:hAnsi="Helvetica" w:eastAsia="宋体"/>
                <w:b/>
                <w:bCs/>
                <w:sz w:val="24"/>
                <w:szCs w:val="24"/>
                <w:lang w:eastAsia="zh-CN"/>
              </w:rPr>
            </w:pP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Times New Roman" w:hAnsi="Times New Roman" w:eastAsia="宋体" w:cs="Times New Roman"/>
                <w:b/>
                <w:bCs/>
                <w:color w:val="000000"/>
                <w:sz w:val="24"/>
                <w:szCs w:val="24"/>
              </w:rPr>
            </w:pPr>
            <w:r>
              <w:rPr>
                <w:rFonts w:hint="eastAsia" w:ascii="Helvetica" w:hAnsi="Helvetica" w:eastAsia="宋体"/>
                <w:b/>
                <w:bCs/>
                <w:sz w:val="24"/>
                <w:szCs w:val="24"/>
                <w:lang w:eastAsia="zh-CN"/>
              </w:rPr>
              <w:t>图</w:t>
            </w:r>
            <w:r>
              <w:rPr>
                <w:rFonts w:hint="eastAsia" w:ascii="Helvetica" w:hAnsi="Helvetica" w:eastAsia="宋体"/>
                <w:b/>
                <w:bCs/>
                <w:sz w:val="24"/>
                <w:szCs w:val="24"/>
                <w:lang w:val="en-US" w:eastAsia="zh-CN"/>
              </w:rPr>
              <w:t>1-3</w:t>
            </w:r>
            <w:r>
              <w:rPr>
                <w:rFonts w:hint="eastAsia" w:ascii="Times New Roman" w:hAnsi="Times New Roman" w:eastAsia="宋体" w:cs="Times New Roman"/>
                <w:b/>
                <w:bCs/>
                <w:color w:val="000000"/>
                <w:sz w:val="24"/>
                <w:szCs w:val="24"/>
              </w:rPr>
              <w:t>项目与所在区域环境管控单元的位置关系图</w:t>
            </w:r>
          </w:p>
          <w:p>
            <w:pPr>
              <w:pStyle w:val="16"/>
              <w:keepNext w:val="0"/>
              <w:keepLines w:val="0"/>
              <w:pageBreakBefore w:val="0"/>
              <w:widowControl/>
              <w:kinsoku/>
              <w:wordWrap/>
              <w:overflowPunct/>
              <w:topLinePunct w:val="0"/>
              <w:autoSpaceDE/>
              <w:autoSpaceDN/>
              <w:bidi w:val="0"/>
              <w:adjustRightInd/>
              <w:spacing w:before="0" w:after="0" w:line="360" w:lineRule="auto"/>
              <w:ind w:firstLine="480" w:firstLineChars="200"/>
              <w:textAlignment w:val="auto"/>
              <w:rPr>
                <w:rFonts w:hint="eastAsia"/>
                <w:sz w:val="24"/>
                <w:szCs w:val="24"/>
                <w:lang w:val="en-US" w:eastAsia="zh-CN"/>
              </w:rPr>
            </w:pPr>
            <w:r>
              <w:rPr>
                <w:rFonts w:hint="eastAsia"/>
                <w:sz w:val="24"/>
                <w:szCs w:val="24"/>
                <w:lang w:val="en-US" w:eastAsia="zh-CN"/>
              </w:rPr>
              <w:t>根据上图可知，本项目位于工业重点管控单元。</w:t>
            </w:r>
          </w:p>
          <w:p>
            <w:pPr>
              <w:pStyle w:val="16"/>
              <w:keepNext w:val="0"/>
              <w:keepLines w:val="0"/>
              <w:pageBreakBefore w:val="0"/>
              <w:widowControl/>
              <w:kinsoku/>
              <w:wordWrap/>
              <w:overflowPunct/>
              <w:topLinePunct w:val="0"/>
              <w:autoSpaceDE/>
              <w:autoSpaceDN/>
              <w:bidi w:val="0"/>
              <w:adjustRightInd/>
              <w:spacing w:before="0" w:after="0" w:line="360" w:lineRule="auto"/>
              <w:ind w:firstLine="482" w:firstLineChars="200"/>
              <w:textAlignment w:val="auto"/>
              <w:rPr>
                <w:rFonts w:hint="eastAsia" w:ascii="Times New Roman"/>
                <w:b/>
                <w:bCs/>
                <w:color w:val="000000"/>
                <w:sz w:val="24"/>
                <w:szCs w:val="24"/>
                <w:lang w:val="en-US" w:eastAsia="zh-CN"/>
              </w:rPr>
            </w:pPr>
            <w:r>
              <w:rPr>
                <w:rFonts w:hint="eastAsia" w:ascii="Times New Roman"/>
                <w:b/>
                <w:bCs/>
                <w:color w:val="000000"/>
                <w:sz w:val="24"/>
                <w:szCs w:val="24"/>
                <w:lang w:eastAsia="zh-CN"/>
              </w:rPr>
              <w:t>（</w:t>
            </w:r>
            <w:r>
              <w:rPr>
                <w:rFonts w:hint="eastAsia" w:ascii="Times New Roman"/>
                <w:b/>
                <w:bCs/>
                <w:color w:val="000000"/>
                <w:sz w:val="24"/>
                <w:szCs w:val="24"/>
                <w:lang w:val="en-US" w:eastAsia="zh-CN"/>
              </w:rPr>
              <w:t>2</w:t>
            </w:r>
            <w:r>
              <w:rPr>
                <w:rFonts w:hint="eastAsia" w:ascii="Times New Roman"/>
                <w:b/>
                <w:bCs/>
                <w:color w:val="000000"/>
                <w:sz w:val="24"/>
                <w:szCs w:val="24"/>
                <w:lang w:eastAsia="zh-CN"/>
              </w:rPr>
              <w:t>）</w:t>
            </w:r>
            <w:r>
              <w:rPr>
                <w:rFonts w:hint="eastAsia" w:ascii="Times New Roman"/>
                <w:b/>
                <w:bCs/>
                <w:color w:val="000000"/>
                <w:sz w:val="24"/>
                <w:szCs w:val="24"/>
                <w:lang w:val="en-US" w:eastAsia="zh-CN"/>
              </w:rPr>
              <w:t>生态环境准入符合性分析</w:t>
            </w:r>
          </w:p>
          <w:p>
            <w:pPr>
              <w:keepNext w:val="0"/>
              <w:keepLines w:val="0"/>
              <w:pageBreakBefore w:val="0"/>
              <w:kinsoku/>
              <w:wordWrap/>
              <w:overflowPunct/>
              <w:topLinePunct w:val="0"/>
              <w:bidi w:val="0"/>
              <w:spacing w:line="360" w:lineRule="auto"/>
              <w:ind w:firstLine="480" w:firstLineChars="200"/>
              <w:textAlignment w:val="auto"/>
              <w:rPr>
                <w:rFonts w:hint="default"/>
                <w:sz w:val="24"/>
                <w:szCs w:val="24"/>
                <w:lang w:val="en-US" w:eastAsia="zh-CN"/>
              </w:rPr>
            </w:pPr>
            <w:r>
              <w:rPr>
                <w:rFonts w:hint="eastAsia"/>
                <w:color w:val="000000"/>
                <w:sz w:val="24"/>
                <w:szCs w:val="24"/>
              </w:rPr>
              <w:t>根据项目</w:t>
            </w:r>
            <w:r>
              <w:rPr>
                <w:color w:val="000000"/>
                <w:sz w:val="24"/>
                <w:szCs w:val="24"/>
              </w:rPr>
              <w:t>所在地所属环境管控单元的生态环境准入清单，从空间布局约束、污染物排放管控、环境风险防控、资源开发效率四个维度：</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color w:val="000000"/>
                <w:kern w:val="0"/>
                <w:sz w:val="24"/>
              </w:rPr>
            </w:pPr>
            <w:r>
              <w:rPr>
                <w:rFonts w:hint="eastAsia" w:ascii="Times New Roman" w:hAnsi="Times New Roman" w:cs="Times New Roman"/>
                <w:b/>
                <w:color w:val="000000"/>
                <w:kern w:val="0"/>
                <w:sz w:val="24"/>
                <w:lang w:val="en-US" w:eastAsia="zh-CN"/>
              </w:rPr>
              <w:t>①</w:t>
            </w:r>
            <w:r>
              <w:rPr>
                <w:rFonts w:hint="default" w:ascii="Times New Roman" w:hAnsi="Times New Roman" w:cs="Times New Roman"/>
                <w:b/>
                <w:color w:val="000000"/>
                <w:kern w:val="0"/>
                <w:sz w:val="24"/>
              </w:rPr>
              <w:t>与生态红线符合性分析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2" w:leftChars="1"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根据《四川省生态红线实施意见》（川府发〔2018〕24号）及“生态红线图”，本项目位于</w:t>
            </w:r>
            <w:r>
              <w:rPr>
                <w:rFonts w:hint="default" w:ascii="Times New Roman" w:hAnsi="Times New Roman" w:cs="Times New Roman"/>
                <w:color w:val="000000"/>
                <w:sz w:val="24"/>
                <w:lang w:eastAsia="zh-CN"/>
              </w:rPr>
              <w:t>乐山</w:t>
            </w:r>
            <w:r>
              <w:rPr>
                <w:rFonts w:hint="eastAsia" w:cs="Times New Roman"/>
                <w:color w:val="000000"/>
                <w:sz w:val="24"/>
                <w:lang w:eastAsia="zh-CN"/>
              </w:rPr>
              <w:t>市市中区水口镇龙窝村</w:t>
            </w:r>
            <w:r>
              <w:rPr>
                <w:rFonts w:hint="default" w:ascii="Times New Roman" w:hAnsi="Times New Roman" w:cs="Times New Roman"/>
                <w:color w:val="000000"/>
                <w:sz w:val="24"/>
              </w:rPr>
              <w:t>，与该行政区相关的生态保护红线为：</w:t>
            </w:r>
            <w:r>
              <w:rPr>
                <w:rFonts w:hint="default" w:ascii="Times New Roman" w:hAnsi="Times New Roman" w:eastAsia="Arial" w:cs="Times New Roman"/>
                <w:i w:val="0"/>
                <w:iCs w:val="0"/>
                <w:caps w:val="0"/>
                <w:color w:val="000000"/>
                <w:spacing w:val="0"/>
                <w:sz w:val="24"/>
                <w:szCs w:val="24"/>
                <w:shd w:val="clear" w:color="auto" w:fill="FFFFFF"/>
              </w:rPr>
              <w:t>盆中城市饮用水源—水土保持生态保护红线</w:t>
            </w:r>
            <w:r>
              <w:rPr>
                <w:rFonts w:hint="default" w:ascii="Times New Roman" w:hAnsi="Times New Roman" w:cs="Times New Roman"/>
                <w:color w:val="000000"/>
                <w:sz w:val="24"/>
              </w:rPr>
              <w:t>。</w:t>
            </w:r>
          </w:p>
          <w:p>
            <w:pPr>
              <w:keepNext w:val="0"/>
              <w:keepLines w:val="0"/>
              <w:pageBreakBefore w:val="0"/>
              <w:widowControl w:val="0"/>
              <w:kinsoku/>
              <w:wordWrap/>
              <w:overflowPunct/>
              <w:topLinePunct w:val="0"/>
              <w:autoSpaceDE/>
              <w:autoSpaceDN/>
              <w:bidi w:val="0"/>
              <w:spacing w:line="360" w:lineRule="auto"/>
              <w:ind w:left="2" w:leftChars="1" w:firstLine="480" w:firstLineChars="200"/>
              <w:textAlignment w:val="auto"/>
              <w:rPr>
                <w:rFonts w:hint="default" w:ascii="Times New Roman" w:hAnsi="Times New Roman" w:cs="Times New Roman"/>
                <w:color w:val="000000"/>
                <w:sz w:val="24"/>
              </w:rPr>
            </w:pPr>
            <w:r>
              <w:rPr>
                <w:rFonts w:hint="default" w:ascii="Times New Roman" w:hAnsi="Times New Roman" w:eastAsia="Arial" w:cs="Times New Roman"/>
                <w:i w:val="0"/>
                <w:iCs w:val="0"/>
                <w:caps w:val="0"/>
                <w:color w:val="000000"/>
                <w:spacing w:val="0"/>
                <w:sz w:val="24"/>
                <w:szCs w:val="24"/>
                <w:shd w:val="clear" w:color="auto" w:fill="FFFFFF"/>
              </w:rPr>
              <w:t>盆中城市饮用水源—水土保持生态保护红线</w:t>
            </w:r>
            <w:r>
              <w:rPr>
                <w:rFonts w:hint="default" w:ascii="Times New Roman" w:hAnsi="Times New Roman" w:cs="Times New Roman"/>
                <w:color w:val="000000"/>
                <w:sz w:val="24"/>
              </w:rPr>
              <w:t>：</w:t>
            </w:r>
          </w:p>
          <w:p>
            <w:pPr>
              <w:keepNext w:val="0"/>
              <w:keepLines w:val="0"/>
              <w:pageBreakBefore w:val="0"/>
              <w:kinsoku/>
              <w:wordWrap/>
              <w:overflowPunct/>
              <w:topLinePunct w:val="0"/>
              <w:bidi w:val="0"/>
              <w:spacing w:line="360" w:lineRule="auto"/>
              <w:ind w:firstLine="482" w:firstLineChars="200"/>
              <w:textAlignment w:val="auto"/>
              <w:rPr>
                <w:rFonts w:hint="eastAsia"/>
                <w:sz w:val="24"/>
                <w:szCs w:val="24"/>
                <w:lang w:val="en-US" w:eastAsia="zh-CN"/>
              </w:rPr>
            </w:pPr>
            <w:r>
              <w:rPr>
                <w:rFonts w:hint="default" w:ascii="Times New Roman" w:hAnsi="Times New Roman" w:cs="Times New Roman"/>
                <w:b/>
                <w:color w:val="000000"/>
                <w:sz w:val="24"/>
              </w:rPr>
              <w:t>地理分布：</w:t>
            </w:r>
            <w:r>
              <w:rPr>
                <w:rFonts w:hint="default" w:ascii="Times New Roman" w:hAnsi="Times New Roman" w:eastAsia="Arial" w:cs="Times New Roman"/>
                <w:i w:val="0"/>
                <w:iCs w:val="0"/>
                <w:caps w:val="0"/>
                <w:color w:val="000000"/>
                <w:spacing w:val="0"/>
                <w:sz w:val="24"/>
                <w:szCs w:val="24"/>
                <w:shd w:val="clear" w:color="auto" w:fill="FFFFFF"/>
              </w:rPr>
              <w:t>该区位于四川省东部成都平原及盆地丘陵区，行政区涉及成都市、自贡市、德阳市、绵阳市、广元市、遂宁市、内江市、乐山市、南充市、眉山市、广安市、达州市、巴中市、资阳市，总面积0.08万平方公里，占生态保护红线总面积的0.54%，占全省幅员面积的0.17%。</w:t>
            </w:r>
          </w:p>
          <w:p>
            <w:pPr>
              <w:keepNext w:val="0"/>
              <w:keepLines w:val="0"/>
              <w:pageBreakBefore w:val="0"/>
              <w:kinsoku/>
              <w:wordWrap/>
              <w:overflowPunct/>
              <w:topLinePunct w:val="0"/>
              <w:bidi w:val="0"/>
              <w:spacing w:line="360" w:lineRule="auto"/>
              <w:ind w:left="2" w:leftChars="1" w:firstLine="482" w:firstLineChars="200"/>
              <w:textAlignment w:val="auto"/>
              <w:rPr>
                <w:rFonts w:hint="default" w:ascii="Times New Roman" w:hAnsi="Times New Roman" w:cs="Times New Roman"/>
                <w:color w:val="000000"/>
                <w:sz w:val="24"/>
              </w:rPr>
            </w:pPr>
            <w:r>
              <w:rPr>
                <w:rFonts w:hint="default" w:ascii="Times New Roman" w:hAnsi="Times New Roman" w:cs="Times New Roman"/>
                <w:b/>
                <w:color w:val="000000"/>
                <w:sz w:val="24"/>
              </w:rPr>
              <w:t>生态功能：</w:t>
            </w:r>
            <w:r>
              <w:rPr>
                <w:rFonts w:hint="default" w:ascii="Times New Roman" w:hAnsi="Times New Roman" w:eastAsia="Arial" w:cs="Times New Roman"/>
                <w:i w:val="0"/>
                <w:iCs w:val="0"/>
                <w:caps w:val="0"/>
                <w:color w:val="000000"/>
                <w:spacing w:val="0"/>
                <w:sz w:val="24"/>
                <w:szCs w:val="24"/>
                <w:shd w:val="clear" w:color="auto" w:fill="FFFFFF"/>
              </w:rPr>
              <w:t>四川盆地区是成渝经济区的重要组成部分，是成渝城市群核心区域，人口密集，经济发展，城镇化率大于50%，该区主体功能区定位为重点开发区域和农产品主产区，其主导功能为人居保障和农林产品提供，该区的生态保护红线主要以保障城市饮水安全的饮用水水源保护区为主，还有零散分布于四川盆地及成都平原区自然保护区、风景名胜区、湿地公园、地质公园等各类生态保护重要区域，它们在维护区域水土保持功能方面发挥着重要作用</w:t>
            </w:r>
            <w:r>
              <w:rPr>
                <w:rFonts w:hint="default" w:ascii="Times New Roman" w:hAnsi="Times New Roman" w:cs="Times New Roman"/>
                <w:color w:val="000000"/>
                <w:sz w:val="24"/>
              </w:rPr>
              <w:t>。</w:t>
            </w:r>
          </w:p>
          <w:p>
            <w:pPr>
              <w:pStyle w:val="16"/>
              <w:keepNext w:val="0"/>
              <w:keepLines w:val="0"/>
              <w:pageBreakBefore w:val="0"/>
              <w:kinsoku/>
              <w:wordWrap/>
              <w:overflowPunct/>
              <w:topLinePunct w:val="0"/>
              <w:bidi w:val="0"/>
              <w:spacing w:before="0" w:after="0" w:line="360" w:lineRule="auto"/>
              <w:ind w:firstLine="482" w:firstLineChars="200"/>
              <w:textAlignment w:val="auto"/>
              <w:rPr>
                <w:rFonts w:hint="eastAsia"/>
                <w:sz w:val="24"/>
                <w:szCs w:val="24"/>
                <w:lang w:val="en-US" w:eastAsia="zh-CN"/>
              </w:rPr>
            </w:pPr>
            <w:r>
              <w:rPr>
                <w:rFonts w:hint="default" w:ascii="Times New Roman" w:hAnsi="Times New Roman" w:cs="Times New Roman"/>
                <w:b/>
                <w:color w:val="000000"/>
                <w:sz w:val="24"/>
              </w:rPr>
              <w:t>重要保护地：</w:t>
            </w:r>
            <w:r>
              <w:rPr>
                <w:rFonts w:hint="default" w:ascii="Times New Roman" w:hAnsi="Times New Roman" w:cs="Times New Roman"/>
                <w:color w:val="000000"/>
                <w:sz w:val="24"/>
              </w:rPr>
              <w:t>本</w:t>
            </w:r>
            <w:r>
              <w:rPr>
                <w:rFonts w:hint="default" w:ascii="Times New Roman" w:hAnsi="Times New Roman" w:eastAsia="Arial" w:cs="Times New Roman"/>
                <w:i w:val="0"/>
                <w:iCs w:val="0"/>
                <w:caps w:val="0"/>
                <w:color w:val="000000"/>
                <w:spacing w:val="0"/>
                <w:sz w:val="24"/>
                <w:szCs w:val="24"/>
                <w:shd w:val="clear" w:color="auto" w:fill="FFFFFF"/>
              </w:rPr>
              <w:t>本区域分布有32处饮用水水源保护区、6个省级自然保护区、3个国家级风景名胜区、10个省级风景名胜区、1个世界地质公园、5个国家地质公园、1个省级地质公园、2个国家湿地公园、4个省级湿地公园、14个国家级水产种质资源保护区、1个省级水产种质资源保护区、1处世界文化与自然遗产地的部分或全部区域</w:t>
            </w:r>
            <w:r>
              <w:rPr>
                <w:rFonts w:hint="default" w:ascii="Times New Roman" w:hAnsi="Times New Roman" w:cs="Times New Roman"/>
                <w:color w:val="000000"/>
                <w:sz w:val="24"/>
              </w:rPr>
              <w:t>。</w:t>
            </w:r>
          </w:p>
          <w:p>
            <w:pPr>
              <w:keepNext w:val="0"/>
              <w:keepLines w:val="0"/>
              <w:pageBreakBefore w:val="0"/>
              <w:kinsoku/>
              <w:wordWrap/>
              <w:overflowPunct/>
              <w:topLinePunct w:val="0"/>
              <w:bidi w:val="0"/>
              <w:spacing w:line="360" w:lineRule="auto"/>
              <w:ind w:left="2" w:leftChars="1" w:firstLine="482" w:firstLineChars="200"/>
              <w:textAlignment w:val="auto"/>
              <w:rPr>
                <w:rFonts w:hint="default" w:ascii="Times New Roman" w:hAnsi="Times New Roman" w:cs="Times New Roman"/>
                <w:color w:val="000000"/>
                <w:kern w:val="0"/>
                <w:sz w:val="24"/>
              </w:rPr>
            </w:pPr>
            <w:r>
              <w:rPr>
                <w:rFonts w:hint="default" w:ascii="Times New Roman" w:hAnsi="Times New Roman" w:cs="Times New Roman"/>
                <w:b/>
                <w:color w:val="000000"/>
                <w:sz w:val="24"/>
              </w:rPr>
              <w:t>保护重点：</w:t>
            </w:r>
            <w:r>
              <w:rPr>
                <w:rFonts w:hint="default" w:ascii="Times New Roman" w:hAnsi="Times New Roman" w:eastAsia="Arial" w:cs="Times New Roman"/>
                <w:i w:val="0"/>
                <w:iCs w:val="0"/>
                <w:caps w:val="0"/>
                <w:color w:val="000000"/>
                <w:spacing w:val="0"/>
                <w:sz w:val="24"/>
                <w:szCs w:val="24"/>
                <w:shd w:val="clear" w:color="auto" w:fill="FFFFFF"/>
              </w:rPr>
              <w:t>严格按照现有相关法律法规对禁止开发区域的管理要求，对生态保护红线实施严格保护，严格控制人为因素对区内自然生态的干扰</w:t>
            </w:r>
            <w:r>
              <w:rPr>
                <w:rFonts w:hint="default" w:ascii="Times New Roman" w:hAnsi="Times New Roman" w:cs="Times New Roman"/>
                <w:color w:val="000000"/>
                <w:kern w:val="0"/>
                <w:sz w:val="24"/>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b/>
                <w:color w:val="000000"/>
                <w:sz w:val="24"/>
                <w:szCs w:val="24"/>
                <w:lang w:val="en-US" w:eastAsia="zh-CN"/>
              </w:rPr>
            </w:pPr>
            <w:r>
              <w:rPr>
                <w:rFonts w:hint="default" w:ascii="Times New Roman" w:hAnsi="Times New Roman" w:cs="Times New Roman"/>
                <w:color w:val="000000"/>
                <w:kern w:val="0"/>
                <w:sz w:val="24"/>
              </w:rPr>
              <w:t>本项目位于</w:t>
            </w:r>
            <w:r>
              <w:rPr>
                <w:rFonts w:hint="default" w:ascii="Times New Roman" w:hAnsi="Times New Roman" w:cs="Times New Roman"/>
                <w:color w:val="000000"/>
                <w:kern w:val="0"/>
                <w:sz w:val="24"/>
                <w:lang w:eastAsia="zh-CN"/>
              </w:rPr>
              <w:t>乐山市</w:t>
            </w:r>
            <w:r>
              <w:rPr>
                <w:rFonts w:hint="eastAsia" w:cs="Times New Roman"/>
                <w:color w:val="000000"/>
                <w:kern w:val="0"/>
                <w:sz w:val="24"/>
                <w:lang w:eastAsia="zh-CN"/>
              </w:rPr>
              <w:t>市中区水口镇</w:t>
            </w:r>
            <w:r>
              <w:rPr>
                <w:rFonts w:hint="eastAsia" w:cs="Times New Roman"/>
                <w:color w:val="000000"/>
                <w:kern w:val="0"/>
                <w:sz w:val="24"/>
                <w:lang w:val="en-US" w:eastAsia="zh-CN"/>
              </w:rPr>
              <w:t>高河村</w:t>
            </w:r>
            <w:r>
              <w:rPr>
                <w:rFonts w:hint="default" w:ascii="Times New Roman" w:hAnsi="Times New Roman" w:cs="Times New Roman"/>
                <w:color w:val="000000"/>
                <w:kern w:val="0"/>
                <w:sz w:val="24"/>
              </w:rPr>
              <w:t>，</w:t>
            </w:r>
            <w:r>
              <w:rPr>
                <w:rFonts w:hint="eastAsia" w:ascii="Times New Roman" w:hAnsi="Times New Roman" w:cs="Times New Roman"/>
                <w:color w:val="000000"/>
                <w:kern w:val="0"/>
                <w:sz w:val="24"/>
                <w:lang w:val="en-US" w:eastAsia="zh-CN"/>
              </w:rPr>
              <w:t>根据图1-1可知</w:t>
            </w:r>
            <w:r>
              <w:rPr>
                <w:rFonts w:hint="default" w:ascii="Times New Roman" w:hAnsi="Times New Roman" w:cs="Times New Roman"/>
                <w:color w:val="000000"/>
                <w:kern w:val="0"/>
                <w:sz w:val="24"/>
              </w:rPr>
              <w:t>，本项目不在生态红线范围内，因此项目所处区域不在划定的生态红线范围内。</w:t>
            </w:r>
          </w:p>
          <w:p>
            <w:pPr>
              <w:keepNext w:val="0"/>
              <w:keepLines w:val="0"/>
              <w:pageBreakBefore w:val="0"/>
              <w:kinsoku/>
              <w:wordWrap/>
              <w:overflowPunct/>
              <w:topLinePunct w:val="0"/>
              <w:bidi w:val="0"/>
              <w:spacing w:line="360" w:lineRule="auto"/>
              <w:ind w:firstLine="482" w:firstLineChars="200"/>
              <w:textAlignment w:val="auto"/>
              <w:rPr>
                <w:b/>
                <w:color w:val="000000"/>
                <w:sz w:val="24"/>
                <w:szCs w:val="24"/>
              </w:rPr>
            </w:pPr>
            <w:r>
              <w:rPr>
                <w:rFonts w:hint="eastAsia"/>
                <w:b/>
                <w:color w:val="000000"/>
                <w:sz w:val="24"/>
                <w:szCs w:val="24"/>
                <w:lang w:val="en-US" w:eastAsia="zh-CN"/>
              </w:rPr>
              <w:t>②</w:t>
            </w:r>
            <w:r>
              <w:rPr>
                <w:b/>
                <w:color w:val="000000"/>
                <w:sz w:val="24"/>
                <w:szCs w:val="24"/>
              </w:rPr>
              <w:t>本项目与环境质量底线符合性分析</w:t>
            </w:r>
          </w:p>
          <w:p>
            <w:pPr>
              <w:pStyle w:val="16"/>
              <w:keepNext w:val="0"/>
              <w:keepLines w:val="0"/>
              <w:pageBreakBefore w:val="0"/>
              <w:kinsoku/>
              <w:wordWrap/>
              <w:overflowPunct/>
              <w:topLinePunct w:val="0"/>
              <w:autoSpaceDE/>
              <w:autoSpaceDN/>
              <w:bidi w:val="0"/>
              <w:adjustRightInd/>
              <w:spacing w:before="0" w:after="0" w:line="360" w:lineRule="auto"/>
              <w:ind w:firstLine="480" w:firstLineChars="200"/>
              <w:textAlignment w:val="auto"/>
              <w:rPr>
                <w:rFonts w:hint="eastAsia"/>
                <w:color w:val="000000"/>
                <w:sz w:val="24"/>
                <w:szCs w:val="24"/>
              </w:rPr>
            </w:pPr>
            <w:r>
              <w:rPr>
                <w:rFonts w:hint="eastAsia"/>
                <w:color w:val="000000"/>
                <w:sz w:val="24"/>
                <w:szCs w:val="24"/>
              </w:rPr>
              <w:t>环境质量底线是国家和地方设置的大气、水和土壤环境质量目标，也是改善环境质量的基准线。环境质量事关民生幸福，环境质量的底线就是以人民群众身体健康和生命财产安全为目标，维护人类生存基本环境质量需求的底线和保障线。具体而言，环境质量底线应涵盖以下3方面的基本要求。一是必须消除己有的劣质化环境；二是严格遵守执行环境质量“只能更好、不能变坏”的基本要求；三是保障环境风险控制在安全范围内。</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color w:val="000000"/>
                <w:sz w:val="24"/>
                <w:szCs w:val="24"/>
              </w:rPr>
            </w:pPr>
            <w:r>
              <w:rPr>
                <w:rFonts w:hint="eastAsia"/>
                <w:color w:val="000000"/>
                <w:sz w:val="24"/>
                <w:szCs w:val="24"/>
              </w:rPr>
              <w:t>项目区域空气环境质量标准执行《环境空气质量标准》（GB3095-2012）中的二级标准；地表水环境质量标准执行《地表水环境质量标准》（GB3838-2002）中Ⅲ类水域标准；声环境质量标准执行《声环境质量标准》（GB3096-2008）中的</w:t>
            </w:r>
            <w:r>
              <w:rPr>
                <w:rFonts w:hint="eastAsia"/>
                <w:color w:val="000000"/>
                <w:sz w:val="24"/>
                <w:szCs w:val="24"/>
                <w:lang w:val="en-US" w:eastAsia="zh-CN"/>
              </w:rPr>
              <w:t>3</w:t>
            </w:r>
            <w:r>
              <w:rPr>
                <w:rFonts w:hint="eastAsia"/>
                <w:color w:val="000000"/>
                <w:sz w:val="24"/>
                <w:szCs w:val="24"/>
              </w:rPr>
              <w:t>类声环境功能区标准。</w:t>
            </w:r>
          </w:p>
          <w:p>
            <w:pPr>
              <w:pStyle w:val="16"/>
              <w:keepNext w:val="0"/>
              <w:keepLines w:val="0"/>
              <w:pageBreakBefore w:val="0"/>
              <w:kinsoku/>
              <w:wordWrap/>
              <w:overflowPunct/>
              <w:topLinePunct w:val="0"/>
              <w:autoSpaceDE/>
              <w:autoSpaceDN/>
              <w:bidi w:val="0"/>
              <w:adjustRightInd/>
              <w:spacing w:before="0" w:after="0"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kern w:val="0"/>
                <w:sz w:val="24"/>
              </w:rPr>
              <w:t>本项目位于</w:t>
            </w:r>
            <w:r>
              <w:rPr>
                <w:rFonts w:hint="eastAsia" w:ascii="宋体" w:hAnsi="宋体" w:cs="宋体"/>
                <w:sz w:val="24"/>
                <w:szCs w:val="24"/>
                <w:lang w:eastAsia="zh-CN"/>
              </w:rPr>
              <w:t>乐山市工业集中区水口</w:t>
            </w:r>
            <w:r>
              <w:rPr>
                <w:rFonts w:hint="eastAsia" w:ascii="宋体" w:hAnsi="宋体" w:cs="宋体"/>
                <w:sz w:val="24"/>
                <w:szCs w:val="24"/>
                <w:lang w:val="en-US" w:eastAsia="zh-CN"/>
              </w:rPr>
              <w:t>-罗汉工业园区内</w:t>
            </w:r>
            <w:r>
              <w:rPr>
                <w:rFonts w:hint="default" w:ascii="Times New Roman" w:hAnsi="Times New Roman" w:cs="Times New Roman"/>
                <w:color w:val="000000"/>
                <w:kern w:val="0"/>
                <w:sz w:val="24"/>
              </w:rPr>
              <w:t>，根据</w:t>
            </w:r>
            <w:r>
              <w:rPr>
                <w:rFonts w:hint="eastAsia" w:ascii="宋体" w:hAnsi="宋体" w:cs="宋体"/>
                <w:kern w:val="0"/>
                <w:sz w:val="24"/>
                <w:szCs w:val="24"/>
                <w:lang w:val="en-US" w:eastAsia="zh-CN"/>
              </w:rPr>
              <w:t>《乐山市污染防治攻坚战工作通报》</w:t>
            </w:r>
            <w:r>
              <w:rPr>
                <w:rFonts w:hint="default" w:ascii="Times New Roman" w:hAnsi="Times New Roman" w:cs="Times New Roman"/>
                <w:kern w:val="0"/>
                <w:sz w:val="24"/>
                <w:szCs w:val="24"/>
                <w:lang w:val="en-US" w:eastAsia="zh-CN"/>
              </w:rPr>
              <w:t>2022</w:t>
            </w:r>
            <w:r>
              <w:rPr>
                <w:rFonts w:hint="eastAsia" w:ascii="宋体" w:hAnsi="宋体" w:cs="宋体"/>
                <w:kern w:val="0"/>
                <w:sz w:val="24"/>
                <w:szCs w:val="24"/>
                <w:lang w:val="en-US" w:eastAsia="zh-CN"/>
              </w:rPr>
              <w:t>年第</w:t>
            </w:r>
            <w:r>
              <w:rPr>
                <w:rFonts w:hint="default" w:ascii="Times New Roman" w:hAnsi="Times New Roman" w:cs="Times New Roman"/>
                <w:kern w:val="0"/>
                <w:sz w:val="24"/>
                <w:szCs w:val="24"/>
                <w:lang w:val="en-US" w:eastAsia="zh-CN"/>
              </w:rPr>
              <w:t>2</w:t>
            </w:r>
            <w:r>
              <w:rPr>
                <w:rFonts w:hint="eastAsia" w:ascii="宋体" w:hAnsi="宋体" w:cs="宋体"/>
                <w:kern w:val="0"/>
                <w:sz w:val="24"/>
                <w:szCs w:val="24"/>
                <w:lang w:val="en-US" w:eastAsia="zh-CN"/>
              </w:rPr>
              <w:t>期</w:t>
            </w:r>
            <w:r>
              <w:rPr>
                <w:rFonts w:hint="default" w:ascii="Times New Roman" w:hAnsi="Times New Roman" w:cs="Times New Roman"/>
                <w:color w:val="000000"/>
                <w:kern w:val="0"/>
                <w:sz w:val="24"/>
              </w:rPr>
              <w:t>，</w:t>
            </w:r>
            <w:r>
              <w:rPr>
                <w:rFonts w:hint="eastAsia" w:ascii="Times New Roman" w:hAnsi="Times New Roman" w:cs="Times New Roman"/>
                <w:color w:val="000000"/>
                <w:kern w:val="0"/>
                <w:sz w:val="24"/>
                <w:lang w:val="en-US" w:eastAsia="zh-CN"/>
              </w:rPr>
              <w:t>乐山市</w:t>
            </w:r>
            <w:r>
              <w:rPr>
                <w:rFonts w:hint="default" w:ascii="Times New Roman" w:hAnsi="Times New Roman" w:cs="Times New Roman"/>
                <w:color w:val="000000"/>
                <w:kern w:val="0"/>
                <w:sz w:val="24"/>
              </w:rPr>
              <w:t>属于环境空气为不达标区，并根据《乐山市空气质量限期达标规划（2017-2025）》，乐山市近期采取产业和能源结构调整措施、大气污染治理的措施等一系列措施后，在2025年底前实现空气质量6项主要污染物（二氧化硫、二氧化氮、可吸入颗粒物、细颗粒物、一氧化碳、臭氧）全面达标；</w:t>
            </w:r>
            <w:r>
              <w:rPr>
                <w:rFonts w:hint="eastAsia" w:ascii="Times New Roman" w:hAnsi="Times New Roman" w:cs="Times New Roman"/>
                <w:color w:val="000000"/>
                <w:kern w:val="0"/>
                <w:sz w:val="24"/>
                <w:lang w:val="en-US" w:eastAsia="zh-CN"/>
              </w:rPr>
              <w:t>本项目为</w:t>
            </w:r>
            <w:r>
              <w:rPr>
                <w:rFonts w:hint="eastAsia" w:cs="Times New Roman"/>
                <w:color w:val="000000"/>
                <w:kern w:val="0"/>
                <w:sz w:val="24"/>
                <w:lang w:val="en-US" w:eastAsia="zh-CN"/>
              </w:rPr>
              <w:t>新建</w:t>
            </w:r>
            <w:r>
              <w:rPr>
                <w:rFonts w:hint="eastAsia" w:ascii="Times New Roman" w:hAnsi="Times New Roman" w:cs="Times New Roman"/>
                <w:color w:val="000000"/>
                <w:kern w:val="0"/>
                <w:sz w:val="24"/>
                <w:lang w:val="en-US" w:eastAsia="zh-CN"/>
              </w:rPr>
              <w:t>项目，根据工程分析，在采取本次评价提出的各项污染物治理措施的前提下，</w:t>
            </w:r>
            <w:r>
              <w:rPr>
                <w:rFonts w:hint="eastAsia" w:cs="Times New Roman"/>
                <w:color w:val="000000"/>
                <w:kern w:val="0"/>
                <w:sz w:val="24"/>
                <w:lang w:val="en-US" w:eastAsia="zh-CN"/>
              </w:rPr>
              <w:t>污染物排放在排放限值内</w:t>
            </w:r>
            <w:r>
              <w:rPr>
                <w:rFonts w:hint="eastAsia" w:ascii="Times New Roman" w:hAnsi="Times New Roman" w:cs="Times New Roman"/>
                <w:color w:val="000000"/>
                <w:kern w:val="0"/>
                <w:sz w:val="24"/>
                <w:lang w:val="en-US" w:eastAsia="zh-CN"/>
              </w:rPr>
              <w:t>，因此</w:t>
            </w:r>
            <w:r>
              <w:rPr>
                <w:rFonts w:hint="default" w:ascii="Times New Roman" w:hAnsi="Times New Roman" w:cs="Times New Roman"/>
                <w:color w:val="000000"/>
                <w:sz w:val="24"/>
              </w:rPr>
              <w:t>不会影响达标规划的实现。</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B、地表水环境质量</w:t>
            </w:r>
          </w:p>
          <w:p>
            <w:pPr>
              <w:keepNext w:val="0"/>
              <w:keepLines w:val="0"/>
              <w:pageBreakBefore w:val="0"/>
              <w:kinsoku/>
              <w:wordWrap/>
              <w:overflowPunct/>
              <w:topLinePunct w:val="0"/>
              <w:bidi w:val="0"/>
              <w:spacing w:line="360" w:lineRule="auto"/>
              <w:ind w:firstLine="480" w:firstLineChars="200"/>
              <w:textAlignment w:val="auto"/>
              <w:rPr>
                <w:rFonts w:hint="eastAsia" w:ascii="Times New Roman" w:hAnsi="Times New Roman" w:cs="Times New Roman"/>
                <w:color w:val="000000"/>
                <w:kern w:val="0"/>
                <w:sz w:val="24"/>
                <w:lang w:val="en-US" w:eastAsia="zh-CN"/>
              </w:rPr>
            </w:pPr>
            <w:r>
              <w:rPr>
                <w:rFonts w:hint="default" w:ascii="Times New Roman" w:hAnsi="Times New Roman" w:cs="Times New Roman"/>
                <w:color w:val="000000"/>
                <w:kern w:val="0"/>
                <w:sz w:val="24"/>
                <w:lang w:val="en-US" w:eastAsia="zh-CN"/>
              </w:rPr>
              <w:t>本</w:t>
            </w:r>
            <w:r>
              <w:rPr>
                <w:rFonts w:hint="default" w:ascii="Times New Roman" w:hAnsi="Times New Roman" w:cs="Times New Roman"/>
                <w:color w:val="000000"/>
                <w:kern w:val="0"/>
                <w:sz w:val="24"/>
              </w:rPr>
              <w:t>项目位于</w:t>
            </w:r>
            <w:r>
              <w:rPr>
                <w:rFonts w:hint="eastAsia" w:ascii="Times New Roman" w:hAnsi="Times New Roman" w:cs="Times New Roman"/>
                <w:color w:val="000000"/>
                <w:kern w:val="0"/>
                <w:sz w:val="24"/>
                <w:lang w:eastAsia="zh-CN"/>
              </w:rPr>
              <w:t>乐山市</w:t>
            </w:r>
            <w:r>
              <w:rPr>
                <w:rFonts w:hint="eastAsia" w:cs="Times New Roman"/>
                <w:color w:val="000000"/>
                <w:kern w:val="0"/>
                <w:sz w:val="24"/>
                <w:lang w:eastAsia="zh-CN"/>
              </w:rPr>
              <w:t>工业集中区水口</w:t>
            </w:r>
            <w:r>
              <w:rPr>
                <w:rFonts w:hint="eastAsia" w:cs="Times New Roman"/>
                <w:color w:val="000000"/>
                <w:kern w:val="0"/>
                <w:sz w:val="24"/>
                <w:lang w:val="en-US" w:eastAsia="zh-CN"/>
              </w:rPr>
              <w:t>-罗汉工业</w:t>
            </w:r>
            <w:r>
              <w:rPr>
                <w:rFonts w:hint="eastAsia" w:ascii="Times New Roman" w:hAnsi="Times New Roman" w:cs="Times New Roman"/>
                <w:color w:val="000000"/>
                <w:kern w:val="0"/>
                <w:sz w:val="24"/>
                <w:lang w:val="en-US" w:eastAsia="zh-CN"/>
              </w:rPr>
              <w:t>区</w:t>
            </w:r>
            <w:r>
              <w:rPr>
                <w:rFonts w:hint="default" w:ascii="Times New Roman" w:hAnsi="Times New Roman" w:cs="Times New Roman"/>
                <w:color w:val="000000"/>
                <w:kern w:val="0"/>
                <w:sz w:val="24"/>
              </w:rPr>
              <w:t>，</w:t>
            </w:r>
            <w:r>
              <w:rPr>
                <w:rFonts w:hint="eastAsia" w:ascii="Times New Roman" w:hAnsi="Times New Roman" w:cs="Times New Roman"/>
                <w:color w:val="000000"/>
                <w:kern w:val="0"/>
                <w:sz w:val="24"/>
                <w:lang w:val="en-US" w:eastAsia="zh-CN"/>
              </w:rPr>
              <w:t>最终受纳水体为</w:t>
            </w:r>
            <w:r>
              <w:rPr>
                <w:rFonts w:hint="eastAsia" w:cs="Times New Roman"/>
                <w:color w:val="000000"/>
                <w:kern w:val="0"/>
                <w:sz w:val="24"/>
                <w:lang w:val="en-US" w:eastAsia="zh-CN"/>
              </w:rPr>
              <w:t>大渡河。</w:t>
            </w:r>
            <w:r>
              <w:rPr>
                <w:rFonts w:hint="default" w:ascii="Times New Roman" w:hAnsi="Times New Roman" w:cs="Times New Roman"/>
                <w:color w:val="000000"/>
                <w:kern w:val="0"/>
                <w:sz w:val="24"/>
              </w:rPr>
              <w:t>根据乐山市生态环境局公布的《乐山市地表水水质质量月报（202</w:t>
            </w:r>
            <w:r>
              <w:rPr>
                <w:rFonts w:hint="eastAsia" w:ascii="Times New Roman" w:hAnsi="Times New Roman" w:cs="Times New Roman"/>
                <w:color w:val="000000"/>
                <w:kern w:val="0"/>
                <w:sz w:val="24"/>
                <w:lang w:val="en-US" w:eastAsia="zh-CN"/>
              </w:rPr>
              <w:t>1</w:t>
            </w:r>
            <w:r>
              <w:rPr>
                <w:rFonts w:hint="default" w:ascii="Times New Roman" w:hAnsi="Times New Roman" w:cs="Times New Roman"/>
                <w:color w:val="000000"/>
                <w:kern w:val="0"/>
                <w:sz w:val="24"/>
              </w:rPr>
              <w:t>年</w:t>
            </w:r>
            <w:r>
              <w:rPr>
                <w:rFonts w:hint="eastAsia" w:ascii="Times New Roman" w:hAnsi="Times New Roman" w:cs="Times New Roman"/>
                <w:color w:val="000000"/>
                <w:kern w:val="0"/>
                <w:sz w:val="24"/>
                <w:lang w:val="en-US" w:eastAsia="zh-CN"/>
              </w:rPr>
              <w:t>1</w:t>
            </w:r>
            <w:r>
              <w:rPr>
                <w:rFonts w:hint="eastAsia" w:cs="Times New Roman"/>
                <w:color w:val="000000"/>
                <w:kern w:val="0"/>
                <w:sz w:val="24"/>
                <w:lang w:val="en-US" w:eastAsia="zh-CN"/>
              </w:rPr>
              <w:t>2</w:t>
            </w:r>
            <w:r>
              <w:rPr>
                <w:rFonts w:hint="default" w:ascii="Times New Roman" w:hAnsi="Times New Roman" w:cs="Times New Roman"/>
                <w:color w:val="000000"/>
                <w:kern w:val="0"/>
                <w:sz w:val="24"/>
              </w:rPr>
              <w:t>月）》水环境状况信息可知，</w:t>
            </w:r>
            <w:r>
              <w:rPr>
                <w:rFonts w:hint="eastAsia" w:cs="Times New Roman"/>
                <w:color w:val="000000"/>
                <w:kern w:val="0"/>
                <w:sz w:val="24"/>
                <w:lang w:val="en-US" w:eastAsia="zh-CN"/>
              </w:rPr>
              <w:t>大渡河</w:t>
            </w:r>
            <w:r>
              <w:rPr>
                <w:rFonts w:hint="eastAsia" w:ascii="Times New Roman" w:hAnsi="Times New Roman" w:cs="Times New Roman"/>
                <w:color w:val="000000"/>
                <w:kern w:val="0"/>
                <w:sz w:val="24"/>
                <w:lang w:val="en-US" w:eastAsia="zh-CN"/>
              </w:rPr>
              <w:t>水质达到</w:t>
            </w:r>
            <w:r>
              <w:rPr>
                <w:rFonts w:hint="eastAsia" w:cs="Times New Roman"/>
                <w:color w:val="000000"/>
                <w:kern w:val="0"/>
                <w:sz w:val="24"/>
                <w:lang w:val="en-US" w:eastAsia="zh-CN"/>
              </w:rPr>
              <w:t>II</w:t>
            </w:r>
            <w:r>
              <w:rPr>
                <w:rFonts w:hint="eastAsia" w:ascii="Times New Roman" w:hAnsi="Times New Roman" w:cs="Times New Roman"/>
                <w:color w:val="000000"/>
                <w:kern w:val="0"/>
                <w:sz w:val="24"/>
                <w:lang w:val="en-US" w:eastAsia="zh-CN"/>
              </w:rPr>
              <w:t>类，地表水水质良好。</w:t>
            </w:r>
          </w:p>
          <w:p>
            <w:pPr>
              <w:pStyle w:val="37"/>
              <w:keepNext w:val="0"/>
              <w:keepLines w:val="0"/>
              <w:pageBreakBefore w:val="0"/>
              <w:kinsoku/>
              <w:wordWrap/>
              <w:overflowPunct/>
              <w:topLinePunct w:val="0"/>
              <w:bidi w:val="0"/>
              <w:spacing w:line="360" w:lineRule="auto"/>
              <w:ind w:firstLine="480"/>
              <w:textAlignment w:val="auto"/>
              <w:rPr>
                <w:rFonts w:hint="eastAsia" w:ascii="Calibri" w:hAnsi="宋体" w:eastAsia="宋体" w:cs="宋体"/>
                <w:color w:val="000000"/>
                <w:kern w:val="2"/>
                <w:sz w:val="24"/>
                <w:szCs w:val="24"/>
                <w:lang w:val="en-US" w:eastAsia="zh-CN" w:bidi="ar-SA"/>
              </w:rPr>
            </w:pPr>
            <w:r>
              <w:rPr>
                <w:rFonts w:hint="eastAsia" w:ascii="Times New Roman" w:hAnsi="Times New Roman" w:cs="Times New Roman"/>
                <w:color w:val="000000"/>
                <w:kern w:val="0"/>
                <w:sz w:val="24"/>
                <w:lang w:val="en-US" w:eastAsia="zh-CN"/>
              </w:rPr>
              <w:t>根据本项目工程分析，</w:t>
            </w:r>
            <w:r>
              <w:rPr>
                <w:rFonts w:hint="eastAsia" w:cs="Times New Roman"/>
                <w:color w:val="000000"/>
                <w:kern w:val="0"/>
                <w:sz w:val="24"/>
                <w:lang w:val="en-US" w:eastAsia="zh-CN"/>
              </w:rPr>
              <w:t>本</w:t>
            </w:r>
            <w:r>
              <w:rPr>
                <w:rFonts w:hint="eastAsia" w:ascii="Times New Roman" w:hAnsi="Times New Roman" w:cs="Times New Roman"/>
                <w:color w:val="000000"/>
                <w:kern w:val="0"/>
                <w:sz w:val="24"/>
                <w:lang w:val="en-US" w:eastAsia="zh-CN"/>
              </w:rPr>
              <w:t>项目运营期生产废水</w:t>
            </w:r>
            <w:r>
              <w:rPr>
                <w:rFonts w:hint="eastAsia" w:cs="Times New Roman"/>
                <w:color w:val="000000"/>
                <w:kern w:val="0"/>
                <w:sz w:val="24"/>
                <w:lang w:val="en-US" w:eastAsia="zh-CN"/>
              </w:rPr>
              <w:t>处理后回用于生产</w:t>
            </w:r>
            <w:r>
              <w:rPr>
                <w:rFonts w:hint="eastAsia" w:ascii="Calibri" w:hAnsi="宋体" w:eastAsia="宋体" w:cs="宋体"/>
                <w:color w:val="000000"/>
                <w:kern w:val="2"/>
                <w:sz w:val="24"/>
                <w:szCs w:val="24"/>
                <w:lang w:val="en-US" w:eastAsia="zh-CN" w:bidi="ar-SA"/>
              </w:rPr>
              <w:t>，生活污水经</w:t>
            </w:r>
            <w:r>
              <w:rPr>
                <w:rFonts w:hint="eastAsia" w:ascii="Calibri" w:hAnsi="宋体" w:cs="宋体"/>
                <w:color w:val="000000"/>
                <w:kern w:val="2"/>
                <w:sz w:val="24"/>
                <w:szCs w:val="24"/>
                <w:lang w:val="en-US" w:eastAsia="zh-CN" w:bidi="ar-SA"/>
              </w:rPr>
              <w:t>污水预处理</w:t>
            </w:r>
            <w:r>
              <w:rPr>
                <w:rFonts w:hint="eastAsia" w:ascii="Calibri" w:hAnsi="宋体" w:eastAsia="宋体" w:cs="宋体"/>
                <w:color w:val="000000"/>
                <w:kern w:val="2"/>
                <w:sz w:val="24"/>
                <w:szCs w:val="24"/>
                <w:lang w:val="en-US" w:eastAsia="zh-CN" w:bidi="ar-SA"/>
              </w:rPr>
              <w:t>池收集后</w:t>
            </w:r>
            <w:r>
              <w:rPr>
                <w:rFonts w:hint="eastAsia" w:ascii="Calibri" w:hAnsi="宋体" w:cs="宋体"/>
                <w:color w:val="000000"/>
                <w:kern w:val="2"/>
                <w:sz w:val="24"/>
                <w:szCs w:val="24"/>
                <w:lang w:val="en-US" w:eastAsia="zh-CN" w:bidi="ar-SA"/>
              </w:rPr>
              <w:t>进入园区污水管网，进入园区</w:t>
            </w:r>
            <w:r>
              <w:rPr>
                <w:rFonts w:hint="eastAsia" w:ascii="Calibri" w:hAnsi="宋体" w:eastAsia="宋体" w:cs="宋体"/>
                <w:color w:val="000000"/>
                <w:kern w:val="2"/>
                <w:sz w:val="24"/>
                <w:szCs w:val="24"/>
                <w:lang w:val="en-US" w:eastAsia="zh-CN" w:bidi="ar-SA"/>
              </w:rPr>
              <w:t>污水处理厂进行处理。</w:t>
            </w:r>
            <w:r>
              <w:rPr>
                <w:rFonts w:hint="eastAsia" w:ascii="Calibri" w:hAnsi="宋体" w:cs="宋体"/>
                <w:color w:val="000000"/>
                <w:kern w:val="2"/>
                <w:sz w:val="24"/>
                <w:szCs w:val="24"/>
                <w:lang w:val="en-US" w:eastAsia="zh-CN" w:bidi="ar-SA"/>
              </w:rPr>
              <w:t>初期</w:t>
            </w:r>
            <w:r>
              <w:rPr>
                <w:rFonts w:hint="eastAsia" w:ascii="Calibri" w:hAnsi="宋体" w:eastAsia="宋体" w:cs="宋体"/>
                <w:color w:val="000000"/>
                <w:kern w:val="2"/>
                <w:sz w:val="24"/>
                <w:szCs w:val="24"/>
                <w:lang w:val="en-US" w:eastAsia="zh-CN" w:bidi="ar-SA"/>
              </w:rPr>
              <w:t>雨水通过雨水</w:t>
            </w:r>
            <w:r>
              <w:rPr>
                <w:rFonts w:hint="eastAsia" w:ascii="Calibri" w:hAnsi="宋体" w:cs="宋体"/>
                <w:color w:val="000000"/>
                <w:kern w:val="2"/>
                <w:sz w:val="24"/>
                <w:szCs w:val="24"/>
                <w:lang w:val="en-US" w:eastAsia="zh-CN" w:bidi="ar-SA"/>
              </w:rPr>
              <w:t>沟收集后进入厂区沉淀池，初</w:t>
            </w:r>
            <w:r>
              <w:rPr>
                <w:rFonts w:hint="eastAsia" w:ascii="宋体" w:hAnsi="宋体" w:eastAsia="宋体" w:cs="宋体"/>
                <w:color w:val="000000"/>
                <w:kern w:val="0"/>
                <w:sz w:val="24"/>
                <w:szCs w:val="24"/>
                <w:lang w:val="en-US" w:eastAsia="zh-CN" w:bidi="ar"/>
              </w:rPr>
              <w:t>期雨水经沉淀池沉淀后回用于场内降尘使用</w:t>
            </w:r>
            <w:r>
              <w:rPr>
                <w:rFonts w:hint="eastAsia" w:ascii="Calibri" w:hAnsi="宋体" w:eastAsia="宋体" w:cs="宋体"/>
                <w:color w:val="000000"/>
                <w:kern w:val="2"/>
                <w:sz w:val="24"/>
                <w:szCs w:val="24"/>
                <w:lang w:val="en-US" w:eastAsia="zh-CN" w:bidi="ar-SA"/>
              </w:rPr>
              <w:t>。</w:t>
            </w:r>
          </w:p>
          <w:p>
            <w:pPr>
              <w:pStyle w:val="37"/>
              <w:keepNext w:val="0"/>
              <w:keepLines w:val="0"/>
              <w:pageBreakBefore w:val="0"/>
              <w:widowControl w:val="0"/>
              <w:kinsoku/>
              <w:wordWrap/>
              <w:overflowPunct/>
              <w:topLinePunct w:val="0"/>
              <w:bidi w:val="0"/>
              <w:spacing w:line="360" w:lineRule="auto"/>
              <w:ind w:firstLine="480"/>
              <w:textAlignment w:val="auto"/>
              <w:rPr>
                <w:rFonts w:hint="eastAsia" w:cs="Times New Roman"/>
                <w:color w:val="000000"/>
                <w:kern w:val="0"/>
                <w:sz w:val="24"/>
                <w:lang w:val="en-US" w:eastAsia="zh-CN"/>
              </w:rPr>
            </w:pPr>
            <w:r>
              <w:rPr>
                <w:rFonts w:hint="default" w:ascii="Times New Roman" w:hAnsi="Times New Roman" w:cs="Times New Roman"/>
                <w:color w:val="000000"/>
                <w:kern w:val="0"/>
                <w:sz w:val="24"/>
              </w:rPr>
              <w:t>在采取以上措施后，可以确保废水得到有效治理，</w:t>
            </w:r>
            <w:r>
              <w:rPr>
                <w:rFonts w:hint="eastAsia" w:ascii="Times New Roman" w:hAnsi="Times New Roman" w:cs="Times New Roman"/>
                <w:color w:val="000000"/>
                <w:kern w:val="0"/>
                <w:sz w:val="24"/>
                <w:lang w:val="en-US" w:eastAsia="zh-CN"/>
              </w:rPr>
              <w:t>经</w:t>
            </w:r>
            <w:r>
              <w:rPr>
                <w:rFonts w:hint="eastAsia" w:cs="Times New Roman"/>
                <w:color w:val="000000"/>
                <w:kern w:val="0"/>
                <w:sz w:val="24"/>
                <w:lang w:val="en-US" w:eastAsia="zh-CN"/>
              </w:rPr>
              <w:t>乐山市工业集中区</w:t>
            </w:r>
            <w:r>
              <w:rPr>
                <w:rFonts w:hint="eastAsia" w:ascii="Times New Roman" w:hAnsi="Times New Roman" w:cs="Times New Roman"/>
                <w:color w:val="000000"/>
                <w:kern w:val="0"/>
                <w:sz w:val="24"/>
                <w:lang w:val="en-US" w:eastAsia="zh-CN"/>
              </w:rPr>
              <w:t>污水处理厂处理后可以实现达标排放，对地表水的环境影响是可接受的，不会突破地表水环境质量底线</w:t>
            </w:r>
            <w:r>
              <w:rPr>
                <w:rFonts w:hint="eastAsia" w:cs="Times New Roman"/>
                <w:color w:val="000000"/>
                <w:kern w:val="0"/>
                <w:sz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C、声环境</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000000"/>
                <w:sz w:val="24"/>
              </w:rPr>
            </w:pPr>
            <w:r>
              <w:rPr>
                <w:rFonts w:hint="eastAsia" w:cs="Times New Roman"/>
                <w:color w:val="000000"/>
                <w:sz w:val="24"/>
                <w:lang w:val="en-US" w:eastAsia="zh-CN"/>
              </w:rPr>
              <w:t>本</w:t>
            </w:r>
            <w:r>
              <w:rPr>
                <w:rFonts w:hint="eastAsia" w:ascii="Times New Roman" w:hAnsi="Times New Roman" w:cs="Times New Roman"/>
                <w:color w:val="000000"/>
                <w:sz w:val="24"/>
                <w:lang w:val="en-US" w:eastAsia="zh-CN"/>
              </w:rPr>
              <w:t>项目位于</w:t>
            </w:r>
            <w:r>
              <w:rPr>
                <w:rFonts w:hint="eastAsia" w:ascii="Times New Roman" w:hAnsi="Times New Roman" w:cs="Times New Roman"/>
                <w:color w:val="000000"/>
                <w:kern w:val="0"/>
                <w:sz w:val="24"/>
                <w:lang w:eastAsia="zh-CN"/>
              </w:rPr>
              <w:t>乐山市</w:t>
            </w:r>
            <w:r>
              <w:rPr>
                <w:rFonts w:hint="eastAsia" w:cs="Times New Roman"/>
                <w:color w:val="000000"/>
                <w:kern w:val="0"/>
                <w:sz w:val="24"/>
                <w:lang w:eastAsia="zh-CN"/>
              </w:rPr>
              <w:t>工业集中区水口</w:t>
            </w:r>
            <w:r>
              <w:rPr>
                <w:rFonts w:hint="eastAsia" w:cs="Times New Roman"/>
                <w:color w:val="000000"/>
                <w:kern w:val="0"/>
                <w:sz w:val="24"/>
                <w:lang w:val="en-US" w:eastAsia="zh-CN"/>
              </w:rPr>
              <w:t>-罗汉工业园</w:t>
            </w:r>
            <w:r>
              <w:rPr>
                <w:rFonts w:hint="eastAsia" w:ascii="Times New Roman" w:hAnsi="Times New Roman" w:cs="Times New Roman"/>
                <w:color w:val="000000"/>
                <w:kern w:val="0"/>
                <w:sz w:val="24"/>
                <w:lang w:val="en-US" w:eastAsia="zh-CN"/>
              </w:rPr>
              <w:t>区</w:t>
            </w:r>
            <w:r>
              <w:rPr>
                <w:rFonts w:hint="eastAsia" w:ascii="Times New Roman" w:hAnsi="Times New Roman" w:cs="Times New Roman"/>
                <w:color w:val="000000"/>
                <w:sz w:val="24"/>
                <w:lang w:val="en-US" w:eastAsia="zh-CN"/>
              </w:rPr>
              <w:t>，为</w:t>
            </w:r>
            <w:r>
              <w:rPr>
                <w:rFonts w:hint="eastAsia" w:cs="Times New Roman"/>
                <w:color w:val="000000"/>
                <w:sz w:val="24"/>
                <w:lang w:val="en-US" w:eastAsia="zh-CN"/>
              </w:rPr>
              <w:t>新</w:t>
            </w:r>
            <w:r>
              <w:rPr>
                <w:rFonts w:hint="eastAsia" w:ascii="Times New Roman" w:hAnsi="Times New Roman" w:cs="Times New Roman"/>
                <w:color w:val="000000"/>
                <w:sz w:val="24"/>
                <w:lang w:val="en-US" w:eastAsia="zh-CN"/>
              </w:rPr>
              <w:t>建项目，项目所在地50m范围内存在环境敏感目标，</w:t>
            </w:r>
            <w:r>
              <w:rPr>
                <w:rFonts w:hint="eastAsia" w:ascii="Times New Roman" w:hAnsi="Times New Roman" w:cs="Times New Roman"/>
                <w:color w:val="auto"/>
                <w:sz w:val="24"/>
                <w:lang w:val="en-US" w:eastAsia="zh-CN"/>
              </w:rPr>
              <w:t>根据本项目监测资料，</w:t>
            </w:r>
            <w:r>
              <w:rPr>
                <w:rFonts w:hint="default" w:ascii="Times New Roman" w:hAnsi="Times New Roman" w:cs="Times New Roman"/>
                <w:color w:val="auto"/>
                <w:sz w:val="24"/>
              </w:rPr>
              <w:t>项目区域昼间噪声均满足《声环境质量标准》（GB3096-2008）中</w:t>
            </w:r>
            <w:r>
              <w:rPr>
                <w:rFonts w:hint="eastAsia" w:cs="Times New Roman"/>
                <w:color w:val="auto"/>
                <w:sz w:val="24"/>
                <w:lang w:val="en-US" w:eastAsia="zh-CN"/>
              </w:rPr>
              <w:t>2</w:t>
            </w:r>
            <w:r>
              <w:rPr>
                <w:rFonts w:hint="default" w:ascii="Times New Roman" w:hAnsi="Times New Roman" w:cs="Times New Roman"/>
                <w:color w:val="auto"/>
                <w:sz w:val="24"/>
              </w:rPr>
              <w:t>类标准。</w:t>
            </w:r>
            <w:r>
              <w:rPr>
                <w:rFonts w:hint="default" w:ascii="Times New Roman" w:hAnsi="Times New Roman" w:cs="Times New Roman"/>
                <w:color w:val="000000"/>
                <w:sz w:val="24"/>
                <w:lang w:val="en-US" w:eastAsia="zh-CN"/>
              </w:rPr>
              <w:t>本</w:t>
            </w:r>
            <w:r>
              <w:rPr>
                <w:rFonts w:hint="default" w:ascii="Times New Roman" w:hAnsi="Times New Roman" w:cs="Times New Roman"/>
                <w:color w:val="000000"/>
                <w:sz w:val="24"/>
              </w:rPr>
              <w:t>项目运营期采取将生产厂房封闭，基础减震，经预测，项目运营期噪声不会出现超标现象，对声环境影响可接受。</w:t>
            </w:r>
          </w:p>
          <w:p>
            <w:pPr>
              <w:pStyle w:val="37"/>
              <w:keepNext w:val="0"/>
              <w:keepLines w:val="0"/>
              <w:pageBreakBefore w:val="0"/>
              <w:kinsoku/>
              <w:wordWrap/>
              <w:overflowPunct/>
              <w:topLinePunct w:val="0"/>
              <w:bidi w:val="0"/>
              <w:spacing w:line="360" w:lineRule="auto"/>
              <w:ind w:firstLine="48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因此，本项目符合环境质量底线要求。</w:t>
            </w:r>
          </w:p>
          <w:p>
            <w:pPr>
              <w:spacing w:line="360" w:lineRule="auto"/>
              <w:ind w:firstLine="482" w:firstLineChars="200"/>
              <w:rPr>
                <w:b/>
                <w:color w:val="000000"/>
                <w:sz w:val="24"/>
                <w:szCs w:val="24"/>
              </w:rPr>
            </w:pPr>
            <w:r>
              <w:rPr>
                <w:rFonts w:hint="eastAsia"/>
                <w:b/>
                <w:color w:val="000000"/>
                <w:sz w:val="24"/>
                <w:szCs w:val="24"/>
                <w:lang w:val="en-US" w:eastAsia="zh-CN"/>
              </w:rPr>
              <w:t>③</w:t>
            </w:r>
            <w:r>
              <w:rPr>
                <w:b/>
                <w:color w:val="000000"/>
                <w:sz w:val="24"/>
                <w:szCs w:val="24"/>
              </w:rPr>
              <w:t>本项目与资源利用上线符合性分析</w:t>
            </w:r>
          </w:p>
          <w:p>
            <w:pPr>
              <w:spacing w:line="360" w:lineRule="auto"/>
              <w:ind w:firstLine="480" w:firstLineChars="200"/>
              <w:rPr>
                <w:rFonts w:hint="eastAsia" w:cs="Times New Roman"/>
                <w:color w:val="000000"/>
                <w:sz w:val="24"/>
                <w:lang w:eastAsia="zh-CN"/>
              </w:rPr>
            </w:pPr>
            <w:r>
              <w:rPr>
                <w:rFonts w:hint="default" w:ascii="Times New Roman" w:hAnsi="Times New Roman" w:cs="Times New Roman"/>
                <w:color w:val="000000"/>
                <w:sz w:val="24"/>
              </w:rPr>
              <w:t>资源是环境的载体，资源利用上线是各地区能源、水、土地等资源消耗不得突破的“天花板”，项目生产过程中会消耗水、电资源，项目资源消耗量相对区域资源利用总量较少，符合资源利用上线要求</w:t>
            </w:r>
            <w:r>
              <w:rPr>
                <w:rFonts w:hint="eastAsia" w:cs="Times New Roman"/>
                <w:color w:val="000000"/>
                <w:sz w:val="24"/>
                <w:lang w:eastAsia="zh-CN"/>
              </w:rPr>
              <w:t>。</w:t>
            </w:r>
          </w:p>
          <w:p>
            <w:pPr>
              <w:spacing w:line="360" w:lineRule="auto"/>
              <w:ind w:firstLine="482" w:firstLineChars="200"/>
              <w:rPr>
                <w:b/>
                <w:color w:val="000000"/>
                <w:sz w:val="24"/>
                <w:szCs w:val="24"/>
              </w:rPr>
            </w:pPr>
            <w:r>
              <w:rPr>
                <w:rFonts w:hint="eastAsia"/>
                <w:b/>
                <w:color w:val="000000"/>
                <w:sz w:val="24"/>
                <w:szCs w:val="24"/>
                <w:lang w:val="en-US" w:eastAsia="zh-CN"/>
              </w:rPr>
              <w:t>④</w:t>
            </w:r>
            <w:r>
              <w:rPr>
                <w:b/>
                <w:color w:val="000000"/>
                <w:sz w:val="24"/>
                <w:szCs w:val="24"/>
              </w:rPr>
              <w:t>本项目与环境准入负面清单符合性分析</w:t>
            </w:r>
          </w:p>
          <w:p>
            <w:pPr>
              <w:spacing w:line="360" w:lineRule="auto"/>
              <w:ind w:firstLine="482" w:firstLineChars="200"/>
              <w:rPr>
                <w:rFonts w:hint="default" w:ascii="Times New Roman" w:hAnsi="Times New Roman" w:cs="Times New Roman"/>
                <w:b/>
                <w:bCs/>
                <w:color w:val="000000"/>
                <w:sz w:val="24"/>
              </w:rPr>
            </w:pPr>
            <w:r>
              <w:rPr>
                <w:rFonts w:hint="eastAsia" w:ascii="Times New Roman" w:hAnsi="Times New Roman" w:cs="Times New Roman"/>
                <w:b/>
                <w:bCs/>
                <w:color w:val="000000"/>
                <w:sz w:val="24"/>
                <w:lang w:val="en-US" w:eastAsia="zh-CN"/>
              </w:rPr>
              <w:t>A、</w:t>
            </w:r>
            <w:r>
              <w:rPr>
                <w:rFonts w:hint="default" w:ascii="Times New Roman" w:hAnsi="Times New Roman" w:cs="Times New Roman"/>
                <w:b/>
                <w:bCs/>
                <w:color w:val="000000"/>
                <w:sz w:val="24"/>
              </w:rPr>
              <w:t>与《四川省国家重点生态功能区产业准入负面清单（第一批）（试行）》符合性分析</w:t>
            </w:r>
          </w:p>
          <w:p>
            <w:pPr>
              <w:pStyle w:val="16"/>
              <w:keepNext w:val="0"/>
              <w:keepLines w:val="0"/>
              <w:pageBreakBefore w:val="0"/>
              <w:kinsoku/>
              <w:wordWrap/>
              <w:overflowPunct/>
              <w:topLinePunct w:val="0"/>
              <w:bidi w:val="0"/>
              <w:adjustRightInd/>
              <w:spacing w:before="0" w:after="0" w:line="360" w:lineRule="auto"/>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经过与《四川省国家重点生态功能区产业准入负面清单（第一批）（试行）》（实施范围涵盖甘孜州、阿坝州全域以及凉山州、绵阳市、广元市、乐山市、达州市、雅安市）对照分析，项目未被列入该负面清单内；</w:t>
            </w:r>
            <w:r>
              <w:rPr>
                <w:rFonts w:hint="eastAsia" w:ascii="Times New Roman" w:hAnsi="Times New Roman" w:cs="Times New Roman"/>
                <w:color w:val="000000"/>
                <w:sz w:val="24"/>
                <w:lang w:val="en-US" w:eastAsia="zh-CN"/>
              </w:rPr>
              <w:t>同时根据</w:t>
            </w:r>
            <w:r>
              <w:rPr>
                <w:rFonts w:hint="default" w:ascii="Times New Roman" w:hAnsi="Times New Roman" w:cs="Times New Roman"/>
                <w:color w:val="000000"/>
                <w:kern w:val="0"/>
                <w:sz w:val="24"/>
              </w:rPr>
              <w:t>《产业结构调整指导目录（2019年本）》（中华人民共和国发展和改革委员会令第29号）</w:t>
            </w:r>
            <w:r>
              <w:rPr>
                <w:rFonts w:hint="eastAsia" w:ascii="Times New Roman" w:hAnsi="Times New Roman" w:cs="Times New Roman"/>
                <w:color w:val="000000"/>
                <w:kern w:val="0"/>
                <w:sz w:val="24"/>
                <w:lang w:eastAsia="zh-CN"/>
              </w:rPr>
              <w:t>，</w:t>
            </w:r>
            <w:r>
              <w:rPr>
                <w:rFonts w:hint="eastAsia" w:ascii="Times New Roman" w:hAnsi="Times New Roman" w:cs="Times New Roman"/>
                <w:color w:val="000000"/>
                <w:kern w:val="0"/>
                <w:sz w:val="24"/>
                <w:lang w:val="en-US" w:eastAsia="zh-CN"/>
              </w:rPr>
              <w:t>项目不属于鼓励类、限制类及淘汰类，因此本项目属于允许类</w:t>
            </w:r>
            <w:r>
              <w:rPr>
                <w:rFonts w:hint="default" w:ascii="Times New Roman" w:hAnsi="Times New Roman" w:cs="Times New Roman"/>
                <w:color w:val="000000"/>
                <w:kern w:val="0"/>
                <w:sz w:val="24"/>
              </w:rPr>
              <w:t>。</w:t>
            </w:r>
            <w:r>
              <w:rPr>
                <w:rFonts w:hint="eastAsia" w:ascii="Times New Roman" w:hAnsi="Times New Roman" w:cs="Times New Roman"/>
                <w:color w:val="000000"/>
                <w:kern w:val="0"/>
                <w:sz w:val="24"/>
                <w:lang w:val="en-US" w:eastAsia="zh-CN"/>
              </w:rPr>
              <w:t>同时，</w:t>
            </w:r>
            <w:r>
              <w:rPr>
                <w:rFonts w:hint="eastAsia" w:cs="Times New Roman"/>
                <w:color w:val="000000"/>
                <w:kern w:val="0"/>
                <w:sz w:val="24"/>
                <w:lang w:val="en-US" w:eastAsia="zh-CN"/>
              </w:rPr>
              <w:t>本</w:t>
            </w:r>
            <w:r>
              <w:rPr>
                <w:rFonts w:hint="eastAsia" w:ascii="Times New Roman" w:hAnsi="Times New Roman" w:cs="Times New Roman"/>
                <w:color w:val="000000"/>
                <w:kern w:val="0"/>
                <w:sz w:val="24"/>
                <w:lang w:val="en-US" w:eastAsia="zh-CN"/>
              </w:rPr>
              <w:t>项目选址</w:t>
            </w:r>
            <w:r>
              <w:rPr>
                <w:rFonts w:hint="default" w:ascii="Times New Roman" w:hAnsi="Times New Roman" w:cs="Times New Roman"/>
                <w:color w:val="000000"/>
                <w:sz w:val="24"/>
              </w:rPr>
              <w:t>不涉及自然保护区，不涉及生态红线等，因此，本项目建设未被列入该负面清单内。</w:t>
            </w:r>
          </w:p>
          <w:p>
            <w:pPr>
              <w:pStyle w:val="47"/>
              <w:keepNext w:val="0"/>
              <w:keepLines w:val="0"/>
              <w:pageBreakBefore w:val="0"/>
              <w:kinsoku/>
              <w:wordWrap/>
              <w:overflowPunct/>
              <w:topLinePunct w:val="0"/>
              <w:bidi w:val="0"/>
              <w:adjustRightInd/>
              <w:spacing w:line="360" w:lineRule="auto"/>
              <w:ind w:firstLine="482" w:firstLineChars="200"/>
              <w:textAlignment w:val="auto"/>
              <w:rPr>
                <w:rFonts w:hint="default" w:ascii="Times New Roman" w:hAnsi="Times New Roman" w:cs="Times New Roman"/>
                <w:b/>
                <w:bCs/>
                <w:color w:val="000000"/>
              </w:rPr>
            </w:pPr>
            <w:r>
              <w:rPr>
                <w:rFonts w:hint="eastAsia" w:ascii="Times New Roman" w:hAnsi="Times New Roman" w:cs="Times New Roman"/>
                <w:b/>
                <w:bCs/>
                <w:color w:val="000000"/>
                <w:lang w:val="en-US" w:eastAsia="zh-CN"/>
              </w:rPr>
              <w:t>B、</w:t>
            </w:r>
            <w:r>
              <w:rPr>
                <w:rFonts w:hint="default" w:ascii="Times New Roman" w:hAnsi="Times New Roman" w:cs="Times New Roman"/>
                <w:b/>
                <w:bCs/>
                <w:color w:val="000000"/>
              </w:rPr>
              <w:t>与《四川省推动长江经济带发展领导小组办公室关于印发四川省长江经济带发展负面清单实施细则（试行）的通知》（川长江办[2019]8）号）符合性分析</w:t>
            </w:r>
          </w:p>
          <w:p>
            <w:pPr>
              <w:adjustRightInd w:val="0"/>
              <w:snapToGrid w:val="0"/>
              <w:spacing w:line="360" w:lineRule="auto"/>
              <w:ind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根据《四川省推动长江经济带发展领导小组办公室关于印发四川省长江经济带发展负面清单实施细则（试行）的通知》（川长江办[2019]8）号），本项目与其符合性分析见下表</w:t>
            </w:r>
            <w:r>
              <w:rPr>
                <w:rFonts w:hint="eastAsia" w:cs="Times New Roman"/>
                <w:color w:val="000000"/>
                <w:sz w:val="24"/>
                <w:lang w:val="en-US" w:eastAsia="zh-CN"/>
              </w:rPr>
              <w:t>1-9</w:t>
            </w:r>
            <w:r>
              <w:rPr>
                <w:rFonts w:hint="default" w:ascii="Times New Roman" w:hAnsi="Times New Roman" w:cs="Times New Roman"/>
                <w:color w:val="000000"/>
                <w:sz w:val="24"/>
              </w:rPr>
              <w:t>。</w:t>
            </w:r>
          </w:p>
          <w:p>
            <w:pPr>
              <w:adjustRightInd w:val="0"/>
              <w:snapToGrid w:val="0"/>
              <w:spacing w:line="440" w:lineRule="exact"/>
              <w:jc w:val="center"/>
              <w:rPr>
                <w:rFonts w:hint="default" w:eastAsia="宋体"/>
                <w:sz w:val="24"/>
                <w:szCs w:val="24"/>
                <w:lang w:val="en-US" w:eastAsia="zh-CN"/>
              </w:rPr>
            </w:pPr>
            <w:r>
              <w:rPr>
                <w:rFonts w:hint="default" w:ascii="Times New Roman" w:hAnsi="Times New Roman" w:cs="Times New Roman"/>
                <w:b/>
                <w:bCs/>
                <w:color w:val="000000"/>
                <w:sz w:val="24"/>
              </w:rPr>
              <w:t>表</w:t>
            </w:r>
            <w:r>
              <w:rPr>
                <w:rFonts w:hint="eastAsia" w:cs="Times New Roman"/>
                <w:b/>
                <w:bCs/>
                <w:color w:val="000000"/>
                <w:sz w:val="24"/>
                <w:lang w:val="en-US" w:eastAsia="zh-CN"/>
              </w:rPr>
              <w:t>1-9</w:t>
            </w:r>
            <w:r>
              <w:rPr>
                <w:rFonts w:hint="default" w:ascii="Times New Roman" w:hAnsi="Times New Roman" w:cs="Times New Roman"/>
                <w:b/>
                <w:bCs/>
                <w:color w:val="000000"/>
                <w:sz w:val="24"/>
              </w:rPr>
              <w:t>与川长江办[2019]8号符合性分析</w:t>
            </w:r>
          </w:p>
          <w:tbl>
            <w:tblPr>
              <w:tblStyle w:val="39"/>
              <w:tblW w:w="7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414"/>
              <w:gridCol w:w="1743"/>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eastAsia"/>
                      <w:b/>
                      <w:bCs/>
                      <w:sz w:val="21"/>
                      <w:szCs w:val="21"/>
                      <w:vertAlign w:val="baseline"/>
                      <w:lang w:val="en-US" w:eastAsia="zh-CN"/>
                    </w:rPr>
                  </w:pPr>
                  <w:r>
                    <w:rPr>
                      <w:rFonts w:hint="eastAsia"/>
                      <w:b/>
                      <w:bCs/>
                      <w:sz w:val="21"/>
                      <w:szCs w:val="21"/>
                      <w:vertAlign w:val="baseline"/>
                      <w:lang w:val="en-US" w:eastAsia="zh-CN"/>
                    </w:rPr>
                    <w:t>序号</w:t>
                  </w:r>
                </w:p>
              </w:tc>
              <w:tc>
                <w:tcPr>
                  <w:tcW w:w="4414" w:type="dxa"/>
                  <w:noWrap w:val="0"/>
                  <w:vAlign w:val="center"/>
                </w:tcPr>
                <w:p>
                  <w:pPr>
                    <w:spacing w:line="240" w:lineRule="auto"/>
                    <w:jc w:val="center"/>
                    <w:rPr>
                      <w:rFonts w:hint="eastAsia"/>
                      <w:b/>
                      <w:bCs/>
                      <w:sz w:val="21"/>
                      <w:szCs w:val="21"/>
                      <w:vertAlign w:val="baseline"/>
                      <w:lang w:val="en-US" w:eastAsia="zh-CN"/>
                    </w:rPr>
                  </w:pPr>
                  <w:r>
                    <w:rPr>
                      <w:rFonts w:hint="eastAsia"/>
                      <w:b/>
                      <w:bCs/>
                      <w:sz w:val="21"/>
                      <w:szCs w:val="21"/>
                      <w:vertAlign w:val="baseline"/>
                      <w:lang w:val="en-US" w:eastAsia="zh-CN"/>
                    </w:rPr>
                    <w:t>文件中要求</w:t>
                  </w:r>
                </w:p>
              </w:tc>
              <w:tc>
                <w:tcPr>
                  <w:tcW w:w="1743" w:type="dxa"/>
                  <w:noWrap w:val="0"/>
                  <w:vAlign w:val="center"/>
                </w:tcPr>
                <w:p>
                  <w:pPr>
                    <w:spacing w:line="240" w:lineRule="auto"/>
                    <w:jc w:val="center"/>
                    <w:rPr>
                      <w:rFonts w:hint="eastAsia"/>
                      <w:b/>
                      <w:bCs/>
                      <w:sz w:val="21"/>
                      <w:szCs w:val="21"/>
                      <w:vertAlign w:val="baseline"/>
                      <w:lang w:val="en-US" w:eastAsia="zh-CN"/>
                    </w:rPr>
                  </w:pPr>
                  <w:r>
                    <w:rPr>
                      <w:rFonts w:hint="eastAsia"/>
                      <w:b/>
                      <w:bCs/>
                      <w:sz w:val="21"/>
                      <w:szCs w:val="21"/>
                      <w:vertAlign w:val="baseline"/>
                      <w:lang w:val="en-US" w:eastAsia="zh-CN"/>
                    </w:rPr>
                    <w:t>本项目情况</w:t>
                  </w:r>
                </w:p>
              </w:tc>
              <w:tc>
                <w:tcPr>
                  <w:tcW w:w="865" w:type="dxa"/>
                  <w:noWrap w:val="0"/>
                  <w:vAlign w:val="center"/>
                </w:tcPr>
                <w:p>
                  <w:pPr>
                    <w:spacing w:line="240" w:lineRule="auto"/>
                    <w:jc w:val="center"/>
                    <w:rPr>
                      <w:rFonts w:hint="eastAsia"/>
                      <w:b/>
                      <w:bCs/>
                      <w:sz w:val="21"/>
                      <w:szCs w:val="21"/>
                      <w:vertAlign w:val="baseline"/>
                      <w:lang w:val="en-US" w:eastAsia="zh-CN"/>
                    </w:rPr>
                  </w:pPr>
                  <w:r>
                    <w:rPr>
                      <w:rFonts w:hint="eastAsia"/>
                      <w:b/>
                      <w:bCs/>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ascii="Times New Roman" w:hAnsi="Times New Roman" w:cs="Times New Roman"/>
                      <w:color w:val="000000"/>
                      <w:szCs w:val="21"/>
                      <w:lang w:val="en-US" w:eastAsia="zh-CN"/>
                    </w:rPr>
                    <w:t>第六条：禁止新建、改建和扩建未纳入《全国内河航道与港口布局规划》等全国港口规划，以及《四川省内河水运发展规划》、《泸州-宜宾-乐山港口群布局规划》等省级港口规划及港口总体规划的码头项目</w:t>
                  </w:r>
                  <w:r>
                    <w:rPr>
                      <w:rFonts w:hint="eastAsia" w:cs="Times New Roman"/>
                      <w:color w:val="000000"/>
                      <w:szCs w:val="21"/>
                      <w:lang w:val="en-US"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本项目不属于码头建设项目</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2</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ascii="Times New Roman" w:hAnsi="Times New Roman" w:cs="Times New Roman"/>
                      <w:color w:val="000000"/>
                      <w:szCs w:val="21"/>
                      <w:lang w:val="en-US" w:eastAsia="zh-CN"/>
                    </w:rPr>
                    <w:t>第七条：禁止新建、改建和扩建不符合《长江干线过江通道布局规划》的过长江通道项目（含桥梁、隧道）</w:t>
                  </w:r>
                  <w:r>
                    <w:rPr>
                      <w:rFonts w:hint="eastAsia" w:cs="Times New Roman"/>
                      <w:color w:val="000000"/>
                      <w:szCs w:val="21"/>
                      <w:lang w:val="en-US"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本项目不属于过江通道项目</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3</w:t>
                  </w:r>
                </w:p>
              </w:tc>
              <w:tc>
                <w:tcPr>
                  <w:tcW w:w="4414" w:type="dxa"/>
                  <w:noWrap w:val="0"/>
                  <w:vAlign w:val="center"/>
                </w:tcPr>
                <w:p>
                  <w:pPr>
                    <w:spacing w:line="240" w:lineRule="auto"/>
                    <w:jc w:val="center"/>
                    <w:rPr>
                      <w:rFonts w:hint="eastAsia" w:eastAsia="宋体"/>
                      <w:sz w:val="21"/>
                      <w:szCs w:val="21"/>
                      <w:vertAlign w:val="baseline"/>
                      <w:lang w:val="en-US" w:eastAsia="zh-CN"/>
                    </w:rPr>
                  </w:pPr>
                  <w:r>
                    <w:rPr>
                      <w:rFonts w:hint="default" w:ascii="Times New Roman" w:hAnsi="Times New Roman" w:cs="Times New Roman"/>
                      <w:color w:val="000000"/>
                      <w:sz w:val="21"/>
                      <w:szCs w:val="21"/>
                    </w:rPr>
                    <w:t>第八条：禁止在自然保护区核心区、缓冲区的岸线和河段范围内投资建设旅游和生产经营项目。禁止在自然保护区内进行砍伐、放牧、狩猎、捕捞、采药、开垦、烧荒、开矿、采石、挖沙等活动</w:t>
                  </w:r>
                  <w:r>
                    <w:rPr>
                      <w:rFonts w:hint="eastAsia" w:cs="Times New Roman"/>
                      <w:color w:val="000000"/>
                      <w:sz w:val="21"/>
                      <w:szCs w:val="21"/>
                      <w:lang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4</w:t>
                  </w:r>
                </w:p>
              </w:tc>
              <w:tc>
                <w:tcPr>
                  <w:tcW w:w="4414" w:type="dxa"/>
                  <w:noWrap w:val="0"/>
                  <w:vAlign w:val="center"/>
                </w:tcPr>
                <w:p>
                  <w:pPr>
                    <w:spacing w:line="240" w:lineRule="auto"/>
                    <w:jc w:val="center"/>
                    <w:rPr>
                      <w:rFonts w:hint="eastAsia" w:eastAsia="宋体"/>
                      <w:sz w:val="21"/>
                      <w:szCs w:val="21"/>
                      <w:vertAlign w:val="baseline"/>
                      <w:lang w:val="en-US" w:eastAsia="zh-CN"/>
                    </w:rPr>
                  </w:pPr>
                  <w:r>
                    <w:rPr>
                      <w:rFonts w:hint="default" w:ascii="Times New Roman" w:hAnsi="Times New Roman" w:cs="Times New Roman"/>
                      <w:color w:val="000000"/>
                      <w:szCs w:val="21"/>
                    </w:rPr>
                    <w:t>第九条：禁止违反风景名胜区规划，在风景名胜区内设立各类开发区；禁止在风景名胜区核心景区的岸线和河段范围内建设宾馆、招待所、培训中心、疗养院以及与风景名胜资源保护无关的其他建筑物</w:t>
                  </w:r>
                  <w:r>
                    <w:rPr>
                      <w:rFonts w:hint="eastAsia" w:cs="Times New Roman"/>
                      <w:color w:val="000000"/>
                      <w:szCs w:val="21"/>
                      <w:lang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5</w:t>
                  </w:r>
                </w:p>
              </w:tc>
              <w:tc>
                <w:tcPr>
                  <w:tcW w:w="4414" w:type="dxa"/>
                  <w:noWrap w:val="0"/>
                  <w:vAlign w:val="center"/>
                </w:tcPr>
                <w:p>
                  <w:pPr>
                    <w:spacing w:line="240" w:lineRule="auto"/>
                    <w:jc w:val="center"/>
                    <w:rPr>
                      <w:rFonts w:hint="eastAsia"/>
                      <w:sz w:val="21"/>
                      <w:szCs w:val="21"/>
                      <w:vertAlign w:val="baseline"/>
                      <w:lang w:val="en-US" w:eastAsia="zh-CN"/>
                    </w:rPr>
                  </w:pPr>
                  <w:r>
                    <w:rPr>
                      <w:rFonts w:hint="default" w:ascii="Times New Roman" w:hAnsi="Times New Roman" w:cs="Times New Roman"/>
                      <w:color w:val="000000"/>
                      <w:szCs w:val="21"/>
                    </w:rPr>
                    <w:t>第十条：禁止在饮用水水源准保护区的岸线和河段范围内新建、扩建对水体污染严重的建设项目；改建建设项目不得增加排污量。禁止在饮用水水源准保护区的岸线和河段范围内设置化工原料、矿物油类及有毒有害矿产品的贮存场所，以及生活垃圾、工业固体废物和危险废物的堆放场所和转运站。</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6</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ascii="Times New Roman" w:hAnsi="Times New Roman" w:cs="Times New Roman"/>
                      <w:color w:val="000000"/>
                      <w:szCs w:val="21"/>
                      <w:lang w:val="en-US" w:eastAsia="zh-CN"/>
                    </w:rPr>
                    <w:t>第十一条：在饮用水水源二级保护区岸线和河段范围规定外，禁止新建、改建、扩建排放污染物的建设项目；禁止从事经营性取土和采石（砂）等活动；禁止从事网箱养殖、施肥养鱼等污染饮用水水体的活动；禁止铺设输送污水、油类、有毒有害物品的管道</w:t>
                  </w:r>
                  <w:r>
                    <w:rPr>
                      <w:rFonts w:hint="eastAsia" w:cs="Times New Roman"/>
                      <w:color w:val="000000"/>
                      <w:szCs w:val="21"/>
                      <w:lang w:val="en-US"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本项目不涉及饮用水水源保护区</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7</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ascii="Times New Roman" w:hAnsi="Times New Roman" w:cs="Times New Roman"/>
                      <w:color w:val="000000"/>
                      <w:szCs w:val="21"/>
                      <w:lang w:val="en-US" w:eastAsia="zh-CN"/>
                    </w:rPr>
                    <w:t>第十二条：饮用水水源一级保护区的岸线和河段范围内，除应遵守准保护区和二级保护区规定外，禁止新建、改建、扩建与供（取）水设施和保护水源无关的项目，以及网箱养殖，旅游等可能污染污染用水水体的投资建设项目；禁止设置畜禽养殖场</w:t>
                  </w:r>
                  <w:r>
                    <w:rPr>
                      <w:rFonts w:hint="eastAsia" w:cs="Times New Roman"/>
                      <w:color w:val="000000"/>
                      <w:szCs w:val="21"/>
                      <w:lang w:val="en-US"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本项目不涉及饮用水水源保护区</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8</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color w:val="000000"/>
                      <w:lang w:val="en-US" w:eastAsia="zh-CN"/>
                    </w:rPr>
                    <w:t>第十三条：禁止在水产种质资源保护区岸线新建排污口。</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cs="Times New Roman"/>
                      <w:color w:val="000000"/>
                      <w:szCs w:val="21"/>
                      <w:lang w:val="en-US" w:eastAsia="zh-CN"/>
                    </w:rPr>
                    <w:t>本</w:t>
                  </w:r>
                  <w:r>
                    <w:rPr>
                      <w:rFonts w:hint="eastAsia" w:ascii="Times New Roman" w:hAnsi="Times New Roman" w:eastAsia="宋体" w:cs="Times New Roman"/>
                      <w:color w:val="000000"/>
                      <w:szCs w:val="21"/>
                      <w:lang w:val="en-US" w:eastAsia="zh-CN"/>
                    </w:rPr>
                    <w:t>项目运营期生活污水经</w:t>
                  </w:r>
                  <w:r>
                    <w:rPr>
                      <w:rFonts w:hint="eastAsia" w:cs="Times New Roman"/>
                      <w:color w:val="000000"/>
                      <w:szCs w:val="21"/>
                      <w:lang w:val="en-US" w:eastAsia="zh-CN"/>
                    </w:rPr>
                    <w:t>污水预处理池</w:t>
                  </w:r>
                  <w:r>
                    <w:rPr>
                      <w:rFonts w:hint="eastAsia" w:ascii="Times New Roman" w:hAnsi="Times New Roman" w:eastAsia="宋体" w:cs="Times New Roman"/>
                      <w:color w:val="000000"/>
                      <w:szCs w:val="21"/>
                      <w:lang w:val="en-US" w:eastAsia="zh-CN"/>
                    </w:rPr>
                    <w:t>处理后排入</w:t>
                  </w:r>
                  <w:r>
                    <w:rPr>
                      <w:rFonts w:hint="eastAsia" w:cs="Times New Roman"/>
                      <w:color w:val="000000"/>
                      <w:szCs w:val="21"/>
                      <w:lang w:val="en-US" w:eastAsia="zh-CN"/>
                    </w:rPr>
                    <w:t>园区</w:t>
                  </w:r>
                  <w:r>
                    <w:rPr>
                      <w:rFonts w:hint="eastAsia" w:ascii="Times New Roman" w:hAnsi="Times New Roman" w:eastAsia="宋体" w:cs="Times New Roman"/>
                      <w:color w:val="000000"/>
                      <w:szCs w:val="21"/>
                      <w:lang w:val="en-US" w:eastAsia="zh-CN"/>
                    </w:rPr>
                    <w:t>污水处理厂进行处理</w:t>
                  </w:r>
                  <w:r>
                    <w:rPr>
                      <w:rFonts w:hint="eastAsia" w:cs="Times New Roman"/>
                      <w:color w:val="000000"/>
                      <w:szCs w:val="21"/>
                      <w:lang w:val="en-US" w:eastAsia="zh-CN"/>
                    </w:rPr>
                    <w:t>。</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9</w:t>
                  </w:r>
                </w:p>
              </w:tc>
              <w:tc>
                <w:tcPr>
                  <w:tcW w:w="4414" w:type="dxa"/>
                  <w:noWrap w:val="0"/>
                  <w:vAlign w:val="center"/>
                </w:tcPr>
                <w:p>
                  <w:pPr>
                    <w:spacing w:line="240" w:lineRule="auto"/>
                    <w:jc w:val="center"/>
                    <w:rPr>
                      <w:rFonts w:hint="eastAsia"/>
                      <w:sz w:val="21"/>
                      <w:szCs w:val="21"/>
                      <w:vertAlign w:val="baseline"/>
                      <w:lang w:val="en-US" w:eastAsia="zh-CN"/>
                    </w:rPr>
                  </w:pPr>
                  <w:r>
                    <w:rPr>
                      <w:rFonts w:hint="default" w:ascii="Times New Roman" w:hAnsi="Times New Roman" w:cs="Times New Roman"/>
                      <w:color w:val="000000"/>
                      <w:lang w:val="en-US" w:eastAsia="zh-CN"/>
                    </w:rPr>
                    <w:t>第十四条：禁止在水产种质资源保护区的安详和河段范围内围湖造田、围湖造地、挖砂采石</w:t>
                  </w:r>
                  <w:r>
                    <w:rPr>
                      <w:rFonts w:hint="eastAsia" w:cs="Times New Roman"/>
                      <w:color w:val="000000"/>
                      <w:lang w:val="en-US" w:eastAsia="zh-CN"/>
                    </w:rPr>
                    <w:t>。</w:t>
                  </w:r>
                </w:p>
              </w:tc>
              <w:tc>
                <w:tcPr>
                  <w:tcW w:w="1743" w:type="dxa"/>
                  <w:noWrap w:val="0"/>
                  <w:vAlign w:val="center"/>
                </w:tcPr>
                <w:p>
                  <w:pPr>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本项目位于乐山市工业集中区水口-罗汉工业园区，不涉及</w:t>
                  </w:r>
                  <w:r>
                    <w:rPr>
                      <w:rFonts w:hint="default" w:ascii="Times New Roman" w:hAnsi="Times New Roman" w:cs="Times New Roman"/>
                      <w:color w:val="000000"/>
                      <w:lang w:val="en-US" w:eastAsia="zh-CN"/>
                    </w:rPr>
                    <w:t>围湖造田、围湖造地、挖砂采石</w:t>
                  </w:r>
                  <w:r>
                    <w:rPr>
                      <w:rFonts w:hint="eastAsia" w:ascii="Times New Roman" w:hAnsi="Times New Roman" w:cs="Times New Roman"/>
                      <w:color w:val="000000"/>
                      <w:lang w:val="en-US" w:eastAsia="zh-CN"/>
                    </w:rPr>
                    <w:t>。</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10</w:t>
                  </w:r>
                </w:p>
              </w:tc>
              <w:tc>
                <w:tcPr>
                  <w:tcW w:w="4414" w:type="dxa"/>
                  <w:noWrap w:val="0"/>
                  <w:vAlign w:val="center"/>
                </w:tcPr>
                <w:p>
                  <w:pPr>
                    <w:spacing w:line="240" w:lineRule="auto"/>
                    <w:jc w:val="center"/>
                    <w:rPr>
                      <w:rFonts w:hint="eastAsia"/>
                      <w:sz w:val="21"/>
                      <w:szCs w:val="21"/>
                      <w:vertAlign w:val="baseline"/>
                      <w:lang w:val="en-US" w:eastAsia="zh-CN"/>
                    </w:rPr>
                  </w:pPr>
                  <w:r>
                    <w:rPr>
                      <w:rFonts w:hint="default" w:ascii="Times New Roman" w:hAnsi="Times New Roman" w:cs="Times New Roman"/>
                      <w:color w:val="000000"/>
                      <w:lang w:val="en-US" w:eastAsia="zh-CN"/>
                    </w:rPr>
                    <w:t>第十五条：禁止在国家湿地公园的岸线和河段范围内开（围）垦、填埋或者排干湿地，截断湿地水源，挖沙、采矿、倾倒有毒有害垃圾、废弃物、垃圾、从事房地产、度假村、高尔夫球场、风力发电、光伏发电等任何不符合主体功能定为的建设项目和开发活动，破坏野生动物栖息地和迁徙通道、鱼类洄游通道、滥采滥捕野生动植物，引入外来物种，擅自放牧、捕捞、取土、排污、放生，以及其他破坏湿地及其生态功能的活动</w:t>
                  </w:r>
                  <w:r>
                    <w:rPr>
                      <w:rFonts w:hint="eastAsia" w:cs="Times New Roman"/>
                      <w:color w:val="000000"/>
                      <w:lang w:val="en-US"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11</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color w:val="000000"/>
                      <w:lang w:val="en-US" w:eastAsia="zh-CN"/>
                    </w:rPr>
                    <w:t>第十六条：禁止在《长江岸线保护和开发利用总体规划》划定的岸线保护区内投资建设除保障防洪安全、河势稳定、供水安全、以及保护生态环境。已建重要枢纽工程以外的项目。</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12</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color w:val="000000"/>
                      <w:lang w:val="en-US" w:eastAsia="zh-CN"/>
                    </w:rPr>
                    <w:t>第十七条：禁止在《长江岸线保护和开发利用总体规划》划定的岸线保护区内投资建设除保障防洪安全、河势稳定、供水安全、航道稳定以及保护生态环境以外的项目。</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13</w:t>
                  </w:r>
                </w:p>
              </w:tc>
              <w:tc>
                <w:tcPr>
                  <w:tcW w:w="4414" w:type="dxa"/>
                  <w:noWrap w:val="0"/>
                  <w:vAlign w:val="center"/>
                </w:tcPr>
                <w:p>
                  <w:pPr>
                    <w:spacing w:line="240" w:lineRule="auto"/>
                    <w:jc w:val="center"/>
                    <w:rPr>
                      <w:rFonts w:hint="eastAsia"/>
                      <w:sz w:val="21"/>
                      <w:szCs w:val="21"/>
                      <w:vertAlign w:val="baseline"/>
                      <w:lang w:val="en-US" w:eastAsia="zh-CN"/>
                    </w:rPr>
                  </w:pPr>
                  <w:r>
                    <w:rPr>
                      <w:rFonts w:hint="eastAsia"/>
                      <w:color w:val="000000"/>
                      <w:lang w:val="en-US" w:eastAsia="zh-CN"/>
                    </w:rPr>
                    <w:t>第十八条：禁止在《全国重要河湖泊水功能区划》划定的河段保护区、保留区内投资建设不利于水资源及自然生态保护的项目。</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不涉及</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14</w:t>
                  </w:r>
                </w:p>
              </w:tc>
              <w:tc>
                <w:tcPr>
                  <w:tcW w:w="4414" w:type="dxa"/>
                  <w:noWrap w:val="0"/>
                  <w:vAlign w:val="center"/>
                </w:tcPr>
                <w:p>
                  <w:pPr>
                    <w:spacing w:line="240" w:lineRule="auto"/>
                    <w:jc w:val="center"/>
                    <w:rPr>
                      <w:rFonts w:hint="eastAsia" w:eastAsia="宋体"/>
                      <w:sz w:val="21"/>
                      <w:szCs w:val="21"/>
                      <w:vertAlign w:val="baseline"/>
                      <w:lang w:val="en-US" w:eastAsia="zh-CN"/>
                    </w:rPr>
                  </w:pPr>
                  <w:r>
                    <w:rPr>
                      <w:rFonts w:hint="default" w:ascii="Times New Roman" w:hAnsi="Times New Roman" w:cs="Times New Roman"/>
                      <w:color w:val="000000"/>
                      <w:szCs w:val="21"/>
                    </w:rPr>
                    <w:t>第十九条：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w:t>
                  </w:r>
                  <w:r>
                    <w:rPr>
                      <w:rFonts w:hint="eastAsia" w:cs="Times New Roman"/>
                      <w:color w:val="000000"/>
                      <w:szCs w:val="21"/>
                      <w:lang w:eastAsia="zh-CN"/>
                    </w:rPr>
                    <w:t>。</w:t>
                  </w:r>
                </w:p>
              </w:tc>
              <w:tc>
                <w:tcPr>
                  <w:tcW w:w="1743" w:type="dxa"/>
                  <w:noWrap w:val="0"/>
                  <w:vAlign w:val="center"/>
                </w:tcPr>
                <w:p>
                  <w:pPr>
                    <w:spacing w:line="240" w:lineRule="auto"/>
                    <w:jc w:val="center"/>
                    <w:rPr>
                      <w:rFonts w:hint="eastAsia" w:eastAsia="宋体"/>
                      <w:sz w:val="21"/>
                      <w:szCs w:val="21"/>
                      <w:vertAlign w:val="baseline"/>
                      <w:lang w:val="en-US" w:eastAsia="zh-CN"/>
                    </w:rPr>
                  </w:pPr>
                  <w:r>
                    <w:rPr>
                      <w:rFonts w:hint="default" w:ascii="Times New Roman" w:hAnsi="Times New Roman" w:cs="Times New Roman"/>
                      <w:color w:val="000000"/>
                      <w:szCs w:val="21"/>
                    </w:rPr>
                    <w:t>对比《四川省人民政府关于印发四川省生态保护红线方案的通知》（川府发[2018]24号）文件，本项目所在地不在划定的生态红线范围内</w:t>
                  </w:r>
                  <w:r>
                    <w:rPr>
                      <w:rFonts w:hint="eastAsia" w:cs="Times New Roman"/>
                      <w:color w:val="000000"/>
                      <w:szCs w:val="21"/>
                      <w:lang w:eastAsia="zh-CN"/>
                    </w:rPr>
                    <w:t>。</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15</w:t>
                  </w:r>
                </w:p>
              </w:tc>
              <w:tc>
                <w:tcPr>
                  <w:tcW w:w="4414" w:type="dxa"/>
                  <w:noWrap w:val="0"/>
                  <w:vAlign w:val="center"/>
                </w:tcPr>
                <w:p>
                  <w:pPr>
                    <w:spacing w:line="240" w:lineRule="auto"/>
                    <w:jc w:val="center"/>
                    <w:rPr>
                      <w:rFonts w:hint="eastAsia"/>
                      <w:sz w:val="21"/>
                      <w:szCs w:val="21"/>
                      <w:vertAlign w:val="baseline"/>
                      <w:lang w:val="en-US" w:eastAsia="zh-CN"/>
                    </w:rPr>
                  </w:pPr>
                  <w:r>
                    <w:rPr>
                      <w:rFonts w:hint="default" w:ascii="Times New Roman" w:hAnsi="Times New Roman" w:cs="Times New Roman"/>
                      <w:color w:val="000000"/>
                      <w:szCs w:val="21"/>
                    </w:rPr>
                    <w:t>第二十条：禁止占用永久基本农田，国家重大战略资源勘查、生态保护修复和环境治理、重大基础设施、军事国防以及农牧民基本生产生活等必要的民生项目（包括深度贫困地区、集中连片特困地区、国家扶贫开发工作重点县省级以下基础设施、异地扶贫搬迁、民生发展等建设项目），选址确实难以避让永久基本农田的，按程序严格论证后依法依规报批。</w:t>
                  </w:r>
                </w:p>
              </w:tc>
              <w:tc>
                <w:tcPr>
                  <w:tcW w:w="1743" w:type="dxa"/>
                  <w:noWrap w:val="0"/>
                  <w:vAlign w:val="center"/>
                </w:tcPr>
                <w:p>
                  <w:pPr>
                    <w:spacing w:line="240" w:lineRule="auto"/>
                    <w:jc w:val="center"/>
                    <w:rPr>
                      <w:rFonts w:hint="eastAsia"/>
                      <w:sz w:val="21"/>
                      <w:szCs w:val="21"/>
                      <w:vertAlign w:val="baseline"/>
                      <w:lang w:val="en-US" w:eastAsia="zh-CN"/>
                    </w:rPr>
                  </w:pPr>
                  <w:r>
                    <w:rPr>
                      <w:rFonts w:hint="eastAsia" w:cs="Times New Roman"/>
                      <w:color w:val="000000"/>
                      <w:szCs w:val="21"/>
                      <w:lang w:val="en-US" w:eastAsia="zh-CN"/>
                    </w:rPr>
                    <w:t>本</w:t>
                  </w:r>
                  <w:r>
                    <w:rPr>
                      <w:rFonts w:hint="eastAsia" w:ascii="Times New Roman" w:hAnsi="Times New Roman" w:cs="Times New Roman"/>
                      <w:color w:val="000000"/>
                      <w:szCs w:val="21"/>
                      <w:lang w:val="en-US" w:eastAsia="zh-CN"/>
                    </w:rPr>
                    <w:t>项目位于乐山</w:t>
                  </w:r>
                  <w:r>
                    <w:rPr>
                      <w:rFonts w:hint="eastAsia" w:cs="Times New Roman"/>
                      <w:color w:val="000000"/>
                      <w:szCs w:val="21"/>
                      <w:lang w:val="en-US" w:eastAsia="zh-CN"/>
                    </w:rPr>
                    <w:t>市工业集中区水口-罗汉工业园区</w:t>
                  </w:r>
                  <w:r>
                    <w:rPr>
                      <w:rFonts w:hint="eastAsia" w:ascii="Times New Roman" w:hAnsi="Times New Roman" w:cs="Times New Roman"/>
                      <w:color w:val="000000"/>
                      <w:szCs w:val="21"/>
                      <w:lang w:val="en-US" w:eastAsia="zh-CN"/>
                    </w:rPr>
                    <w:t>，用地性质为一类工业用地</w:t>
                  </w:r>
                  <w:r>
                    <w:rPr>
                      <w:rFonts w:hint="eastAsia" w:cs="Times New Roman"/>
                      <w:color w:val="000000"/>
                      <w:szCs w:val="21"/>
                      <w:lang w:val="en-US" w:eastAsia="zh-CN"/>
                    </w:rPr>
                    <w:t>。</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noWrap w:val="0"/>
                  <w:vAlign w:val="center"/>
                </w:tcPr>
                <w:p>
                  <w:pPr>
                    <w:spacing w:line="240" w:lineRule="auto"/>
                    <w:jc w:val="center"/>
                    <w:rPr>
                      <w:rFonts w:hint="default"/>
                      <w:sz w:val="21"/>
                      <w:szCs w:val="21"/>
                      <w:vertAlign w:val="baseline"/>
                      <w:lang w:val="en-US" w:eastAsia="zh-CN"/>
                    </w:rPr>
                  </w:pPr>
                  <w:r>
                    <w:rPr>
                      <w:rFonts w:hint="eastAsia"/>
                      <w:sz w:val="21"/>
                      <w:szCs w:val="21"/>
                      <w:vertAlign w:val="baseline"/>
                      <w:lang w:val="en-US" w:eastAsia="zh-CN"/>
                    </w:rPr>
                    <w:t>16</w:t>
                  </w:r>
                </w:p>
              </w:tc>
              <w:tc>
                <w:tcPr>
                  <w:tcW w:w="4414" w:type="dxa"/>
                  <w:noWrap w:val="0"/>
                  <w:vAlign w:val="center"/>
                </w:tcPr>
                <w:p>
                  <w:pPr>
                    <w:spacing w:line="240" w:lineRule="auto"/>
                    <w:jc w:val="center"/>
                    <w:rPr>
                      <w:rFonts w:hint="eastAsia" w:eastAsia="宋体"/>
                      <w:sz w:val="21"/>
                      <w:szCs w:val="21"/>
                      <w:vertAlign w:val="baseline"/>
                      <w:lang w:val="en-US" w:eastAsia="zh-CN"/>
                    </w:rPr>
                  </w:pPr>
                  <w:r>
                    <w:rPr>
                      <w:rFonts w:hint="default" w:ascii="Times New Roman" w:hAnsi="Times New Roman" w:cs="Times New Roman"/>
                      <w:color w:val="000000"/>
                      <w:szCs w:val="21"/>
                    </w:rPr>
                    <w:t>第二十五条：禁止新建、扩建法律法规和相关政策命令禁止的落后产能项目。对《产业结构调整指导目录》中淘汰类项目，禁止投资；限制类的新建项目，禁止投资，对属于限制类的现有生产能力，允许企业在一定期限内采取措施改造升级</w:t>
                  </w:r>
                  <w:r>
                    <w:rPr>
                      <w:rFonts w:hint="eastAsia" w:cs="Times New Roman"/>
                      <w:color w:val="000000"/>
                      <w:szCs w:val="21"/>
                      <w:lang w:eastAsia="zh-CN"/>
                    </w:rPr>
                    <w:t>。</w:t>
                  </w:r>
                </w:p>
              </w:tc>
              <w:tc>
                <w:tcPr>
                  <w:tcW w:w="1743" w:type="dxa"/>
                  <w:noWrap w:val="0"/>
                  <w:vAlign w:val="center"/>
                </w:tcPr>
                <w:p>
                  <w:pPr>
                    <w:spacing w:line="240" w:lineRule="auto"/>
                    <w:jc w:val="center"/>
                    <w:rPr>
                      <w:rFonts w:hint="eastAsia"/>
                      <w:sz w:val="21"/>
                      <w:szCs w:val="21"/>
                      <w:vertAlign w:val="baseline"/>
                      <w:lang w:val="en-US" w:eastAsia="zh-CN"/>
                    </w:rPr>
                  </w:pPr>
                  <w:r>
                    <w:rPr>
                      <w:rFonts w:hint="default" w:ascii="Times New Roman" w:hAnsi="Times New Roman" w:cs="Times New Roman"/>
                      <w:color w:val="000000"/>
                      <w:kern w:val="0"/>
                      <w:szCs w:val="21"/>
                      <w:lang w:val="en-US" w:eastAsia="zh-CN"/>
                    </w:rPr>
                    <w:t>本项目属于《产业结构调整指导目录》中的允许</w:t>
                  </w:r>
                  <w:r>
                    <w:rPr>
                      <w:rFonts w:hint="eastAsia" w:ascii="Times New Roman" w:hAnsi="Times New Roman" w:cs="Times New Roman"/>
                      <w:color w:val="000000"/>
                      <w:kern w:val="0"/>
                      <w:szCs w:val="21"/>
                      <w:lang w:val="en-US" w:eastAsia="zh-CN"/>
                    </w:rPr>
                    <w:t>类</w:t>
                  </w:r>
                  <w:r>
                    <w:rPr>
                      <w:rFonts w:hint="default" w:ascii="Times New Roman" w:hAnsi="Times New Roman" w:cs="Times New Roman"/>
                      <w:color w:val="000000"/>
                      <w:kern w:val="0"/>
                      <w:szCs w:val="21"/>
                    </w:rPr>
                    <w:t>。</w:t>
                  </w:r>
                </w:p>
              </w:tc>
              <w:tc>
                <w:tcPr>
                  <w:tcW w:w="865" w:type="dxa"/>
                  <w:noWrap w:val="0"/>
                  <w:vAlign w:val="center"/>
                </w:tcPr>
                <w:p>
                  <w:pPr>
                    <w:spacing w:line="240" w:lineRule="auto"/>
                    <w:jc w:val="center"/>
                    <w:rPr>
                      <w:rFonts w:hint="eastAsia"/>
                      <w:sz w:val="21"/>
                      <w:szCs w:val="21"/>
                      <w:vertAlign w:val="baseline"/>
                      <w:lang w:val="en-US" w:eastAsia="zh-CN"/>
                    </w:rPr>
                  </w:pPr>
                  <w:r>
                    <w:rPr>
                      <w:rFonts w:hint="eastAsia"/>
                      <w:sz w:val="21"/>
                      <w:szCs w:val="21"/>
                      <w:vertAlign w:val="baseline"/>
                      <w:lang w:val="en-US" w:eastAsia="zh-CN"/>
                    </w:rPr>
                    <w:t>符合</w:t>
                  </w:r>
                </w:p>
              </w:tc>
            </w:tr>
          </w:tbl>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b/>
                <w:color w:val="000000"/>
              </w:rPr>
            </w:pPr>
            <w:r>
              <w:rPr>
                <w:rFonts w:hint="default" w:ascii="Times New Roman" w:hAnsi="Times New Roman" w:cs="Times New Roman"/>
                <w:bCs/>
                <w:color w:val="000000"/>
                <w:sz w:val="24"/>
              </w:rPr>
              <w:t>从上表可知，本项目符合</w:t>
            </w:r>
            <w:r>
              <w:rPr>
                <w:rFonts w:hint="default" w:ascii="Times New Roman" w:hAnsi="Times New Roman" w:cs="Times New Roman"/>
                <w:color w:val="000000"/>
                <w:sz w:val="24"/>
              </w:rPr>
              <w:t>《四川省推动长江经济带发展领导小组办公室关于印发四川省长江经济带发展负面清单实施细则（试行）的通知》（川长江办[2019]8）号）中相关规定要求。</w:t>
            </w:r>
          </w:p>
          <w:p>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lang w:val="en-US" w:eastAsia="zh-CN"/>
              </w:rPr>
            </w:pPr>
            <w:r>
              <w:rPr>
                <w:rFonts w:hint="eastAsia" w:ascii="Times New Roman" w:hAnsi="Times New Roman" w:cs="Times New Roman"/>
                <w:b/>
                <w:bCs w:val="0"/>
                <w:color w:val="000000"/>
                <w:sz w:val="24"/>
                <w:szCs w:val="24"/>
                <w:lang w:val="en-US" w:eastAsia="zh-CN"/>
              </w:rPr>
              <w:t>C、</w:t>
            </w:r>
            <w:r>
              <w:rPr>
                <w:rFonts w:hint="default" w:ascii="Times New Roman" w:hAnsi="Times New Roman" w:cs="Times New Roman"/>
                <w:b/>
                <w:bCs w:val="0"/>
                <w:color w:val="000000"/>
                <w:sz w:val="24"/>
                <w:szCs w:val="24"/>
              </w:rPr>
              <w:t>项目与《乐山市人民政府关于落实生态保护红线、环境质量底线、资源利</w:t>
            </w:r>
            <w:r>
              <w:rPr>
                <w:rFonts w:hint="default" w:ascii="Times New Roman" w:hAnsi="Times New Roman" w:eastAsia="宋体" w:cs="Times New Roman"/>
                <w:b/>
                <w:bCs w:val="0"/>
                <w:color w:val="000000"/>
                <w:kern w:val="2"/>
                <w:sz w:val="24"/>
                <w:szCs w:val="24"/>
                <w:lang w:val="en-US" w:eastAsia="zh-CN" w:bidi="ar-SA"/>
              </w:rPr>
              <w:t>用</w:t>
            </w:r>
            <w:r>
              <w:rPr>
                <w:rFonts w:hint="default" w:ascii="Times New Roman" w:hAnsi="Times New Roman" w:cs="Times New Roman"/>
                <w:b/>
                <w:bCs w:val="0"/>
                <w:color w:val="000000"/>
                <w:sz w:val="24"/>
                <w:szCs w:val="24"/>
              </w:rPr>
              <w:t>上线制定生态环境准入清单实施生态环境分区管控的通知》符合性分析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Cs/>
                <w:i w:val="0"/>
                <w:iCs w:val="0"/>
                <w:color w:val="000000"/>
                <w:sz w:val="24"/>
                <w:szCs w:val="24"/>
              </w:rPr>
            </w:pPr>
            <w:r>
              <w:rPr>
                <w:rFonts w:hint="eastAsia" w:ascii="宋体" w:hAnsi="宋体" w:eastAsia="宋体" w:cs="宋体"/>
                <w:bCs/>
                <w:i w:val="0"/>
                <w:iCs w:val="0"/>
                <w:color w:val="000000"/>
                <w:sz w:val="24"/>
                <w:szCs w:val="24"/>
              </w:rPr>
              <w:t>乐山市人民政府于</w:t>
            </w:r>
            <w:r>
              <w:rPr>
                <w:rFonts w:hint="default" w:ascii="Times New Roman" w:hAnsi="Times New Roman" w:eastAsia="宋体" w:cs="Times New Roman"/>
                <w:bCs/>
                <w:i w:val="0"/>
                <w:iCs w:val="0"/>
                <w:color w:val="000000"/>
                <w:sz w:val="24"/>
                <w:szCs w:val="24"/>
              </w:rPr>
              <w:t>2021</w:t>
            </w:r>
            <w:r>
              <w:rPr>
                <w:rFonts w:hint="eastAsia" w:ascii="宋体" w:hAnsi="宋体" w:eastAsia="宋体" w:cs="宋体"/>
                <w:bCs/>
                <w:i w:val="0"/>
                <w:iCs w:val="0"/>
                <w:color w:val="000000"/>
                <w:sz w:val="24"/>
                <w:szCs w:val="24"/>
              </w:rPr>
              <w:t>年</w:t>
            </w:r>
            <w:r>
              <w:rPr>
                <w:rFonts w:hint="default" w:ascii="Times New Roman" w:hAnsi="Times New Roman" w:eastAsia="宋体" w:cs="Times New Roman"/>
                <w:bCs/>
                <w:i w:val="0"/>
                <w:iCs w:val="0"/>
                <w:color w:val="000000"/>
                <w:sz w:val="24"/>
                <w:szCs w:val="24"/>
              </w:rPr>
              <w:t>6</w:t>
            </w:r>
            <w:r>
              <w:rPr>
                <w:rFonts w:hint="eastAsia" w:ascii="宋体" w:hAnsi="宋体" w:eastAsia="宋体" w:cs="宋体"/>
                <w:bCs/>
                <w:i w:val="0"/>
                <w:iCs w:val="0"/>
                <w:color w:val="000000"/>
                <w:sz w:val="24"/>
                <w:szCs w:val="24"/>
              </w:rPr>
              <w:t>月</w:t>
            </w:r>
            <w:r>
              <w:rPr>
                <w:rFonts w:hint="default" w:ascii="Times New Roman" w:hAnsi="Times New Roman" w:eastAsia="宋体" w:cs="Times New Roman"/>
                <w:bCs/>
                <w:i w:val="0"/>
                <w:iCs w:val="0"/>
                <w:color w:val="000000"/>
                <w:sz w:val="24"/>
                <w:szCs w:val="24"/>
              </w:rPr>
              <w:t>7</w:t>
            </w:r>
            <w:r>
              <w:rPr>
                <w:rFonts w:hint="eastAsia" w:ascii="宋体" w:hAnsi="宋体" w:eastAsia="宋体" w:cs="宋体"/>
                <w:bCs/>
                <w:i w:val="0"/>
                <w:iCs w:val="0"/>
                <w:color w:val="000000"/>
                <w:sz w:val="24"/>
                <w:szCs w:val="24"/>
              </w:rPr>
              <w:t>日发布了《关于落实生态保护红线、环境质量底线、资源利用上线制定生态环境准入清单实施生态环境分区管控的通知》，根据通知，将全市行政区域从生态环境保护角度划分为优先保护、重点管控和一般管控三类环境管控单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bCs/>
                <w:i w:val="0"/>
                <w:iCs w:val="0"/>
                <w:color w:val="000000"/>
                <w:sz w:val="24"/>
                <w:szCs w:val="24"/>
              </w:rPr>
            </w:pPr>
            <w:r>
              <w:rPr>
                <w:rFonts w:hint="default" w:ascii="Times New Roman" w:hAnsi="Times New Roman" w:eastAsia="宋体" w:cs="Times New Roman"/>
                <w:bCs/>
                <w:i w:val="0"/>
                <w:iCs w:val="0"/>
                <w:color w:val="000000"/>
                <w:sz w:val="24"/>
                <w:szCs w:val="24"/>
              </w:rPr>
              <w:t>1.</w:t>
            </w:r>
            <w:r>
              <w:rPr>
                <w:rFonts w:hint="eastAsia" w:ascii="宋体" w:hAnsi="宋体" w:eastAsia="宋体" w:cs="宋体"/>
                <w:bCs/>
                <w:i w:val="0"/>
                <w:iCs w:val="0"/>
                <w:color w:val="000000"/>
                <w:sz w:val="24"/>
                <w:szCs w:val="24"/>
              </w:rPr>
              <w:t>优先保护单元。以生态环境保护为主的区域，全市划分优先保护单元</w:t>
            </w:r>
            <w:r>
              <w:rPr>
                <w:rFonts w:hint="default" w:ascii="Times New Roman" w:hAnsi="Times New Roman" w:eastAsia="宋体" w:cs="Times New Roman"/>
                <w:bCs/>
                <w:i w:val="0"/>
                <w:iCs w:val="0"/>
                <w:color w:val="000000"/>
                <w:sz w:val="24"/>
                <w:szCs w:val="24"/>
              </w:rPr>
              <w:t>26</w:t>
            </w:r>
            <w:r>
              <w:rPr>
                <w:rFonts w:hint="eastAsia" w:ascii="宋体" w:hAnsi="宋体" w:eastAsia="宋体" w:cs="宋体"/>
                <w:bCs/>
                <w:i w:val="0"/>
                <w:iCs w:val="0"/>
                <w:color w:val="000000"/>
                <w:sz w:val="24"/>
                <w:szCs w:val="24"/>
              </w:rPr>
              <w:t>个，主要包括生态保护红线、自然保护地、饮用水水源保护区等，应以生态环境保护优先为原则，严格执行相关法律、法规要求，严守生态环境质量底线，确保生态环境功能不降低。</w:t>
            </w:r>
          </w:p>
          <w:p>
            <w:pPr>
              <w:autoSpaceDE w:val="0"/>
              <w:autoSpaceDN w:val="0"/>
              <w:spacing w:line="360" w:lineRule="auto"/>
              <w:ind w:firstLine="480" w:firstLineChars="200"/>
              <w:rPr>
                <w:rFonts w:hint="eastAsia" w:ascii="宋体" w:hAnsi="宋体" w:eastAsia="宋体" w:cs="宋体"/>
                <w:bCs/>
                <w:i w:val="0"/>
                <w:iCs w:val="0"/>
                <w:color w:val="000000"/>
                <w:sz w:val="24"/>
                <w:szCs w:val="24"/>
              </w:rPr>
            </w:pPr>
            <w:r>
              <w:rPr>
                <w:rFonts w:hint="default" w:ascii="Times New Roman" w:hAnsi="Times New Roman" w:eastAsia="宋体" w:cs="Times New Roman"/>
                <w:bCs/>
                <w:i w:val="0"/>
                <w:iCs w:val="0"/>
                <w:color w:val="000000"/>
                <w:sz w:val="24"/>
                <w:szCs w:val="24"/>
              </w:rPr>
              <w:t>2.</w:t>
            </w:r>
            <w:r>
              <w:rPr>
                <w:rFonts w:hint="eastAsia" w:ascii="宋体" w:hAnsi="宋体" w:eastAsia="宋体" w:cs="宋体"/>
                <w:bCs/>
                <w:i w:val="0"/>
                <w:iCs w:val="0"/>
                <w:color w:val="000000"/>
                <w:sz w:val="24"/>
                <w:szCs w:val="24"/>
              </w:rPr>
              <w:t>重点管控单元。涉及水、大气、土壤、自然资源等资源环境要素重点管控的区域，全市划分重点管控单元</w:t>
            </w:r>
            <w:r>
              <w:rPr>
                <w:rFonts w:hint="default" w:ascii="Times New Roman" w:hAnsi="Times New Roman" w:eastAsia="宋体" w:cs="Times New Roman"/>
                <w:bCs/>
                <w:i w:val="0"/>
                <w:iCs w:val="0"/>
                <w:color w:val="000000"/>
                <w:sz w:val="24"/>
                <w:szCs w:val="24"/>
              </w:rPr>
              <w:t>33</w:t>
            </w:r>
            <w:r>
              <w:rPr>
                <w:rFonts w:hint="eastAsia" w:ascii="宋体" w:hAnsi="宋体" w:eastAsia="宋体" w:cs="宋体"/>
                <w:bCs/>
                <w:i w:val="0"/>
                <w:iCs w:val="0"/>
                <w:color w:val="000000"/>
                <w:sz w:val="24"/>
                <w:szCs w:val="24"/>
              </w:rPr>
              <w:t>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spacing w:line="360" w:lineRule="auto"/>
              <w:ind w:firstLine="480" w:firstLineChars="200"/>
              <w:rPr>
                <w:rFonts w:hint="eastAsia" w:ascii="宋体" w:hAnsi="宋体" w:eastAsia="宋体" w:cs="宋体"/>
                <w:bCs/>
                <w:i w:val="0"/>
                <w:iCs w:val="0"/>
                <w:color w:val="000000"/>
                <w:sz w:val="24"/>
                <w:szCs w:val="24"/>
              </w:rPr>
            </w:pPr>
            <w:r>
              <w:rPr>
                <w:rFonts w:hint="default" w:ascii="Times New Roman" w:hAnsi="Times New Roman" w:eastAsia="宋体" w:cs="Times New Roman"/>
                <w:bCs/>
                <w:i w:val="0"/>
                <w:iCs w:val="0"/>
                <w:color w:val="000000"/>
                <w:sz w:val="24"/>
                <w:szCs w:val="24"/>
              </w:rPr>
              <w:t>3.</w:t>
            </w:r>
            <w:r>
              <w:rPr>
                <w:rFonts w:hint="eastAsia" w:ascii="宋体" w:hAnsi="宋体" w:eastAsia="宋体" w:cs="宋体"/>
                <w:bCs/>
                <w:i w:val="0"/>
                <w:iCs w:val="0"/>
                <w:color w:val="000000"/>
                <w:sz w:val="24"/>
                <w:szCs w:val="24"/>
              </w:rPr>
              <w:t>一般管控单元。除优先保护单元和重点管控单元之外的其他区域，全市共划分一般管控单元</w:t>
            </w:r>
            <w:r>
              <w:rPr>
                <w:rFonts w:hint="default" w:ascii="Times New Roman" w:hAnsi="Times New Roman" w:eastAsia="宋体" w:cs="Times New Roman"/>
                <w:bCs/>
                <w:i w:val="0"/>
                <w:iCs w:val="0"/>
                <w:color w:val="000000"/>
                <w:sz w:val="24"/>
                <w:szCs w:val="24"/>
              </w:rPr>
              <w:t>6</w:t>
            </w:r>
            <w:r>
              <w:rPr>
                <w:rFonts w:hint="eastAsia" w:ascii="宋体" w:hAnsi="宋体" w:eastAsia="宋体" w:cs="宋体"/>
                <w:bCs/>
                <w:i w:val="0"/>
                <w:iCs w:val="0"/>
                <w:color w:val="000000"/>
                <w:sz w:val="24"/>
                <w:szCs w:val="24"/>
              </w:rPr>
              <w:t>个。执行区域生态环境保护的基本要求，重点加强农业、生活等领域污染治理。</w:t>
            </w:r>
          </w:p>
          <w:p>
            <w:pPr>
              <w:autoSpaceDE w:val="0"/>
              <w:autoSpaceDN w:val="0"/>
              <w:spacing w:line="360" w:lineRule="auto"/>
              <w:ind w:firstLine="480" w:firstLineChars="200"/>
              <w:rPr>
                <w:rFonts w:hint="eastAsia" w:ascii="宋体" w:hAnsi="宋体" w:eastAsia="宋体" w:cs="宋体"/>
                <w:bCs/>
                <w:i w:val="0"/>
                <w:iCs w:val="0"/>
                <w:color w:val="000000"/>
                <w:sz w:val="24"/>
                <w:szCs w:val="24"/>
              </w:rPr>
            </w:pPr>
            <w:r>
              <w:rPr>
                <w:rFonts w:hint="eastAsia" w:ascii="宋体" w:hAnsi="宋体" w:eastAsia="宋体" w:cs="宋体"/>
                <w:bCs/>
                <w:i w:val="0"/>
                <w:iCs w:val="0"/>
                <w:color w:val="000000"/>
                <w:sz w:val="24"/>
                <w:szCs w:val="24"/>
              </w:rPr>
              <w:t>根据乐山市环境管控单元图</w:t>
            </w:r>
            <w:r>
              <w:rPr>
                <w:rFonts w:hint="eastAsia" w:ascii="宋体" w:hAnsi="宋体" w:eastAsia="宋体" w:cs="宋体"/>
                <w:bCs/>
                <w:i w:val="0"/>
                <w:iCs w:val="0"/>
                <w:color w:val="000000"/>
                <w:sz w:val="24"/>
                <w:szCs w:val="24"/>
                <w:lang w:val="en-US" w:eastAsia="zh-CN"/>
              </w:rPr>
              <w:t>及图</w:t>
            </w:r>
            <w:r>
              <w:rPr>
                <w:rFonts w:hint="default" w:ascii="Times New Roman" w:hAnsi="Times New Roman" w:eastAsia="宋体" w:cs="Times New Roman"/>
                <w:bCs/>
                <w:i w:val="0"/>
                <w:iCs w:val="0"/>
                <w:color w:val="000000"/>
                <w:sz w:val="24"/>
                <w:szCs w:val="24"/>
                <w:lang w:val="en-US" w:eastAsia="zh-CN"/>
              </w:rPr>
              <w:t>1-</w:t>
            </w:r>
            <w:r>
              <w:rPr>
                <w:rFonts w:hint="eastAsia" w:ascii="Times New Roman" w:hAnsi="Times New Roman" w:eastAsia="宋体" w:cs="Times New Roman"/>
                <w:bCs/>
                <w:i w:val="0"/>
                <w:iCs w:val="0"/>
                <w:color w:val="000000"/>
                <w:sz w:val="24"/>
                <w:szCs w:val="24"/>
                <w:lang w:val="en-US" w:eastAsia="zh-CN"/>
              </w:rPr>
              <w:t>4</w:t>
            </w:r>
            <w:r>
              <w:rPr>
                <w:rFonts w:hint="eastAsia" w:ascii="宋体" w:hAnsi="宋体" w:eastAsia="宋体" w:cs="宋体"/>
                <w:bCs/>
                <w:i w:val="0"/>
                <w:iCs w:val="0"/>
                <w:color w:val="000000"/>
                <w:sz w:val="24"/>
                <w:szCs w:val="24"/>
                <w:lang w:val="en-US" w:eastAsia="zh-CN"/>
              </w:rPr>
              <w:t>可知，本项目属于工业重点管控单元</w:t>
            </w:r>
            <w:r>
              <w:rPr>
                <w:rFonts w:hint="eastAsia" w:ascii="宋体" w:hAnsi="宋体" w:eastAsia="宋体" w:cs="宋体"/>
                <w:bCs/>
                <w:i w:val="0"/>
                <w:iCs w:val="0"/>
                <w:color w:val="000000"/>
                <w:sz w:val="24"/>
                <w:szCs w:val="24"/>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keepNext w:val="0"/>
              <w:keepLines w:val="0"/>
              <w:pageBreakBefore w:val="0"/>
              <w:kinsoku/>
              <w:wordWrap/>
              <w:overflowPunct/>
              <w:topLinePunct w:val="0"/>
              <w:autoSpaceDE/>
              <w:autoSpaceDN/>
              <w:bidi w:val="0"/>
              <w:adjustRightInd/>
              <w:spacing w:line="360" w:lineRule="auto"/>
              <w:ind w:firstLine="482" w:firstLineChars="200"/>
              <w:textAlignment w:val="auto"/>
              <w:rPr>
                <w:rFonts w:hint="eastAsia" w:cs="Times New Roman"/>
                <w:bCs/>
                <w:color w:val="000000"/>
                <w:sz w:val="24"/>
                <w:lang w:eastAsia="zh-CN"/>
              </w:rPr>
            </w:pPr>
            <w:r>
              <w:rPr>
                <w:rFonts w:hint="default" w:ascii="Times New Roman" w:hAnsi="Times New Roman" w:cs="Times New Roman"/>
                <w:b/>
                <w:color w:val="000000"/>
              </w:rPr>
              <w:drawing>
                <wp:anchor distT="0" distB="0" distL="114300" distR="114300" simplePos="0" relativeHeight="251729920" behindDoc="0" locked="0" layoutInCell="1" allowOverlap="1">
                  <wp:simplePos x="0" y="0"/>
                  <wp:positionH relativeFrom="column">
                    <wp:posOffset>274320</wp:posOffset>
                  </wp:positionH>
                  <wp:positionV relativeFrom="paragraph">
                    <wp:posOffset>2038985</wp:posOffset>
                  </wp:positionV>
                  <wp:extent cx="3957955" cy="2702560"/>
                  <wp:effectExtent l="0" t="0" r="4445" b="2540"/>
                  <wp:wrapNone/>
                  <wp:docPr id="79" name="图片 5" descr="23081bc9e6ce2ed934a24f26c53b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descr="23081bc9e6ce2ed934a24f26c53b08b"/>
                          <pic:cNvPicPr>
                            <a:picLocks noChangeAspect="1"/>
                          </pic:cNvPicPr>
                        </pic:nvPicPr>
                        <pic:blipFill>
                          <a:blip r:embed="rId12"/>
                          <a:stretch>
                            <a:fillRect/>
                          </a:stretch>
                        </pic:blipFill>
                        <pic:spPr>
                          <a:xfrm>
                            <a:off x="0" y="0"/>
                            <a:ext cx="3957955" cy="2702560"/>
                          </a:xfrm>
                          <a:prstGeom prst="rect">
                            <a:avLst/>
                          </a:prstGeom>
                          <a:noFill/>
                          <a:ln>
                            <a:noFill/>
                          </a:ln>
                        </pic:spPr>
                      </pic:pic>
                    </a:graphicData>
                  </a:graphic>
                </wp:anchor>
              </w:drawing>
            </w:r>
            <w:r>
              <w:rPr>
                <w:rFonts w:hint="eastAsia" w:cs="Times New Roman"/>
                <w:color w:val="000000"/>
                <w:kern w:val="0"/>
                <w:sz w:val="24"/>
                <w:lang w:val="en-US" w:eastAsia="zh-CN"/>
              </w:rPr>
              <w:t>本</w:t>
            </w:r>
            <w:r>
              <w:rPr>
                <w:rFonts w:hint="eastAsia" w:ascii="Times New Roman" w:hAnsi="Times New Roman" w:cs="Times New Roman"/>
                <w:color w:val="000000"/>
                <w:kern w:val="0"/>
                <w:sz w:val="24"/>
                <w:lang w:val="en-US" w:eastAsia="zh-CN"/>
              </w:rPr>
              <w:t>项目属于</w:t>
            </w:r>
            <w:r>
              <w:rPr>
                <w:rFonts w:hint="eastAsia" w:cs="Times New Roman"/>
                <w:color w:val="000000"/>
                <w:kern w:val="0"/>
                <w:sz w:val="24"/>
                <w:lang w:val="en-US" w:eastAsia="zh-CN"/>
              </w:rPr>
              <w:t>新</w:t>
            </w:r>
            <w:r>
              <w:rPr>
                <w:rFonts w:hint="eastAsia" w:ascii="Times New Roman" w:hAnsi="Times New Roman" w:cs="Times New Roman"/>
                <w:color w:val="000000"/>
                <w:kern w:val="0"/>
                <w:sz w:val="24"/>
                <w:lang w:val="en-US" w:eastAsia="zh-CN"/>
              </w:rPr>
              <w:t>建项目，位于</w:t>
            </w:r>
            <w:r>
              <w:rPr>
                <w:rFonts w:hint="eastAsia" w:ascii="Times New Roman" w:hAnsi="Times New Roman" w:cs="Times New Roman"/>
                <w:color w:val="000000"/>
                <w:kern w:val="0"/>
                <w:sz w:val="24"/>
                <w:lang w:eastAsia="zh-CN"/>
              </w:rPr>
              <w:t>乐山市</w:t>
            </w:r>
            <w:r>
              <w:rPr>
                <w:rFonts w:hint="eastAsia" w:cs="Times New Roman"/>
                <w:color w:val="000000"/>
                <w:kern w:val="0"/>
                <w:sz w:val="24"/>
                <w:lang w:eastAsia="zh-CN"/>
              </w:rPr>
              <w:t>工业集中区</w:t>
            </w:r>
            <w:r>
              <w:rPr>
                <w:rFonts w:hint="eastAsia" w:cs="Times New Roman"/>
                <w:color w:val="000000"/>
                <w:kern w:val="0"/>
                <w:sz w:val="24"/>
                <w:lang w:val="en-US" w:eastAsia="zh-CN"/>
              </w:rPr>
              <w:t>-水口罗汉工业园</w:t>
            </w:r>
            <w:r>
              <w:rPr>
                <w:rFonts w:hint="eastAsia" w:ascii="Times New Roman" w:hAnsi="Times New Roman" w:cs="Times New Roman"/>
                <w:color w:val="000000"/>
                <w:kern w:val="0"/>
                <w:sz w:val="24"/>
                <w:lang w:val="en-US" w:eastAsia="zh-CN"/>
              </w:rPr>
              <w:t>区，其中运营期废气在采取本次评价提出的治理措施</w:t>
            </w:r>
            <w:r>
              <w:rPr>
                <w:rFonts w:hint="eastAsia" w:cs="Times New Roman"/>
                <w:color w:val="000000"/>
                <w:kern w:val="0"/>
                <w:sz w:val="24"/>
                <w:lang w:val="en-US" w:eastAsia="zh-CN"/>
              </w:rPr>
              <w:t>后，</w:t>
            </w:r>
            <w:r>
              <w:rPr>
                <w:rFonts w:hint="eastAsia" w:ascii="Times New Roman" w:hAnsi="Times New Roman" w:cs="Times New Roman"/>
                <w:color w:val="000000"/>
                <w:kern w:val="0"/>
                <w:sz w:val="24"/>
                <w:lang w:val="en-US" w:eastAsia="zh-CN"/>
              </w:rPr>
              <w:t>不会影响乐山市空气质量达标规划的实现；</w:t>
            </w:r>
            <w:r>
              <w:rPr>
                <w:rFonts w:hint="eastAsia" w:cs="Times New Roman"/>
                <w:color w:val="000000"/>
                <w:kern w:val="0"/>
                <w:sz w:val="24"/>
                <w:lang w:val="en-US" w:eastAsia="zh-CN"/>
              </w:rPr>
              <w:t>本</w:t>
            </w:r>
            <w:r>
              <w:rPr>
                <w:rFonts w:hint="eastAsia" w:ascii="Times New Roman" w:hAnsi="Times New Roman" w:cs="Times New Roman"/>
                <w:color w:val="000000"/>
                <w:kern w:val="0"/>
                <w:sz w:val="24"/>
                <w:lang w:val="en-US" w:eastAsia="zh-CN"/>
              </w:rPr>
              <w:t>项目运营期</w:t>
            </w:r>
            <w:r>
              <w:rPr>
                <w:rFonts w:hint="eastAsia" w:cs="Times New Roman"/>
                <w:color w:val="000000"/>
                <w:kern w:val="0"/>
                <w:sz w:val="24"/>
                <w:lang w:val="en-US" w:eastAsia="zh-CN"/>
              </w:rPr>
              <w:t>生产废水经沉淀池处理后回用于生产</w:t>
            </w:r>
            <w:r>
              <w:rPr>
                <w:rFonts w:hint="eastAsia" w:ascii="Calibri" w:hAnsi="宋体" w:eastAsia="宋体" w:cs="宋体"/>
                <w:color w:val="000000"/>
                <w:kern w:val="2"/>
                <w:sz w:val="24"/>
                <w:szCs w:val="24"/>
                <w:lang w:val="en-US" w:eastAsia="zh-CN" w:bidi="ar-SA"/>
              </w:rPr>
              <w:t>，生活污水经</w:t>
            </w:r>
            <w:r>
              <w:rPr>
                <w:rFonts w:hint="eastAsia" w:ascii="Calibri" w:hAnsi="宋体" w:cs="宋体"/>
                <w:color w:val="000000"/>
                <w:kern w:val="2"/>
                <w:sz w:val="24"/>
                <w:szCs w:val="24"/>
                <w:lang w:val="en-US" w:eastAsia="zh-CN" w:bidi="ar-SA"/>
              </w:rPr>
              <w:t>污水预处理池</w:t>
            </w:r>
            <w:r>
              <w:rPr>
                <w:rFonts w:hint="eastAsia" w:ascii="Calibri" w:hAnsi="宋体" w:eastAsia="宋体" w:cs="宋体"/>
                <w:color w:val="000000"/>
                <w:kern w:val="2"/>
                <w:sz w:val="24"/>
                <w:szCs w:val="24"/>
                <w:lang w:val="en-US" w:eastAsia="zh-CN" w:bidi="ar-SA"/>
              </w:rPr>
              <w:t>收集</w:t>
            </w:r>
            <w:r>
              <w:rPr>
                <w:rFonts w:hint="eastAsia" w:ascii="Calibri" w:hAnsi="宋体" w:cs="宋体"/>
                <w:color w:val="000000"/>
                <w:kern w:val="2"/>
                <w:sz w:val="24"/>
                <w:szCs w:val="24"/>
                <w:lang w:val="en-US" w:eastAsia="zh-CN" w:bidi="ar-SA"/>
              </w:rPr>
              <w:t>处理</w:t>
            </w:r>
            <w:r>
              <w:rPr>
                <w:rFonts w:hint="eastAsia" w:ascii="Calibri" w:hAnsi="宋体" w:eastAsia="宋体" w:cs="宋体"/>
                <w:color w:val="000000"/>
                <w:kern w:val="2"/>
                <w:sz w:val="24"/>
                <w:szCs w:val="24"/>
                <w:lang w:val="en-US" w:eastAsia="zh-CN" w:bidi="ar-SA"/>
              </w:rPr>
              <w:t>后排入</w:t>
            </w:r>
            <w:r>
              <w:rPr>
                <w:rFonts w:hint="eastAsia" w:ascii="Calibri" w:hAnsi="宋体" w:cs="宋体"/>
                <w:color w:val="000000"/>
                <w:kern w:val="2"/>
                <w:sz w:val="24"/>
                <w:szCs w:val="24"/>
                <w:lang w:val="en-US" w:eastAsia="zh-CN" w:bidi="ar-SA"/>
              </w:rPr>
              <w:t>园区污水处理厂进行处理</w:t>
            </w:r>
            <w:r>
              <w:rPr>
                <w:rFonts w:hint="eastAsia" w:ascii="Calibri" w:hAnsi="宋体" w:eastAsia="宋体" w:cs="宋体"/>
                <w:color w:val="000000"/>
                <w:kern w:val="2"/>
                <w:sz w:val="24"/>
                <w:szCs w:val="24"/>
                <w:lang w:val="en-US" w:eastAsia="zh-CN" w:bidi="ar-SA"/>
              </w:rPr>
              <w:t>；危险废物暂存于项目设置的危废暂存间，交由资质单位进行处置，</w:t>
            </w:r>
            <w:r>
              <w:rPr>
                <w:rFonts w:hint="default" w:ascii="Times New Roman" w:hAnsi="Times New Roman" w:cs="Times New Roman"/>
                <w:bCs/>
                <w:color w:val="000000"/>
                <w:sz w:val="24"/>
              </w:rPr>
              <w:t>生活垃圾经收集后交由当地环卫部门统一处理。项目与乐山市生态环境分区管控相符</w:t>
            </w:r>
            <w:r>
              <w:rPr>
                <w:rFonts w:hint="eastAsia" w:cs="Times New Roman"/>
                <w:bCs/>
                <w:color w:val="000000"/>
                <w:sz w:val="24"/>
                <w:lang w:eastAsia="zh-CN"/>
              </w:rPr>
              <w:t>。</w:t>
            </w: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r>
              <w:rPr>
                <w:sz w:val="18"/>
              </w:rPr>
              <mc:AlternateContent>
                <mc:Choice Requires="wps">
                  <w:drawing>
                    <wp:anchor distT="0" distB="0" distL="114300" distR="114300" simplePos="0" relativeHeight="251732992" behindDoc="0" locked="0" layoutInCell="1" allowOverlap="1">
                      <wp:simplePos x="0" y="0"/>
                      <wp:positionH relativeFrom="column">
                        <wp:posOffset>1748790</wp:posOffset>
                      </wp:positionH>
                      <wp:positionV relativeFrom="paragraph">
                        <wp:posOffset>185420</wp:posOffset>
                      </wp:positionV>
                      <wp:extent cx="694690" cy="302260"/>
                      <wp:effectExtent l="4445" t="4445" r="5715" b="17145"/>
                      <wp:wrapNone/>
                      <wp:docPr id="75" name="上箭头标注 75"/>
                      <wp:cNvGraphicFramePr/>
                      <a:graphic xmlns:a="http://schemas.openxmlformats.org/drawingml/2006/main">
                        <a:graphicData uri="http://schemas.microsoft.com/office/word/2010/wordprocessingShape">
                          <wps:wsp>
                            <wps:cNvSpPr/>
                            <wps:spPr>
                              <a:xfrm>
                                <a:off x="4364355" y="2083435"/>
                                <a:ext cx="694690" cy="302260"/>
                              </a:xfrm>
                              <a:prstGeom prst="upArrowCallout">
                                <a:avLst/>
                              </a:prstGeom>
                              <a:noFill/>
                              <a:ln w="6350" cap="flat" cmpd="sng" algn="ctr">
                                <a:solidFill>
                                  <a:srgbClr val="000000"/>
                                </a:solidFill>
                                <a:prstDash val="solid"/>
                              </a:ln>
                              <a:effectLst/>
                            </wps:spPr>
                            <wps:txbx>
                              <w:txbxContent>
                                <w:p>
                                  <w:pPr>
                                    <w:jc w:val="center"/>
                                    <w:rPr>
                                      <w:rFonts w:hint="eastAsia" w:eastAsia="宋体"/>
                                      <w:sz w:val="15"/>
                                      <w:szCs w:val="15"/>
                                      <w:lang w:eastAsia="zh-CN"/>
                                    </w:rPr>
                                  </w:pPr>
                                  <w:r>
                                    <w:rPr>
                                      <w:rFonts w:hint="eastAsia"/>
                                      <w:color w:val="000000"/>
                                      <w:sz w:val="15"/>
                                      <w:szCs w:val="15"/>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9" type="#_x0000_t79" style="position:absolute;left:0pt;margin-left:137.7pt;margin-top:14.6pt;height:23.8pt;width:54.7pt;z-index:251732992;v-text-anchor:middle;mso-width-relative:page;mso-height-relative:page;" filled="f" stroked="t" coordsize="21600,21600" o:gfxdata="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j3nhXZAAAA&#10;CQEAAA8AAAAAAAAAAQAgAAAAIgAAAGRycy9kb3ducmV2LnhtbFBLAQIUABQAAAAIAIdO4kDLurqD&#10;jgIAAOwEAAAOAAAAAAAAAAEAIAAAACgBAABkcnMvZTJvRG9jLnhtbFBLBQYAAAAABgAGAFkBAAAo&#10;BgAAAAA=&#10;" adj="7565,8450,5400,9625">
                      <v:path/>
                      <v:fill on="f" focussize="0,0"/>
                      <v:stroke weight="0.5pt" joinstyle="round"/>
                      <v:imagedata o:title=""/>
                      <o:lock v:ext="edit" aspectratio="f"/>
                      <v:textbox>
                        <w:txbxContent>
                          <w:p>
                            <w:pPr>
                              <w:jc w:val="center"/>
                              <w:rPr>
                                <w:rFonts w:hint="eastAsia" w:eastAsia="宋体"/>
                                <w:sz w:val="15"/>
                                <w:szCs w:val="15"/>
                                <w:lang w:eastAsia="zh-CN"/>
                              </w:rPr>
                            </w:pPr>
                            <w:r>
                              <w:rPr>
                                <w:rFonts w:hint="eastAsia"/>
                                <w:color w:val="000000"/>
                                <w:sz w:val="15"/>
                                <w:szCs w:val="15"/>
                                <w:lang w:eastAsia="zh-CN"/>
                              </w:rPr>
                              <w:t>项目所在地</w:t>
                            </w:r>
                          </w:p>
                        </w:txbxContent>
                      </v:textbox>
                    </v:shape>
                  </w:pict>
                </mc:Fallback>
              </mc:AlternateContent>
            </w: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p>
          <w:p>
            <w:pPr>
              <w:pStyle w:val="16"/>
              <w:jc w:val="both"/>
              <w:rPr>
                <w:rFonts w:hint="eastAsia"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图1-4乐山市环境管控单元图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bCs/>
                <w:color w:val="000000"/>
                <w:sz w:val="24"/>
                <w:szCs w:val="24"/>
              </w:rPr>
            </w:pPr>
            <w:r>
              <w:rPr>
                <w:color w:val="000000"/>
                <w:sz w:val="24"/>
                <w:szCs w:val="24"/>
              </w:rPr>
              <w:t>综上，通过与“三线一单”进行对照后，本项目的建设满足</w:t>
            </w:r>
            <w:r>
              <w:rPr>
                <w:rFonts w:hint="eastAsia"/>
                <w:color w:val="000000"/>
                <w:sz w:val="24"/>
                <w:szCs w:val="24"/>
                <w:lang w:val="en-US" w:eastAsia="zh-CN"/>
              </w:rPr>
              <w:t>乐山市生态环境管控</w:t>
            </w:r>
            <w:r>
              <w:rPr>
                <w:color w:val="000000"/>
                <w:sz w:val="24"/>
                <w:szCs w:val="24"/>
              </w:rPr>
              <w:t>要求，项目不在生态保护红线内、未超出环境质量底线及资源利用上线、符合生态环境准入清单要求。</w:t>
            </w:r>
          </w:p>
          <w:p>
            <w:pPr>
              <w:spacing w:line="360" w:lineRule="auto"/>
              <w:jc w:val="both"/>
              <w:rPr>
                <w:rFonts w:hint="eastAsia"/>
              </w:rPr>
            </w:pPr>
          </w:p>
        </w:tc>
      </w:tr>
    </w:tbl>
    <w:p>
      <w:pPr>
        <w:autoSpaceDE w:val="0"/>
        <w:autoSpaceDN w:val="0"/>
        <w:adjustRightInd w:val="0"/>
        <w:snapToGrid w:val="0"/>
        <w:rPr>
          <w:rFonts w:hint="eastAsia"/>
          <w:kern w:val="0"/>
          <w:szCs w:val="21"/>
        </w:rPr>
        <w:sectPr>
          <w:footerReference r:id="rId5" w:type="default"/>
          <w:pgSz w:w="11906" w:h="16838"/>
          <w:pgMar w:top="1701" w:right="1531" w:bottom="1701" w:left="1531" w:header="851" w:footer="1077" w:gutter="0"/>
          <w:pgNumType w:start="1"/>
          <w:cols w:space="720" w:num="1"/>
          <w:docGrid w:linePitch="312" w:charSpace="0"/>
        </w:sectPr>
      </w:pPr>
    </w:p>
    <w:p>
      <w:pPr>
        <w:adjustRightInd w:val="0"/>
        <w:snapToGrid w:val="0"/>
        <w:spacing w:line="440" w:lineRule="exact"/>
        <w:jc w:val="center"/>
        <w:rPr>
          <w:sz w:val="24"/>
          <w:szCs w:val="24"/>
        </w:rPr>
      </w:pPr>
      <w:r>
        <w:rPr>
          <w:rFonts w:hint="eastAsia" w:cs="Times New Roman"/>
          <w:b/>
          <w:bCs/>
          <w:color w:val="000000"/>
          <w:sz w:val="24"/>
          <w:lang w:val="en-US" w:eastAsia="zh-CN"/>
        </w:rPr>
        <w:t>表1-10</w:t>
      </w:r>
      <w:r>
        <w:rPr>
          <w:rFonts w:hint="eastAsia" w:ascii="Times New Roman" w:hAnsi="Times New Roman" w:eastAsia="宋体" w:cs="Times New Roman"/>
          <w:b/>
          <w:bCs/>
          <w:color w:val="000000"/>
          <w:sz w:val="24"/>
          <w:lang w:val="en-US" w:eastAsia="zh-CN"/>
        </w:rPr>
        <w:t>项目与“生态环境准入清单要求”符合性分析</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420"/>
        <w:gridCol w:w="1834"/>
        <w:gridCol w:w="1789"/>
        <w:gridCol w:w="1788"/>
        <w:gridCol w:w="1200"/>
        <w:gridCol w:w="2989"/>
        <w:gridCol w:w="992"/>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noWrap w:val="0"/>
            <w:vAlign w:val="center"/>
          </w:tcPr>
          <w:p>
            <w:pPr>
              <w:pStyle w:val="16"/>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环境管控单元编码</w:t>
            </w:r>
          </w:p>
        </w:tc>
        <w:tc>
          <w:tcPr>
            <w:tcW w:w="1420" w:type="dxa"/>
            <w:noWrap w:val="0"/>
            <w:vAlign w:val="center"/>
          </w:tcPr>
          <w:p>
            <w:pPr>
              <w:pStyle w:val="16"/>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环境管控单元名称</w:t>
            </w:r>
          </w:p>
        </w:tc>
        <w:tc>
          <w:tcPr>
            <w:tcW w:w="1834" w:type="dxa"/>
            <w:noWrap w:val="0"/>
            <w:vAlign w:val="center"/>
          </w:tcPr>
          <w:p>
            <w:pPr>
              <w:pStyle w:val="16"/>
              <w:spacing w:line="240" w:lineRule="auto"/>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cs="Times New Roman"/>
                <w:b/>
                <w:bCs/>
                <w:sz w:val="21"/>
                <w:szCs w:val="21"/>
                <w:vertAlign w:val="baseline"/>
                <w:lang w:eastAsia="zh-CN"/>
              </w:rPr>
              <w:t>全省总体管控要求</w:t>
            </w:r>
          </w:p>
        </w:tc>
        <w:tc>
          <w:tcPr>
            <w:tcW w:w="1789" w:type="dxa"/>
            <w:noWrap w:val="0"/>
            <w:vAlign w:val="center"/>
          </w:tcPr>
          <w:p>
            <w:pPr>
              <w:pStyle w:val="16"/>
              <w:spacing w:line="240" w:lineRule="auto"/>
              <w:jc w:val="center"/>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SA"/>
              </w:rPr>
              <w:t>成都平原经济区总体管控要求</w:t>
            </w:r>
          </w:p>
        </w:tc>
        <w:tc>
          <w:tcPr>
            <w:tcW w:w="1788" w:type="dxa"/>
            <w:noWrap w:val="0"/>
            <w:vAlign w:val="center"/>
          </w:tcPr>
          <w:p>
            <w:pPr>
              <w:pStyle w:val="16"/>
              <w:spacing w:line="240" w:lineRule="auto"/>
              <w:jc w:val="center"/>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SA"/>
              </w:rPr>
              <w:t>乐山市总体管控要求</w:t>
            </w:r>
          </w:p>
        </w:tc>
        <w:tc>
          <w:tcPr>
            <w:tcW w:w="1200" w:type="dxa"/>
            <w:noWrap w:val="0"/>
            <w:vAlign w:val="center"/>
          </w:tcPr>
          <w:p>
            <w:pPr>
              <w:pStyle w:val="16"/>
              <w:spacing w:line="240" w:lineRule="auto"/>
              <w:jc w:val="center"/>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SA"/>
              </w:rPr>
              <w:t>管控类别</w:t>
            </w:r>
          </w:p>
        </w:tc>
        <w:tc>
          <w:tcPr>
            <w:tcW w:w="2989" w:type="dxa"/>
            <w:noWrap w:val="0"/>
            <w:vAlign w:val="center"/>
          </w:tcPr>
          <w:p>
            <w:pPr>
              <w:pStyle w:val="16"/>
              <w:spacing w:line="240" w:lineRule="auto"/>
              <w:jc w:val="center"/>
              <w:rPr>
                <w:rFonts w:hint="default" w:ascii="Times New Roman" w:hAnsi="Times New Roman" w:cs="Times New Roman"/>
                <w:b/>
                <w:bCs/>
                <w:sz w:val="21"/>
                <w:szCs w:val="21"/>
                <w:vertAlign w:val="baseline"/>
              </w:rPr>
            </w:pPr>
            <w:r>
              <w:rPr>
                <w:rFonts w:hint="default" w:ascii="Times New Roman" w:hAnsi="Times New Roman" w:eastAsia="宋体" w:cs="Times New Roman"/>
                <w:b/>
                <w:bCs/>
                <w:color w:val="000000"/>
                <w:kern w:val="0"/>
                <w:sz w:val="21"/>
                <w:szCs w:val="21"/>
                <w:lang w:val="en-US" w:eastAsia="zh-CN" w:bidi="ar-SA"/>
              </w:rPr>
              <w:t>单元特性管控要求</w:t>
            </w:r>
          </w:p>
        </w:tc>
        <w:tc>
          <w:tcPr>
            <w:tcW w:w="992" w:type="dxa"/>
            <w:noWrap w:val="0"/>
            <w:vAlign w:val="center"/>
          </w:tcPr>
          <w:p>
            <w:pPr>
              <w:pStyle w:val="16"/>
              <w:spacing w:line="240" w:lineRule="auto"/>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本项目情况</w:t>
            </w:r>
          </w:p>
        </w:tc>
        <w:tc>
          <w:tcPr>
            <w:tcW w:w="689" w:type="dxa"/>
            <w:noWrap w:val="0"/>
            <w:vAlign w:val="center"/>
          </w:tcPr>
          <w:p>
            <w:pPr>
              <w:pStyle w:val="16"/>
              <w:spacing w:line="240" w:lineRule="auto"/>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cs="Times New Roman"/>
                <w:b/>
                <w:bCs/>
                <w:color w:val="000000"/>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ZH51110220002</w:t>
            </w:r>
          </w:p>
        </w:tc>
        <w:tc>
          <w:tcPr>
            <w:tcW w:w="1420"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乐山高新技术产业开发区嘉州工业园</w:t>
            </w:r>
          </w:p>
        </w:tc>
        <w:tc>
          <w:tcPr>
            <w:tcW w:w="1834" w:type="dxa"/>
            <w:vMerge w:val="restart"/>
            <w:noWrap w:val="0"/>
            <w:vAlign w:val="center"/>
          </w:tcPr>
          <w:p>
            <w:pPr>
              <w:pStyle w:val="193"/>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优先保护单元中，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般生态空间按限制开发区域的要求进行管理，原则上不再新建各类开发区和扩大现有工业园区面积，已有的工业开发区要逐步改造成为低能耗、可循环、“零污染”的生态型工业区，鼓励发展“飞地经济”。</w:t>
            </w:r>
          </w:p>
          <w:p>
            <w:pPr>
              <w:pStyle w:val="193"/>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重点管控单元中，针对环境质量是否达标以及经济社会发展水平等因素，制定差别化的生态环境准入要求，对环境质量不达标区域，提出污染物削减比例要求，对环境质量达标区域，提出允许排放量建议指标。</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一般管控单元中，执行区域生态环境保护的基本要求；对其中的永久基本农田实施永久特殊保护，不得擅自占用或者改变用途；对其中要素重点管控区提出水和大气污染重点管控要求。</w:t>
            </w:r>
          </w:p>
        </w:tc>
        <w:tc>
          <w:tcPr>
            <w:tcW w:w="1789"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针对突出生态环境问题，大力优化调整产业结构，实施最严格的环境准入要求。加快GDP贡献小、污染排放强度大的产业如建材、家具等产业替代升级，结构优化。对重点发展的电子信息、装备制造、先进材料、食品饮料、生物医药等产业提出最严格的环境准入门槛。岷沱江流域执行岷沱江污染物排放标准。优化涉危涉化产业布局，严控环境风险，保障人居安全</w:t>
            </w:r>
          </w:p>
        </w:tc>
        <w:tc>
          <w:tcPr>
            <w:tcW w:w="1788"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对化工、水泥、陶瓷、造纸、铁合金等重点产业提出严格资源环境绩效水平要求；岷江干流岸线1km范围不得新建、扩建化工园区和化工项目，现有存在违法违规行为的化工企业，整改后仍不能达到要求的依法关闭，鼓励企业搬入合规园区；对城区影响大的水泥、陶瓷等大气排放量大的企业执行更严格总量控制和深度治理要求；按照“一总部三基地”的产业布局要求，加快现有工业园区的优化整合。</w:t>
            </w: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空间布局约束</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1、禁止引入精细化工、化学合成类、发酵类医药项目（退城入园的长征制药项目除外）、专业电镀及含炉窑焙烧工艺的项目；2、其他执行乐山市工业重点管控单元普适性总体准入要求。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限制开发建设活动的要求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1、严格限制向靠近水口镇、罗汉镇方向布局；2、其他执行乐山市工业重点管控单元普适性总体准入要求。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允许开发建设活动的要求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不符合空间布局要求活动的退出要求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其他空间布局约束要求</w:t>
            </w:r>
          </w:p>
        </w:tc>
        <w:tc>
          <w:tcPr>
            <w:tcW w:w="992"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本项目为</w:t>
            </w:r>
            <w:r>
              <w:rPr>
                <w:rFonts w:hint="eastAsia" w:ascii="Times New Roman" w:hAnsi="Times New Roman" w:cs="Times New Roman"/>
                <w:sz w:val="21"/>
                <w:szCs w:val="21"/>
                <w:vertAlign w:val="baseline"/>
                <w:lang w:val="en-US" w:eastAsia="zh-CN"/>
              </w:rPr>
              <w:t>商品混凝土</w:t>
            </w:r>
            <w:r>
              <w:rPr>
                <w:rFonts w:hint="default" w:ascii="Times New Roman" w:hAnsi="Times New Roman" w:cs="Times New Roman"/>
                <w:sz w:val="21"/>
                <w:szCs w:val="21"/>
                <w:vertAlign w:val="baseline"/>
                <w:lang w:eastAsia="zh-CN"/>
              </w:rPr>
              <w:t>项目，</w:t>
            </w:r>
            <w:r>
              <w:rPr>
                <w:rFonts w:hint="eastAsia" w:ascii="Times New Roman" w:hAnsi="Times New Roman" w:cs="Times New Roman"/>
                <w:sz w:val="21"/>
                <w:szCs w:val="21"/>
                <w:vertAlign w:val="baseline"/>
                <w:lang w:eastAsia="zh-CN"/>
              </w:rPr>
              <w:t>不属于化工类项目。</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789"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788"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200" w:type="dxa"/>
            <w:noWrap w:val="0"/>
            <w:vAlign w:val="center"/>
          </w:tcPr>
          <w:p>
            <w:pPr>
              <w:pStyle w:val="16"/>
              <w:spacing w:line="240" w:lineRule="auto"/>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污染物排放管控</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现有源提标升级改造</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新增源等量或倍量替代</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新增源排放标准限值</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污染物排放绩效水平准入要求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其他污染物排放管控要求</w:t>
            </w: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789"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788"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200" w:type="dxa"/>
            <w:noWrap w:val="0"/>
            <w:vAlign w:val="center"/>
          </w:tcPr>
          <w:p>
            <w:pPr>
              <w:pStyle w:val="16"/>
              <w:spacing w:line="240" w:lineRule="auto"/>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环境风险防控</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严格管控类农用地管控要求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安全利用类农用地管控要求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污染地块管控要求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园区环境风险防控要求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1、为保护河流的水环境，河道两侧应设置一定宽度的绿化保护带；2、其他执行乐山市工业重点管控单元普适性总体准入要求。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企业环境风险防控要求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其他环境风险防控要求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789"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788"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200" w:type="dxa"/>
            <w:noWrap w:val="0"/>
            <w:vAlign w:val="center"/>
          </w:tcPr>
          <w:p>
            <w:pPr>
              <w:pStyle w:val="16"/>
              <w:spacing w:line="240" w:lineRule="auto"/>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资源开发效率要求</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水资源利用效率要求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地下水开采要求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能源利用效率要求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执行乐山市工业重点管控单元普适性总体准入要求。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其他资源利用效率要求</w:t>
            </w: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YS5111022210018</w:t>
            </w:r>
          </w:p>
        </w:tc>
        <w:tc>
          <w:tcPr>
            <w:tcW w:w="1420"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大渡河市中区李码头控制单元</w:t>
            </w: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空间布局约束</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限制开发建设活动的要求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允许开发建设活动的要求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不符合空间布局要求活动的退出要求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其他空间布局约束要求</w:t>
            </w:r>
          </w:p>
        </w:tc>
        <w:tc>
          <w:tcPr>
            <w:tcW w:w="992" w:type="dxa"/>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污染物排放管控</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城镇污水污染控制措施要求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工业废水污染控制措施要求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农业面源水污染控制措施要求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船舶港口水污染控制措施要求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饮用水水源和其它特殊水体保护要求</w:t>
            </w: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环境风险防控</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资源开发效率要求</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YS5111022310002</w:t>
            </w:r>
          </w:p>
        </w:tc>
        <w:tc>
          <w:tcPr>
            <w:tcW w:w="1420"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乐山高新技术产业开发区嘉州工业园</w:t>
            </w: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空间布局约束</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限制开发建设活动的要求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允许开发建设活动的要求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不符合空间布局要求活动的退出要求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其他空间布局约束要求</w:t>
            </w: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污染物排放管控</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大气环境质量执行标准</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《环境空气质量标准》（GB3095-2012）：二级</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区域大气污染物削减/替代要求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新增大气污染物排放的建设项目实施总量削减替代。</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燃煤和其他能源大气污染控制要求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工业废气污染控制要求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加强工业无组织排放管控。扎实开展钢铁、建材、化工、火电、焦化、铸造等重点行业和燃煤锅炉无组织排放整治，建立管理台账。对物料（含废渣）运输、装卸、储存、转移与输送以及生产工艺过程等无组织排放实施深度治理。加强园区污染治理。推进园区绿色循环低碳发展。推动园区实施循环化改造。大力推进企业清洁生产。</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机动车船大气污染控制要求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扬尘污染控制要求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农业生产经营活动大气污染控制要求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重点行业企业专项治理要求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其他大气污染物排放管控要求</w:t>
            </w:r>
          </w:p>
        </w:tc>
        <w:tc>
          <w:tcPr>
            <w:tcW w:w="992" w:type="dxa"/>
            <w:noWrap w:val="0"/>
            <w:vAlign w:val="center"/>
          </w:tcPr>
          <w:p>
            <w:pPr>
              <w:pStyle w:val="16"/>
              <w:keepNext w:val="0"/>
              <w:keepLines w:val="0"/>
              <w:pageBreakBefore w:val="0"/>
              <w:kinsoku/>
              <w:wordWrap/>
              <w:overflowPunct/>
              <w:topLinePunct w:val="0"/>
              <w:autoSpaceDE/>
              <w:autoSpaceDN/>
              <w:bidi w:val="0"/>
              <w:adjustRightInd/>
              <w:spacing w:before="0" w:after="0" w:line="240" w:lineRule="auto"/>
              <w:jc w:val="center"/>
              <w:textAlignment w:val="auto"/>
              <w:rPr>
                <w:rFonts w:hint="eastAsia"/>
                <w:sz w:val="21"/>
                <w:szCs w:val="21"/>
                <w:lang w:val="en-US" w:eastAsia="zh-CN"/>
              </w:rPr>
            </w:pPr>
            <w:r>
              <w:rPr>
                <w:rFonts w:hint="eastAsia"/>
                <w:sz w:val="21"/>
                <w:szCs w:val="21"/>
                <w:lang w:val="en-US" w:eastAsia="zh-CN"/>
              </w:rPr>
              <w:t>项目大气环境质量执行标准《环境空气质量标准》（GB3095-2012）：二级</w:t>
            </w:r>
          </w:p>
          <w:p>
            <w:pPr>
              <w:keepNext w:val="0"/>
              <w:keepLines w:val="0"/>
              <w:pageBreakBefore w:val="0"/>
              <w:kinsoku/>
              <w:wordWrap/>
              <w:overflowPunct/>
              <w:topLinePunct w:val="0"/>
              <w:autoSpaceDE/>
              <w:autoSpaceDN/>
              <w:bidi w:val="0"/>
              <w:adjustRightInd/>
              <w:spacing w:line="240" w:lineRule="auto"/>
              <w:textAlignment w:val="auto"/>
              <w:rPr>
                <w:rFonts w:hint="default"/>
                <w:lang w:val="en-US" w:eastAsia="zh-CN"/>
              </w:rPr>
            </w:pPr>
            <w:r>
              <w:rPr>
                <w:rFonts w:hint="eastAsia"/>
                <w:sz w:val="21"/>
                <w:szCs w:val="21"/>
                <w:lang w:val="en-US" w:eastAsia="zh-CN"/>
              </w:rPr>
              <w:t>严格执行国家省市下达的相关大气污染防治要求</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环境风险防控</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资源开发效率要求</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restart"/>
            <w:noWrap w:val="0"/>
            <w:vAlign w:val="center"/>
          </w:tcPr>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YS5111022420002</w:t>
            </w:r>
          </w:p>
        </w:tc>
        <w:tc>
          <w:tcPr>
            <w:tcW w:w="1420" w:type="dxa"/>
            <w:vMerge w:val="restart"/>
            <w:noWrap w:val="0"/>
            <w:vAlign w:val="center"/>
          </w:tcPr>
          <w:p>
            <w:pPr>
              <w:pStyle w:val="184"/>
              <w:widowControl/>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乐山市市中区建设用地污染风险重点管控区2</w:t>
            </w: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空间布局约束</w:t>
            </w:r>
          </w:p>
        </w:tc>
        <w:tc>
          <w:tcPr>
            <w:tcW w:w="2989" w:type="dxa"/>
            <w:noWrap w:val="0"/>
            <w:vAlign w:val="center"/>
          </w:tcPr>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禁止开发建设活动的要求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限制开发建设活动的要求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允许开发建设活动的要求</w:t>
            </w:r>
          </w:p>
          <w:p>
            <w:pPr>
              <w:pStyle w:val="193"/>
              <w:widowControl/>
              <w:shd w:val="clear" w:color="auto" w:fill="FFFFFF"/>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r>
              <w:rPr>
                <w:rStyle w:val="40"/>
                <w:rFonts w:hint="default" w:ascii="Times New Roman" w:hAnsi="Times New Roman" w:eastAsia="宋体" w:cs="Times New Roman"/>
                <w:kern w:val="2"/>
                <w:sz w:val="21"/>
                <w:szCs w:val="21"/>
                <w:lang w:val="en-US" w:eastAsia="zh-CN" w:bidi="ar-SA"/>
              </w:rPr>
              <w:t>不符合空间布局要求活动的退出要求</w:t>
            </w:r>
          </w:p>
          <w:p>
            <w:pPr>
              <w:pStyle w:val="16"/>
              <w:spacing w:line="240" w:lineRule="auto"/>
              <w:jc w:val="center"/>
              <w:rPr>
                <w:rFonts w:hint="default" w:ascii="Times New Roman" w:hAnsi="Times New Roman" w:cs="Times New Roman"/>
                <w:sz w:val="21"/>
                <w:szCs w:val="21"/>
                <w:vertAlign w:val="baseline"/>
              </w:rPr>
            </w:pPr>
            <w:r>
              <w:rPr>
                <w:rStyle w:val="40"/>
                <w:rFonts w:hint="default" w:ascii="Times New Roman" w:hAnsi="Times New Roman" w:eastAsia="宋体" w:cs="Times New Roman"/>
                <w:kern w:val="2"/>
                <w:sz w:val="21"/>
                <w:szCs w:val="21"/>
                <w:lang w:val="en-US" w:eastAsia="zh-CN" w:bidi="ar-SA"/>
              </w:rPr>
              <w:t>其他空间布局约束要求</w:t>
            </w: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84"/>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污染物排放管控</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84"/>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ind w:right="113" w:rightChars="0"/>
              <w:jc w:val="center"/>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eastAsia="zh-CN"/>
              </w:rPr>
              <w:t>环境风险防控</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1" w:type="dxa"/>
            <w:vMerge w:val="continue"/>
            <w:noWrap w:val="0"/>
            <w:vAlign w:val="center"/>
          </w:tcPr>
          <w:p>
            <w:pPr>
              <w:pStyle w:val="16"/>
              <w:spacing w:line="240" w:lineRule="auto"/>
              <w:jc w:val="center"/>
              <w:rPr>
                <w:rStyle w:val="40"/>
                <w:rFonts w:hint="default" w:ascii="Times New Roman" w:hAnsi="Times New Roman" w:eastAsia="宋体" w:cs="Times New Roman"/>
                <w:kern w:val="2"/>
                <w:sz w:val="21"/>
                <w:szCs w:val="21"/>
                <w:lang w:val="en-US" w:eastAsia="zh-CN" w:bidi="ar-SA"/>
              </w:rPr>
            </w:pPr>
          </w:p>
        </w:tc>
        <w:tc>
          <w:tcPr>
            <w:tcW w:w="1420" w:type="dxa"/>
            <w:vMerge w:val="continue"/>
            <w:noWrap w:val="0"/>
            <w:vAlign w:val="center"/>
          </w:tcPr>
          <w:p>
            <w:pPr>
              <w:pStyle w:val="184"/>
              <w:widowControl/>
              <w:spacing w:line="240" w:lineRule="auto"/>
              <w:ind w:firstLine="0" w:firstLineChars="0"/>
              <w:jc w:val="center"/>
              <w:rPr>
                <w:rStyle w:val="40"/>
                <w:rFonts w:hint="default" w:ascii="Times New Roman" w:hAnsi="Times New Roman" w:eastAsia="宋体" w:cs="Times New Roman"/>
                <w:kern w:val="2"/>
                <w:sz w:val="21"/>
                <w:szCs w:val="21"/>
                <w:lang w:val="en-US" w:eastAsia="zh-CN" w:bidi="ar-SA"/>
              </w:rPr>
            </w:pPr>
          </w:p>
        </w:tc>
        <w:tc>
          <w:tcPr>
            <w:tcW w:w="1834"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9"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788" w:type="dxa"/>
            <w:vMerge w:val="continue"/>
            <w:noWrap w:val="0"/>
            <w:vAlign w:val="center"/>
          </w:tcPr>
          <w:p>
            <w:pPr>
              <w:pStyle w:val="16"/>
              <w:spacing w:line="240" w:lineRule="auto"/>
              <w:jc w:val="center"/>
              <w:rPr>
                <w:rFonts w:hint="default" w:ascii="Times New Roman" w:hAnsi="Times New Roman" w:cs="Times New Roman"/>
                <w:sz w:val="21"/>
                <w:szCs w:val="21"/>
                <w:vertAlign w:val="baseline"/>
              </w:rPr>
            </w:pPr>
          </w:p>
        </w:tc>
        <w:tc>
          <w:tcPr>
            <w:tcW w:w="1200" w:type="dxa"/>
            <w:noWrap w:val="0"/>
            <w:vAlign w:val="center"/>
          </w:tcPr>
          <w:p>
            <w:pPr>
              <w:pStyle w:val="16"/>
              <w:spacing w:line="240"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eastAsia="zh-CN"/>
              </w:rPr>
              <w:t>资源开发效率要求</w:t>
            </w:r>
          </w:p>
        </w:tc>
        <w:tc>
          <w:tcPr>
            <w:tcW w:w="2989" w:type="dxa"/>
            <w:noWrap w:val="0"/>
            <w:vAlign w:val="center"/>
          </w:tcPr>
          <w:p>
            <w:pPr>
              <w:pStyle w:val="193"/>
              <w:widowControl/>
              <w:shd w:val="clear" w:color="auto" w:fill="FFFFFF"/>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992" w:type="dxa"/>
            <w:noWrap w:val="0"/>
            <w:vAlign w:val="center"/>
          </w:tcPr>
          <w:p>
            <w:pPr>
              <w:pStyle w:val="16"/>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689" w:type="dxa"/>
            <w:noWrap w:val="0"/>
            <w:vAlign w:val="center"/>
          </w:tcPr>
          <w:p>
            <w:pPr>
              <w:pStyle w:val="16"/>
              <w:spacing w:line="240" w:lineRule="auto"/>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符合</w:t>
            </w:r>
          </w:p>
        </w:tc>
      </w:tr>
    </w:tbl>
    <w:p>
      <w:pPr>
        <w:widowControl/>
        <w:rPr>
          <w:rFonts w:hint="eastAsia" w:ascii="宋体" w:hAnsi="宋体" w:cs="宋体"/>
          <w:vanish/>
          <w:kern w:val="0"/>
          <w:sz w:val="24"/>
        </w:rPr>
      </w:pPr>
    </w:p>
    <w:p>
      <w:pPr>
        <w:pStyle w:val="2"/>
        <w:rPr>
          <w:rFonts w:hint="eastAsia" w:ascii="宋体" w:hAnsi="宋体" w:cs="宋体"/>
          <w:vanish/>
          <w:kern w:val="0"/>
          <w:sz w:val="24"/>
        </w:rPr>
      </w:pPr>
    </w:p>
    <w:p>
      <w:pPr>
        <w:rPr>
          <w:rFonts w:hint="eastAsia" w:ascii="宋体" w:hAnsi="宋体" w:cs="宋体"/>
          <w:vanish/>
          <w:kern w:val="0"/>
          <w:sz w:val="24"/>
        </w:rPr>
      </w:pPr>
    </w:p>
    <w:p>
      <w:pPr>
        <w:pStyle w:val="2"/>
        <w:rPr>
          <w:rFonts w:hint="eastAsia" w:ascii="宋体" w:hAnsi="宋体" w:cs="宋体"/>
          <w:vanish/>
          <w:kern w:val="0"/>
          <w:sz w:val="24"/>
        </w:rPr>
      </w:pPr>
    </w:p>
    <w:p>
      <w:pPr>
        <w:rPr>
          <w:rFonts w:hint="eastAsia" w:ascii="宋体" w:hAnsi="宋体" w:cs="宋体"/>
          <w:vanish/>
          <w:kern w:val="0"/>
          <w:sz w:val="24"/>
        </w:rPr>
      </w:pPr>
    </w:p>
    <w:p>
      <w:pPr>
        <w:pStyle w:val="2"/>
        <w:rPr>
          <w:rFonts w:hint="eastAsia" w:ascii="宋体" w:hAnsi="宋体" w:cs="宋体"/>
          <w:vanish/>
          <w:kern w:val="0"/>
          <w:sz w:val="24"/>
        </w:rPr>
      </w:pPr>
    </w:p>
    <w:p>
      <w:pPr>
        <w:rPr>
          <w:rFonts w:hint="eastAsia"/>
        </w:rPr>
      </w:pPr>
      <w:r>
        <w:drawing>
          <wp:anchor distT="0" distB="0" distL="114300" distR="114300" simplePos="0" relativeHeight="251736064" behindDoc="0" locked="0" layoutInCell="1" allowOverlap="1">
            <wp:simplePos x="0" y="0"/>
            <wp:positionH relativeFrom="column">
              <wp:posOffset>-203200</wp:posOffset>
            </wp:positionH>
            <wp:positionV relativeFrom="paragraph">
              <wp:posOffset>-98425</wp:posOffset>
            </wp:positionV>
            <wp:extent cx="8502015" cy="5413375"/>
            <wp:effectExtent l="0" t="0" r="13335" b="15875"/>
            <wp:wrapNone/>
            <wp:docPr id="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8"/>
                    <pic:cNvPicPr>
                      <a:picLocks noChangeAspect="1"/>
                    </pic:cNvPicPr>
                  </pic:nvPicPr>
                  <pic:blipFill>
                    <a:blip r:embed="rId13"/>
                    <a:stretch>
                      <a:fillRect/>
                    </a:stretch>
                  </pic:blipFill>
                  <pic:spPr>
                    <a:xfrm>
                      <a:off x="0" y="0"/>
                      <a:ext cx="8502015" cy="5413375"/>
                    </a:xfrm>
                    <a:prstGeom prst="rect">
                      <a:avLst/>
                    </a:prstGeom>
                    <a:noFill/>
                    <a:ln>
                      <a:noFill/>
                    </a:ln>
                  </pic:spPr>
                </pic:pic>
              </a:graphicData>
            </a:graphic>
          </wp:anchor>
        </w:drawing>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pStyle w:val="2"/>
        <w:ind w:left="0" w:leftChars="0" w:firstLine="0" w:firstLineChars="0"/>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r>
        <w:rPr>
          <w:rFonts w:hint="eastAsia"/>
        </w:rPr>
        <w:t>https://tftb.sczwfw.gov.cn:8085/hos-server/pub/jmas/jmasbucket/jmopen_files/webapp/html5/sxydctfx/index.html?areaCode=510000000000</w:t>
      </w:r>
    </w:p>
    <w:p>
      <w:pPr>
        <w:spacing w:line="360" w:lineRule="auto"/>
        <w:outlineLvl w:val="0"/>
        <w:rPr>
          <w:rFonts w:eastAsia="黑体"/>
          <w:sz w:val="30"/>
        </w:rPr>
        <w:sectPr>
          <w:pgSz w:w="16838" w:h="11906" w:orient="landscape"/>
          <w:pgMar w:top="1531" w:right="1701" w:bottom="1531" w:left="1701" w:header="851" w:footer="1077" w:gutter="0"/>
          <w:cols w:space="720" w:num="1"/>
          <w:docGrid w:linePitch="312" w:charSpace="0"/>
        </w:sectPr>
      </w:pPr>
    </w:p>
    <w:p>
      <w:pPr>
        <w:pStyle w:val="3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5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noWrap w:val="0"/>
            <w:vAlign w:val="center"/>
          </w:tcPr>
          <w:p>
            <w:pPr>
              <w:pStyle w:val="3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4"/>
                <w:szCs w:val="24"/>
              </w:rPr>
              <w:t>建设内容</w:t>
            </w:r>
          </w:p>
        </w:tc>
        <w:tc>
          <w:tcPr>
            <w:tcW w:w="8161" w:type="dxa"/>
            <w:noWrap w:val="0"/>
            <w:vAlign w:val="top"/>
          </w:tcPr>
          <w:p>
            <w:pPr>
              <w:spacing w:line="480" w:lineRule="exact"/>
              <w:ind w:firstLine="472" w:firstLineChars="196"/>
              <w:rPr>
                <w:rFonts w:hint="eastAsia"/>
                <w:b/>
                <w:sz w:val="24"/>
              </w:rPr>
            </w:pPr>
            <w:r>
              <w:rPr>
                <w:rFonts w:hint="eastAsia"/>
                <w:b/>
                <w:sz w:val="24"/>
                <w:lang w:val="en-US" w:eastAsia="zh-CN"/>
              </w:rPr>
              <w:t>一、</w:t>
            </w:r>
            <w:r>
              <w:rPr>
                <w:b/>
                <w:sz w:val="24"/>
              </w:rPr>
              <w:t>项目由来</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Times New Roman" w:hAnsi="Times New Roman" w:eastAsia="宋体" w:cs="Times New Roman"/>
                <w:sz w:val="24"/>
              </w:rPr>
            </w:pPr>
            <w:r>
              <w:rPr>
                <w:rFonts w:hint="eastAsia"/>
                <w:sz w:val="24"/>
              </w:rPr>
              <w:t>商品混凝土是当代最主要的土木工程材料之一，具有原料丰富、价格低廉、生产工艺简单、抗压强度高、耐久性好、强度等级范围宽等特点。商品混凝土以集中搅拌、远距离运输的方式向建筑工地供应，是现代混凝土与现代化施工工艺相结合的高科技建材产品，它的普及程度能代表一个国家或地区的混凝土施工水平和现代化程度。同时，政府提倡并强制水泥散装、混凝土商品化和集中化，商品混凝土逐渐形成一种新型产业。混凝土集中搅拌，实行专业化生产，商品化销售，是混凝土生产方式的重大革命，一个地区预拌商品混凝土的使用量和比例，标志着这个地区的混凝土工业生产的水平，使用预拌商品混凝土有提高工程质量、节约资源、保护环境、改善劳动条件</w:t>
            </w:r>
            <w:r>
              <w:rPr>
                <w:rFonts w:hint="eastAsia" w:ascii="Times New Roman" w:hAnsi="Times New Roman" w:eastAsia="宋体" w:cs="Times New Roman"/>
                <w:sz w:val="24"/>
              </w:rPr>
              <w:t>和推广散装水泥等各方面的综合效益。</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sz w:val="24"/>
              </w:rPr>
            </w:pPr>
            <w:r>
              <w:rPr>
                <w:rFonts w:hint="eastAsia" w:ascii="Times New Roman" w:hAnsi="Times New Roman" w:eastAsia="宋体" w:cs="Times New Roman"/>
                <w:sz w:val="24"/>
                <w:lang w:val="en-US" w:eastAsia="zh-CN"/>
              </w:rPr>
              <w:t>乐山西建苏兴建材有限公司</w:t>
            </w:r>
            <w:r>
              <w:rPr>
                <w:rFonts w:hint="eastAsia" w:ascii="Times New Roman" w:hAnsi="Times New Roman" w:eastAsia="宋体" w:cs="Times New Roman"/>
                <w:sz w:val="24"/>
              </w:rPr>
              <w:t>计划投资</w:t>
            </w:r>
            <w:r>
              <w:rPr>
                <w:rFonts w:hint="eastAsia" w:ascii="Times New Roman" w:hAnsi="Times New Roman" w:eastAsia="宋体" w:cs="Times New Roman"/>
                <w:sz w:val="24"/>
                <w:lang w:val="en-US" w:eastAsia="zh-CN"/>
              </w:rPr>
              <w:t>14000</w:t>
            </w:r>
            <w:r>
              <w:rPr>
                <w:rFonts w:hint="eastAsia" w:ascii="Times New Roman" w:hAnsi="Times New Roman" w:eastAsia="宋体" w:cs="Times New Roman"/>
                <w:sz w:val="24"/>
              </w:rPr>
              <w:t>万元，于乐山市工业集中区水口片区内建设“</w:t>
            </w:r>
            <w:r>
              <w:rPr>
                <w:rFonts w:hint="eastAsia" w:ascii="Times New Roman" w:hAnsi="Times New Roman" w:eastAsia="宋体" w:cs="Times New Roman"/>
                <w:sz w:val="24"/>
                <w:lang w:val="en-US" w:eastAsia="zh-CN"/>
              </w:rPr>
              <w:t>绿色建材产业园项目</w:t>
            </w:r>
            <w:r>
              <w:rPr>
                <w:rFonts w:hint="eastAsia" w:ascii="Times New Roman" w:hAnsi="Times New Roman" w:eastAsia="宋体" w:cs="Times New Roman"/>
                <w:sz w:val="24"/>
              </w:rPr>
              <w:t>”，该项目已取得土地使用手续、相应行业主管部门准入批复以及该工业集中区管</w:t>
            </w:r>
            <w:r>
              <w:rPr>
                <w:rFonts w:hint="eastAsia"/>
                <w:sz w:val="24"/>
              </w:rPr>
              <w:t>理部门准入批复。</w:t>
            </w:r>
          </w:p>
          <w:p>
            <w:pPr>
              <w:keepNext w:val="0"/>
              <w:keepLines w:val="0"/>
              <w:pageBreakBefore w:val="0"/>
              <w:widowControl w:val="0"/>
              <w:kinsoku/>
              <w:wordWrap/>
              <w:overflowPunct/>
              <w:topLinePunct w:val="0"/>
              <w:autoSpaceDE/>
              <w:autoSpaceDN/>
              <w:bidi w:val="0"/>
              <w:adjustRightInd/>
              <w:snapToGrid/>
              <w:spacing w:line="360" w:lineRule="auto"/>
              <w:ind w:right="57" w:firstLine="480" w:firstLineChars="200"/>
              <w:textAlignment w:val="auto"/>
              <w:rPr>
                <w:rFonts w:hint="eastAsia" w:hAnsi="宋体"/>
                <w:bCs/>
                <w:sz w:val="24"/>
              </w:rPr>
            </w:pPr>
            <w:r>
              <w:rPr>
                <w:rFonts w:hint="eastAsia" w:hAnsi="宋体"/>
                <w:bCs/>
                <w:sz w:val="24"/>
              </w:rPr>
              <w:t>根据《中华人民共和国环境保护法》、《中华人民共和国环境影响评价法》及《建设项目环境保护管理条例》等法律法规的要求，本项目的建设应进行环境影响评价。根据《建设项目环境评价分类管理名录》，项目属于“十九、非金属矿物制品业50砼结构构件制造、商品混凝土加工”，应编制环境影响报告表。为此，</w:t>
            </w:r>
            <w:r>
              <w:rPr>
                <w:rFonts w:hint="eastAsia" w:ascii="Times New Roman" w:hAnsi="Times New Roman" w:eastAsia="宋体" w:cs="Times New Roman"/>
                <w:sz w:val="24"/>
                <w:lang w:val="en-US" w:eastAsia="zh-CN"/>
              </w:rPr>
              <w:t>乐山西建苏兴建材有限公司</w:t>
            </w:r>
            <w:r>
              <w:rPr>
                <w:rFonts w:hint="eastAsia" w:hAnsi="宋体"/>
                <w:bCs/>
                <w:sz w:val="24"/>
              </w:rPr>
              <w:t>特委托我单位对该工程进行环境影响评价工作。在接受委托后，我单位即组织有关人员对该工程进行实地踏勘和资料收集，并根据现场收集资料和有关技术规范及环保局的相关规定，编制完成了该环评报告，待审核后作为项目环境管理及环保设计的依据。</w:t>
            </w:r>
          </w:p>
          <w:p>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二</w:t>
            </w:r>
            <w:r>
              <w:rPr>
                <w:rFonts w:hint="default" w:ascii="Times New Roman" w:hAnsi="Times New Roman" w:eastAsia="宋体" w:cs="Times New Roman"/>
                <w:b/>
                <w:sz w:val="24"/>
                <w:lang w:val="en-US" w:eastAsia="zh-CN"/>
              </w:rPr>
              <w:t>、</w:t>
            </w:r>
            <w:r>
              <w:rPr>
                <w:rFonts w:hint="eastAsia" w:ascii="Times New Roman" w:hAnsi="Times New Roman" w:eastAsia="宋体" w:cs="Times New Roman"/>
                <w:b/>
                <w:sz w:val="24"/>
                <w:lang w:val="en-US" w:eastAsia="zh-CN"/>
              </w:rPr>
              <w:t>项目情况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rPr>
              <w:t>1</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项目名称：</w:t>
            </w:r>
            <w:r>
              <w:rPr>
                <w:rFonts w:hint="eastAsia" w:ascii="Times New Roman" w:hAnsi="Times New Roman" w:eastAsia="宋体" w:cs="Times New Roman"/>
                <w:sz w:val="24"/>
                <w:lang w:val="en-US" w:eastAsia="zh-CN"/>
              </w:rPr>
              <w:t>绿色建材产业园项目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rPr>
              <w:t>2</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建设单位：</w:t>
            </w:r>
            <w:r>
              <w:rPr>
                <w:rFonts w:hint="eastAsia" w:ascii="Times New Roman" w:hAnsi="Times New Roman" w:eastAsia="宋体" w:cs="Times New Roman"/>
                <w:sz w:val="24"/>
                <w:lang w:val="en-US" w:eastAsia="zh-CN"/>
              </w:rPr>
              <w:t>乐山西建苏兴建材有限公司</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cs="Times New Roman"/>
                <w:b/>
                <w:bCs/>
                <w:color w:val="auto"/>
                <w:sz w:val="24"/>
                <w:szCs w:val="24"/>
              </w:rPr>
              <w:t>3</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建设地点：</w:t>
            </w:r>
            <w:r>
              <w:rPr>
                <w:rFonts w:hint="eastAsia" w:ascii="宋体" w:hAnsi="宋体" w:eastAsia="宋体" w:cs="宋体"/>
                <w:color w:val="000000"/>
                <w:kern w:val="0"/>
                <w:sz w:val="24"/>
                <w:szCs w:val="24"/>
                <w:lang w:val="en-US" w:eastAsia="zh-CN" w:bidi="ar"/>
              </w:rPr>
              <w:t>水口镇高河村三组294号</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bCs/>
                <w:color w:val="auto"/>
                <w:sz w:val="24"/>
                <w:szCs w:val="24"/>
              </w:rPr>
              <w:t>4</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用地面积：</w:t>
            </w:r>
            <w:r>
              <w:rPr>
                <w:rFonts w:hint="eastAsia" w:ascii="Times New Roman" w:hAnsi="Times New Roman" w:cs="Times New Roman"/>
                <w:b w:val="0"/>
                <w:bCs w:val="0"/>
                <w:color w:val="auto"/>
                <w:sz w:val="24"/>
                <w:szCs w:val="24"/>
                <w:lang w:val="en-US" w:eastAsia="zh-CN"/>
              </w:rPr>
              <w:t>67166.93m</w:t>
            </w:r>
            <w:r>
              <w:rPr>
                <w:rFonts w:hint="eastAsia" w:ascii="Times New Roman" w:hAnsi="Times New Roman" w:cs="Times New Roman"/>
                <w:b w:val="0"/>
                <w:bCs w:val="0"/>
                <w:color w:val="auto"/>
                <w:sz w:val="24"/>
                <w:szCs w:val="24"/>
                <w:vertAlign w:val="superscript"/>
                <w:lang w:val="en-US" w:eastAsia="zh-CN"/>
              </w:rPr>
              <w:t>2</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b/>
                <w:bCs/>
                <w:color w:val="auto"/>
                <w:sz w:val="24"/>
                <w:szCs w:val="24"/>
              </w:rPr>
              <w:t>5</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建设性质：</w:t>
            </w:r>
            <w:r>
              <w:rPr>
                <w:rFonts w:hint="default" w:ascii="Times New Roman" w:hAnsi="Times New Roman" w:cs="Times New Roman"/>
                <w:color w:val="auto"/>
                <w:sz w:val="24"/>
                <w:szCs w:val="24"/>
                <w:lang w:val="en-US" w:eastAsia="zh-CN"/>
              </w:rPr>
              <w:t>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6</w:t>
            </w:r>
            <w:r>
              <w:rPr>
                <w:rFonts w:hint="default"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rPr>
              <w:t>劳动定员：</w:t>
            </w:r>
            <w:r>
              <w:rPr>
                <w:rFonts w:hint="default" w:ascii="Times New Roman" w:hAnsi="Times New Roman" w:eastAsia="宋体" w:cs="Times New Roman"/>
                <w:bCs/>
                <w:color w:val="auto"/>
                <w:sz w:val="24"/>
                <w:szCs w:val="24"/>
              </w:rPr>
              <w:t>全厂劳动定员为</w:t>
            </w:r>
            <w:r>
              <w:rPr>
                <w:rFonts w:hint="eastAsia"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rPr>
              <w:t>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
                <w:bCs w:val="0"/>
                <w:color w:val="auto"/>
                <w:sz w:val="24"/>
                <w:szCs w:val="24"/>
                <w:lang w:val="en-US" w:eastAsia="zh-CN"/>
              </w:rPr>
              <w:t>7.工作制度：</w:t>
            </w:r>
            <w:r>
              <w:rPr>
                <w:rFonts w:hint="default" w:ascii="Times New Roman" w:hAnsi="Times New Roman" w:eastAsia="宋体" w:cs="Times New Roman"/>
                <w:bCs/>
                <w:color w:val="auto"/>
                <w:sz w:val="24"/>
                <w:szCs w:val="24"/>
              </w:rPr>
              <w:t>年运行</w:t>
            </w:r>
            <w:r>
              <w:rPr>
                <w:rFonts w:hint="default"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lang w:val="en-US" w:eastAsia="zh-CN"/>
              </w:rPr>
              <w:t>0</w:t>
            </w:r>
            <w:r>
              <w:rPr>
                <w:rFonts w:hint="default" w:ascii="Times New Roman" w:hAnsi="Times New Roman" w:eastAsia="宋体" w:cs="Times New Roman"/>
                <w:bCs/>
                <w:color w:val="auto"/>
                <w:sz w:val="24"/>
                <w:szCs w:val="24"/>
              </w:rPr>
              <w:t>天</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生产采用</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班运转制</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
                <w:bCs w:val="0"/>
                <w:color w:val="auto"/>
                <w:sz w:val="24"/>
                <w:szCs w:val="24"/>
                <w:lang w:val="en-US" w:eastAsia="zh-CN"/>
              </w:rPr>
              <w:t>混凝土生产线</w:t>
            </w:r>
            <w:r>
              <w:rPr>
                <w:rFonts w:hint="eastAsia"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val="0"/>
                <w:color w:val="auto"/>
                <w:sz w:val="24"/>
                <w:szCs w:val="24"/>
                <w:lang w:val="en-US" w:eastAsia="zh-CN"/>
              </w:rPr>
              <w:t>砂石破碎生产线夜间不生产。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8.运输方案：</w:t>
            </w:r>
            <w:r>
              <w:rPr>
                <w:rFonts w:hint="default" w:ascii="Times New Roman" w:hAnsi="Times New Roman" w:eastAsia="宋体" w:cs="Times New Roman"/>
                <w:b w:val="0"/>
                <w:bCs/>
                <w:color w:val="auto"/>
                <w:sz w:val="24"/>
                <w:szCs w:val="24"/>
                <w:lang w:val="en-US" w:eastAsia="zh-CN"/>
              </w:rPr>
              <w:t>原料</w:t>
            </w:r>
            <w:r>
              <w:rPr>
                <w:rFonts w:hint="eastAsia" w:ascii="Times New Roman" w:hAnsi="Times New Roman" w:eastAsia="宋体" w:cs="Times New Roman"/>
                <w:b w:val="0"/>
                <w:bCs/>
                <w:color w:val="auto"/>
                <w:sz w:val="24"/>
                <w:szCs w:val="24"/>
                <w:lang w:val="en-US" w:eastAsia="zh-CN"/>
              </w:rPr>
              <w:t>通过项目西侧园区道路运输，</w:t>
            </w:r>
            <w:r>
              <w:rPr>
                <w:rFonts w:hint="default" w:ascii="Times New Roman" w:hAnsi="Times New Roman" w:eastAsia="宋体" w:cs="Times New Roman"/>
                <w:b w:val="0"/>
                <w:bCs/>
                <w:color w:val="auto"/>
                <w:sz w:val="24"/>
                <w:szCs w:val="24"/>
                <w:lang w:val="en-US" w:eastAsia="zh-CN"/>
              </w:rPr>
              <w:t>仅昼间运输，禁止夜间运输</w:t>
            </w:r>
            <w:r>
              <w:rPr>
                <w:rFonts w:hint="eastAsia"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成品通过苏沙路运输。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sz w:val="24"/>
                <w:szCs w:val="24"/>
                <w:lang w:val="en-US" w:eastAsia="zh-CN"/>
              </w:rPr>
              <w:t>9.</w:t>
            </w:r>
            <w:r>
              <w:rPr>
                <w:rFonts w:hint="default" w:ascii="Times New Roman" w:hAnsi="Times New Roman" w:eastAsia="宋体" w:cs="Times New Roman"/>
                <w:b/>
                <w:color w:val="auto"/>
                <w:sz w:val="24"/>
                <w:szCs w:val="24"/>
              </w:rPr>
              <w:t>项目总投资：</w:t>
            </w: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4</w:t>
            </w:r>
            <w:r>
              <w:rPr>
                <w:rFonts w:hint="default"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eastAsia="zh-CN"/>
              </w:rPr>
              <w:t>万元，</w:t>
            </w:r>
            <w:r>
              <w:rPr>
                <w:rFonts w:hint="default" w:ascii="Times New Roman" w:hAnsi="Times New Roman" w:eastAsia="宋体" w:cs="Times New Roman"/>
                <w:bCs/>
                <w:color w:val="auto"/>
                <w:sz w:val="24"/>
                <w:szCs w:val="24"/>
              </w:rPr>
              <w:t>资金来源为</w:t>
            </w:r>
            <w:r>
              <w:rPr>
                <w:rFonts w:hint="default" w:ascii="Times New Roman" w:hAnsi="Times New Roman" w:eastAsia="宋体" w:cs="Times New Roman"/>
                <w:bCs/>
                <w:color w:val="auto"/>
                <w:sz w:val="24"/>
                <w:szCs w:val="24"/>
                <w:lang w:eastAsia="zh-CN"/>
              </w:rPr>
              <w:t>业主自筹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rPr>
              <w:t>主要建设规模及内容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新建砂石破碎筛分生产线</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条、商品混凝土生产线2条，形成年产商品混凝土</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的规模。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生产规模：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rPr>
            </w:pPr>
            <w:r>
              <w:rPr>
                <w:rFonts w:hint="default" w:ascii="Times New Roman" w:hAnsi="Times New Roman" w:eastAsia="宋体" w:cs="Times New Roman"/>
                <w:color w:val="auto"/>
                <w:sz w:val="24"/>
              </w:rPr>
              <w:t>项目建成后</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b w:val="0"/>
                <w:bCs w:val="0"/>
                <w:color w:val="auto"/>
                <w:sz w:val="24"/>
                <w:szCs w:val="24"/>
                <w:lang w:val="en-US" w:eastAsia="zh-CN"/>
              </w:rPr>
              <w:t>年产及商品混凝土</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Cs w:val="21"/>
                <w:lang w:val="en-US" w:eastAsia="zh-CN"/>
              </w:rPr>
            </w:pPr>
            <w:r>
              <w:rPr>
                <w:rFonts w:hint="default"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w:t>
            </w:r>
            <w:r>
              <w:rPr>
                <w:rFonts w:hint="eastAsia"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rPr>
              <w:t xml:space="preserve">  项目</w:t>
            </w:r>
            <w:r>
              <w:rPr>
                <w:rFonts w:hint="default" w:ascii="Times New Roman" w:hAnsi="Times New Roman" w:eastAsia="黑体" w:cs="Times New Roman"/>
                <w:color w:val="auto"/>
                <w:szCs w:val="21"/>
                <w:lang w:val="en-US" w:eastAsia="zh-CN"/>
              </w:rPr>
              <w:t>技术经济指标表  单位：m</w:t>
            </w:r>
            <w:r>
              <w:rPr>
                <w:rFonts w:hint="default" w:ascii="Times New Roman" w:hAnsi="Times New Roman" w:eastAsia="黑体" w:cs="Times New Roman"/>
                <w:color w:val="auto"/>
                <w:szCs w:val="21"/>
                <w:vertAlign w:val="superscript"/>
                <w:lang w:val="en-US" w:eastAsia="zh-CN"/>
              </w:rPr>
              <w:t>2</w:t>
            </w:r>
          </w:p>
          <w:tbl>
            <w:tblPr>
              <w:tblStyle w:val="3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2"/>
              <w:gridCol w:w="2273"/>
              <w:gridCol w:w="2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数量（m</w:t>
                  </w:r>
                  <w:r>
                    <w:rPr>
                      <w:rFonts w:hint="default" w:ascii="Times New Roman" w:hAnsi="Times New Roman" w:eastAsia="宋体" w:cs="Times New Roman"/>
                      <w:b/>
                      <w:bCs/>
                      <w:color w:val="auto"/>
                      <w:sz w:val="21"/>
                      <w:szCs w:val="21"/>
                      <w:vertAlign w:val="superscript"/>
                      <w:lang w:val="en-US" w:eastAsia="zh-CN"/>
                    </w:rPr>
                    <w:t>2</w:t>
                  </w:r>
                  <w:r>
                    <w:rPr>
                      <w:rFonts w:hint="default" w:ascii="Times New Roman" w:hAnsi="Times New Roman" w:eastAsia="宋体" w:cs="Times New Roman"/>
                      <w:b/>
                      <w:bCs/>
                      <w:color w:val="auto"/>
                      <w:sz w:val="21"/>
                      <w:szCs w:val="21"/>
                      <w:lang w:val="en-US" w:eastAsia="zh-CN"/>
                    </w:rPr>
                    <w:t>）</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用地面积</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67166.93</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计容总建筑面积</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68253.47</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总建筑面积</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43046.40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中控室及辅助用房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225.84</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实验室</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285.48</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用于混凝土强度检验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办公楼</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841.10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用于员工办公生活使用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倒班楼</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1012.10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食堂</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301.05</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1#料仓</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4688.00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搅拌楼</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924.83</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发电机房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50.64</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1#厂房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2701.57</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2#厂房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2459.85</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3#厂房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2993.48</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4#厂房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19996.16</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库房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72.00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磅房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54.00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砂石厂房</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6440.30</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建筑</w:t>
                  </w:r>
                  <w:r>
                    <w:rPr>
                      <w:rFonts w:hint="eastAsia" w:ascii="Times New Roman" w:hAnsi="Times New Roman" w:eastAsia="宋体" w:cs="Times New Roman"/>
                      <w:color w:val="auto"/>
                      <w:sz w:val="21"/>
                      <w:szCs w:val="21"/>
                      <w:lang w:val="en-US" w:eastAsia="zh-CN"/>
                    </w:rPr>
                    <w:t>基底面积</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27122.68</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容积率</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963" w:type="pct"/>
                  <w:tcBorders>
                    <w:tl2br w:val="nil"/>
                    <w:tr2bl w:val="nil"/>
                  </w:tcBorders>
                  <w:noWrap w:val="0"/>
                  <w:vAlign w:val="top"/>
                </w:tcPr>
                <w:p>
                  <w:pPr>
                    <w:spacing w:beforeLines="0" w:afterLine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建筑密度</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40.38</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绿化面积</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10230.55</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rPr>
                    <w:t>绿化率</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15.23</w:t>
                  </w:r>
                  <w:r>
                    <w:rPr>
                      <w:rFonts w:hint="default" w:ascii="Times New Roman" w:hAnsi="Times New Roman" w:eastAsia="宋体" w:cs="Times New Roman"/>
                      <w:color w:val="auto"/>
                      <w:sz w:val="21"/>
                      <w:szCs w:val="21"/>
                      <w:lang w:val="en-US" w:eastAsia="zh-CN"/>
                    </w:rPr>
                    <w:t>%</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机动车位</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42（个）</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63" w:type="pct"/>
                  <w:tcBorders>
                    <w:tl2br w:val="nil"/>
                    <w:tr2bl w:val="nil"/>
                  </w:tcBorders>
                  <w:noWrap w:val="0"/>
                  <w:vAlign w:val="top"/>
                </w:tcPr>
                <w:p>
                  <w:pPr>
                    <w:spacing w:beforeLines="0" w:afterLine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非机动车位</w:t>
                  </w:r>
                </w:p>
              </w:tc>
              <w:tc>
                <w:tcPr>
                  <w:tcW w:w="13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30（个）</w:t>
                  </w:r>
                </w:p>
              </w:tc>
              <w:tc>
                <w:tcPr>
                  <w:tcW w:w="1668" w:type="pct"/>
                  <w:tcBorders>
                    <w:tl2br w:val="nil"/>
                    <w:tr2bl w:val="nil"/>
                  </w:tcBorders>
                  <w:noWrap w:val="0"/>
                  <w:vAlign w:val="top"/>
                </w:tcPr>
                <w:p>
                  <w:pPr>
                    <w:spacing w:beforeLines="0" w:afterLine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宋体" w:hAnsi="宋体" w:cs="宋体"/>
                <w:color w:val="000000"/>
                <w:kern w:val="0"/>
                <w:sz w:val="24"/>
                <w:szCs w:val="24"/>
                <w:lang w:val="en-US" w:eastAsia="zh-CN" w:bidi="ar"/>
              </w:rPr>
            </w:pPr>
            <w:r>
              <w:rPr>
                <w:rFonts w:hint="eastAsia" w:ascii="宋体" w:hAnsi="宋体" w:cs="宋体"/>
                <w:b/>
                <w:bCs/>
                <w:color w:val="000000"/>
                <w:kern w:val="0"/>
                <w:sz w:val="24"/>
                <w:szCs w:val="24"/>
                <w:lang w:val="en-US" w:eastAsia="zh-CN" w:bidi="ar"/>
              </w:rPr>
              <w:t>三、项目组成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项目组成及主要环境问题见下表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w:t>
            </w:r>
            <w:r>
              <w:rPr>
                <w:rFonts w:hint="eastAsia"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w:t>
            </w:r>
            <w:r>
              <w:rPr>
                <w:rFonts w:hint="eastAsia"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 xml:space="preserve">  项目组成及主要的环境问题</w:t>
            </w:r>
          </w:p>
          <w:tbl>
            <w:tblPr>
              <w:tblStyle w:val="38"/>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426"/>
              <w:gridCol w:w="426"/>
              <w:gridCol w:w="4105"/>
              <w:gridCol w:w="1016"/>
              <w:gridCol w:w="1096"/>
              <w:gridCol w:w="8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gridSpan w:val="3"/>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项目名称</w:t>
                  </w:r>
                </w:p>
              </w:tc>
              <w:tc>
                <w:tcPr>
                  <w:tcW w:w="41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建设内容及规模</w:t>
                  </w:r>
                </w:p>
              </w:tc>
              <w:tc>
                <w:tcPr>
                  <w:tcW w:w="21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可能产生的环境问题</w:t>
                  </w:r>
                </w:p>
              </w:tc>
              <w:tc>
                <w:tcPr>
                  <w:tcW w:w="82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gridSpan w:val="3"/>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p>
              </w:tc>
              <w:tc>
                <w:tcPr>
                  <w:tcW w:w="41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p>
              </w:tc>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施工期</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营运期</w:t>
                  </w:r>
                </w:p>
              </w:tc>
              <w:tc>
                <w:tcPr>
                  <w:tcW w:w="82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0" w:type="auto"/>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商品混凝土生产车间</w:t>
                  </w:r>
                </w:p>
              </w:tc>
              <w:tc>
                <w:tcPr>
                  <w:tcW w:w="4151" w:type="dxa"/>
                  <w:noWrap w:val="0"/>
                  <w:vAlign w:val="center"/>
                </w:tcPr>
                <w:p>
                  <w:pPr>
                    <w:rPr>
                      <w:rFonts w:hint="default" w:ascii="Times New Roman" w:hAnsi="Times New Roman" w:cs="Times New Roman"/>
                      <w:szCs w:val="21"/>
                    </w:rPr>
                  </w:pPr>
                  <w:r>
                    <w:rPr>
                      <w:rFonts w:hint="default" w:ascii="Times New Roman" w:hAnsi="Times New Roman" w:cs="Times New Roman"/>
                      <w:bCs/>
                      <w:szCs w:val="21"/>
                    </w:rPr>
                    <w:t>建设钢结构彩钢板生产厂房</w:t>
                  </w:r>
                  <w:r>
                    <w:rPr>
                      <w:rFonts w:hint="default" w:ascii="Times New Roman" w:hAnsi="Times New Roman" w:cs="Times New Roman"/>
                      <w:bCs/>
                      <w:szCs w:val="21"/>
                      <w:lang w:val="en-US" w:eastAsia="zh-CN"/>
                    </w:rPr>
                    <w:t>5612.83</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2</w:t>
                  </w:r>
                  <w:r>
                    <w:rPr>
                      <w:rFonts w:hint="default" w:ascii="Times New Roman" w:hAnsi="Times New Roman" w:cs="Times New Roman"/>
                      <w:bCs/>
                      <w:szCs w:val="21"/>
                    </w:rPr>
                    <w:t>。</w:t>
                  </w:r>
                  <w:r>
                    <w:rPr>
                      <w:rFonts w:hint="default" w:ascii="Times New Roman" w:hAnsi="Times New Roman" w:cs="Times New Roman"/>
                      <w:bCs/>
                      <w:szCs w:val="21"/>
                      <w:lang w:val="en-US" w:eastAsia="zh-CN"/>
                    </w:rPr>
                    <w:t>其中搅拌楼924.83</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2</w:t>
                  </w:r>
                  <w:r>
                    <w:rPr>
                      <w:rFonts w:hint="default" w:ascii="Times New Roman" w:hAnsi="Times New Roman" w:cs="Times New Roman"/>
                      <w:bCs/>
                      <w:szCs w:val="21"/>
                      <w:lang w:val="en-US" w:eastAsia="zh-CN"/>
                    </w:rPr>
                    <w:t>，料仓4688.00</w:t>
                  </w:r>
                  <w:r>
                    <w:rPr>
                      <w:rFonts w:hint="default" w:ascii="Times New Roman" w:hAnsi="Times New Roman" w:cs="Times New Roman"/>
                      <w:color w:val="000000"/>
                      <w:szCs w:val="21"/>
                    </w:rPr>
                    <w:t>m</w:t>
                  </w:r>
                  <w:r>
                    <w:rPr>
                      <w:rFonts w:hint="default" w:ascii="Times New Roman" w:hAnsi="Times New Roman" w:cs="Times New Roman"/>
                      <w:color w:val="000000"/>
                      <w:szCs w:val="21"/>
                      <w:vertAlign w:val="superscript"/>
                    </w:rPr>
                    <w:t>2</w:t>
                  </w:r>
                  <w:r>
                    <w:rPr>
                      <w:rFonts w:hint="default" w:ascii="Times New Roman" w:hAnsi="Times New Roman" w:cs="Times New Roman"/>
                      <w:bCs/>
                      <w:szCs w:val="21"/>
                      <w:lang w:val="en-US" w:eastAsia="zh-CN"/>
                    </w:rPr>
                    <w:t>，</w:t>
                  </w:r>
                  <w:r>
                    <w:rPr>
                      <w:rFonts w:hint="default" w:ascii="Times New Roman" w:hAnsi="Times New Roman" w:cs="Times New Roman"/>
                      <w:bCs/>
                      <w:szCs w:val="21"/>
                    </w:rPr>
                    <w:t>内设</w:t>
                  </w:r>
                  <w:r>
                    <w:rPr>
                      <w:rFonts w:hint="default" w:ascii="Times New Roman" w:hAnsi="Times New Roman" w:cs="Times New Roman"/>
                      <w:bCs/>
                      <w:szCs w:val="21"/>
                      <w:lang w:val="en-US" w:eastAsia="zh-CN"/>
                    </w:rPr>
                    <w:t>2</w:t>
                  </w:r>
                  <w:r>
                    <w:rPr>
                      <w:rFonts w:hint="default" w:ascii="Times New Roman" w:hAnsi="Times New Roman" w:cs="Times New Roman"/>
                      <w:bCs/>
                      <w:szCs w:val="21"/>
                    </w:rPr>
                    <w:t>条HZS</w:t>
                  </w:r>
                  <w:r>
                    <w:rPr>
                      <w:rFonts w:hint="default" w:ascii="Times New Roman" w:hAnsi="Times New Roman" w:cs="Times New Roman"/>
                      <w:bCs/>
                      <w:szCs w:val="21"/>
                      <w:lang w:val="en-US" w:eastAsia="zh-CN"/>
                    </w:rPr>
                    <w:t>180</w:t>
                  </w:r>
                  <w:r>
                    <w:rPr>
                      <w:rFonts w:hint="default" w:ascii="Times New Roman" w:hAnsi="Times New Roman" w:cs="Times New Roman"/>
                      <w:szCs w:val="21"/>
                    </w:rPr>
                    <w:t>混凝土搅拌</w:t>
                  </w:r>
                  <w:r>
                    <w:rPr>
                      <w:rFonts w:hint="default" w:ascii="Times New Roman" w:hAnsi="Times New Roman" w:cs="Times New Roman"/>
                      <w:bCs/>
                      <w:szCs w:val="21"/>
                    </w:rPr>
                    <w:t>生产线，合计60万立方米商品砼生产线。</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000000"/>
                      <w:szCs w:val="21"/>
                    </w:rPr>
                    <w:t>生产线地面混凝土硬化</w:t>
                  </w:r>
                  <w:r>
                    <w:rPr>
                      <w:rFonts w:hint="default" w:ascii="Times New Roman" w:hAnsi="Times New Roman" w:cs="Times New Roman"/>
                      <w:szCs w:val="21"/>
                    </w:rPr>
                    <w:t>、钢结构全封闭厂房，配置搅拌站主楼、下沉式配料机、皮带输送机、搅拌机、水泥筒仓（</w:t>
                  </w:r>
                  <w:r>
                    <w:rPr>
                      <w:rFonts w:hint="default" w:ascii="Times New Roman" w:hAnsi="Times New Roman" w:cs="Times New Roman"/>
                      <w:szCs w:val="21"/>
                      <w:lang w:val="en-US" w:eastAsia="zh-CN"/>
                    </w:rPr>
                    <w:t>4</w:t>
                  </w:r>
                  <w:r>
                    <w:rPr>
                      <w:rFonts w:hint="default" w:ascii="Times New Roman" w:hAnsi="Times New Roman" w:cs="Times New Roman"/>
                      <w:szCs w:val="21"/>
                    </w:rPr>
                    <w:t>个，规格300t）、</w:t>
                  </w:r>
                  <w:r>
                    <w:rPr>
                      <w:rFonts w:hint="default" w:ascii="Times New Roman" w:hAnsi="Times New Roman" w:cs="Times New Roman"/>
                      <w:szCs w:val="21"/>
                      <w:lang w:val="en-US" w:eastAsia="zh-CN"/>
                    </w:rPr>
                    <w:t>矿粉</w:t>
                  </w:r>
                  <w:r>
                    <w:rPr>
                      <w:rFonts w:hint="default" w:ascii="Times New Roman" w:hAnsi="Times New Roman" w:cs="Times New Roman"/>
                      <w:szCs w:val="21"/>
                    </w:rPr>
                    <w:t>筒仓（</w:t>
                  </w:r>
                  <w:r>
                    <w:rPr>
                      <w:rFonts w:hint="default" w:ascii="Times New Roman" w:hAnsi="Times New Roman" w:cs="Times New Roman"/>
                      <w:szCs w:val="21"/>
                      <w:lang w:val="en-US" w:eastAsia="zh-CN"/>
                    </w:rPr>
                    <w:t>2</w:t>
                  </w:r>
                  <w:r>
                    <w:rPr>
                      <w:rFonts w:hint="default" w:ascii="Times New Roman" w:hAnsi="Times New Roman" w:cs="Times New Roman"/>
                      <w:szCs w:val="21"/>
                    </w:rPr>
                    <w:t>个，规格300t）、粉煤灰筒仓（</w:t>
                  </w:r>
                  <w:r>
                    <w:rPr>
                      <w:rFonts w:hint="default" w:ascii="Times New Roman" w:hAnsi="Times New Roman" w:cs="Times New Roman"/>
                      <w:szCs w:val="21"/>
                      <w:lang w:val="en-US" w:eastAsia="zh-CN"/>
                    </w:rPr>
                    <w:t>4</w:t>
                  </w:r>
                  <w:r>
                    <w:rPr>
                      <w:rFonts w:hint="default" w:ascii="Times New Roman" w:hAnsi="Times New Roman" w:cs="Times New Roman"/>
                      <w:szCs w:val="21"/>
                    </w:rPr>
                    <w:t>个，规格</w:t>
                  </w:r>
                  <w:r>
                    <w:rPr>
                      <w:rFonts w:hint="default" w:ascii="Times New Roman" w:hAnsi="Times New Roman" w:cs="Times New Roman"/>
                      <w:szCs w:val="21"/>
                      <w:lang w:val="en-US" w:eastAsia="zh-CN"/>
                    </w:rPr>
                    <w:t>3</w:t>
                  </w:r>
                  <w:r>
                    <w:rPr>
                      <w:rFonts w:hint="default" w:ascii="Times New Roman" w:hAnsi="Times New Roman" w:cs="Times New Roman"/>
                      <w:szCs w:val="21"/>
                    </w:rPr>
                    <w:t>00t）及各类计量系统、气路系统、操作控制系统等。</w:t>
                  </w:r>
                </w:p>
              </w:tc>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噪声、固废、废水、扬尘、弃土、废气</w:t>
                  </w:r>
                </w:p>
              </w:tc>
              <w:tc>
                <w:tcPr>
                  <w:tcW w:w="1105" w:type="dxa"/>
                  <w:vMerge w:val="restart"/>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噪声、废水、固废、废气</w:t>
                  </w:r>
                </w:p>
              </w:tc>
              <w:tc>
                <w:tcPr>
                  <w:tcW w:w="822"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砂石破碎筛分车间</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1F，H=18.0m，建筑面积6440.30m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，采用混凝土框架、钢结构密闭厂房，</w:t>
                  </w:r>
                  <w:r>
                    <w:rPr>
                      <w:rFonts w:hint="default" w:ascii="Times New Roman" w:hAnsi="Times New Roman" w:cs="Times New Roman"/>
                      <w:b w:val="0"/>
                      <w:bCs/>
                      <w:sz w:val="21"/>
                      <w:szCs w:val="21"/>
                    </w:rPr>
                    <w:t>分别预留原料输入口、成品运输口、车间出入口</w:t>
                  </w:r>
                  <w:r>
                    <w:rPr>
                      <w:rFonts w:hint="default" w:ascii="Times New Roman" w:hAnsi="Times New Roman" w:cs="Times New Roman"/>
                      <w:b w:val="0"/>
                      <w:bCs/>
                      <w:sz w:val="21"/>
                      <w:szCs w:val="21"/>
                      <w:lang w:eastAsia="zh-CN"/>
                    </w:rPr>
                    <w:t>，</w:t>
                  </w:r>
                  <w:r>
                    <w:rPr>
                      <w:rFonts w:hint="default" w:ascii="Times New Roman" w:hAnsi="Times New Roman" w:cs="Times New Roman"/>
                      <w:color w:val="auto"/>
                      <w:sz w:val="21"/>
                      <w:szCs w:val="21"/>
                      <w:lang w:val="en-US" w:eastAsia="zh-CN"/>
                    </w:rPr>
                    <w:t>厂房内配置原料堆场、破碎生产线1条</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仓储工程</w:t>
                  </w:r>
                </w:p>
              </w:tc>
              <w:tc>
                <w:tcPr>
                  <w:tcW w:w="0" w:type="auto"/>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原料堆场</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砂石破碎筛分车间：</w:t>
                  </w:r>
                  <w:r>
                    <w:rPr>
                      <w:rFonts w:hint="default" w:ascii="Times New Roman" w:hAnsi="Times New Roman" w:cs="Times New Roman"/>
                      <w:sz w:val="21"/>
                      <w:szCs w:val="21"/>
                      <w:lang w:val="en-US" w:eastAsia="zh-CN"/>
                    </w:rPr>
                    <w:t>位于破碎车间车间北侧1#厂房和2#厂房，占地约5161.42m</w:t>
                  </w:r>
                  <w:r>
                    <w:rPr>
                      <w:rFonts w:hint="default" w:ascii="Times New Roman" w:hAnsi="Times New Roman" w:cs="Times New Roman"/>
                      <w:sz w:val="21"/>
                      <w:szCs w:val="21"/>
                      <w:vertAlign w:val="superscript"/>
                      <w:lang w:val="en-US" w:eastAsia="zh-CN"/>
                    </w:rPr>
                    <w:t>2</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sz w:val="21"/>
                      <w:szCs w:val="21"/>
                      <w:vertAlign w:val="superscript"/>
                      <w:lang w:val="en-US" w:eastAsia="zh-CN"/>
                    </w:rPr>
                  </w:pPr>
                  <w:r>
                    <w:rPr>
                      <w:rFonts w:hint="default" w:ascii="Times New Roman" w:hAnsi="Times New Roman" w:eastAsia="宋体" w:cs="Times New Roman"/>
                      <w:b/>
                      <w:bCs/>
                      <w:color w:val="auto"/>
                      <w:sz w:val="21"/>
                      <w:szCs w:val="21"/>
                      <w:lang w:val="en-US" w:eastAsia="zh-CN"/>
                    </w:rPr>
                    <w:t>混凝土车间</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sz w:val="21"/>
                      <w:szCs w:val="21"/>
                      <w:lang w:val="en-US" w:eastAsia="zh-CN"/>
                    </w:rPr>
                    <w:t>位于混凝土车间车间内部北侧1#料仓，占地约4688.00m</w:t>
                  </w:r>
                  <w:r>
                    <w:rPr>
                      <w:rFonts w:hint="default" w:ascii="Times New Roman" w:hAnsi="Times New Roman" w:cs="Times New Roman"/>
                      <w:sz w:val="21"/>
                      <w:szCs w:val="21"/>
                      <w:vertAlign w:val="superscript"/>
                      <w:lang w:val="en-US" w:eastAsia="zh-CN"/>
                    </w:rPr>
                    <w:t>2</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b/>
                      <w:bCs/>
                      <w:color w:val="auto"/>
                      <w:sz w:val="21"/>
                      <w:szCs w:val="21"/>
                      <w:lang w:val="en-US" w:eastAsia="zh-CN"/>
                    </w:rPr>
                    <w:t>采用混凝土框架、钢结构密闭厂房，</w:t>
                  </w:r>
                  <w:r>
                    <w:rPr>
                      <w:rFonts w:hint="default" w:ascii="Times New Roman" w:hAnsi="Times New Roman" w:cs="Times New Roman"/>
                      <w:b/>
                      <w:bCs/>
                      <w:sz w:val="21"/>
                      <w:szCs w:val="21"/>
                    </w:rPr>
                    <w:t>分别预留原料输入口、成品运输口、车间出入口</w:t>
                  </w:r>
                </w:p>
              </w:tc>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噪声、固废、废水、扬尘、弃土、废气</w:t>
                  </w:r>
                </w:p>
              </w:tc>
              <w:tc>
                <w:tcPr>
                  <w:tcW w:w="1105"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扬尘</w:t>
                  </w:r>
                </w:p>
              </w:tc>
              <w:tc>
                <w:tcPr>
                  <w:tcW w:w="822"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0" w:type="auto"/>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成品堆场</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bCs/>
                      <w:sz w:val="21"/>
                      <w:szCs w:val="21"/>
                      <w:lang w:val="en-US" w:eastAsia="zh-CN"/>
                    </w:rPr>
                    <w:t>砂石破碎筛分车间：</w:t>
                  </w:r>
                  <w:r>
                    <w:rPr>
                      <w:rFonts w:hint="default" w:ascii="Times New Roman" w:hAnsi="Times New Roman" w:cs="Times New Roman"/>
                      <w:b w:val="0"/>
                      <w:bCs w:val="0"/>
                      <w:sz w:val="21"/>
                      <w:szCs w:val="21"/>
                      <w:lang w:val="en-US" w:eastAsia="zh-CN"/>
                    </w:rPr>
                    <w:t>破碎车间内不设置成品堆场，成品砂子、石子经输送带直接输送至混凝土车间原料堆场内，多余部分堆放</w:t>
                  </w:r>
                  <w:r>
                    <w:rPr>
                      <w:rFonts w:hint="default" w:ascii="Times New Roman" w:hAnsi="Times New Roman" w:cs="Times New Roman"/>
                      <w:sz w:val="21"/>
                      <w:szCs w:val="21"/>
                      <w:lang w:val="en-US" w:eastAsia="zh-CN"/>
                    </w:rPr>
                    <w:t>3#厂房和4#厂房，占地约22989.56m</w:t>
                  </w:r>
                  <w:r>
                    <w:rPr>
                      <w:rFonts w:hint="default" w:ascii="Times New Roman" w:hAnsi="Times New Roman" w:cs="Times New Roman"/>
                      <w:sz w:val="21"/>
                      <w:szCs w:val="21"/>
                      <w:vertAlign w:val="superscript"/>
                      <w:lang w:val="en-US" w:eastAsia="zh-CN"/>
                    </w:rPr>
                    <w:t>2</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eastAsia="宋体" w:cs="Times New Roman"/>
                      <w:b/>
                      <w:bCs/>
                      <w:color w:val="auto"/>
                      <w:sz w:val="21"/>
                      <w:szCs w:val="21"/>
                      <w:lang w:val="en-US" w:eastAsia="zh-CN"/>
                    </w:rPr>
                    <w:t>混凝土车间</w:t>
                  </w:r>
                  <w:r>
                    <w:rPr>
                      <w:rFonts w:hint="default" w:ascii="Times New Roman" w:hAnsi="Times New Roman" w:cs="Times New Roman"/>
                      <w:b/>
                      <w:bCs/>
                      <w:color w:val="auto"/>
                      <w:sz w:val="21"/>
                      <w:szCs w:val="21"/>
                      <w:lang w:val="en-US" w:eastAsia="zh-CN"/>
                    </w:rPr>
                    <w:t>：</w:t>
                  </w:r>
                  <w:r>
                    <w:rPr>
                      <w:rFonts w:hint="default" w:ascii="Times New Roman" w:hAnsi="Times New Roman" w:cs="Times New Roman"/>
                      <w:b w:val="0"/>
                      <w:bCs w:val="0"/>
                      <w:color w:val="auto"/>
                      <w:sz w:val="21"/>
                      <w:szCs w:val="21"/>
                      <w:lang w:val="en-US" w:eastAsia="zh-CN"/>
                    </w:rPr>
                    <w:t>不建成品堆场，由罐车直接运走</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采用混凝土框架、钢结构密闭厂房，</w:t>
                  </w:r>
                  <w:r>
                    <w:rPr>
                      <w:rFonts w:hint="default" w:ascii="Times New Roman" w:hAnsi="Times New Roman" w:cs="Times New Roman"/>
                      <w:b/>
                      <w:bCs/>
                      <w:sz w:val="21"/>
                      <w:szCs w:val="21"/>
                    </w:rPr>
                    <w:t>分别预留原料输入口、成品运输口、车间出入口</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扬尘</w:t>
                  </w:r>
                </w:p>
              </w:tc>
              <w:tc>
                <w:tcPr>
                  <w:tcW w:w="822"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p>
              </w:tc>
              <w:tc>
                <w:tcPr>
                  <w:tcW w:w="0" w:type="auto"/>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筒仓</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商品混凝土</w:t>
                  </w:r>
                  <w:r>
                    <w:rPr>
                      <w:rFonts w:hint="default" w:ascii="Times New Roman" w:hAnsi="Times New Roman" w:eastAsia="宋体" w:cs="Times New Roman"/>
                      <w:b w:val="0"/>
                      <w:bCs w:val="0"/>
                      <w:color w:val="auto"/>
                      <w:sz w:val="21"/>
                      <w:szCs w:val="21"/>
                      <w:lang w:val="en-US" w:eastAsia="zh-CN"/>
                    </w:rPr>
                    <w:t>生产线配置</w:t>
                  </w:r>
                  <w:r>
                    <w:rPr>
                      <w:rFonts w:hint="default" w:ascii="Times New Roman" w:hAnsi="Times New Roman" w:cs="Times New Roman"/>
                      <w:szCs w:val="21"/>
                    </w:rPr>
                    <w:t>水泥筒仓（</w:t>
                  </w:r>
                  <w:r>
                    <w:rPr>
                      <w:rFonts w:hint="default" w:ascii="Times New Roman" w:hAnsi="Times New Roman" w:cs="Times New Roman"/>
                      <w:szCs w:val="21"/>
                      <w:lang w:val="en-US" w:eastAsia="zh-CN"/>
                    </w:rPr>
                    <w:t>4</w:t>
                  </w:r>
                  <w:r>
                    <w:rPr>
                      <w:rFonts w:hint="default" w:ascii="Times New Roman" w:hAnsi="Times New Roman" w:cs="Times New Roman"/>
                      <w:szCs w:val="21"/>
                    </w:rPr>
                    <w:t>个，规格300t）、</w:t>
                  </w:r>
                  <w:r>
                    <w:rPr>
                      <w:rFonts w:hint="default" w:ascii="Times New Roman" w:hAnsi="Times New Roman" w:cs="Times New Roman"/>
                      <w:szCs w:val="21"/>
                      <w:lang w:val="en-US" w:eastAsia="zh-CN"/>
                    </w:rPr>
                    <w:t>矿粉</w:t>
                  </w:r>
                  <w:r>
                    <w:rPr>
                      <w:rFonts w:hint="default" w:ascii="Times New Roman" w:hAnsi="Times New Roman" w:cs="Times New Roman"/>
                      <w:szCs w:val="21"/>
                    </w:rPr>
                    <w:t>筒仓（</w:t>
                  </w:r>
                  <w:r>
                    <w:rPr>
                      <w:rFonts w:hint="default" w:ascii="Times New Roman" w:hAnsi="Times New Roman" w:cs="Times New Roman"/>
                      <w:szCs w:val="21"/>
                      <w:lang w:val="en-US" w:eastAsia="zh-CN"/>
                    </w:rPr>
                    <w:t>2</w:t>
                  </w:r>
                  <w:r>
                    <w:rPr>
                      <w:rFonts w:hint="default" w:ascii="Times New Roman" w:hAnsi="Times New Roman" w:cs="Times New Roman"/>
                      <w:szCs w:val="21"/>
                    </w:rPr>
                    <w:t>个，规格300t）、粉煤灰筒仓（</w:t>
                  </w:r>
                  <w:r>
                    <w:rPr>
                      <w:rFonts w:hint="default" w:ascii="Times New Roman" w:hAnsi="Times New Roman" w:cs="Times New Roman"/>
                      <w:szCs w:val="21"/>
                      <w:lang w:val="en-US" w:eastAsia="zh-CN"/>
                    </w:rPr>
                    <w:t>4</w:t>
                  </w:r>
                  <w:r>
                    <w:rPr>
                      <w:rFonts w:hint="default" w:ascii="Times New Roman" w:hAnsi="Times New Roman" w:cs="Times New Roman"/>
                      <w:szCs w:val="21"/>
                    </w:rPr>
                    <w:t>个，规格</w:t>
                  </w:r>
                  <w:r>
                    <w:rPr>
                      <w:rFonts w:hint="default" w:ascii="Times New Roman" w:hAnsi="Times New Roman" w:cs="Times New Roman"/>
                      <w:szCs w:val="21"/>
                      <w:lang w:val="en-US" w:eastAsia="zh-CN"/>
                    </w:rPr>
                    <w:t>3</w:t>
                  </w:r>
                  <w:r>
                    <w:rPr>
                      <w:rFonts w:hint="default" w:ascii="Times New Roman" w:hAnsi="Times New Roman" w:cs="Times New Roman"/>
                      <w:szCs w:val="21"/>
                    </w:rPr>
                    <w:t>00t）</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扬尘</w:t>
                  </w:r>
                </w:p>
              </w:tc>
              <w:tc>
                <w:tcPr>
                  <w:tcW w:w="822" w:type="dxa"/>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w:t>
                  </w:r>
                  <w:r>
                    <w:rPr>
                      <w:rFonts w:hint="default" w:ascii="Times New Roman" w:hAnsi="Times New Roman" w:eastAsia="宋体" w:cs="Times New Roman"/>
                      <w:color w:val="auto"/>
                      <w:sz w:val="21"/>
                      <w:szCs w:val="21"/>
                      <w:lang w:eastAsia="zh-CN"/>
                    </w:rPr>
                    <w:t>及</w:t>
                  </w:r>
                  <w:r>
                    <w:rPr>
                      <w:rFonts w:hint="default" w:ascii="Times New Roman" w:hAnsi="Times New Roman" w:eastAsia="宋体" w:cs="Times New Roman"/>
                      <w:color w:val="auto"/>
                      <w:sz w:val="21"/>
                      <w:szCs w:val="21"/>
                    </w:rPr>
                    <w:t>辅助工程</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办公楼</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1栋，2F，H=5.60m，建筑面积841.10m</w:t>
                  </w:r>
                  <w:r>
                    <w:rPr>
                      <w:rFonts w:hint="default" w:ascii="Times New Roman" w:hAnsi="Times New Roman" w:eastAsia="宋体" w:cs="Times New Roman"/>
                      <w:color w:val="auto"/>
                      <w:sz w:val="21"/>
                      <w:szCs w:val="21"/>
                      <w:vertAlign w:val="superscript"/>
                      <w:lang w:val="en-US" w:eastAsia="zh-CN"/>
                    </w:rPr>
                    <w:t>2</w:t>
                  </w:r>
                </w:p>
              </w:tc>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噪声、固废、废水、扬尘、弃土、废气</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废水、固废</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倒班楼</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1栋，2F，H=6.75m，建筑面积1012.10m</w:t>
                  </w:r>
                  <w:r>
                    <w:rPr>
                      <w:rFonts w:hint="default" w:ascii="Times New Roman" w:hAnsi="Times New Roman" w:eastAsia="宋体" w:cs="Times New Roman"/>
                      <w:color w:val="auto"/>
                      <w:sz w:val="21"/>
                      <w:szCs w:val="21"/>
                      <w:vertAlign w:val="superscript"/>
                      <w:lang w:val="en-US" w:eastAsia="zh-CN"/>
                    </w:rPr>
                    <w:t>2</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1栋，1F，H=4.65m，建筑面积301.05m</w:t>
                  </w:r>
                  <w:r>
                    <w:rPr>
                      <w:rFonts w:hint="default" w:ascii="Times New Roman" w:hAnsi="Times New Roman" w:eastAsia="宋体" w:cs="Times New Roman"/>
                      <w:color w:val="auto"/>
                      <w:sz w:val="21"/>
                      <w:szCs w:val="21"/>
                      <w:vertAlign w:val="superscript"/>
                      <w:lang w:val="en-US" w:eastAsia="zh-CN"/>
                    </w:rPr>
                    <w:t>2</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1栋</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1F</w:t>
                  </w:r>
                  <w:r>
                    <w:rPr>
                      <w:rFonts w:hint="default" w:ascii="Times New Roman" w:hAnsi="Times New Roman" w:eastAsia="宋体" w:cs="Times New Roman"/>
                      <w:color w:val="auto"/>
                      <w:sz w:val="21"/>
                      <w:szCs w:val="21"/>
                      <w:lang w:val="en-US" w:eastAsia="zh-CN"/>
                    </w:rPr>
                    <w:t>，建筑面积285.48m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cs="Times New Roman"/>
                      <w:b/>
                      <w:bCs/>
                      <w:sz w:val="21"/>
                      <w:szCs w:val="21"/>
                    </w:rPr>
                    <w:t>用于混凝土性能和强度等指标物理检验，不涉及化学检验</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中控室及辅助用房</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1栋</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1F</w:t>
                  </w:r>
                  <w:r>
                    <w:rPr>
                      <w:rFonts w:hint="default" w:ascii="Times New Roman" w:hAnsi="Times New Roman" w:eastAsia="宋体" w:cs="Times New Roman"/>
                      <w:color w:val="auto"/>
                      <w:sz w:val="21"/>
                      <w:szCs w:val="21"/>
                      <w:lang w:val="en-US" w:eastAsia="zh-CN"/>
                    </w:rPr>
                    <w:t>，建筑面积225.84m</w:t>
                  </w:r>
                  <w:r>
                    <w:rPr>
                      <w:rFonts w:hint="default" w:ascii="Times New Roman" w:hAnsi="Times New Roman" w:eastAsia="宋体" w:cs="Times New Roman"/>
                      <w:color w:val="auto"/>
                      <w:sz w:val="21"/>
                      <w:szCs w:val="21"/>
                      <w:vertAlign w:val="superscript"/>
                      <w:lang w:val="en-US" w:eastAsia="zh-CN"/>
                    </w:rPr>
                    <w:t>2</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地磅</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厂区</w:t>
                  </w:r>
                  <w:r>
                    <w:rPr>
                      <w:rFonts w:hint="default" w:ascii="Times New Roman" w:hAnsi="Times New Roman" w:eastAsia="宋体" w:cs="Times New Roman"/>
                      <w:b w:val="0"/>
                      <w:bCs/>
                      <w:snapToGrid w:val="0"/>
                      <w:color w:val="auto"/>
                      <w:kern w:val="0"/>
                      <w:sz w:val="21"/>
                      <w:szCs w:val="21"/>
                      <w:lang w:val="en-US" w:eastAsia="zh-CN"/>
                    </w:rPr>
                    <w:t>新建3个地磅</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洗车系统</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snapToGrid w:val="0"/>
                      <w:color w:val="auto"/>
                      <w:kern w:val="0"/>
                      <w:sz w:val="21"/>
                      <w:szCs w:val="21"/>
                      <w:lang w:val="en-US" w:eastAsia="zh-CN"/>
                    </w:rPr>
                  </w:pPr>
                  <w:r>
                    <w:rPr>
                      <w:rFonts w:hint="default" w:ascii="Times New Roman" w:hAnsi="Times New Roman" w:eastAsia="宋体" w:cs="Times New Roman"/>
                      <w:b w:val="0"/>
                      <w:bCs/>
                      <w:snapToGrid w:val="0"/>
                      <w:color w:val="auto"/>
                      <w:kern w:val="0"/>
                      <w:sz w:val="21"/>
                      <w:szCs w:val="21"/>
                      <w:lang w:val="en-US" w:eastAsia="zh-CN"/>
                    </w:rPr>
                    <w:t>门口设置全自动汽车冲洗机</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程</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eastAsia="zh-CN"/>
                    </w:rPr>
                    <w:t>市政供电，</w:t>
                  </w:r>
                  <w:r>
                    <w:rPr>
                      <w:rFonts w:hint="default" w:ascii="Times New Roman" w:hAnsi="Times New Roman" w:eastAsia="宋体" w:cs="Times New Roman"/>
                      <w:color w:val="auto"/>
                      <w:sz w:val="21"/>
                      <w:szCs w:val="21"/>
                      <w:lang w:val="en-US" w:eastAsia="zh-CN"/>
                    </w:rPr>
                    <w:t>自建变压器</w:t>
                  </w:r>
                </w:p>
              </w:tc>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市政供水</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厂区排水按雨污分流制</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生活</w:t>
                  </w:r>
                  <w:r>
                    <w:rPr>
                      <w:rFonts w:hint="default" w:ascii="Times New Roman" w:hAnsi="Times New Roman" w:eastAsia="宋体" w:cs="Times New Roman"/>
                      <w:b/>
                      <w:bCs/>
                      <w:color w:val="auto"/>
                      <w:sz w:val="21"/>
                      <w:szCs w:val="21"/>
                    </w:rPr>
                    <w:t>污水：</w:t>
                  </w:r>
                  <w:r>
                    <w:rPr>
                      <w:rFonts w:hint="default" w:ascii="Times New Roman" w:hAnsi="Times New Roman" w:eastAsia="宋体" w:cs="Times New Roman"/>
                      <w:color w:val="auto"/>
                      <w:sz w:val="21"/>
                      <w:szCs w:val="21"/>
                      <w:lang w:eastAsia="zh-CN"/>
                    </w:rPr>
                    <w:t>经厂区污水预处理池（</w:t>
                  </w: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）收集</w:t>
                  </w:r>
                  <w:r>
                    <w:rPr>
                      <w:rFonts w:hint="default"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lang w:val="en-US" w:eastAsia="zh-CN"/>
                    </w:rPr>
                    <w:t>排入园区污水管网（园区工业污水处理厂已建成运行）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食堂设置隔油池</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洗砂废水</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val="0"/>
                      <w:bCs w:val="0"/>
                      <w:color w:val="auto"/>
                      <w:sz w:val="21"/>
                      <w:szCs w:val="21"/>
                      <w:lang w:val="en-US" w:eastAsia="zh-CN"/>
                    </w:rPr>
                    <w:t>新建一套砂石废水处理系统</w:t>
                  </w:r>
                  <w:r>
                    <w:rPr>
                      <w:rFonts w:hint="default" w:ascii="Times New Roman" w:hAnsi="Times New Roman" w:eastAsia="宋体" w:cs="Times New Roman"/>
                      <w:color w:val="auto"/>
                      <w:sz w:val="21"/>
                      <w:szCs w:val="21"/>
                      <w:lang w:val="en-US" w:eastAsia="zh-CN"/>
                    </w:rPr>
                    <w:t>（1200m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处理后回</w:t>
                  </w:r>
                  <w:r>
                    <w:rPr>
                      <w:rFonts w:hint="default" w:ascii="Times New Roman" w:hAnsi="Times New Roman" w:eastAsia="宋体" w:cs="Times New Roman"/>
                      <w:color w:val="auto"/>
                      <w:sz w:val="21"/>
                      <w:szCs w:val="21"/>
                      <w:lang w:val="en-US" w:eastAsia="zh-CN"/>
                    </w:rPr>
                    <w:t>用</w:t>
                  </w:r>
                  <w:r>
                    <w:rPr>
                      <w:rFonts w:hint="default" w:ascii="Times New Roman" w:hAnsi="Times New Roman" w:eastAsia="宋体" w:cs="Times New Roman"/>
                      <w:color w:val="auto"/>
                      <w:sz w:val="21"/>
                      <w:szCs w:val="21"/>
                      <w:lang w:eastAsia="zh-CN"/>
                    </w:rPr>
                    <w:t>不外排</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混凝土生产线清洗废水：</w:t>
                  </w:r>
                  <w:r>
                    <w:rPr>
                      <w:rFonts w:hint="default" w:ascii="Times New Roman" w:hAnsi="Times New Roman" w:eastAsia="宋体" w:cs="Times New Roman"/>
                      <w:color w:val="auto"/>
                      <w:sz w:val="21"/>
                      <w:szCs w:val="21"/>
                      <w:lang w:eastAsia="zh-CN"/>
                    </w:rPr>
                    <w:t>经三级沉淀池处理</w:t>
                  </w:r>
                  <w:r>
                    <w:rPr>
                      <w:rFonts w:hint="default" w:ascii="Times New Roman" w:hAnsi="Times New Roman" w:eastAsia="宋体" w:cs="Times New Roman"/>
                      <w:color w:val="auto"/>
                      <w:sz w:val="21"/>
                      <w:szCs w:val="21"/>
                      <w:lang w:val="en-US" w:eastAsia="zh-CN"/>
                    </w:rPr>
                    <w:t>系统（100m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处理后回</w:t>
                  </w:r>
                  <w:r>
                    <w:rPr>
                      <w:rFonts w:hint="default" w:ascii="Times New Roman" w:hAnsi="Times New Roman" w:eastAsia="宋体" w:cs="Times New Roman"/>
                      <w:color w:val="auto"/>
                      <w:sz w:val="21"/>
                      <w:szCs w:val="21"/>
                      <w:lang w:val="en-US" w:eastAsia="zh-CN"/>
                    </w:rPr>
                    <w:t>用</w:t>
                  </w:r>
                  <w:r>
                    <w:rPr>
                      <w:rFonts w:hint="default" w:ascii="Times New Roman" w:hAnsi="Times New Roman" w:eastAsia="宋体" w:cs="Times New Roman"/>
                      <w:color w:val="auto"/>
                      <w:sz w:val="21"/>
                      <w:szCs w:val="21"/>
                      <w:lang w:eastAsia="zh-CN"/>
                    </w:rPr>
                    <w:t>不外排</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初期</w:t>
                  </w:r>
                  <w:r>
                    <w:rPr>
                      <w:rFonts w:hint="default" w:ascii="Times New Roman" w:hAnsi="Times New Roman" w:eastAsia="宋体" w:cs="Times New Roman"/>
                      <w:b/>
                      <w:bCs/>
                      <w:color w:val="auto"/>
                      <w:sz w:val="21"/>
                      <w:szCs w:val="21"/>
                    </w:rPr>
                    <w:t>雨水：</w:t>
                  </w:r>
                  <w:r>
                    <w:rPr>
                      <w:rFonts w:hint="default" w:ascii="Times New Roman" w:hAnsi="Times New Roman" w:eastAsia="宋体" w:cs="Times New Roman"/>
                      <w:color w:val="auto"/>
                      <w:sz w:val="21"/>
                      <w:szCs w:val="21"/>
                    </w:rPr>
                    <w:t>通过雨水沟排入</w:t>
                  </w:r>
                  <w:r>
                    <w:rPr>
                      <w:rFonts w:hint="default" w:ascii="Times New Roman" w:hAnsi="Times New Roman" w:eastAsia="宋体" w:cs="Times New Roman"/>
                      <w:color w:val="auto"/>
                      <w:sz w:val="21"/>
                      <w:szCs w:val="21"/>
                      <w:lang w:eastAsia="zh-CN"/>
                    </w:rPr>
                    <w:t>厂区内</w:t>
                  </w:r>
                  <w:r>
                    <w:rPr>
                      <w:rFonts w:hint="default" w:ascii="Times New Roman" w:hAnsi="Times New Roman" w:eastAsia="宋体" w:cs="Times New Roman"/>
                      <w:color w:val="auto"/>
                      <w:sz w:val="21"/>
                      <w:szCs w:val="21"/>
                      <w:lang w:val="en-US" w:eastAsia="zh-CN"/>
                    </w:rPr>
                    <w:t>初期雨水</w:t>
                  </w:r>
                  <w:r>
                    <w:rPr>
                      <w:rFonts w:hint="default" w:ascii="Times New Roman" w:hAnsi="Times New Roman" w:eastAsia="宋体" w:cs="Times New Roman"/>
                      <w:color w:val="auto"/>
                      <w:sz w:val="21"/>
                      <w:szCs w:val="21"/>
                      <w:lang w:eastAsia="zh-CN"/>
                    </w:rPr>
                    <w:t>沉淀池（</w:t>
                  </w:r>
                  <w:r>
                    <w:rPr>
                      <w:rFonts w:hint="default" w:ascii="Times New Roman" w:hAnsi="Times New Roman" w:eastAsia="宋体" w:cs="Times New Roman"/>
                      <w:color w:val="auto"/>
                      <w:sz w:val="21"/>
                      <w:szCs w:val="21"/>
                      <w:lang w:val="en-US" w:eastAsia="zh-CN"/>
                    </w:rPr>
                    <w:t>100m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处理后回</w:t>
                  </w:r>
                  <w:r>
                    <w:rPr>
                      <w:rFonts w:hint="default" w:ascii="Times New Roman" w:hAnsi="Times New Roman" w:eastAsia="宋体" w:cs="Times New Roman"/>
                      <w:color w:val="auto"/>
                      <w:sz w:val="21"/>
                      <w:szCs w:val="21"/>
                      <w:lang w:eastAsia="zh-CN"/>
                    </w:rPr>
                    <w:t>用</w:t>
                  </w:r>
                  <w:r>
                    <w:rPr>
                      <w:rFonts w:hint="default" w:ascii="Times New Roman" w:hAnsi="Times New Roman" w:eastAsia="宋体" w:cs="Times New Roman"/>
                      <w:color w:val="auto"/>
                      <w:sz w:val="21"/>
                      <w:szCs w:val="21"/>
                      <w:lang w:val="en-US" w:eastAsia="zh-CN"/>
                    </w:rPr>
                    <w:t>与混凝土生产及用于场内降尘使用</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lang w:eastAsia="zh-CN"/>
                    </w:rPr>
                    <w:t>消防系统</w:t>
                  </w:r>
                </w:p>
              </w:tc>
              <w:tc>
                <w:tcPr>
                  <w:tcW w:w="4151" w:type="dxa"/>
                  <w:noWrap w:val="0"/>
                  <w:vAlign w:val="top"/>
                </w:tcPr>
                <w:p>
                  <w:pPr>
                    <w:pStyle w:val="13"/>
                    <w:keepNext w:val="0"/>
                    <w:keepLines w:val="0"/>
                    <w:pageBreakBefore w:val="0"/>
                    <w:widowControl w:val="0"/>
                    <w:kinsoku/>
                    <w:wordWrap/>
                    <w:overflowPunct/>
                    <w:topLinePunct w:val="0"/>
                    <w:bidi w:val="0"/>
                    <w:adjustRightInd w:val="0"/>
                    <w:snapToGrid w:val="0"/>
                    <w:ind w:left="0" w:leftChars="0" w:firstLine="0" w:firstLineChars="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color w:val="000000"/>
                      <w:kern w:val="2"/>
                      <w:sz w:val="21"/>
                      <w:szCs w:val="21"/>
                      <w:lang w:val="en-US" w:eastAsia="zh-CN" w:bidi="ar-SA"/>
                    </w:rPr>
                    <w:t>在厂房、办公休息区和食堂设置手提式干粉灭火器，</w:t>
                  </w:r>
                  <w:r>
                    <w:rPr>
                      <w:rFonts w:hint="default" w:ascii="Times New Roman" w:hAnsi="Times New Roman" w:cs="Times New Roman"/>
                      <w:sz w:val="21"/>
                      <w:szCs w:val="21"/>
                      <w:lang w:val="en-US" w:eastAsia="zh-CN"/>
                    </w:rPr>
                    <w:t>并配备室内、室外消火栓</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3" w:hRule="atLeast"/>
                <w:jc w:val="center"/>
              </w:trPr>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程</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厂区排水按雨污分流制</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生活</w:t>
                  </w:r>
                  <w:r>
                    <w:rPr>
                      <w:rFonts w:hint="default" w:ascii="Times New Roman" w:hAnsi="Times New Roman" w:eastAsia="宋体" w:cs="Times New Roman"/>
                      <w:b/>
                      <w:bCs/>
                      <w:color w:val="auto"/>
                      <w:sz w:val="21"/>
                      <w:szCs w:val="21"/>
                    </w:rPr>
                    <w:t>污水：</w:t>
                  </w:r>
                  <w:r>
                    <w:rPr>
                      <w:rFonts w:hint="default" w:ascii="Times New Roman" w:hAnsi="Times New Roman" w:eastAsia="宋体" w:cs="Times New Roman"/>
                      <w:color w:val="auto"/>
                      <w:sz w:val="21"/>
                      <w:szCs w:val="21"/>
                      <w:lang w:eastAsia="zh-CN"/>
                    </w:rPr>
                    <w:t>经厂区污水预处理池（</w:t>
                  </w: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）收集</w:t>
                  </w:r>
                  <w:r>
                    <w:rPr>
                      <w:rFonts w:hint="default"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lang w:eastAsia="zh-CN"/>
                    </w:rPr>
                    <w:t>后</w:t>
                  </w:r>
                  <w:r>
                    <w:rPr>
                      <w:rFonts w:hint="default" w:ascii="Times New Roman" w:hAnsi="Times New Roman" w:eastAsia="宋体" w:cs="Times New Roman"/>
                      <w:color w:val="auto"/>
                      <w:sz w:val="21"/>
                      <w:szCs w:val="21"/>
                      <w:lang w:val="en-US" w:eastAsia="zh-CN"/>
                    </w:rPr>
                    <w:t>排入园区污水管网（园区工业污水处理厂已建成运行）</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食堂设置隔油池</w:t>
                  </w:r>
                  <w:r>
                    <w:rPr>
                      <w:rFonts w:hint="default"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洗砂废水</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val="0"/>
                      <w:bCs w:val="0"/>
                      <w:color w:val="auto"/>
                      <w:sz w:val="21"/>
                      <w:szCs w:val="21"/>
                      <w:lang w:val="en-US" w:eastAsia="zh-CN"/>
                    </w:rPr>
                    <w:t>新建一套砂石废水处理系统</w:t>
                  </w:r>
                  <w:r>
                    <w:rPr>
                      <w:rFonts w:hint="default" w:ascii="Times New Roman" w:hAnsi="Times New Roman" w:eastAsia="宋体" w:cs="Times New Roman"/>
                      <w:color w:val="auto"/>
                      <w:sz w:val="21"/>
                      <w:szCs w:val="21"/>
                      <w:lang w:val="en-US" w:eastAsia="zh-CN"/>
                    </w:rPr>
                    <w:t>（1200m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/d</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处理后回</w:t>
                  </w:r>
                  <w:r>
                    <w:rPr>
                      <w:rFonts w:hint="default" w:ascii="Times New Roman" w:hAnsi="Times New Roman" w:eastAsia="宋体" w:cs="Times New Roman"/>
                      <w:color w:val="auto"/>
                      <w:sz w:val="21"/>
                      <w:szCs w:val="21"/>
                      <w:lang w:val="en-US" w:eastAsia="zh-CN"/>
                    </w:rPr>
                    <w:t>用</w:t>
                  </w:r>
                  <w:r>
                    <w:rPr>
                      <w:rFonts w:hint="default" w:ascii="Times New Roman" w:hAnsi="Times New Roman" w:eastAsia="宋体" w:cs="Times New Roman"/>
                      <w:color w:val="auto"/>
                      <w:sz w:val="21"/>
                      <w:szCs w:val="21"/>
                      <w:lang w:eastAsia="zh-CN"/>
                    </w:rPr>
                    <w:t>不外排</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砂浆及</w:t>
                  </w:r>
                  <w:r>
                    <w:rPr>
                      <w:rFonts w:hint="default" w:ascii="Times New Roman" w:hAnsi="Times New Roman" w:eastAsia="宋体" w:cs="Times New Roman"/>
                      <w:b/>
                      <w:bCs/>
                      <w:color w:val="auto"/>
                      <w:sz w:val="21"/>
                      <w:szCs w:val="21"/>
                      <w:lang w:eastAsia="zh-CN"/>
                    </w:rPr>
                    <w:t>混凝土生产线清洗废水：</w:t>
                  </w:r>
                  <w:r>
                    <w:rPr>
                      <w:rFonts w:hint="default" w:ascii="Times New Roman" w:hAnsi="Times New Roman" w:eastAsia="宋体" w:cs="Times New Roman"/>
                      <w:color w:val="auto"/>
                      <w:sz w:val="21"/>
                      <w:szCs w:val="21"/>
                      <w:lang w:eastAsia="zh-CN"/>
                    </w:rPr>
                    <w:t>经三级沉淀池处理</w:t>
                  </w:r>
                  <w:r>
                    <w:rPr>
                      <w:rFonts w:hint="default" w:ascii="Times New Roman" w:hAnsi="Times New Roman" w:eastAsia="宋体" w:cs="Times New Roman"/>
                      <w:color w:val="auto"/>
                      <w:sz w:val="21"/>
                      <w:szCs w:val="21"/>
                      <w:lang w:val="en-US" w:eastAsia="zh-CN"/>
                    </w:rPr>
                    <w:t>系统（100m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eastAsia="zh-CN"/>
                    </w:rPr>
                    <w:t>处理后回</w:t>
                  </w:r>
                  <w:r>
                    <w:rPr>
                      <w:rFonts w:hint="default" w:ascii="Times New Roman" w:hAnsi="Times New Roman" w:eastAsia="宋体" w:cs="Times New Roman"/>
                      <w:color w:val="auto"/>
                      <w:sz w:val="21"/>
                      <w:szCs w:val="21"/>
                      <w:lang w:val="en-US" w:eastAsia="zh-CN"/>
                    </w:rPr>
                    <w:t>用</w:t>
                  </w:r>
                  <w:r>
                    <w:rPr>
                      <w:rFonts w:hint="default" w:ascii="Times New Roman" w:hAnsi="Times New Roman" w:eastAsia="宋体" w:cs="Times New Roman"/>
                      <w:color w:val="auto"/>
                      <w:sz w:val="21"/>
                      <w:szCs w:val="21"/>
                      <w:lang w:eastAsia="zh-CN"/>
                    </w:rPr>
                    <w:t>不外排</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初期</w:t>
                  </w:r>
                  <w:r>
                    <w:rPr>
                      <w:rFonts w:hint="default" w:ascii="Times New Roman" w:hAnsi="Times New Roman" w:eastAsia="宋体" w:cs="Times New Roman"/>
                      <w:b/>
                      <w:bCs/>
                      <w:color w:val="auto"/>
                      <w:sz w:val="21"/>
                      <w:szCs w:val="21"/>
                    </w:rPr>
                    <w:t>雨水：</w:t>
                  </w:r>
                  <w:r>
                    <w:rPr>
                      <w:rFonts w:hint="default" w:ascii="Times New Roman" w:hAnsi="Times New Roman" w:eastAsia="宋体" w:cs="Times New Roman"/>
                      <w:color w:val="auto"/>
                      <w:sz w:val="21"/>
                      <w:szCs w:val="21"/>
                    </w:rPr>
                    <w:t>通过雨水沟排入</w:t>
                  </w:r>
                  <w:r>
                    <w:rPr>
                      <w:rFonts w:hint="default" w:ascii="Times New Roman" w:hAnsi="Times New Roman" w:eastAsia="宋体" w:cs="Times New Roman"/>
                      <w:color w:val="auto"/>
                      <w:sz w:val="21"/>
                      <w:szCs w:val="21"/>
                      <w:lang w:eastAsia="zh-CN"/>
                    </w:rPr>
                    <w:t>厂区内</w:t>
                  </w:r>
                  <w:r>
                    <w:rPr>
                      <w:rFonts w:hint="default" w:ascii="Times New Roman" w:hAnsi="Times New Roman" w:eastAsia="宋体" w:cs="Times New Roman"/>
                      <w:color w:val="auto"/>
                      <w:sz w:val="21"/>
                      <w:szCs w:val="21"/>
                      <w:lang w:val="en-US" w:eastAsia="zh-CN"/>
                    </w:rPr>
                    <w:t>初期雨水</w:t>
                  </w:r>
                  <w:r>
                    <w:rPr>
                      <w:rFonts w:hint="default" w:ascii="Times New Roman" w:hAnsi="Times New Roman" w:eastAsia="宋体" w:cs="Times New Roman"/>
                      <w:color w:val="auto"/>
                      <w:sz w:val="21"/>
                      <w:szCs w:val="21"/>
                      <w:lang w:eastAsia="zh-CN"/>
                    </w:rPr>
                    <w:t>沉淀池（</w:t>
                  </w:r>
                  <w:r>
                    <w:rPr>
                      <w:rFonts w:hint="default" w:ascii="Times New Roman" w:hAnsi="Times New Roman" w:eastAsia="宋体" w:cs="Times New Roman"/>
                      <w:color w:val="auto"/>
                      <w:sz w:val="21"/>
                      <w:szCs w:val="21"/>
                      <w:lang w:val="en-US" w:eastAsia="zh-CN"/>
                    </w:rPr>
                    <w:t>100m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处理后回</w:t>
                  </w:r>
                  <w:r>
                    <w:rPr>
                      <w:rFonts w:hint="default" w:ascii="Times New Roman" w:hAnsi="Times New Roman" w:eastAsia="宋体" w:cs="Times New Roman"/>
                      <w:color w:val="auto"/>
                      <w:sz w:val="21"/>
                      <w:szCs w:val="21"/>
                      <w:lang w:eastAsia="zh-CN"/>
                    </w:rPr>
                    <w:t>用</w:t>
                  </w:r>
                  <w:r>
                    <w:rPr>
                      <w:rFonts w:hint="default" w:ascii="Times New Roman" w:hAnsi="Times New Roman" w:eastAsia="宋体" w:cs="Times New Roman"/>
                      <w:color w:val="auto"/>
                      <w:sz w:val="21"/>
                      <w:szCs w:val="21"/>
                      <w:lang w:val="en-US" w:eastAsia="zh-CN"/>
                    </w:rPr>
                    <w:t>与混凝土生产及用于场内降尘使用</w:t>
                  </w:r>
                </w:p>
              </w:tc>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固废、废水</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废气治理</w:t>
                  </w: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eastAsia="zh-CN"/>
                    </w:rPr>
                    <w:t>砂石破碎筛分</w:t>
                  </w:r>
                  <w:r>
                    <w:rPr>
                      <w:rFonts w:hint="default" w:ascii="Times New Roman" w:hAnsi="Times New Roman" w:eastAsia="宋体" w:cs="Times New Roman"/>
                      <w:snapToGrid w:val="0"/>
                      <w:color w:val="auto"/>
                      <w:kern w:val="0"/>
                      <w:sz w:val="21"/>
                      <w:szCs w:val="21"/>
                    </w:rPr>
                    <w:t>车间</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运输车辆动力起尘：</w:t>
                  </w:r>
                  <w:r>
                    <w:rPr>
                      <w:rFonts w:hint="default" w:ascii="Times New Roman" w:hAnsi="Times New Roman" w:cs="Times New Roman"/>
                      <w:sz w:val="21"/>
                      <w:szCs w:val="21"/>
                      <w:lang w:val="en-US" w:eastAsia="zh-CN"/>
                    </w:rPr>
                    <w:t>厂区地面硬化处理，定期洒水，</w:t>
                  </w:r>
                  <w:r>
                    <w:rPr>
                      <w:rFonts w:hint="default" w:ascii="Times New Roman" w:hAnsi="Times New Roman" w:eastAsia="宋体" w:cs="Times New Roman"/>
                      <w:b w:val="0"/>
                      <w:bCs/>
                      <w:snapToGrid w:val="0"/>
                      <w:color w:val="auto"/>
                      <w:kern w:val="0"/>
                      <w:sz w:val="21"/>
                      <w:szCs w:val="21"/>
                      <w:lang w:val="en-US" w:eastAsia="zh-CN"/>
                    </w:rPr>
                    <w:t>对砂石运输车辆采取加盖篷布的措施，厂内设置洗车槽及冲洗区对车辆进行冲洗，厂区配备洒水车，雾泡除尘及</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堆场粉尘</w:t>
                  </w:r>
                  <w:r>
                    <w:rPr>
                      <w:rFonts w:hint="default" w:ascii="Times New Roman" w:hAnsi="Times New Roman" w:cs="Times New Roman"/>
                      <w:sz w:val="21"/>
                      <w:szCs w:val="21"/>
                      <w:lang w:val="en-US" w:eastAsia="zh-CN"/>
                    </w:rPr>
                    <w:t>：设置于密闭的厂房内，厂房顶部及厂房顶部及四周配备喷雾装置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b/>
                      <w:bCs/>
                      <w:sz w:val="21"/>
                      <w:szCs w:val="21"/>
                    </w:rPr>
                  </w:pPr>
                  <w:r>
                    <w:rPr>
                      <w:rFonts w:hint="default" w:ascii="Times New Roman" w:hAnsi="Times New Roman" w:eastAsia="宋体" w:cs="Times New Roman"/>
                      <w:b/>
                      <w:bCs/>
                      <w:color w:val="auto"/>
                      <w:sz w:val="21"/>
                      <w:szCs w:val="21"/>
                      <w:lang w:val="en-US" w:eastAsia="zh-CN"/>
                    </w:rPr>
                    <w:t>铲车投料粉尘：</w:t>
                  </w:r>
                  <w:r>
                    <w:rPr>
                      <w:rFonts w:hint="default" w:ascii="Times New Roman" w:hAnsi="Times New Roman" w:cs="Times New Roman"/>
                      <w:b w:val="0"/>
                      <w:bCs/>
                      <w:color w:val="auto"/>
                      <w:sz w:val="21"/>
                      <w:szCs w:val="21"/>
                      <w:vertAlign w:val="baseline"/>
                      <w:lang w:val="en-US" w:eastAsia="zh-CN"/>
                    </w:rPr>
                    <w:t>进料口上方设置喷雾装置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b w:val="0"/>
                      <w:bCs w:val="0"/>
                      <w:sz w:val="21"/>
                      <w:szCs w:val="21"/>
                      <w:lang w:eastAsia="zh-CN"/>
                    </w:rPr>
                  </w:pPr>
                  <w:r>
                    <w:rPr>
                      <w:rFonts w:hint="default" w:ascii="Times New Roman" w:hAnsi="Times New Roman" w:cs="Times New Roman"/>
                      <w:b/>
                      <w:bCs/>
                      <w:sz w:val="21"/>
                      <w:szCs w:val="21"/>
                    </w:rPr>
                    <w:t>物料输送粉尘</w:t>
                  </w:r>
                  <w:r>
                    <w:rPr>
                      <w:rFonts w:hint="default" w:ascii="Times New Roman" w:hAnsi="Times New Roman" w:cs="Times New Roman"/>
                      <w:b/>
                      <w:bCs/>
                      <w:sz w:val="21"/>
                      <w:szCs w:val="21"/>
                      <w:lang w:eastAsia="zh-CN"/>
                    </w:rPr>
                    <w:t>：</w:t>
                  </w:r>
                  <w:r>
                    <w:rPr>
                      <w:rFonts w:hint="default" w:ascii="Times New Roman" w:hAnsi="Times New Roman" w:cs="Times New Roman"/>
                      <w:b w:val="0"/>
                      <w:bCs w:val="0"/>
                      <w:sz w:val="21"/>
                      <w:szCs w:val="21"/>
                      <w:lang w:eastAsia="zh-CN"/>
                    </w:rPr>
                    <w:t>输送带均实现全封闭，同时配套设置喷雾降尘装置，对废气进行喷雾降尘处理。</w:t>
                  </w:r>
                </w:p>
                <w:p>
                  <w:pPr>
                    <w:pStyle w:val="47"/>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sz w:val="21"/>
                      <w:szCs w:val="21"/>
                      <w:lang w:eastAsia="zh-CN"/>
                    </w:rPr>
                  </w:pPr>
                  <w:r>
                    <w:rPr>
                      <w:rFonts w:hint="default" w:ascii="Times New Roman" w:hAnsi="Times New Roman" w:eastAsia="宋体" w:cs="Times New Roman"/>
                      <w:b/>
                      <w:bCs/>
                      <w:color w:val="auto"/>
                      <w:kern w:val="2"/>
                      <w:sz w:val="21"/>
                      <w:szCs w:val="21"/>
                      <w:lang w:val="en-US" w:eastAsia="zh-CN" w:bidi="ar-SA"/>
                    </w:rPr>
                    <w:t>破碎、筛分粉尘：</w:t>
                  </w:r>
                  <w:r>
                    <w:rPr>
                      <w:rFonts w:hint="default" w:ascii="Times New Roman" w:hAnsi="Times New Roman" w:eastAsia="宋体" w:cs="Times New Roman"/>
                      <w:b w:val="0"/>
                      <w:bCs w:val="0"/>
                      <w:color w:val="auto"/>
                      <w:kern w:val="2"/>
                      <w:sz w:val="21"/>
                      <w:szCs w:val="21"/>
                      <w:lang w:val="en-US" w:eastAsia="zh-CN" w:bidi="ar-SA"/>
                    </w:rPr>
                    <w:t>破碎及筛分采用湿法破碎筛分，对生产车间采取全封闭式布置生产设备，四周及顶部设置彩钢棚，分别预留原料输入口、成品运输口、车间出入口；在破碎机、振动筛进料口与出料口安装水雾喷头减少粉尘的产生</w:t>
                  </w:r>
                </w:p>
              </w:tc>
              <w:tc>
                <w:tcPr>
                  <w:tcW w:w="102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噪声、固废、废水、扬尘、弃土、废气</w:t>
                  </w:r>
                </w:p>
              </w:tc>
              <w:tc>
                <w:tcPr>
                  <w:tcW w:w="110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vertAlign w:val="baseline"/>
                      <w:lang w:val="en-US" w:eastAsia="zh-CN"/>
                    </w:rPr>
                  </w:pPr>
                  <w:r>
                    <w:rPr>
                      <w:rFonts w:hint="default" w:ascii="Times New Roman" w:hAnsi="Times New Roman" w:eastAsia="宋体" w:cs="Times New Roman"/>
                      <w:snapToGrid w:val="0"/>
                      <w:color w:val="auto"/>
                      <w:kern w:val="0"/>
                      <w:sz w:val="21"/>
                      <w:szCs w:val="21"/>
                      <w:lang w:val="en-US" w:eastAsia="zh-CN"/>
                    </w:rPr>
                    <w:t>颗粒物</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lang w:val="en-US" w:eastAsia="zh-CN"/>
                    </w:rPr>
                    <w:t>商品</w:t>
                  </w:r>
                  <w:r>
                    <w:rPr>
                      <w:rFonts w:hint="default" w:ascii="Times New Roman" w:hAnsi="Times New Roman" w:eastAsia="宋体" w:cs="Times New Roman"/>
                      <w:snapToGrid w:val="0"/>
                      <w:color w:val="auto"/>
                      <w:kern w:val="0"/>
                      <w:sz w:val="21"/>
                      <w:szCs w:val="21"/>
                    </w:rPr>
                    <w:t>混凝土车间</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snapToGrid w:val="0"/>
                      <w:color w:val="auto"/>
                      <w:kern w:val="0"/>
                      <w:sz w:val="21"/>
                      <w:szCs w:val="21"/>
                    </w:rPr>
                    <w:t>堆场扬尘：</w:t>
                  </w:r>
                  <w:r>
                    <w:rPr>
                      <w:rFonts w:hint="default" w:ascii="Times New Roman" w:hAnsi="Times New Roman" w:cs="Times New Roman"/>
                      <w:sz w:val="21"/>
                      <w:szCs w:val="21"/>
                      <w:lang w:val="en-US" w:eastAsia="zh-CN"/>
                    </w:rPr>
                    <w:t>设置于密闭的厂房内，厂房顶部及四周配备喷雾装置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snapToGrid w:val="0"/>
                      <w:color w:val="auto"/>
                      <w:kern w:val="0"/>
                      <w:sz w:val="21"/>
                      <w:szCs w:val="21"/>
                    </w:rPr>
                  </w:pPr>
                  <w:r>
                    <w:rPr>
                      <w:rFonts w:hint="default" w:ascii="Times New Roman" w:hAnsi="Times New Roman" w:eastAsia="宋体" w:cs="Times New Roman"/>
                      <w:b/>
                      <w:bCs/>
                      <w:color w:val="auto"/>
                      <w:sz w:val="21"/>
                      <w:szCs w:val="21"/>
                      <w:lang w:val="en-US" w:eastAsia="zh-CN"/>
                    </w:rPr>
                    <w:t>砂石料装卸起尘：</w:t>
                  </w:r>
                  <w:r>
                    <w:rPr>
                      <w:rFonts w:hint="default" w:ascii="Times New Roman" w:hAnsi="Times New Roman" w:cs="Times New Roman"/>
                      <w:bCs/>
                      <w:color w:val="auto"/>
                      <w:sz w:val="21"/>
                      <w:szCs w:val="21"/>
                      <w:vertAlign w:val="baseline"/>
                      <w:lang w:eastAsia="zh-CN"/>
                    </w:rPr>
                    <w:t>采用相对密闭的砂石料仓，配备喷雾装置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铲车投料粉尘：</w:t>
                  </w:r>
                  <w:r>
                    <w:rPr>
                      <w:rFonts w:hint="default" w:ascii="Times New Roman" w:hAnsi="Times New Roman" w:cs="Times New Roman"/>
                      <w:b w:val="0"/>
                      <w:bCs/>
                      <w:color w:val="auto"/>
                      <w:sz w:val="21"/>
                      <w:szCs w:val="21"/>
                      <w:vertAlign w:val="baseline"/>
                      <w:lang w:val="en-US" w:eastAsia="zh-CN"/>
                    </w:rPr>
                    <w:t>配料秤斗上方设置喷雾装置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snapToGrid w:val="0"/>
                      <w:color w:val="auto"/>
                      <w:kern w:val="0"/>
                      <w:sz w:val="21"/>
                      <w:szCs w:val="21"/>
                      <w:lang w:eastAsia="zh-CN"/>
                    </w:rPr>
                  </w:pPr>
                  <w:r>
                    <w:rPr>
                      <w:rFonts w:hint="default" w:ascii="Times New Roman" w:hAnsi="Times New Roman" w:eastAsia="宋体" w:cs="Times New Roman"/>
                      <w:b/>
                      <w:snapToGrid w:val="0"/>
                      <w:color w:val="auto"/>
                      <w:kern w:val="0"/>
                      <w:sz w:val="21"/>
                      <w:szCs w:val="21"/>
                      <w:lang w:eastAsia="zh-CN"/>
                    </w:rPr>
                    <w:t>皮带输送粉尘：</w:t>
                  </w:r>
                  <w:r>
                    <w:rPr>
                      <w:rFonts w:hint="default" w:ascii="Times New Roman" w:hAnsi="Times New Roman" w:eastAsia="宋体" w:cs="Times New Roman"/>
                      <w:color w:val="auto"/>
                      <w:sz w:val="21"/>
                      <w:szCs w:val="21"/>
                    </w:rPr>
                    <w:t>皮带输送机全密封</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snapToGrid w:val="0"/>
                      <w:color w:val="auto"/>
                      <w:kern w:val="0"/>
                      <w:sz w:val="21"/>
                      <w:szCs w:val="21"/>
                      <w:lang w:val="en-US" w:eastAsia="zh-CN"/>
                    </w:rPr>
                  </w:pPr>
                  <w:r>
                    <w:rPr>
                      <w:rFonts w:hint="default" w:ascii="Times New Roman" w:hAnsi="Times New Roman" w:eastAsia="宋体" w:cs="Times New Roman"/>
                      <w:b/>
                      <w:bCs/>
                      <w:color w:val="auto"/>
                      <w:sz w:val="21"/>
                      <w:szCs w:val="21"/>
                    </w:rPr>
                    <w:t>储粉罐进料粉</w:t>
                  </w:r>
                  <w:r>
                    <w:rPr>
                      <w:rFonts w:hint="default" w:ascii="Times New Roman" w:hAnsi="Times New Roman" w:eastAsia="宋体" w:cs="Times New Roman"/>
                      <w:b/>
                      <w:bCs/>
                      <w:color w:val="auto"/>
                      <w:sz w:val="21"/>
                      <w:szCs w:val="21"/>
                      <w:lang w:eastAsia="zh-CN"/>
                    </w:rPr>
                    <w:t>尘：</w:t>
                  </w:r>
                  <w:r>
                    <w:rPr>
                      <w:rFonts w:hint="default" w:ascii="Times New Roman" w:hAnsi="Times New Roman" w:eastAsia="宋体" w:cs="Times New Roman"/>
                      <w:b w:val="0"/>
                      <w:bCs w:val="0"/>
                      <w:color w:val="auto"/>
                      <w:sz w:val="21"/>
                      <w:szCs w:val="21"/>
                      <w:lang w:val="en-US" w:eastAsia="zh-CN"/>
                    </w:rPr>
                    <w:t>本项目所有</w:t>
                  </w:r>
                  <w:r>
                    <w:rPr>
                      <w:rFonts w:hint="default" w:ascii="Times New Roman" w:hAnsi="Times New Roman" w:eastAsia="宋体" w:cs="Times New Roman"/>
                      <w:b w:val="0"/>
                      <w:bCs w:val="0"/>
                      <w:color w:val="auto"/>
                      <w:sz w:val="21"/>
                      <w:szCs w:val="21"/>
                      <w:lang w:eastAsia="zh-CN"/>
                    </w:rPr>
                    <w:t>筒仓</w:t>
                  </w:r>
                  <w:r>
                    <w:rPr>
                      <w:rFonts w:hint="default" w:ascii="Times New Roman" w:hAnsi="Times New Roman" w:eastAsia="宋体" w:cs="Times New Roman"/>
                      <w:b w:val="0"/>
                      <w:bCs w:val="0"/>
                      <w:color w:val="auto"/>
                      <w:sz w:val="21"/>
                      <w:szCs w:val="21"/>
                      <w:lang w:val="en-US" w:eastAsia="zh-CN"/>
                    </w:rPr>
                    <w:t>均</w:t>
                  </w:r>
                  <w:r>
                    <w:rPr>
                      <w:rFonts w:hint="default" w:ascii="Times New Roman" w:hAnsi="Times New Roman" w:eastAsia="宋体" w:cs="Times New Roman"/>
                      <w:color w:val="auto"/>
                      <w:sz w:val="21"/>
                      <w:szCs w:val="21"/>
                      <w:lang w:val="en-US" w:eastAsia="zh-CN"/>
                    </w:rPr>
                    <w:t>为密闭筒仓，筒仓顶部</w:t>
                  </w:r>
                  <w:r>
                    <w:rPr>
                      <w:rFonts w:hint="default" w:ascii="Times New Roman" w:hAnsi="Times New Roman" w:eastAsia="宋体" w:cs="Times New Roman"/>
                      <w:color w:val="auto"/>
                      <w:sz w:val="21"/>
                      <w:szCs w:val="21"/>
                      <w:lang w:eastAsia="zh-CN"/>
                    </w:rPr>
                    <w:t>排气孔安装除尘器，</w:t>
                  </w:r>
                  <w:r>
                    <w:rPr>
                      <w:rFonts w:hint="default" w:ascii="Times New Roman" w:hAnsi="Times New Roman" w:eastAsia="宋体" w:cs="Times New Roman"/>
                      <w:color w:val="auto"/>
                      <w:sz w:val="21"/>
                      <w:szCs w:val="21"/>
                      <w:lang w:val="en-US" w:eastAsia="zh-CN"/>
                    </w:rPr>
                    <w:t>除尘后经筒仓顶排出。</w:t>
                  </w:r>
                </w:p>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搅拌机拌料粉尘：</w:t>
                  </w:r>
                  <w:r>
                    <w:rPr>
                      <w:rFonts w:hint="default" w:ascii="Times New Roman" w:hAnsi="Times New Roman" w:eastAsia="宋体" w:cs="Times New Roman"/>
                      <w:b w:val="0"/>
                      <w:bCs w:val="0"/>
                      <w:color w:val="auto"/>
                      <w:sz w:val="21"/>
                      <w:szCs w:val="21"/>
                      <w:lang w:val="en-US" w:eastAsia="zh-CN"/>
                    </w:rPr>
                    <w:t>湿法搅拌，搅拌楼全封闭，搅拌楼设置密闭厂房内，并在搅拌机上加装脉冲布袋除尘器，粉尘处理后在搅拌楼内无组织排放。</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vertAlign w:val="baseline"/>
                      <w:lang w:val="en-US" w:eastAsia="zh-CN"/>
                    </w:rPr>
                  </w:pP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vertAlign w:val="baseline"/>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61"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食堂</w:t>
                  </w:r>
                </w:p>
              </w:tc>
              <w:tc>
                <w:tcPr>
                  <w:tcW w:w="4151" w:type="dxa"/>
                  <w:noWrap w:val="0"/>
                  <w:vAlign w:val="center"/>
                </w:tcPr>
                <w:p>
                  <w:pPr>
                    <w:keepNext w:val="0"/>
                    <w:keepLines w:val="0"/>
                    <w:pageBreakBefore w:val="0"/>
                    <w:widowControl w:val="0"/>
                    <w:kinsoku/>
                    <w:wordWrap/>
                    <w:overflowPunct/>
                    <w:topLinePunct w:val="0"/>
                    <w:bidi w:val="0"/>
                    <w:adjustRightInd w:val="0"/>
                    <w:snapToGrid w:val="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snapToGrid w:val="0"/>
                      <w:color w:val="auto"/>
                      <w:kern w:val="0"/>
                      <w:sz w:val="21"/>
                      <w:szCs w:val="21"/>
                    </w:rPr>
                    <w:t>食堂油烟：</w:t>
                  </w:r>
                  <w:r>
                    <w:rPr>
                      <w:rFonts w:hint="default" w:ascii="Times New Roman" w:hAnsi="Times New Roman" w:eastAsia="宋体" w:cs="Times New Roman"/>
                      <w:bCs/>
                      <w:snapToGrid w:val="0"/>
                      <w:color w:val="auto"/>
                      <w:kern w:val="0"/>
                      <w:sz w:val="21"/>
                      <w:szCs w:val="21"/>
                    </w:rPr>
                    <w:t>采用油烟净化器处理后</w:t>
                  </w:r>
                  <w:r>
                    <w:rPr>
                      <w:rFonts w:hint="default" w:ascii="Times New Roman" w:hAnsi="Times New Roman" w:eastAsia="宋体" w:cs="Times New Roman"/>
                      <w:bCs/>
                      <w:snapToGrid w:val="0"/>
                      <w:color w:val="auto"/>
                      <w:kern w:val="0"/>
                      <w:sz w:val="21"/>
                      <w:szCs w:val="21"/>
                      <w:lang w:eastAsia="zh-CN"/>
                    </w:rPr>
                    <w:t>房</w:t>
                  </w:r>
                  <w:r>
                    <w:rPr>
                      <w:rFonts w:hint="default" w:ascii="Times New Roman" w:hAnsi="Times New Roman" w:eastAsia="宋体" w:cs="Times New Roman"/>
                      <w:bCs/>
                      <w:snapToGrid w:val="0"/>
                      <w:color w:val="auto"/>
                      <w:kern w:val="0"/>
                      <w:sz w:val="21"/>
                      <w:szCs w:val="21"/>
                    </w:rPr>
                    <w:t>顶达标外排</w:t>
                  </w:r>
                </w:p>
              </w:tc>
              <w:tc>
                <w:tcPr>
                  <w:tcW w:w="102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油烟</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噪声处理</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val="0"/>
                      <w:color w:val="auto"/>
                      <w:kern w:val="0"/>
                      <w:sz w:val="21"/>
                      <w:szCs w:val="21"/>
                    </w:rPr>
                    <w:t>基础减震、厂房隔声、距离衰减</w:t>
                  </w:r>
                  <w:r>
                    <w:rPr>
                      <w:rFonts w:hint="default" w:ascii="Times New Roman" w:hAnsi="Times New Roman" w:eastAsia="宋体" w:cs="Times New Roman"/>
                      <w:snapToGrid w:val="0"/>
                      <w:color w:val="auto"/>
                      <w:kern w:val="0"/>
                      <w:sz w:val="21"/>
                      <w:szCs w:val="21"/>
                      <w:lang w:eastAsia="zh-CN"/>
                    </w:rPr>
                    <w:t>、</w:t>
                  </w:r>
                  <w:r>
                    <w:rPr>
                      <w:rFonts w:hint="default" w:ascii="Times New Roman" w:hAnsi="Times New Roman" w:eastAsia="宋体" w:cs="Times New Roman"/>
                      <w:snapToGrid w:val="0"/>
                      <w:color w:val="auto"/>
                      <w:kern w:val="0"/>
                      <w:sz w:val="21"/>
                      <w:szCs w:val="21"/>
                      <w:lang w:val="en-US" w:eastAsia="zh-CN"/>
                    </w:rPr>
                    <w:t>选用低噪设备，颚式破碎机采用半地埋式安装</w:t>
                  </w:r>
                  <w:r>
                    <w:rPr>
                      <w:rFonts w:hint="default" w:ascii="Times New Roman" w:hAnsi="Times New Roman" w:cs="Times New Roman"/>
                      <w:lang w:eastAsia="zh-CN"/>
                    </w:rPr>
                    <w:t>，</w:t>
                  </w:r>
                  <w:r>
                    <w:rPr>
                      <w:rFonts w:hint="default" w:ascii="Times New Roman" w:hAnsi="Times New Roman" w:cs="Times New Roman"/>
                      <w:lang w:val="en-US" w:eastAsia="zh-CN"/>
                    </w:rPr>
                    <w:t>厂房四周修建实体墙，厂界设置噪声实时监控牌</w:t>
                  </w:r>
                </w:p>
              </w:tc>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0" w:type="auto"/>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t>固体废物</w:t>
                  </w:r>
                </w:p>
              </w:tc>
              <w:tc>
                <w:tcPr>
                  <w:tcW w:w="4151"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生活垃圾</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lang w:val="en-US" w:eastAsia="zh-CN"/>
                    </w:rPr>
                    <w:t>污水预处理池污泥、</w:t>
                  </w:r>
                  <w:r>
                    <w:rPr>
                      <w:rFonts w:hint="default" w:ascii="Times New Roman" w:hAnsi="Times New Roman" w:eastAsia="宋体" w:cs="Times New Roman"/>
                      <w:b/>
                      <w:bCs/>
                      <w:color w:val="auto"/>
                      <w:sz w:val="21"/>
                      <w:szCs w:val="21"/>
                      <w:lang w:eastAsia="zh-CN"/>
                    </w:rPr>
                    <w:t>废弃的含油抹布、劳保用品</w:t>
                  </w:r>
                  <w:r>
                    <w:rPr>
                      <w:rFonts w:hint="default" w:ascii="Times New Roman" w:hAnsi="Times New Roman" w:eastAsia="宋体" w:cs="Times New Roman"/>
                      <w:b/>
                      <w:color w:val="auto"/>
                      <w:sz w:val="21"/>
                      <w:szCs w:val="21"/>
                    </w:rPr>
                    <w:t>：</w:t>
                  </w:r>
                  <w:r>
                    <w:rPr>
                      <w:rFonts w:hint="default" w:ascii="Times New Roman" w:hAnsi="Times New Roman" w:eastAsia="宋体" w:cs="Times New Roman"/>
                      <w:color w:val="auto"/>
                      <w:sz w:val="21"/>
                      <w:szCs w:val="21"/>
                    </w:rPr>
                    <w:t>由厂区内收集后定期由环卫部门清运</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餐厨垃圾、隔油池产生的油渣：</w:t>
                  </w:r>
                  <w:r>
                    <w:rPr>
                      <w:rFonts w:hint="default" w:ascii="Times New Roman" w:hAnsi="Times New Roman" w:eastAsia="宋体" w:cs="Times New Roman"/>
                      <w:b w:val="0"/>
                      <w:bCs/>
                      <w:color w:val="auto"/>
                      <w:sz w:val="21"/>
                      <w:szCs w:val="21"/>
                      <w:lang w:eastAsia="zh-CN"/>
                    </w:rPr>
                    <w:t>设置专门的垃圾桶收集后，交由有餐厨垃圾处理资质的单位统一清运处理</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bCs/>
                      <w:color w:val="auto"/>
                      <w:sz w:val="21"/>
                      <w:szCs w:val="21"/>
                    </w:rPr>
                    <w:t>实验室混凝土块</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color w:val="auto"/>
                      <w:sz w:val="21"/>
                      <w:szCs w:val="21"/>
                      <w:lang w:val="en-US" w:eastAsia="zh-CN"/>
                    </w:rPr>
                    <w:t>回用于产品</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lang w:eastAsia="zh-CN"/>
                    </w:rPr>
                    <w:t>残留混凝土：</w:t>
                  </w:r>
                  <w:r>
                    <w:rPr>
                      <w:rFonts w:hint="default" w:ascii="Times New Roman" w:hAnsi="Times New Roman" w:eastAsia="宋体" w:cs="Times New Roman"/>
                      <w:b w:val="0"/>
                      <w:bCs/>
                      <w:color w:val="auto"/>
                      <w:sz w:val="21"/>
                      <w:szCs w:val="21"/>
                      <w:lang w:eastAsia="zh-CN"/>
                    </w:rPr>
                    <w:t>回用于产品</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沉淀池污泥：</w:t>
                  </w:r>
                  <w:r>
                    <w:rPr>
                      <w:rFonts w:hint="default" w:ascii="Times New Roman" w:hAnsi="Times New Roman" w:eastAsia="宋体" w:cs="Times New Roman"/>
                      <w:b w:val="0"/>
                      <w:bCs w:val="0"/>
                      <w:color w:val="auto"/>
                      <w:sz w:val="21"/>
                      <w:szCs w:val="21"/>
                      <w:lang w:val="en-US" w:eastAsia="zh-CN"/>
                    </w:rPr>
                    <w:t>回用于生产</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废机油：</w:t>
                  </w:r>
                  <w:r>
                    <w:rPr>
                      <w:rFonts w:hint="default" w:ascii="Times New Roman" w:hAnsi="Times New Roman" w:eastAsia="宋体" w:cs="Times New Roman"/>
                      <w:b w:val="0"/>
                      <w:bCs w:val="0"/>
                      <w:color w:val="auto"/>
                      <w:sz w:val="21"/>
                      <w:szCs w:val="21"/>
                      <w:lang w:eastAsia="zh-CN"/>
                    </w:rPr>
                    <w:t>暂存于危废暂存间内（面积</w:t>
                  </w:r>
                  <w:r>
                    <w:rPr>
                      <w:rFonts w:hint="default" w:ascii="Times New Roman" w:hAnsi="Times New Roman" w:eastAsia="宋体" w:cs="Times New Roman"/>
                      <w:b w:val="0"/>
                      <w:bCs w:val="0"/>
                      <w:color w:val="auto"/>
                      <w:sz w:val="21"/>
                      <w:szCs w:val="21"/>
                      <w:lang w:val="en-US" w:eastAsia="zh-CN"/>
                    </w:rPr>
                    <w:t>10</w:t>
                  </w:r>
                  <w:r>
                    <w:rPr>
                      <w:rFonts w:hint="default" w:ascii="Times New Roman" w:hAnsi="Times New Roman" w:eastAsia="宋体" w:cs="Times New Roman"/>
                      <w:b w:val="0"/>
                      <w:bCs w:val="0"/>
                      <w:color w:val="auto"/>
                      <w:sz w:val="21"/>
                      <w:szCs w:val="21"/>
                      <w:lang w:eastAsia="zh-CN"/>
                    </w:rPr>
                    <w:t>m</w:t>
                  </w:r>
                  <w:r>
                    <w:rPr>
                      <w:rFonts w:hint="default" w:ascii="Times New Roman" w:hAnsi="Times New Roman" w:eastAsia="宋体" w:cs="Times New Roman"/>
                      <w:b w:val="0"/>
                      <w:bCs w:val="0"/>
                      <w:color w:val="auto"/>
                      <w:sz w:val="21"/>
                      <w:szCs w:val="21"/>
                      <w:vertAlign w:val="superscript"/>
                      <w:lang w:eastAsia="zh-CN"/>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危废暂存间</w:t>
                  </w:r>
                  <w:r>
                    <w:rPr>
                      <w:rFonts w:hint="default" w:ascii="Times New Roman" w:hAnsi="Times New Roman" w:eastAsia="宋体" w:cs="Times New Roman"/>
                      <w:b w:val="0"/>
                      <w:bCs w:val="0"/>
                      <w:color w:val="auto"/>
                      <w:sz w:val="21"/>
                      <w:szCs w:val="21"/>
                      <w:lang w:eastAsia="zh-CN"/>
                    </w:rPr>
                    <w:t>地面采取“三防”处理，定期交</w:t>
                  </w:r>
                  <w:r>
                    <w:rPr>
                      <w:rFonts w:hint="default" w:ascii="Times New Roman" w:hAnsi="Times New Roman" w:eastAsia="宋体" w:cs="Times New Roman"/>
                      <w:b w:val="0"/>
                      <w:bCs w:val="0"/>
                      <w:color w:val="auto"/>
                      <w:sz w:val="21"/>
                      <w:szCs w:val="21"/>
                      <w:lang w:val="en-US" w:eastAsia="zh-CN"/>
                    </w:rPr>
                    <w:t>由</w:t>
                  </w:r>
                  <w:r>
                    <w:rPr>
                      <w:rFonts w:hint="default" w:ascii="Times New Roman" w:hAnsi="Times New Roman" w:eastAsia="宋体" w:cs="Times New Roman"/>
                      <w:b w:val="0"/>
                      <w:bCs w:val="0"/>
                      <w:color w:val="auto"/>
                      <w:sz w:val="21"/>
                      <w:szCs w:val="21"/>
                      <w:lang w:eastAsia="zh-CN"/>
                    </w:rPr>
                    <w:t>有资质单位回收处理</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地下水防治：</w:t>
                  </w:r>
                  <w:r>
                    <w:rPr>
                      <w:rFonts w:hint="default" w:ascii="Times New Roman" w:hAnsi="Times New Roman" w:cs="Times New Roman"/>
                      <w:color w:val="auto"/>
                      <w:sz w:val="21"/>
                      <w:szCs w:val="21"/>
                      <w:lang w:val="en-US" w:eastAsia="zh-CN"/>
                    </w:rPr>
                    <w:t>危废暂存间、污水预处理池</w:t>
                  </w:r>
                  <w:r>
                    <w:rPr>
                      <w:rFonts w:hint="default" w:ascii="Times New Roman" w:hAnsi="Times New Roman" w:cs="Times New Roman"/>
                      <w:color w:val="auto"/>
                      <w:sz w:val="21"/>
                      <w:szCs w:val="21"/>
                    </w:rPr>
                    <w:t>。采取“防渗、防腐”</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要求使用“HDPE膜+防渗混凝土”防渗</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各单元防渗层渗透系数≤1.0×10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c>
                <w:tcPr>
                  <w:tcW w:w="1023"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05"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2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新建</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四、</w:t>
            </w:r>
            <w:r>
              <w:rPr>
                <w:rFonts w:hint="default" w:ascii="宋体" w:hAnsi="宋体" w:eastAsia="宋体" w:cs="宋体"/>
                <w:b/>
                <w:bCs/>
                <w:color w:val="000000"/>
                <w:kern w:val="0"/>
                <w:sz w:val="24"/>
                <w:szCs w:val="24"/>
                <w:lang w:val="en-US" w:eastAsia="zh-CN" w:bidi="ar"/>
              </w:rPr>
              <w:t>产品方案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iCs/>
                <w:color w:val="auto"/>
                <w:sz w:val="28"/>
                <w:szCs w:val="28"/>
                <w:lang w:eastAsia="zh-CN"/>
              </w:rPr>
            </w:pPr>
            <w:r>
              <w:rPr>
                <w:rFonts w:hint="default" w:ascii="Times New Roman" w:hAnsi="Times New Roman" w:eastAsia="宋体" w:cs="Times New Roman"/>
                <w:color w:val="auto"/>
                <w:sz w:val="24"/>
              </w:rPr>
              <w:t>本项目</w:t>
            </w:r>
            <w:r>
              <w:rPr>
                <w:rFonts w:hint="default" w:ascii="Times New Roman" w:hAnsi="Times New Roman" w:eastAsia="宋体" w:cs="Times New Roman"/>
                <w:b w:val="0"/>
                <w:bCs w:val="0"/>
                <w:color w:val="auto"/>
                <w:sz w:val="24"/>
                <w:szCs w:val="24"/>
                <w:lang w:val="en-US" w:eastAsia="zh-CN"/>
              </w:rPr>
              <w:t>年产商品混凝土</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rPr>
              <w:t>-</w:t>
            </w:r>
            <w:r>
              <w:rPr>
                <w:rFonts w:hint="eastAsia" w:ascii="Times New Roman" w:hAnsi="Times New Roman" w:eastAsia="黑体" w:cs="Times New Roman"/>
                <w:color w:val="auto"/>
                <w:sz w:val="24"/>
                <w:szCs w:val="24"/>
                <w:lang w:val="en-US" w:eastAsia="zh-CN"/>
              </w:rPr>
              <w:t>3</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eastAsia="zh-CN"/>
              </w:rPr>
              <w:t>产品方案表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1"/>
              <w:gridCol w:w="1996"/>
              <w:gridCol w:w="3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名称</w:t>
                  </w:r>
                </w:p>
              </w:tc>
              <w:tc>
                <w:tcPr>
                  <w:tcW w:w="74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年产量</w:t>
                  </w:r>
                </w:p>
              </w:tc>
              <w:tc>
                <w:tcPr>
                  <w:tcW w:w="120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eastAsia="zh-CN"/>
                    </w:rPr>
                    <w:t>规格</w:t>
                  </w:r>
                  <w:r>
                    <w:rPr>
                      <w:rFonts w:hint="default" w:ascii="Times New Roman" w:hAnsi="Times New Roman" w:eastAsia="宋体" w:cs="Times New Roman"/>
                      <w:b/>
                      <w:bCs/>
                      <w:color w:val="auto"/>
                      <w:sz w:val="21"/>
                      <w:lang w:val="en-US" w:eastAsia="zh-CN"/>
                    </w:rPr>
                    <w:t>/型号</w:t>
                  </w:r>
                </w:p>
              </w:tc>
              <w:tc>
                <w:tcPr>
                  <w:tcW w:w="223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产品质量标准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商品混凝土</w:t>
                  </w:r>
                </w:p>
              </w:tc>
              <w:tc>
                <w:tcPr>
                  <w:tcW w:w="7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eastAsia" w:ascii="Times New Roman" w:hAnsi="Times New Roman" w:eastAsia="宋体" w:cs="Times New Roman"/>
                      <w:b w:val="0"/>
                      <w:bCs w:val="0"/>
                      <w:color w:val="auto"/>
                      <w:sz w:val="21"/>
                      <w:lang w:val="en-US" w:eastAsia="zh-CN"/>
                    </w:rPr>
                    <w:t>60</w:t>
                  </w:r>
                  <w:r>
                    <w:rPr>
                      <w:rFonts w:hint="default" w:ascii="Times New Roman" w:hAnsi="Times New Roman" w:eastAsia="宋体" w:cs="Times New Roman"/>
                      <w:b w:val="0"/>
                      <w:bCs w:val="0"/>
                      <w:color w:val="auto"/>
                      <w:sz w:val="21"/>
                      <w:lang w:val="en-US" w:eastAsia="zh-CN"/>
                    </w:rPr>
                    <w:t>万m</w:t>
                  </w:r>
                  <w:r>
                    <w:rPr>
                      <w:rFonts w:hint="default" w:ascii="Times New Roman" w:hAnsi="Times New Roman" w:eastAsia="宋体" w:cs="Times New Roman"/>
                      <w:b w:val="0"/>
                      <w:bCs w:val="0"/>
                      <w:color w:val="auto"/>
                      <w:sz w:val="21"/>
                      <w:vertAlign w:val="superscript"/>
                      <w:lang w:eastAsia="zh-CN"/>
                    </w:rPr>
                    <w:t>3</w:t>
                  </w:r>
                </w:p>
              </w:tc>
              <w:tc>
                <w:tcPr>
                  <w:tcW w:w="12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根据要求配置标号</w:t>
                  </w:r>
                </w:p>
              </w:tc>
              <w:tc>
                <w:tcPr>
                  <w:tcW w:w="22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预拌混凝土执行GB50164-2011混凝土质量控制标准</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jc w:val="left"/>
              <w:textAlignment w:val="auto"/>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五、主要生产设施</w:t>
            </w:r>
          </w:p>
          <w:p>
            <w:pPr>
              <w:keepNext w:val="0"/>
              <w:keepLines w:val="0"/>
              <w:widowControl/>
              <w:numPr>
                <w:ilvl w:val="0"/>
                <w:numId w:val="0"/>
              </w:numPr>
              <w:suppressLineNumbers w:val="0"/>
              <w:spacing w:line="360" w:lineRule="auto"/>
              <w:ind w:leftChars="200"/>
              <w:jc w:val="left"/>
              <w:rPr>
                <w:rFonts w:hint="eastAsia" w:ascii="Times New Roman" w:hAnsi="Times New Roman" w:eastAsia="黑体" w:cs="Times New Roman"/>
                <w:color w:val="auto"/>
                <w:szCs w:val="21"/>
                <w:lang w:val="en-US" w:eastAsia="zh-CN"/>
              </w:rPr>
            </w:pPr>
            <w:r>
              <w:rPr>
                <w:rFonts w:hint="eastAsia" w:ascii="宋体" w:hAnsi="宋体" w:cs="宋体"/>
                <w:color w:val="000000"/>
                <w:kern w:val="0"/>
                <w:sz w:val="24"/>
                <w:szCs w:val="24"/>
                <w:lang w:val="en-US" w:eastAsia="zh-CN" w:bidi="ar"/>
              </w:rPr>
              <w:t>本项目所用到的主要设备，详见下表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sz w:val="24"/>
                <w:szCs w:val="24"/>
                <w:lang w:val="en-US" w:eastAsia="zh-CN"/>
              </w:rPr>
            </w:pPr>
            <w:r>
              <w:rPr>
                <w:rFonts w:hint="eastAsia" w:ascii="Times New Roman" w:hAnsi="Times New Roman" w:eastAsia="黑体" w:cs="Times New Roman"/>
                <w:color w:val="auto"/>
                <w:sz w:val="24"/>
                <w:szCs w:val="24"/>
                <w:lang w:val="en-US" w:eastAsia="zh-CN"/>
              </w:rPr>
              <w:t>表</w:t>
            </w:r>
            <w:r>
              <w:rPr>
                <w:rFonts w:hint="default" w:ascii="Times New Roman" w:hAnsi="Times New Roman" w:eastAsia="黑体" w:cs="Times New Roman"/>
                <w:color w:val="auto"/>
                <w:sz w:val="24"/>
                <w:szCs w:val="24"/>
                <w:lang w:val="en-US" w:eastAsia="zh-CN"/>
              </w:rPr>
              <w:t>2-</w:t>
            </w:r>
            <w:r>
              <w:rPr>
                <w:rFonts w:hint="eastAsia" w:ascii="Times New Roman" w:hAnsi="Times New Roman" w:eastAsia="黑体" w:cs="Times New Roman"/>
                <w:color w:val="auto"/>
                <w:sz w:val="24"/>
                <w:szCs w:val="24"/>
                <w:lang w:val="en-US" w:eastAsia="zh-CN"/>
              </w:rPr>
              <w:t>4项目主要设备一览表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3100"/>
              <w:gridCol w:w="2743"/>
              <w:gridCol w:w="843"/>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序号</w:t>
                  </w:r>
                </w:p>
              </w:tc>
              <w:tc>
                <w:tcPr>
                  <w:tcW w:w="186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名     称</w:t>
                  </w:r>
                </w:p>
              </w:tc>
              <w:tc>
                <w:tcPr>
                  <w:tcW w:w="1653"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型    号</w:t>
                  </w:r>
                </w:p>
              </w:tc>
              <w:tc>
                <w:tcPr>
                  <w:tcW w:w="508"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单位</w:t>
                  </w:r>
                </w:p>
              </w:tc>
              <w:tc>
                <w:tcPr>
                  <w:tcW w:w="445"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cs="Times New Roman"/>
                      <w:b/>
                      <w:bCs/>
                      <w:color w:val="000000"/>
                      <w:kern w:val="0"/>
                      <w:sz w:val="21"/>
                      <w:szCs w:val="21"/>
                      <w:lang w:eastAsia="zh-CN"/>
                    </w:rPr>
                    <w:t>砂石生产线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重型给料机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F5X1654G</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2</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V型腔 鄂破机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C6X125</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3</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单缸圆锥机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SG360S</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4</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多缸液压圆锥机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HPT500</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5</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冲击式破碎机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VSI6X1150</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6</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振动筛</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S5X3075-3T</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7</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振动筛</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3YAQ3075</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8</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螺旋式洗砂机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HXLS1570</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9</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脱水筛</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HXTS3060</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10</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高效厢式压滤机（</w:t>
                  </w:r>
                  <w:r>
                    <w:rPr>
                      <w:rFonts w:hint="default" w:ascii="Times New Roman" w:hAnsi="Times New Roman" w:cs="Times New Roman"/>
                      <w:i w:val="0"/>
                      <w:color w:val="auto"/>
                      <w:kern w:val="0"/>
                      <w:sz w:val="21"/>
                      <w:szCs w:val="21"/>
                      <w:u w:val="none"/>
                      <w:lang w:val="en-US" w:eastAsia="zh-CN" w:bidi="ar"/>
                    </w:rPr>
                    <w:t>20</w:t>
                  </w:r>
                  <w:r>
                    <w:rPr>
                      <w:rFonts w:hint="default" w:ascii="Times New Roman" w:hAnsi="Times New Roman" w:eastAsia="宋体" w:cs="Times New Roman"/>
                      <w:i w:val="0"/>
                      <w:color w:val="auto"/>
                      <w:kern w:val="0"/>
                      <w:sz w:val="21"/>
                      <w:szCs w:val="21"/>
                      <w:u w:val="none"/>
                      <w:lang w:val="en-US" w:eastAsia="zh-CN" w:bidi="ar"/>
                    </w:rPr>
                    <w:t>T)</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HMZF500/1600-UI</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11</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离心清水泵</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34m/400m³</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12</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渣浆潜水泵</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30m/200m³</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13</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输送机</w:t>
                  </w:r>
                </w:p>
              </w:tc>
              <w:tc>
                <w:tcPr>
                  <w:tcW w:w="1653"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b/>
                      <w:bCs/>
                      <w:color w:val="auto"/>
                      <w:sz w:val="21"/>
                      <w:szCs w:val="21"/>
                      <w:lang w:val="en-US" w:eastAsia="zh-CN"/>
                    </w:rPr>
                    <w:t>商品混凝土生产线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14</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配料站</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color w:val="auto"/>
                      <w:kern w:val="0"/>
                      <w:sz w:val="21"/>
                      <w:szCs w:val="21"/>
                      <w:u w:val="none"/>
                      <w:lang w:val="en-US" w:eastAsia="zh-CN" w:bidi="ar"/>
                    </w:rPr>
                    <w:t>HZS180</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15</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斜皮带机</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HZS180</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16</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全封闭搅拌站</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color w:val="auto"/>
                      <w:kern w:val="0"/>
                      <w:sz w:val="21"/>
                      <w:szCs w:val="21"/>
                      <w:u w:val="none"/>
                      <w:lang w:val="en-US" w:eastAsia="zh-CN" w:bidi="ar"/>
                    </w:rPr>
                    <w:t>HZS180</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17</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粉料罐</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300t</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个</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cs="Times New Roman"/>
                      <w:b w:val="0"/>
                      <w:bCs w:val="0"/>
                      <w:color w:val="000000"/>
                      <w:kern w:val="0"/>
                      <w:sz w:val="21"/>
                      <w:szCs w:val="21"/>
                      <w:lang w:val="en-US" w:eastAsia="zh-CN"/>
                    </w:rPr>
                    <w:t>18</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计量系统</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color w:val="auto"/>
                      <w:kern w:val="0"/>
                      <w:sz w:val="21"/>
                      <w:szCs w:val="21"/>
                      <w:u w:val="none"/>
                      <w:lang w:val="en-US" w:eastAsia="zh-CN" w:bidi="ar"/>
                    </w:rPr>
                    <w:t>HZS180</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19</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螺旋输送机</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color w:val="auto"/>
                      <w:kern w:val="0"/>
                      <w:sz w:val="21"/>
                      <w:szCs w:val="21"/>
                      <w:u w:val="none"/>
                      <w:lang w:val="en-US" w:eastAsia="zh-CN" w:bidi="ar"/>
                    </w:rPr>
                    <w:t>HZS180</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20</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控制系统</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 w:val="0"/>
                      <w:color w:val="auto"/>
                      <w:kern w:val="0"/>
                      <w:sz w:val="21"/>
                      <w:szCs w:val="21"/>
                      <w:u w:val="none"/>
                      <w:lang w:val="en-US" w:eastAsia="zh-CN" w:bidi="ar"/>
                    </w:rPr>
                    <w:t>HZS180</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21</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污水处理系统</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SjHPA035</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22</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压滤机</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HS60型/800U</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23</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洗车机</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FBX-LM450BA</w:t>
                  </w:r>
                </w:p>
              </w:tc>
              <w:tc>
                <w:tcPr>
                  <w:tcW w:w="50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台</w:t>
                  </w:r>
                </w:p>
              </w:tc>
              <w:tc>
                <w:tcPr>
                  <w:tcW w:w="445"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4"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24</w:t>
                  </w:r>
                </w:p>
              </w:tc>
              <w:tc>
                <w:tcPr>
                  <w:tcW w:w="1868"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料仓喷淋系统</w:t>
                  </w:r>
                </w:p>
              </w:tc>
              <w:tc>
                <w:tcPr>
                  <w:tcW w:w="1653"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HSPL-30 型</w:t>
                  </w:r>
                </w:p>
              </w:tc>
              <w:tc>
                <w:tcPr>
                  <w:tcW w:w="508" w:type="pct"/>
                  <w:noWrap/>
                  <w:vAlign w:val="center"/>
                </w:tcPr>
                <w:p>
                  <w:pPr>
                    <w:pStyle w:val="16"/>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color w:val="auto"/>
                      <w:sz w:val="21"/>
                      <w:szCs w:val="21"/>
                      <w:lang w:val="en-US" w:eastAsia="zh-CN"/>
                    </w:rPr>
                    <w:t>套</w:t>
                  </w:r>
                </w:p>
              </w:tc>
              <w:tc>
                <w:tcPr>
                  <w:tcW w:w="445" w:type="pct"/>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color w:val="auto"/>
                      <w:sz w:val="21"/>
                      <w:szCs w:val="21"/>
                      <w:lang w:val="en-US" w:eastAsia="zh-CN"/>
                    </w:rPr>
                    <w:t>2</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六</w:t>
            </w:r>
            <w:r>
              <w:rPr>
                <w:rFonts w:hint="default" w:ascii="宋体" w:hAnsi="宋体" w:eastAsia="宋体" w:cs="宋体"/>
                <w:b/>
                <w:bCs/>
                <w:color w:val="000000"/>
                <w:kern w:val="0"/>
                <w:sz w:val="24"/>
                <w:szCs w:val="24"/>
                <w:lang w:val="en-US" w:eastAsia="zh-CN" w:bidi="ar"/>
              </w:rPr>
              <w:t>、原辅材料、能耗和主要设备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黑体" w:cs="Times New Roman"/>
                <w:color w:val="auto"/>
                <w:sz w:val="24"/>
                <w:szCs w:val="24"/>
                <w:lang w:val="en-US" w:eastAsia="zh-CN"/>
              </w:rPr>
              <w:t>1.</w:t>
            </w:r>
            <w:r>
              <w:rPr>
                <w:rFonts w:hint="default" w:ascii="Times New Roman" w:hAnsi="Times New Roman" w:eastAsia="黑体" w:cs="Times New Roman"/>
                <w:color w:val="auto"/>
                <w:sz w:val="24"/>
                <w:szCs w:val="24"/>
              </w:rPr>
              <w:t>原辅材料及能耗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项目动力消耗主要为电能</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主要原辅材料及能耗情况详见下表。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lang w:val="en-US" w:eastAsia="zh-CN"/>
              </w:rPr>
              <w:t>-</w:t>
            </w:r>
            <w:r>
              <w:rPr>
                <w:rFonts w:hint="eastAsia" w:ascii="Times New Roman" w:hAnsi="Times New Roman" w:eastAsia="黑体" w:cs="Times New Roman"/>
                <w:color w:val="auto"/>
                <w:sz w:val="24"/>
                <w:szCs w:val="24"/>
                <w:lang w:val="en-US" w:eastAsia="zh-CN"/>
              </w:rPr>
              <w:t>5</w:t>
            </w:r>
            <w:r>
              <w:rPr>
                <w:rFonts w:hint="default" w:ascii="Times New Roman" w:hAnsi="Times New Roman" w:eastAsia="黑体" w:cs="Times New Roman"/>
                <w:color w:val="auto"/>
                <w:sz w:val="24"/>
                <w:szCs w:val="24"/>
                <w:lang w:val="en-US" w:eastAsia="zh-CN"/>
              </w:rPr>
              <w:t xml:space="preserve">  全厂主要原辅材料及能耗情况表</w:t>
            </w:r>
          </w:p>
          <w:tbl>
            <w:tblPr>
              <w:tblStyle w:val="39"/>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187"/>
              <w:gridCol w:w="1390"/>
              <w:gridCol w:w="1480"/>
              <w:gridCol w:w="1824"/>
              <w:gridCol w:w="13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项目</w:t>
                  </w: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名称</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单位</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数量</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规格及来源</w:t>
                  </w:r>
                </w:p>
              </w:tc>
              <w:tc>
                <w:tcPr>
                  <w:tcW w:w="13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运输及储存情况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原辅材料</w:t>
                  </w: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水泥</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TimesNewRomanPSMT" w:cs="Times New Roman"/>
                      <w:color w:val="auto"/>
                      <w:sz w:val="21"/>
                    </w:rPr>
                    <w:t>t/a</w:t>
                  </w:r>
                </w:p>
              </w:tc>
              <w:tc>
                <w:tcPr>
                  <w:tcW w:w="1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186000</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color w:val="auto"/>
                      <w:sz w:val="21"/>
                    </w:rPr>
                    <w:t>粉料</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外购</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color w:val="auto"/>
                      <w:sz w:val="21"/>
                    </w:rPr>
                    <w:t>封闭罐车运输</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筒仓储存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鹅卵石</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NewRomanPSMT" w:cs="Times New Roman"/>
                      <w:color w:val="auto"/>
                      <w:sz w:val="21"/>
                    </w:rPr>
                  </w:pPr>
                  <w:r>
                    <w:rPr>
                      <w:rFonts w:hint="default" w:ascii="Times New Roman" w:hAnsi="Times New Roman" w:eastAsia="TimesNewRomanPSMT" w:cs="Times New Roman"/>
                      <w:color w:val="auto"/>
                      <w:sz w:val="21"/>
                    </w:rPr>
                    <w:t>t/a</w:t>
                  </w:r>
                </w:p>
              </w:tc>
              <w:tc>
                <w:tcPr>
                  <w:tcW w:w="1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1102800</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外购</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rPr>
                    <w:t>汽车运输</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原料堆场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粉煤灰</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TimesNewRomanPSMT" w:cs="Times New Roman"/>
                      <w:color w:val="auto"/>
                      <w:sz w:val="21"/>
                    </w:rPr>
                    <w:t>t/a</w:t>
                  </w:r>
                </w:p>
              </w:tc>
              <w:tc>
                <w:tcPr>
                  <w:tcW w:w="1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30000</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color w:val="auto"/>
                      <w:sz w:val="21"/>
                    </w:rPr>
                    <w:t>粉料</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外购</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color w:val="auto"/>
                      <w:sz w:val="21"/>
                    </w:rPr>
                    <w:t>封闭罐车运输</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筒仓储存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矿粉</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TimesNewRomanPSMT" w:cs="Times New Roman"/>
                      <w:color w:val="auto"/>
                      <w:sz w:val="21"/>
                    </w:rPr>
                    <w:t>t/a</w:t>
                  </w:r>
                </w:p>
              </w:tc>
              <w:tc>
                <w:tcPr>
                  <w:tcW w:w="1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12000</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color w:val="auto"/>
                      <w:sz w:val="21"/>
                    </w:rPr>
                    <w:t>粉料</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外购</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eastAsia="宋体" w:cs="Times New Roman"/>
                      <w:color w:val="auto"/>
                      <w:sz w:val="21"/>
                    </w:rPr>
                    <w:t>封闭罐车运输</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筒仓储存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外加剂</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TimesNewRomanPSMT" w:cs="Times New Roman"/>
                      <w:color w:val="auto"/>
                      <w:sz w:val="21"/>
                    </w:rPr>
                    <w:t>t/a</w:t>
                  </w:r>
                </w:p>
              </w:tc>
              <w:tc>
                <w:tcPr>
                  <w:tcW w:w="148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4200</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液体、外购</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桶储存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机油</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 w:val="21"/>
                      <w:lang w:val="en-US" w:eastAsia="zh-CN"/>
                    </w:rPr>
                    <w:t>t/a</w:t>
                  </w:r>
                </w:p>
              </w:tc>
              <w:tc>
                <w:tcPr>
                  <w:tcW w:w="14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val="0"/>
                      <w:bCs w:val="0"/>
                      <w:color w:val="auto"/>
                      <w:kern w:val="2"/>
                      <w:sz w:val="21"/>
                      <w:szCs w:val="22"/>
                      <w:lang w:val="en-US" w:eastAsia="zh-CN" w:bidi="ar-SA"/>
                    </w:rPr>
                  </w:pPr>
                  <w:r>
                    <w:rPr>
                      <w:rFonts w:hint="default" w:ascii="Times New Roman" w:hAnsi="Times New Roman" w:eastAsia="宋体" w:cs="Times New Roman"/>
                      <w:b w:val="0"/>
                      <w:bCs w:val="0"/>
                      <w:color w:val="auto"/>
                      <w:sz w:val="21"/>
                      <w:lang w:val="en-US" w:eastAsia="zh-CN"/>
                    </w:rPr>
                    <w:t>2</w:t>
                  </w:r>
                </w:p>
              </w:tc>
              <w:tc>
                <w:tcPr>
                  <w:tcW w:w="1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 w:val="21"/>
                      <w:lang w:val="en-US" w:eastAsia="zh-CN"/>
                    </w:rPr>
                    <w:t>液体、外购</w:t>
                  </w:r>
                </w:p>
              </w:tc>
              <w:tc>
                <w:tcPr>
                  <w:tcW w:w="13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 w:val="21"/>
                      <w:lang w:val="en-US" w:eastAsia="zh-CN"/>
                    </w:rPr>
                    <w:t>桶储存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能源</w:t>
                  </w: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柴油</w:t>
                  </w:r>
                </w:p>
              </w:tc>
              <w:tc>
                <w:tcPr>
                  <w:tcW w:w="1390" w:type="dxa"/>
                  <w:tcBorders>
                    <w:tl2br w:val="nil"/>
                    <w:tr2bl w:val="nil"/>
                  </w:tcBorders>
                  <w:noWrap w:val="0"/>
                  <w:vAlign w:val="center"/>
                </w:tcPr>
                <w:p>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cs="Times New Roman"/>
                      <w:color w:val="000000"/>
                      <w:kern w:val="0"/>
                      <w:sz w:val="21"/>
                      <w:szCs w:val="21"/>
                      <w:vertAlign w:val="baseline"/>
                      <w:lang w:val="en-US" w:eastAsia="zh-CN" w:bidi="ar"/>
                    </w:rPr>
                    <w:t>t/a</w:t>
                  </w:r>
                </w:p>
              </w:tc>
              <w:tc>
                <w:tcPr>
                  <w:tcW w:w="1480" w:type="dxa"/>
                  <w:tcBorders>
                    <w:tl2br w:val="nil"/>
                    <w:tr2bl w:val="nil"/>
                  </w:tcBorders>
                  <w:noWrap w:val="0"/>
                  <w:vAlign w:val="center"/>
                </w:tcPr>
                <w:p>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b w:val="0"/>
                      <w:bCs w:val="0"/>
                      <w:color w:val="auto"/>
                      <w:sz w:val="21"/>
                      <w:lang w:val="en-US" w:eastAsia="zh-CN"/>
                    </w:rPr>
                  </w:pPr>
                  <w:r>
                    <w:rPr>
                      <w:rFonts w:hint="eastAsia" w:cs="Times New Roman"/>
                      <w:color w:val="auto"/>
                      <w:kern w:val="0"/>
                      <w:sz w:val="21"/>
                      <w:szCs w:val="21"/>
                      <w:vertAlign w:val="baseline"/>
                      <w:lang w:val="en-US" w:eastAsia="zh-CN" w:bidi="ar"/>
                    </w:rPr>
                    <w:t>10</w:t>
                  </w:r>
                </w:p>
              </w:tc>
              <w:tc>
                <w:tcPr>
                  <w:tcW w:w="1824" w:type="dxa"/>
                  <w:tcBorders>
                    <w:tl2br w:val="nil"/>
                    <w:tr2bl w:val="nil"/>
                  </w:tcBorders>
                  <w:noWrap w:val="0"/>
                  <w:vAlign w:val="center"/>
                </w:tcPr>
                <w:p>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eastAsia" w:ascii="宋体" w:hAnsi="宋体" w:cs="宋体"/>
                      <w:color w:val="000000"/>
                      <w:kern w:val="0"/>
                      <w:sz w:val="21"/>
                      <w:szCs w:val="21"/>
                      <w:vertAlign w:val="baseline"/>
                      <w:lang w:val="en-US" w:eastAsia="zh-CN" w:bidi="ar"/>
                    </w:rPr>
                    <w:t>液体、外购</w:t>
                  </w:r>
                </w:p>
              </w:tc>
              <w:tc>
                <w:tcPr>
                  <w:tcW w:w="1385" w:type="dxa"/>
                  <w:tcBorders>
                    <w:tl2br w:val="nil"/>
                    <w:tr2bl w:val="nil"/>
                  </w:tcBorders>
                  <w:noWrap w:val="0"/>
                  <w:vAlign w:val="center"/>
                </w:tcPr>
                <w:p>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桶储存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电力</w:t>
                  </w:r>
                </w:p>
              </w:tc>
              <w:tc>
                <w:tcPr>
                  <w:tcW w:w="13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color w:val="auto"/>
                      <w:sz w:val="21"/>
                    </w:rPr>
                    <w:t>万</w:t>
                  </w:r>
                  <w:r>
                    <w:rPr>
                      <w:rFonts w:hint="default" w:ascii="Times New Roman" w:hAnsi="Times New Roman" w:eastAsia="TimesNewRomanPSMT" w:cs="Times New Roman"/>
                      <w:color w:val="auto"/>
                      <w:sz w:val="21"/>
                    </w:rPr>
                    <w:t>kw·h/a</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200</w:t>
                  </w:r>
                </w:p>
              </w:tc>
              <w:tc>
                <w:tcPr>
                  <w:tcW w:w="320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当地电网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p>
              </w:tc>
              <w:tc>
                <w:tcPr>
                  <w:tcW w:w="1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水</w:t>
                  </w:r>
                </w:p>
              </w:tc>
              <w:tc>
                <w:tcPr>
                  <w:tcW w:w="13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color w:val="auto"/>
                      <w:sz w:val="21"/>
                      <w:lang w:val="en-US" w:eastAsia="zh-CN"/>
                    </w:rPr>
                    <w:t>t</w:t>
                  </w:r>
                  <w:r>
                    <w:rPr>
                      <w:rFonts w:hint="default" w:ascii="Times New Roman" w:hAnsi="Times New Roman" w:eastAsia="TimesNewRomanPSMT" w:cs="Times New Roman"/>
                      <w:color w:val="auto"/>
                      <w:sz w:val="21"/>
                    </w:rPr>
                    <w:t>/a</w:t>
                  </w:r>
                </w:p>
              </w:tc>
              <w:tc>
                <w:tcPr>
                  <w:tcW w:w="1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i w:val="0"/>
                      <w:color w:val="auto"/>
                      <w:kern w:val="0"/>
                      <w:sz w:val="21"/>
                      <w:szCs w:val="21"/>
                      <w:u w:val="none"/>
                      <w:lang w:val="en-US" w:eastAsia="zh-CN" w:bidi="ar"/>
                    </w:rPr>
                    <w:t>115617</w:t>
                  </w:r>
                </w:p>
              </w:tc>
              <w:tc>
                <w:tcPr>
                  <w:tcW w:w="320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color w:val="auto"/>
                      <w:sz w:val="21"/>
                      <w:lang w:val="en-US" w:eastAsia="zh-CN"/>
                    </w:rPr>
                    <w:t>市政供水</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2-6</w:t>
            </w:r>
            <w:r>
              <w:rPr>
                <w:rFonts w:hint="default" w:ascii="Times New Roman" w:hAnsi="Times New Roman" w:eastAsia="黑体" w:cs="Times New Roman"/>
                <w:color w:val="auto"/>
                <w:sz w:val="24"/>
                <w:szCs w:val="24"/>
                <w:lang w:val="en-US" w:eastAsia="zh-CN"/>
              </w:rPr>
              <w:t xml:space="preserve">  1m</w:t>
            </w:r>
            <w:r>
              <w:rPr>
                <w:rFonts w:hint="default" w:ascii="Times New Roman" w:hAnsi="Times New Roman" w:eastAsia="黑体" w:cs="Times New Roman"/>
                <w:color w:val="auto"/>
                <w:sz w:val="24"/>
                <w:szCs w:val="24"/>
                <w:vertAlign w:val="superscript"/>
                <w:lang w:val="en-US" w:eastAsia="zh-CN"/>
              </w:rPr>
              <w:t>3</w:t>
            </w:r>
            <w:r>
              <w:rPr>
                <w:rFonts w:hint="default" w:ascii="Times New Roman" w:hAnsi="Times New Roman" w:eastAsia="黑体" w:cs="Times New Roman"/>
                <w:color w:val="auto"/>
                <w:sz w:val="24"/>
                <w:szCs w:val="24"/>
                <w:lang w:val="en-US" w:eastAsia="zh-CN"/>
              </w:rPr>
              <w:t>商品混凝土原辅料消耗量  单位：kg</w:t>
            </w:r>
          </w:p>
          <w:tbl>
            <w:tblPr>
              <w:tblStyle w:val="3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845"/>
              <w:gridCol w:w="845"/>
              <w:gridCol w:w="845"/>
              <w:gridCol w:w="1123"/>
              <w:gridCol w:w="1123"/>
              <w:gridCol w:w="1123"/>
              <w:gridCol w:w="706"/>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原料</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水泥</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eastAsia="zh-CN"/>
                    </w:rPr>
                    <w:t>砂</w:t>
                  </w:r>
                  <w:r>
                    <w:rPr>
                      <w:rFonts w:hint="default" w:ascii="Times New Roman" w:hAnsi="Times New Roman" w:eastAsia="宋体" w:cs="Times New Roman"/>
                      <w:b w:val="0"/>
                      <w:bCs w:val="0"/>
                      <w:color w:val="auto"/>
                      <w:sz w:val="21"/>
                      <w:lang w:val="en-US" w:eastAsia="zh-CN"/>
                    </w:rPr>
                    <w:t>子</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val="en-US" w:eastAsia="zh-CN"/>
                    </w:rPr>
                    <w:t>石子</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粉煤灰</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矿粉</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外加剂</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eastAsia="zh-CN"/>
                    </w:rPr>
                  </w:pPr>
                  <w:r>
                    <w:rPr>
                      <w:rFonts w:hint="default" w:ascii="Times New Roman" w:hAnsi="Times New Roman" w:eastAsia="宋体" w:cs="Times New Roman"/>
                      <w:b w:val="0"/>
                      <w:bCs w:val="0"/>
                      <w:color w:val="auto"/>
                      <w:sz w:val="21"/>
                      <w:lang w:eastAsia="zh-CN"/>
                    </w:rPr>
                    <w:t>水</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数量</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310</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751</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1087</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20</w:t>
                  </w:r>
                </w:p>
              </w:tc>
              <w:tc>
                <w:tcPr>
                  <w:tcW w:w="11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7</w:t>
                  </w:r>
                </w:p>
              </w:tc>
              <w:tc>
                <w:tcPr>
                  <w:tcW w:w="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175</w:t>
                  </w:r>
                </w:p>
              </w:tc>
              <w:tc>
                <w:tcPr>
                  <w:tcW w:w="8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2400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val="0"/>
                <w:bCs w:val="0"/>
                <w:color w:val="FF0000"/>
                <w:sz w:val="24"/>
                <w:szCs w:val="24"/>
                <w:lang w:eastAsia="zh-CN"/>
              </w:rPr>
            </w:pPr>
            <w:r>
              <w:rPr>
                <w:rFonts w:hint="default" w:ascii="Times New Roman" w:hAnsi="Times New Roman" w:eastAsia="宋体" w:cs="Times New Roman"/>
                <w:b/>
                <w:bCs/>
                <w:color w:val="auto"/>
                <w:sz w:val="21"/>
              </w:rPr>
              <w:t>备注：</w:t>
            </w:r>
            <w:r>
              <w:rPr>
                <w:rFonts w:hint="default" w:ascii="Times New Roman" w:hAnsi="Times New Roman" w:eastAsia="宋体" w:cs="Times New Roman"/>
                <w:color w:val="auto"/>
                <w:sz w:val="21"/>
              </w:rPr>
              <w:t>商品混凝土根据不同型号密度会有一定的差异</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lang w:val="en-US" w:eastAsia="zh-CN"/>
              </w:rPr>
              <w:t>本次取平均</w:t>
            </w:r>
            <w:r>
              <w:rPr>
                <w:rFonts w:hint="default" w:ascii="Times New Roman" w:hAnsi="Times New Roman" w:eastAsia="TimesNewRomanPSMT" w:cs="Times New Roman"/>
                <w:color w:val="auto"/>
                <w:sz w:val="21"/>
              </w:rPr>
              <w:t>2.4t/m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宋体" w:cs="Times New Roman"/>
                <w:b/>
                <w:bCs/>
                <w:color w:val="auto"/>
                <w:sz w:val="24"/>
                <w:szCs w:val="24"/>
              </w:rPr>
              <w:t>项目原辅材料特性说明：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1）外加剂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是指在拌制混凝土的过程中掺入用以改善混凝土性能的物质。本项目所用外加剂主要为膨胀剂和阻锈剂，pH为中性，可提高混凝土抗渗性作用和提高混凝土抵抗不良水质的侵入。</w:t>
            </w:r>
            <w:r>
              <w:rPr>
                <w:rFonts w:hint="default" w:ascii="Times New Roman" w:hAnsi="Times New Roman" w:cs="Times New Roman"/>
                <w:color w:val="auto"/>
                <w:sz w:val="24"/>
                <w:szCs w:val="24"/>
                <w:lang w:val="en-US" w:eastAsia="zh-CN"/>
              </w:rPr>
              <w:t>本项目外购外加剂进行生产，根据外加剂生产厂家提供资料，本项目使用外加剂主要原料有：聚乙二醇单甲醚丙烯酸酯：CH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O(CH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CH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O)</w:t>
            </w:r>
            <w:r>
              <w:rPr>
                <w:rFonts w:hint="default" w:ascii="Times New Roman" w:hAnsi="Times New Roman" w:cs="Times New Roman"/>
                <w:color w:val="auto"/>
                <w:sz w:val="24"/>
                <w:szCs w:val="24"/>
                <w:vertAlign w:val="subscript"/>
                <w:lang w:val="en-US" w:eastAsia="zh-CN"/>
              </w:rPr>
              <w:t>n</w:t>
            </w:r>
            <w:r>
              <w:rPr>
                <w:rFonts w:hint="default" w:ascii="Times New Roman" w:hAnsi="Times New Roman" w:cs="Times New Roman"/>
                <w:color w:val="auto"/>
                <w:sz w:val="24"/>
                <w:szCs w:val="24"/>
                <w:lang w:val="en-US" w:eastAsia="zh-CN"/>
              </w:rPr>
              <w:t>COCH=CH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（液态）、甲基丙烯酸：CH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CCH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vertAlign w:val="baseline"/>
                <w:lang w:val="en-US" w:eastAsia="zh-CN"/>
              </w:rPr>
              <w:t>COOCH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vertAlign w:val="baseline"/>
                <w:lang w:val="en-US" w:eastAsia="zh-CN"/>
              </w:rPr>
              <w:t>、液碱（氢氧化钠）：NaOH、硫酸：H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SO</w:t>
            </w:r>
            <w:r>
              <w:rPr>
                <w:rFonts w:hint="default"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vertAlign w:val="baseline"/>
                <w:lang w:val="en-US" w:eastAsia="zh-CN"/>
              </w:rPr>
              <w:t>、过硫酸钾：K</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S</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O</w:t>
            </w:r>
            <w:r>
              <w:rPr>
                <w:rFonts w:hint="default" w:ascii="Times New Roman" w:hAnsi="Times New Roman" w:cs="Times New Roman"/>
                <w:color w:val="auto"/>
                <w:sz w:val="24"/>
                <w:szCs w:val="24"/>
                <w:vertAlign w:val="subscript"/>
                <w:lang w:val="en-US" w:eastAsia="zh-CN"/>
              </w:rPr>
              <w:t>8</w:t>
            </w:r>
            <w:r>
              <w:rPr>
                <w:rFonts w:hint="default" w:ascii="Times New Roman" w:hAnsi="Times New Roman" w:cs="Times New Roman"/>
                <w:color w:val="auto"/>
                <w:sz w:val="24"/>
                <w:szCs w:val="24"/>
                <w:vertAlign w:val="baseline"/>
                <w:lang w:val="en-US" w:eastAsia="zh-CN"/>
              </w:rPr>
              <w:t>、自来水：H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vertAlign w:val="baseline"/>
                <w:lang w:val="en-US" w:eastAsia="zh-CN"/>
              </w:rPr>
              <w:t>O。</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表</w:t>
            </w:r>
            <w:r>
              <w:rPr>
                <w:rFonts w:hint="eastAsia"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lang w:val="en-US" w:eastAsia="zh-CN"/>
              </w:rPr>
              <w:t>-</w:t>
            </w:r>
            <w:r>
              <w:rPr>
                <w:rFonts w:hint="eastAsia" w:ascii="Times New Roman" w:hAnsi="Times New Roman" w:eastAsia="黑体" w:cs="Times New Roman"/>
                <w:color w:val="auto"/>
                <w:sz w:val="24"/>
                <w:szCs w:val="24"/>
                <w:lang w:val="en-US" w:eastAsia="zh-CN"/>
              </w:rPr>
              <w:t>7</w:t>
            </w:r>
            <w:r>
              <w:rPr>
                <w:rFonts w:hint="default" w:ascii="Times New Roman" w:hAnsi="Times New Roman" w:eastAsia="黑体" w:cs="Times New Roman"/>
                <w:color w:val="auto"/>
                <w:sz w:val="24"/>
                <w:szCs w:val="24"/>
                <w:lang w:val="en-US" w:eastAsia="zh-CN"/>
              </w:rPr>
              <w:t xml:space="preserve">  外加剂原料理化性质</w:t>
            </w:r>
          </w:p>
          <w:tbl>
            <w:tblPr>
              <w:tblStyle w:val="3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8"/>
              <w:gridCol w:w="4055"/>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原料名称</w:t>
                  </w:r>
                </w:p>
              </w:tc>
              <w:tc>
                <w:tcPr>
                  <w:tcW w:w="30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理化性质</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聚乙二醇单甲醚丙烯酸酯：CH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lang w:val="en-US" w:eastAsia="zh-CN"/>
                    </w:rPr>
                    <w:t>O(CH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CH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O)</w:t>
                  </w:r>
                  <w:r>
                    <w:rPr>
                      <w:rFonts w:hint="default" w:ascii="Times New Roman" w:hAnsi="Times New Roman" w:eastAsia="宋体" w:cs="Times New Roman"/>
                      <w:b w:val="0"/>
                      <w:bCs w:val="0"/>
                      <w:color w:val="auto"/>
                      <w:sz w:val="21"/>
                      <w:szCs w:val="21"/>
                      <w:vertAlign w:val="subscript"/>
                      <w:lang w:val="en-US" w:eastAsia="zh-CN"/>
                    </w:rPr>
                    <w:t>n</w:t>
                  </w:r>
                  <w:r>
                    <w:rPr>
                      <w:rFonts w:hint="default" w:ascii="Times New Roman" w:hAnsi="Times New Roman" w:eastAsia="宋体" w:cs="Times New Roman"/>
                      <w:b w:val="0"/>
                      <w:bCs w:val="0"/>
                      <w:color w:val="auto"/>
                      <w:sz w:val="21"/>
                      <w:szCs w:val="21"/>
                      <w:lang w:val="en-US" w:eastAsia="zh-CN"/>
                    </w:rPr>
                    <w:t>COCH=CH</w:t>
                  </w:r>
                  <w:r>
                    <w:rPr>
                      <w:rFonts w:hint="default" w:ascii="Times New Roman" w:hAnsi="Times New Roman" w:eastAsia="宋体" w:cs="Times New Roman"/>
                      <w:b w:val="0"/>
                      <w:bCs w:val="0"/>
                      <w:color w:val="auto"/>
                      <w:sz w:val="21"/>
                      <w:szCs w:val="21"/>
                      <w:vertAlign w:val="subscript"/>
                      <w:lang w:val="en-US" w:eastAsia="zh-CN"/>
                    </w:rPr>
                    <w:t>2</w:t>
                  </w:r>
                </w:p>
              </w:tc>
              <w:tc>
                <w:tcPr>
                  <w:tcW w:w="30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1.性状：无色液体</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2.密度(g/mL，25℃)：1.0943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相对蒸汽密度(g/mL，空气=1)：&gt;14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熔点(ºC)：60-645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沸点(ºC，常压)：&gt;200</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用于建材工业中，作水泥高效减水剂、增强剂的原料。使用该原料合成的聚羧酸高效系减水剂有较强的水泥颗粒分散性保持能力，使产品具有掺量低、减水率高、增强效果好、耐久性、不锈蚀钢筋及对环境友好等优点。可应用在现场搅拌及远距离输送的高性能、高强度(C60以上)的商品混泥土中。</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大鼠经口LD50：22 mL/kg；</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兔子皮肤LD50：&gt;20 mL/kg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甲基丙烯酸：CH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vertAlign w:val="baseline"/>
                      <w:lang w:val="en-US" w:eastAsia="zh-CN"/>
                    </w:rPr>
                    <w:t>CCH</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baseline"/>
                      <w:lang w:val="en-US" w:eastAsia="zh-CN"/>
                    </w:rPr>
                    <w:t>COOCH</w:t>
                  </w:r>
                  <w:r>
                    <w:rPr>
                      <w:rFonts w:hint="default" w:ascii="Times New Roman" w:hAnsi="Times New Roman" w:eastAsia="宋体" w:cs="Times New Roman"/>
                      <w:b w:val="0"/>
                      <w:bCs w:val="0"/>
                      <w:color w:val="auto"/>
                      <w:sz w:val="21"/>
                      <w:szCs w:val="21"/>
                      <w:vertAlign w:val="subscript"/>
                      <w:lang w:val="en-US" w:eastAsia="zh-CN"/>
                    </w:rPr>
                    <w:t>3</w:t>
                  </w:r>
                </w:p>
              </w:tc>
              <w:tc>
                <w:tcPr>
                  <w:tcW w:w="30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分子量86.09，无色结晶或液体。沸点163°C，熔点16°C，蒸气压0.26kPa/25°C， 具有腐蚀性，相对密度1.0153/20°C/4°C，蒸气相对密度2.97，辛醇/水分配系数log Kow=0.93，溶于大部分有机溶剂中，水中溶解度89000mg/L/25°C.</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LD50小鼠经口1250 mg/kg，腹腔注射48mg/kg，大鼠经口1060mg/kg，在动物试验中，甲基丙烯酸具有</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致畸作用。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液碱（氢氧化钠）：NaOH</w:t>
                  </w:r>
                </w:p>
              </w:tc>
              <w:tc>
                <w:tcPr>
                  <w:tcW w:w="30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aOH是化学实验室其中一种必备的化学品，亦为常见的化工品之一。纯品是无色透明的晶体。密度2.130g/cm³。熔点318.4℃。沸点1390℃。工业品含有少量的氯化钠和碳酸钠，是白色不透明的晶体。有块状，片状，粒状和棒状等。式量40.01氢氧化钠在水处理中可作为碱性清洗剂，溶于乙醇和甘油，不溶于丙醇、乙醚。在高温下对碳钠也有腐蚀作用。与氯、溴、碘等卤素发生歧化反应，与酸类起中和作用而生成盐和水。</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硫酸：H</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4</w:t>
                  </w:r>
                </w:p>
              </w:tc>
              <w:tc>
                <w:tcPr>
                  <w:tcW w:w="30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i w:val="0"/>
                      <w:caps w:val="0"/>
                      <w:color w:val="333333"/>
                      <w:spacing w:val="0"/>
                      <w:sz w:val="21"/>
                      <w:szCs w:val="21"/>
                      <w:shd w:val="clear" w:color="auto" w:fill="FFFFFF"/>
                    </w:rPr>
                    <w:t>纯硫酸一般为无色油状液体，密度1.84 g/cm³，沸点337℃，能与水以任意比例互溶，同时放出大量的热，使水沸腾。加热到290℃时开始释放出三氧化硫，最终变成为98.54%的水溶液，在317℃时沸腾而成为共沸混合物。硫酸的沸点及粘度较高，是因为其分子内部的氢键较强的缘故。由于硫酸的介电常数较高，因此它是电解质的良好溶剂，而作为非电解质的溶剂则不太理想。硫酸的熔点是10.371℃，加水或加三氧化硫均会使凝固点下降。</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过硫酸钾：K</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vertAlign w:val="baseline"/>
                      <w:lang w:val="en-US" w:eastAsia="zh-CN"/>
                    </w:rPr>
                    <w:t>S</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vertAlign w:val="baseline"/>
                      <w:lang w:val="en-US" w:eastAsia="zh-CN"/>
                    </w:rPr>
                    <w:t>O</w:t>
                  </w:r>
                  <w:r>
                    <w:rPr>
                      <w:rFonts w:hint="default" w:ascii="Times New Roman" w:hAnsi="Times New Roman" w:eastAsia="宋体" w:cs="Times New Roman"/>
                      <w:b w:val="0"/>
                      <w:bCs w:val="0"/>
                      <w:color w:val="auto"/>
                      <w:sz w:val="21"/>
                      <w:szCs w:val="21"/>
                      <w:vertAlign w:val="subscript"/>
                      <w:lang w:val="en-US" w:eastAsia="zh-CN"/>
                    </w:rPr>
                    <w:t>8</w:t>
                  </w:r>
                </w:p>
              </w:tc>
              <w:tc>
                <w:tcPr>
                  <w:tcW w:w="30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外观与性状：白色结晶，无气味，有潮解性。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相对密度：2.477</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折射率：1.461(1.467)</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溶解性：溶于水，溶解速度比过硫酸铵慢，水溶液呈酸性，不溶于乙醇化学特性：加热时分解放出氧而变为焦硫酸钾，100℃时完全分解。在潮湿空气中亦分解。温度和pH值对分解速度制影响，温度越高，pH值对分解速度影响越小，有乳化剂和硫醇存在能加速分解。在碱性溶液中能使一些金属离子如Ni</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、Co</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、Pb</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、Mn</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形成黑色氧化物沉淀。有强氧化性和助凝性。与有机物或还原物混合会发生爆炸。</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毒性：无毒，粉末对鼻黏膜有刺激性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主要用途：用作漂白剂、氧化剂、照相药品、分析试剂、聚合促进剂等。</w:t>
                  </w:r>
                </w:p>
              </w:tc>
              <w:tc>
                <w:tcPr>
                  <w:tcW w:w="10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我公司承诺在正规厂家购买外加剂，外加剂均符合《混凝土外加剂》（GB8076-2008）标准要求，如因使用外加剂引起的一切环保纠纷由我公司承担。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2</w:t>
            </w:r>
            <w:r>
              <w:rPr>
                <w:rFonts w:hint="default" w:ascii="Times New Roman" w:hAnsi="Times New Roman" w:eastAsia="黑体" w:cs="Times New Roman"/>
                <w:color w:val="auto"/>
                <w:sz w:val="24"/>
                <w:szCs w:val="24"/>
                <w:highlight w:val="none"/>
                <w:lang w:val="en-US" w:eastAsia="zh-CN"/>
              </w:rPr>
              <w:t>）</w:t>
            </w:r>
            <w:r>
              <w:rPr>
                <w:rFonts w:hint="default" w:ascii="Times New Roman" w:hAnsi="Times New Roman" w:eastAsia="黑体" w:cs="Times New Roman"/>
                <w:color w:val="auto"/>
                <w:sz w:val="24"/>
                <w:szCs w:val="24"/>
                <w:lang w:val="en-US" w:eastAsia="zh-CN"/>
              </w:rPr>
              <w:t>水泥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主要成分名称、化学式依次为硅酸三钙3CaOSiO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、硅酸二钙2CaO</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SiO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、铝酸三钙3CaO</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A1</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、石膏等成分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其质</w:t>
            </w:r>
            <w:r>
              <w:rPr>
                <w:rFonts w:hint="default" w:ascii="Times New Roman" w:hAnsi="Times New Roman" w:eastAsia="宋体" w:cs="Times New Roman"/>
                <w:b w:val="0"/>
                <w:bCs w:val="0"/>
                <w:color w:val="auto"/>
                <w:sz w:val="24"/>
                <w:szCs w:val="24"/>
                <w:lang w:val="en-US" w:eastAsia="zh-CN"/>
              </w:rPr>
              <w:t>量要求满足《通用硅酸盐水泥》(GB175-2007)标准。水泥在生产加工过程中提供钙质材料</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贡献加气混凝土的强度</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主要作用是保证浇注的稳定性</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加速坯体的硬化和切割时的坯体塑性强度</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水泥通过汽运方式</w:t>
            </w:r>
            <w:r>
              <w:rPr>
                <w:rFonts w:hint="default" w:ascii="Times New Roman" w:hAnsi="Times New Roman" w:eastAsia="宋体" w:cs="Times New Roman"/>
                <w:b w:val="0"/>
                <w:bCs w:val="0"/>
                <w:color w:val="auto"/>
                <w:sz w:val="24"/>
                <w:szCs w:val="24"/>
                <w:highlight w:val="none"/>
                <w:lang w:val="en-US" w:eastAsia="zh-CN"/>
              </w:rPr>
              <w:t>输送至</w:t>
            </w:r>
            <w:r>
              <w:rPr>
                <w:rFonts w:hint="default" w:ascii="Times New Roman" w:hAnsi="Times New Roman" w:cs="Times New Roman"/>
                <w:b w:val="0"/>
                <w:bCs w:val="0"/>
                <w:color w:val="auto"/>
                <w:sz w:val="24"/>
                <w:szCs w:val="24"/>
                <w:highlight w:val="none"/>
                <w:lang w:val="en-US" w:eastAsia="zh-CN"/>
              </w:rPr>
              <w:t>筒仓</w:t>
            </w:r>
            <w:r>
              <w:rPr>
                <w:rFonts w:hint="default"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3</w:t>
            </w:r>
            <w:r>
              <w:rPr>
                <w:rFonts w:hint="default" w:ascii="Times New Roman" w:hAnsi="Times New Roman" w:eastAsia="黑体" w:cs="Times New Roman"/>
                <w:color w:val="auto"/>
                <w:sz w:val="24"/>
                <w:szCs w:val="24"/>
                <w:highlight w:val="none"/>
                <w:lang w:val="en-US" w:eastAsia="zh-CN"/>
              </w:rPr>
              <w:t>）</w:t>
            </w:r>
            <w:r>
              <w:rPr>
                <w:rFonts w:hint="default" w:ascii="Times New Roman" w:hAnsi="Times New Roman" w:eastAsia="黑体" w:cs="Times New Roman"/>
                <w:color w:val="auto"/>
                <w:sz w:val="24"/>
                <w:szCs w:val="24"/>
                <w:lang w:val="en-US" w:eastAsia="zh-CN"/>
              </w:rPr>
              <w:t>粉煤灰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是一种人工火山灰质混合材料，它本身略有或没有水硬胶凝性能，但当以粉状及水存在时，能在常温，特别是在水热处理(蒸汽养护)条件下，与氢氧化钙或其它碱土金属氢氧化物发生化学反应，生成具有水硬胶凝性能的化合物，成为一种增加强度和耐久性的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4）</w:t>
            </w:r>
            <w:r>
              <w:rPr>
                <w:rFonts w:hint="eastAsia" w:ascii="Times New Roman" w:hAnsi="Times New Roman" w:eastAsia="黑体" w:cs="Times New Roman"/>
                <w:color w:val="auto"/>
                <w:sz w:val="24"/>
                <w:szCs w:val="24"/>
                <w:lang w:val="en-US" w:eastAsia="zh-CN"/>
              </w:rPr>
              <w:t>矿粉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ascii="Segoe UI" w:hAnsi="Segoe UI" w:eastAsia="Segoe UI" w:cs="Segoe UI"/>
                <w:i w:val="0"/>
                <w:iCs w:val="0"/>
                <w:caps w:val="0"/>
                <w:color w:val="333333"/>
                <w:spacing w:val="0"/>
                <w:sz w:val="24"/>
                <w:szCs w:val="24"/>
                <w:shd w:val="clear" w:color="auto" w:fill="FFFFFF"/>
              </w:rPr>
              <w:t>矿粉实际是粒化高炉矿渣粉的简称。以粒化高炉矿渣为主要原料，可掺加少量石膏磨制成一定细度的粉体，称做粒化高炉矿渣粉，简称矿渣粉。</w:t>
            </w:r>
            <w:r>
              <w:rPr>
                <w:rFonts w:hint="eastAsia" w:ascii="Times New Roman" w:hAnsi="Times New Roman" w:eastAsia="宋体" w:cs="Times New Roman"/>
                <w:b w:val="0"/>
                <w:bCs w:val="0"/>
                <w:color w:val="auto"/>
                <w:sz w:val="24"/>
                <w:szCs w:val="24"/>
                <w:lang w:val="en-US" w:eastAsia="zh-CN"/>
              </w:rPr>
              <w:t>矿粉的主要成分有</w:t>
            </w:r>
            <w:r>
              <w:rPr>
                <w:rFonts w:hint="eastAsia" w:ascii="Times New Roman" w:hAnsi="Times New Roman" w:eastAsia="宋体" w:cs="Times New Roman"/>
                <w:b w:val="0"/>
                <w:bCs w:val="0"/>
                <w:color w:val="auto"/>
                <w:sz w:val="24"/>
                <w:szCs w:val="24"/>
                <w:lang w:val="en-US" w:eastAsia="zh-CN"/>
              </w:rPr>
              <w:fldChar w:fldCharType="begin"/>
            </w:r>
            <w:r>
              <w:rPr>
                <w:rFonts w:hint="eastAsia" w:ascii="Times New Roman" w:hAnsi="Times New Roman" w:eastAsia="宋体" w:cs="Times New Roman"/>
                <w:b w:val="0"/>
                <w:bCs w:val="0"/>
                <w:color w:val="auto"/>
                <w:sz w:val="24"/>
                <w:szCs w:val="24"/>
                <w:lang w:val="en-US" w:eastAsia="zh-CN"/>
              </w:rPr>
              <w:instrText xml:space="preserve"> HYPERLINK "http://www.so.com/s?q=%E6%B0%A7%E5%8C%96%E9%92%99&amp;ie=utf-8&amp;src=internal_wenda_recommend_textn" \t "https://wenda.so.com/q/_blank" </w:instrText>
            </w:r>
            <w:r>
              <w:rPr>
                <w:rFonts w:hint="eastAsia" w:ascii="Times New Roman" w:hAnsi="Times New Roman" w:eastAsia="宋体" w:cs="Times New Roman"/>
                <w:b w:val="0"/>
                <w:bCs w:val="0"/>
                <w:color w:val="auto"/>
                <w:sz w:val="24"/>
                <w:szCs w:val="24"/>
                <w:lang w:val="en-US" w:eastAsia="zh-CN"/>
              </w:rPr>
              <w:fldChar w:fldCharType="separate"/>
            </w:r>
            <w:r>
              <w:rPr>
                <w:rFonts w:hint="eastAsia" w:ascii="Times New Roman" w:hAnsi="Times New Roman" w:eastAsia="宋体" w:cs="Times New Roman"/>
                <w:b w:val="0"/>
                <w:bCs w:val="0"/>
                <w:color w:val="auto"/>
                <w:sz w:val="24"/>
                <w:szCs w:val="24"/>
                <w:lang w:val="en-US" w:eastAsia="zh-CN"/>
              </w:rPr>
              <w:t>氧化钙</w:t>
            </w:r>
            <w:r>
              <w:rPr>
                <w:rFonts w:hint="eastAsia" w:ascii="Times New Roman" w:hAnsi="Times New Roman" w:eastAsia="宋体" w:cs="Times New Roman"/>
                <w:b w:val="0"/>
                <w:bCs w:val="0"/>
                <w:color w:val="auto"/>
                <w:sz w:val="24"/>
                <w:szCs w:val="24"/>
                <w:lang w:val="en-US" w:eastAsia="zh-CN"/>
              </w:rPr>
              <w:fldChar w:fldCharType="end"/>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fldChar w:fldCharType="begin"/>
            </w:r>
            <w:r>
              <w:rPr>
                <w:rFonts w:hint="eastAsia" w:ascii="Times New Roman" w:hAnsi="Times New Roman" w:eastAsia="宋体" w:cs="Times New Roman"/>
                <w:b w:val="0"/>
                <w:bCs w:val="0"/>
                <w:color w:val="auto"/>
                <w:sz w:val="24"/>
                <w:szCs w:val="24"/>
                <w:lang w:val="en-US" w:eastAsia="zh-CN"/>
              </w:rPr>
              <w:instrText xml:space="preserve"> HYPERLINK "http://www.so.com/s?q=%E4%BA%8C%E6%B0%A7%E5%8C%96%E7%A1%85&amp;ie=utf-8&amp;src=internal_wenda_recommend_textn" \t "https://wenda.so.com/q/_blank" </w:instrText>
            </w:r>
            <w:r>
              <w:rPr>
                <w:rFonts w:hint="eastAsia" w:ascii="Times New Roman" w:hAnsi="Times New Roman" w:eastAsia="宋体" w:cs="Times New Roman"/>
                <w:b w:val="0"/>
                <w:bCs w:val="0"/>
                <w:color w:val="auto"/>
                <w:sz w:val="24"/>
                <w:szCs w:val="24"/>
                <w:lang w:val="en-US" w:eastAsia="zh-CN"/>
              </w:rPr>
              <w:fldChar w:fldCharType="separate"/>
            </w:r>
            <w:r>
              <w:rPr>
                <w:rFonts w:hint="eastAsia" w:ascii="Times New Roman" w:hAnsi="Times New Roman" w:eastAsia="宋体" w:cs="Times New Roman"/>
                <w:b w:val="0"/>
                <w:bCs w:val="0"/>
                <w:color w:val="auto"/>
                <w:sz w:val="24"/>
                <w:szCs w:val="24"/>
                <w:lang w:val="en-US" w:eastAsia="zh-CN"/>
              </w:rPr>
              <w:t>二氧化硅</w:t>
            </w:r>
            <w:r>
              <w:rPr>
                <w:rFonts w:hint="eastAsia" w:ascii="Times New Roman" w:hAnsi="Times New Roman" w:eastAsia="宋体" w:cs="Times New Roman"/>
                <w:b w:val="0"/>
                <w:bCs w:val="0"/>
                <w:color w:val="auto"/>
                <w:sz w:val="24"/>
                <w:szCs w:val="24"/>
                <w:lang w:val="en-US" w:eastAsia="zh-CN"/>
              </w:rPr>
              <w:fldChar w:fldCharType="end"/>
            </w:r>
            <w:r>
              <w:rPr>
                <w:rFonts w:hint="eastAsia" w:ascii="Times New Roman" w:hAnsi="Times New Roman" w:eastAsia="宋体" w:cs="Times New Roman"/>
                <w:b w:val="0"/>
                <w:bCs w:val="0"/>
                <w:color w:val="auto"/>
                <w:sz w:val="24"/>
                <w:szCs w:val="24"/>
                <w:lang w:val="en-US" w:eastAsia="zh-CN"/>
              </w:rPr>
              <w:t>、三氧化二铝、</w:t>
            </w:r>
            <w:r>
              <w:rPr>
                <w:rFonts w:hint="eastAsia" w:ascii="Times New Roman" w:hAnsi="Times New Roman" w:eastAsia="宋体" w:cs="Times New Roman"/>
                <w:b w:val="0"/>
                <w:bCs w:val="0"/>
                <w:color w:val="auto"/>
                <w:sz w:val="24"/>
                <w:szCs w:val="24"/>
                <w:lang w:val="en-US" w:eastAsia="zh-CN"/>
              </w:rPr>
              <w:fldChar w:fldCharType="begin"/>
            </w:r>
            <w:r>
              <w:rPr>
                <w:rFonts w:hint="eastAsia" w:ascii="Times New Roman" w:hAnsi="Times New Roman" w:eastAsia="宋体" w:cs="Times New Roman"/>
                <w:b w:val="0"/>
                <w:bCs w:val="0"/>
                <w:color w:val="auto"/>
                <w:sz w:val="24"/>
                <w:szCs w:val="24"/>
                <w:lang w:val="en-US" w:eastAsia="zh-CN"/>
              </w:rPr>
              <w:instrText xml:space="preserve"> HYPERLINK "http://www.so.com/s?q=%E6%B0%A7%E5%8C%96%E9%95%81&amp;ie=utf-8&amp;src=internal_wenda_recommend_textn" \t "https://wenda.so.com/q/_blank" </w:instrText>
            </w:r>
            <w:r>
              <w:rPr>
                <w:rFonts w:hint="eastAsia" w:ascii="Times New Roman" w:hAnsi="Times New Roman" w:eastAsia="宋体" w:cs="Times New Roman"/>
                <w:b w:val="0"/>
                <w:bCs w:val="0"/>
                <w:color w:val="auto"/>
                <w:sz w:val="24"/>
                <w:szCs w:val="24"/>
                <w:lang w:val="en-US" w:eastAsia="zh-CN"/>
              </w:rPr>
              <w:fldChar w:fldCharType="separate"/>
            </w:r>
            <w:r>
              <w:rPr>
                <w:rFonts w:hint="eastAsia" w:ascii="Times New Roman" w:hAnsi="Times New Roman" w:eastAsia="宋体" w:cs="Times New Roman"/>
                <w:b w:val="0"/>
                <w:bCs w:val="0"/>
                <w:color w:val="auto"/>
                <w:sz w:val="24"/>
                <w:szCs w:val="24"/>
                <w:lang w:val="en-US" w:eastAsia="zh-CN"/>
              </w:rPr>
              <w:t>氧化镁</w:t>
            </w:r>
            <w:r>
              <w:rPr>
                <w:rFonts w:hint="eastAsia" w:ascii="Times New Roman" w:hAnsi="Times New Roman" w:eastAsia="宋体" w:cs="Times New Roman"/>
                <w:b w:val="0"/>
                <w:bCs w:val="0"/>
                <w:color w:val="auto"/>
                <w:sz w:val="24"/>
                <w:szCs w:val="24"/>
                <w:lang w:val="en-US" w:eastAsia="zh-CN"/>
              </w:rPr>
              <w:fldChar w:fldCharType="end"/>
            </w:r>
            <w:r>
              <w:rPr>
                <w:rFonts w:hint="eastAsia" w:ascii="Times New Roman" w:hAnsi="Times New Roman" w:eastAsia="宋体"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5）鹅卵石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本项目外购鹅卵石进行破碎，主要化学成分是氧化硅，其次是少量的氧化铁和微量的猛、铜、镁等元素及化合物。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lang w:val="en-US" w:eastAsia="zh-CN"/>
              </w:rPr>
              <w:t>6）柴油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柴油为轻质石油产品，主要是由烷烃烯烃环烷烃芳香烃多环芳烃与少量硫(2～60g/kg)氮(&lt;1g/kg)及添加剂组成的混合物与汽油相比，柴油能量密度高，燃油消耗率低，但废气中含有害成分（NO，颗粒物等）较多，其含硫量为0.08%本项目的柴油为导热油锅炉燃料和燃烧器燃烧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外观与性状：稍有粘性的棕色液体。熔点</w:t>
            </w:r>
            <w:r>
              <w:rPr>
                <w:rFonts w:hint="default" w:ascii="Times New Roman" w:hAnsi="Times New Roman" w:cs="Times New Roman"/>
                <w:sz w:val="24"/>
                <w:szCs w:val="24"/>
                <w:lang w:eastAsia="zh-CN"/>
              </w:rPr>
              <w:t>（℃）</w:t>
            </w:r>
            <w:r>
              <w:rPr>
                <w:rFonts w:hint="default" w:ascii="Times New Roman" w:hAnsi="Times New Roman" w:cs="Times New Roman"/>
                <w:sz w:val="24"/>
                <w:szCs w:val="24"/>
              </w:rPr>
              <w:t>：-18，沸点</w:t>
            </w:r>
            <w:r>
              <w:rPr>
                <w:rFonts w:hint="default" w:ascii="Times New Roman" w:hAnsi="Times New Roman" w:cs="Times New Roman"/>
                <w:sz w:val="24"/>
                <w:szCs w:val="24"/>
                <w:lang w:eastAsia="zh-CN"/>
              </w:rPr>
              <w:t>（℃）</w:t>
            </w:r>
            <w:r>
              <w:rPr>
                <w:rFonts w:hint="default" w:ascii="Times New Roman" w:hAnsi="Times New Roman" w:cs="Times New Roman"/>
                <w:sz w:val="24"/>
                <w:szCs w:val="24"/>
              </w:rPr>
              <w:t>：282～338，相对密度(水=1)：0.85～0.9，燃烧性：易燃建规火险分级：乙，闪点</w:t>
            </w:r>
            <w:r>
              <w:rPr>
                <w:rFonts w:hint="default" w:ascii="Times New Roman" w:hAnsi="Times New Roman" w:cs="Times New Roman"/>
                <w:sz w:val="24"/>
                <w:szCs w:val="24"/>
                <w:lang w:eastAsia="zh-CN"/>
              </w:rPr>
              <w:t>（℃）</w:t>
            </w:r>
            <w:r>
              <w:rPr>
                <w:rFonts w:hint="default" w:ascii="Times New Roman" w:hAnsi="Times New Roman" w:cs="Times New Roman"/>
                <w:sz w:val="24"/>
                <w:szCs w:val="24"/>
              </w:rPr>
              <w:t>：55。自燃温度</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eastAsia="zh-CN"/>
              </w:rPr>
              <w:t>）</w:t>
            </w:r>
            <w:r>
              <w:rPr>
                <w:rFonts w:hint="default" w:ascii="Times New Roman" w:hAnsi="Times New Roman" w:cs="Times New Roman"/>
                <w:sz w:val="24"/>
                <w:szCs w:val="24"/>
              </w:rPr>
              <w:t>：引燃温度</w:t>
            </w:r>
            <w:r>
              <w:rPr>
                <w:rFonts w:hint="default" w:ascii="Times New Roman" w:hAnsi="Times New Roman" w:cs="Times New Roman"/>
                <w:sz w:val="24"/>
                <w:szCs w:val="24"/>
                <w:lang w:eastAsia="zh-CN"/>
              </w:rPr>
              <w:t>（</w:t>
            </w:r>
            <w:r>
              <w:rPr>
                <w:rFonts w:hint="default" w:ascii="Times New Roman" w:hAnsi="Times New Roman" w:cs="Times New Roman"/>
                <w:sz w:val="24"/>
                <w:szCs w:val="24"/>
              </w:rPr>
              <w:t>℃</w:t>
            </w:r>
            <w:r>
              <w:rPr>
                <w:rFonts w:hint="default" w:ascii="Times New Roman" w:hAnsi="Times New Roman" w:cs="Times New Roman"/>
                <w:sz w:val="24"/>
                <w:szCs w:val="24"/>
                <w:lang w:eastAsia="zh-CN"/>
              </w:rPr>
              <w:t>）</w:t>
            </w:r>
            <w:r>
              <w:rPr>
                <w:rFonts w:hint="default" w:ascii="Times New Roman" w:hAnsi="Times New Roman" w:cs="Times New Roman"/>
                <w:sz w:val="24"/>
                <w:szCs w:val="24"/>
              </w:rPr>
              <w:t>：257。</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sz w:val="24"/>
                <w:szCs w:val="24"/>
              </w:rPr>
              <w:t>危险特性：遇明火高热或与氧化剂接触，有引起燃烧爆炸的危险。若遇高热，容器内压增大，有开裂和爆炸的危险。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eastAsia="黑体" w:cs="Times New Roman"/>
                <w:color w:val="auto"/>
                <w:sz w:val="24"/>
                <w:szCs w:val="24"/>
                <w:lang w:val="en-US" w:eastAsia="zh-CN"/>
              </w:rPr>
              <w:t>7）商品混凝土</w:t>
            </w:r>
            <w:r>
              <w:rPr>
                <w:rFonts w:hint="default" w:ascii="Times New Roman" w:hAnsi="Times New Roman" w:cs="Times New Roman"/>
                <w:b w:val="0"/>
                <w:bCs w:val="0"/>
                <w:color w:val="auto"/>
                <w:sz w:val="24"/>
                <w:szCs w:val="24"/>
                <w:lang w:val="en-US" w:eastAsia="zh-CN"/>
              </w:rPr>
              <w:t>（产品，交货时为塑性、流态状）：是指由水泥、集料（砂、石子）、水以及根据需要掺入的外加剂和掺合料等组份按一定比例，在集中搅拌站经计量、拌制后，以商品出售的，并采用专用器具在规定时间内运送到使用地点的混凝土拌合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八、公用工程</w:t>
            </w:r>
          </w:p>
          <w:p>
            <w:pPr>
              <w:spacing w:line="360" w:lineRule="auto"/>
              <w:ind w:firstLine="480" w:firstLineChars="200"/>
              <w:rPr>
                <w:sz w:val="24"/>
              </w:rPr>
            </w:pPr>
            <w:r>
              <w:rPr>
                <w:rFonts w:hint="eastAsia"/>
                <w:sz w:val="24"/>
              </w:rPr>
              <w:t>（1）</w:t>
            </w:r>
            <w:r>
              <w:rPr>
                <w:sz w:val="24"/>
              </w:rPr>
              <w:t>给水</w:t>
            </w:r>
          </w:p>
          <w:p>
            <w:pPr>
              <w:spacing w:line="360" w:lineRule="auto"/>
              <w:ind w:firstLine="480" w:firstLineChars="200"/>
              <w:rPr>
                <w:sz w:val="24"/>
              </w:rPr>
            </w:pPr>
            <w:r>
              <w:rPr>
                <w:sz w:val="24"/>
              </w:rPr>
              <w:t>本项目采用</w:t>
            </w:r>
            <w:r>
              <w:rPr>
                <w:rFonts w:hint="eastAsia"/>
                <w:sz w:val="24"/>
              </w:rPr>
              <w:t>园区</w:t>
            </w:r>
            <w:r>
              <w:rPr>
                <w:sz w:val="24"/>
              </w:rPr>
              <w:t>自来水，水质符合国家水标准。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TimesNewRomanPSMT" w:cs="Times New Roman"/>
                <w:color w:val="auto"/>
                <w:sz w:val="24"/>
              </w:rPr>
              <w:t>2</w:t>
            </w:r>
            <w:r>
              <w:rPr>
                <w:rFonts w:hint="default" w:ascii="Times New Roman" w:hAnsi="Times New Roman" w:eastAsia="宋体" w:cs="Times New Roman"/>
                <w:color w:val="auto"/>
                <w:sz w:val="24"/>
              </w:rPr>
              <w:t>）排水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rPr>
            </w:pPr>
            <w:r>
              <w:rPr>
                <w:rFonts w:hint="default" w:ascii="Times New Roman" w:hAnsi="Times New Roman" w:cs="Times New Roman"/>
                <w:bCs/>
                <w:color w:val="000000"/>
                <w:kern w:val="0"/>
                <w:sz w:val="24"/>
                <w:lang w:val="en-US" w:eastAsia="zh-CN"/>
              </w:rPr>
              <w:t>①生活污水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Cs/>
                <w:color w:val="000000"/>
                <w:kern w:val="0"/>
                <w:sz w:val="24"/>
                <w:lang w:val="en-US" w:eastAsia="zh-CN"/>
              </w:rPr>
              <w:t>项目营运期工作人员生活用水量为</w:t>
            </w:r>
            <w:r>
              <w:rPr>
                <w:rFonts w:hint="eastAsia" w:ascii="Times New Roman" w:hAnsi="Times New Roman" w:cs="Times New Roman"/>
                <w:bCs/>
                <w:color w:val="000000"/>
                <w:kern w:val="0"/>
                <w:sz w:val="24"/>
                <w:lang w:val="en-US" w:eastAsia="zh-CN"/>
              </w:rPr>
              <w:t>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cs="Times New Roman"/>
                <w:bCs/>
                <w:color w:val="000000"/>
                <w:kern w:val="0"/>
                <w:sz w:val="24"/>
                <w:lang w:val="en-US" w:eastAsia="zh-CN"/>
              </w:rPr>
              <w:t>/d，</w:t>
            </w:r>
            <w:r>
              <w:rPr>
                <w:rFonts w:hint="default" w:ascii="Times New Roman" w:hAnsi="Times New Roman" w:eastAsia="宋体" w:cs="Times New Roman"/>
                <w:color w:val="auto"/>
                <w:sz w:val="24"/>
              </w:rPr>
              <w:t>生活</w:t>
            </w:r>
            <w:r>
              <w:rPr>
                <w:rFonts w:hint="default" w:ascii="Times New Roman" w:hAnsi="Times New Roman" w:eastAsia="宋体" w:cs="Times New Roman"/>
                <w:color w:val="auto"/>
                <w:sz w:val="24"/>
                <w:lang w:eastAsia="zh-CN"/>
              </w:rPr>
              <w:t>废水</w:t>
            </w:r>
            <w:r>
              <w:rPr>
                <w:rFonts w:hint="default" w:ascii="Times New Roman" w:hAnsi="Times New Roman" w:eastAsia="宋体" w:cs="Times New Roman"/>
                <w:color w:val="auto"/>
                <w:sz w:val="24"/>
              </w:rPr>
              <w:t>按照用水量</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%计</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日产生量约为</w:t>
            </w:r>
            <w:r>
              <w:rPr>
                <w:rFonts w:hint="eastAsia" w:ascii="Times New Roman" w:hAnsi="Times New Roman" w:eastAsia="宋体" w:cs="Times New Roman"/>
                <w:color w:val="auto"/>
                <w:sz w:val="24"/>
                <w:lang w:val="en-US" w:eastAsia="zh-CN"/>
              </w:rPr>
              <w:t>4.5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color w:val="auto"/>
                <w:sz w:val="24"/>
              </w:rPr>
              <w:t>/d</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1.50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a，本项目设置污水预处理池（50m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）（食堂设置隔油池），生活污水经污水预处理池处理后进入园区污水管网，经园区污水处理厂处理后排入大渡河。</w:t>
            </w:r>
          </w:p>
          <w:p>
            <w:pPr>
              <w:adjustRightInd w:val="0"/>
              <w:snapToGrid w:val="0"/>
              <w:spacing w:line="360" w:lineRule="auto"/>
              <w:ind w:firstLine="480" w:firstLineChars="200"/>
              <w:jc w:val="left"/>
              <w:rPr>
                <w:rFonts w:hint="default" w:ascii="Times New Roman" w:hAnsi="Times New Roman" w:eastAsia="宋体" w:cs="Times New Roman"/>
                <w:color w:val="auto"/>
                <w:sz w:val="24"/>
                <w:lang w:val="en-US"/>
              </w:rPr>
            </w:pPr>
            <w:r>
              <w:rPr>
                <w:rFonts w:hint="default" w:ascii="Times New Roman" w:hAnsi="Times New Roman" w:cs="Times New Roman"/>
                <w:bCs/>
                <w:color w:val="000000"/>
                <w:kern w:val="0"/>
                <w:sz w:val="24"/>
                <w:szCs w:val="24"/>
                <w:lang w:val="en-US" w:eastAsia="zh-CN"/>
              </w:rPr>
              <w:t>②初期雨水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kern w:val="0"/>
                <w:sz w:val="24"/>
                <w:szCs w:val="24"/>
                <w:lang w:val="en-US" w:eastAsia="zh-CN"/>
              </w:rPr>
            </w:pPr>
            <w:r>
              <w:rPr>
                <w:rFonts w:hint="default" w:ascii="Times New Roman" w:hAnsi="Times New Roman" w:eastAsia="宋体" w:cs="Times New Roman"/>
                <w:color w:val="auto"/>
                <w:sz w:val="24"/>
              </w:rPr>
              <w:t>场内设置雨水沟，初期雨水通过场地雨水沟排入厂区内</w:t>
            </w:r>
            <w:r>
              <w:rPr>
                <w:rFonts w:hint="eastAsia" w:ascii="Times New Roman" w:hAnsi="Times New Roman" w:eastAsia="宋体" w:cs="Times New Roman"/>
                <w:color w:val="auto"/>
                <w:sz w:val="24"/>
                <w:lang w:val="en-US" w:eastAsia="zh-CN"/>
              </w:rPr>
              <w:t>初期雨水</w:t>
            </w:r>
            <w:r>
              <w:rPr>
                <w:rFonts w:hint="default" w:ascii="Times New Roman" w:hAnsi="Times New Roman" w:eastAsia="宋体" w:cs="Times New Roman"/>
                <w:color w:val="auto"/>
                <w:sz w:val="24"/>
              </w:rPr>
              <w:t>沉淀池</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lang w:val="en-US" w:eastAsia="zh-CN"/>
              </w:rPr>
              <w:t>0m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）沉淀</w:t>
            </w:r>
            <w:r>
              <w:rPr>
                <w:rFonts w:hint="default" w:ascii="Times New Roman" w:hAnsi="Times New Roman" w:eastAsia="宋体" w:cs="Times New Roman"/>
                <w:color w:val="auto"/>
                <w:sz w:val="24"/>
              </w:rPr>
              <w:t>处理后回用</w:t>
            </w:r>
            <w:r>
              <w:rPr>
                <w:rFonts w:hint="default" w:ascii="Times New Roman" w:hAnsi="Times New Roman" w:eastAsia="宋体" w:cs="Times New Roman"/>
                <w:color w:val="auto"/>
                <w:sz w:val="24"/>
                <w:lang w:eastAsia="zh-CN"/>
              </w:rPr>
              <w:t>。</w:t>
            </w:r>
          </w:p>
          <w:p>
            <w:pPr>
              <w:adjustRightInd w:val="0"/>
              <w:snapToGrid w:val="0"/>
              <w:spacing w:line="360" w:lineRule="auto"/>
              <w:ind w:firstLine="480" w:firstLineChars="200"/>
              <w:jc w:val="left"/>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③砂石生产线废水</w:t>
            </w:r>
          </w:p>
          <w:p>
            <w:pPr>
              <w:adjustRightInd w:val="0"/>
              <w:snapToGrid w:val="0"/>
              <w:spacing w:line="360" w:lineRule="auto"/>
              <w:ind w:firstLine="480" w:firstLineChars="200"/>
              <w:jc w:val="left"/>
              <w:rPr>
                <w:rFonts w:hint="default" w:ascii="Times New Roman" w:hAnsi="Times New Roman" w:cs="Times New Roman"/>
                <w:color w:val="000000"/>
                <w:sz w:val="24"/>
                <w:szCs w:val="24"/>
                <w:lang w:val="en-US" w:eastAsia="zh-CN"/>
              </w:rPr>
            </w:pPr>
            <w:r>
              <w:rPr>
                <w:rFonts w:hint="default" w:ascii="Times New Roman" w:hAnsi="Times New Roman" w:cs="Times New Roman"/>
                <w:bCs/>
                <w:color w:val="000000"/>
                <w:kern w:val="0"/>
                <w:sz w:val="24"/>
                <w:lang w:val="en-US" w:eastAsia="zh-CN"/>
              </w:rPr>
              <w:t>项目</w:t>
            </w:r>
            <w:r>
              <w:rPr>
                <w:rFonts w:hint="default" w:ascii="Times New Roman" w:hAnsi="Times New Roman" w:cs="Times New Roman"/>
                <w:color w:val="000000"/>
                <w:sz w:val="24"/>
                <w:szCs w:val="24"/>
                <w:lang w:val="en-US" w:eastAsia="zh-CN"/>
              </w:rPr>
              <w:t>砂石生产区域</w:t>
            </w:r>
            <w:r>
              <w:rPr>
                <w:rFonts w:hint="default" w:ascii="Times New Roman" w:hAnsi="Times New Roman" w:cs="Times New Roman"/>
                <w:bCs/>
                <w:color w:val="000000"/>
                <w:kern w:val="0"/>
                <w:sz w:val="24"/>
                <w:lang w:val="en-US" w:eastAsia="zh-CN"/>
              </w:rPr>
              <w:t>设置1套砂石废水处理系统</w:t>
            </w:r>
            <w:r>
              <w:rPr>
                <w:rFonts w:hint="default" w:ascii="Times New Roman" w:hAnsi="Times New Roman" w:eastAsia="宋体" w:cs="Times New Roman"/>
                <w:sz w:val="24"/>
                <w:szCs w:val="24"/>
              </w:rPr>
              <w:t>（</w:t>
            </w:r>
            <w:r>
              <w:rPr>
                <w:rFonts w:hint="eastAsia"/>
                <w:sz w:val="24"/>
                <w:szCs w:val="24"/>
                <w:lang w:val="en-US" w:eastAsia="zh-CN"/>
              </w:rPr>
              <w:t>砂石废水浓密设施+沉淀系统</w:t>
            </w:r>
            <w:r>
              <w:rPr>
                <w:rFonts w:hint="default" w:ascii="Times New Roman" w:hAnsi="Times New Roman" w:eastAsia="宋体" w:cs="Times New Roman"/>
                <w:sz w:val="24"/>
                <w:szCs w:val="24"/>
              </w:rPr>
              <w:t>）</w:t>
            </w:r>
            <w:r>
              <w:rPr>
                <w:rFonts w:hint="default" w:ascii="Times New Roman" w:hAnsi="Times New Roman" w:cs="Times New Roman"/>
                <w:bCs/>
                <w:color w:val="000000"/>
                <w:kern w:val="0"/>
                <w:sz w:val="24"/>
                <w:lang w:val="en-US" w:eastAsia="zh-CN"/>
              </w:rPr>
              <w:t>，处理量</w:t>
            </w:r>
            <w:r>
              <w:rPr>
                <w:rFonts w:hint="eastAsia" w:ascii="Times New Roman" w:hAnsi="Times New Roman" w:cs="Times New Roman"/>
                <w:bCs/>
                <w:color w:val="000000"/>
                <w:kern w:val="0"/>
                <w:sz w:val="24"/>
                <w:lang w:val="en-US" w:eastAsia="zh-CN"/>
              </w:rPr>
              <w:t>1200m</w:t>
            </w:r>
            <w:r>
              <w:rPr>
                <w:rFonts w:hint="default" w:ascii="Times New Roman" w:hAnsi="Times New Roman" w:cs="Times New Roman"/>
                <w:bCs/>
                <w:color w:val="auto"/>
                <w:kern w:val="0"/>
                <w:sz w:val="24"/>
                <w:vertAlign w:val="superscript"/>
                <w:lang w:val="en-US" w:eastAsia="zh-CN"/>
              </w:rPr>
              <w:t>3</w:t>
            </w:r>
            <w:r>
              <w:rPr>
                <w:rFonts w:hint="default" w:ascii="Times New Roman" w:hAnsi="Times New Roman" w:cs="Times New Roman"/>
                <w:bCs/>
                <w:color w:val="auto"/>
                <w:kern w:val="0"/>
                <w:sz w:val="24"/>
                <w:vertAlign w:val="baseline"/>
                <w:lang w:val="en-US" w:eastAsia="zh-CN"/>
              </w:rPr>
              <w:t>/d</w:t>
            </w:r>
            <w:r>
              <w:rPr>
                <w:rFonts w:hint="default" w:ascii="Times New Roman" w:hAnsi="Times New Roman" w:cs="Times New Roman"/>
                <w:bCs/>
                <w:color w:val="auto"/>
                <w:kern w:val="0"/>
                <w:sz w:val="24"/>
                <w:lang w:val="en-US" w:eastAsia="zh-CN"/>
              </w:rPr>
              <w:t>，沉淀</w:t>
            </w:r>
            <w:r>
              <w:rPr>
                <w:rFonts w:hint="default" w:ascii="Times New Roman" w:hAnsi="Times New Roman" w:cs="Times New Roman"/>
                <w:bCs/>
                <w:color w:val="000000"/>
                <w:kern w:val="0"/>
                <w:sz w:val="24"/>
                <w:lang w:val="en-US" w:eastAsia="zh-CN"/>
              </w:rPr>
              <w:t>后清水回用于项目生产过程中，不外排。洒水除尘用水自然蒸发不外排。</w:t>
            </w:r>
          </w:p>
          <w:p>
            <w:pPr>
              <w:spacing w:line="360" w:lineRule="auto"/>
              <w:ind w:firstLine="480" w:firstLineChars="200"/>
              <w:rPr>
                <w:rFonts w:hint="default" w:ascii="Times New Roman" w:hAnsi="Times New Roman" w:eastAsia="宋体" w:cs="Times New Roman"/>
                <w:sz w:val="24"/>
                <w:lang w:val="en-US"/>
              </w:rPr>
            </w:pPr>
            <w:r>
              <w:rPr>
                <w:rFonts w:hint="default" w:ascii="Times New Roman" w:hAnsi="Times New Roman" w:eastAsia="宋体" w:cs="Times New Roman"/>
                <w:sz w:val="24"/>
                <w:lang w:val="en-US" w:eastAsia="zh-CN"/>
              </w:rPr>
              <w:t>④混凝土生产线废水</w:t>
            </w:r>
          </w:p>
          <w:p>
            <w:pPr>
              <w:spacing w:line="360" w:lineRule="auto"/>
              <w:ind w:firstLine="480" w:firstLineChars="200"/>
              <w:rPr>
                <w:rFonts w:hint="eastAsia" w:ascii="Times New Roman" w:hAnsi="Times New Roman" w:eastAsia="宋体" w:cs="Times New Roman"/>
                <w:sz w:val="24"/>
              </w:rPr>
            </w:pPr>
            <w:r>
              <w:rPr>
                <w:rFonts w:hint="default" w:ascii="Times New Roman" w:hAnsi="Times New Roman" w:eastAsia="宋体" w:cs="Times New Roman"/>
                <w:sz w:val="24"/>
              </w:rPr>
              <w:t>搅拌设备、运输罐车的清洗废水经</w:t>
            </w:r>
            <w:r>
              <w:rPr>
                <w:rFonts w:hint="default" w:ascii="Times New Roman" w:hAnsi="Times New Roman" w:eastAsia="宋体" w:cs="Times New Roman"/>
                <w:sz w:val="24"/>
                <w:lang w:val="en-US" w:eastAsia="zh-CN"/>
              </w:rPr>
              <w:t>厂区内渠道</w:t>
            </w:r>
            <w:r>
              <w:rPr>
                <w:rFonts w:hint="default" w:ascii="Times New Roman" w:hAnsi="Times New Roman" w:eastAsia="宋体" w:cs="Times New Roman"/>
                <w:sz w:val="24"/>
              </w:rPr>
              <w:t>收集进入</w:t>
            </w:r>
            <w:r>
              <w:rPr>
                <w:rFonts w:hint="default" w:ascii="Times New Roman" w:hAnsi="Times New Roman" w:eastAsia="宋体" w:cs="Times New Roman"/>
                <w:sz w:val="24"/>
                <w:lang w:val="en-US" w:eastAsia="zh-CN"/>
              </w:rPr>
              <w:t>沉淀池</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商混生产区域设置1个三级沉淀池，沉淀池有效容积为</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lang w:val="en-US" w:eastAsia="zh-CN"/>
              </w:rPr>
              <w:t>00m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，过滤后清水回用于项目生产过程中，不外排</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洒水除尘用水自然蒸发不外排。搅拌用水进入产品不外排，</w:t>
            </w:r>
            <w:r>
              <w:rPr>
                <w:rFonts w:hint="eastAsia" w:ascii="Times New Roman" w:hAnsi="Times New Roman" w:eastAsia="宋体" w:cs="Times New Roman"/>
                <w:sz w:val="24"/>
                <w:lang w:val="en-US" w:eastAsia="zh-CN"/>
              </w:rPr>
              <w:t>实验</w:t>
            </w:r>
            <w:r>
              <w:rPr>
                <w:rFonts w:hint="default" w:ascii="Times New Roman" w:hAnsi="Times New Roman" w:eastAsia="宋体" w:cs="Times New Roman"/>
                <w:sz w:val="24"/>
                <w:lang w:val="en-US" w:eastAsia="zh-CN"/>
              </w:rPr>
              <w:t>用水自然蒸发不外排</w:t>
            </w:r>
            <w:r>
              <w:rPr>
                <w:rFonts w:hint="default" w:ascii="Times New Roman" w:hAnsi="Times New Roman" w:eastAsia="宋体" w:cs="Times New Roman"/>
                <w:sz w:val="24"/>
              </w:rPr>
              <w:t>。</w:t>
            </w:r>
          </w:p>
          <w:p>
            <w:pPr>
              <w:spacing w:line="360" w:lineRule="auto"/>
              <w:ind w:firstLine="480" w:firstLineChars="200"/>
              <w:rPr>
                <w:sz w:val="24"/>
              </w:rPr>
            </w:pPr>
            <w:r>
              <w:rPr>
                <w:rFonts w:hint="eastAsia"/>
                <w:sz w:val="24"/>
              </w:rPr>
              <w:t>（3）</w:t>
            </w:r>
            <w:r>
              <w:rPr>
                <w:sz w:val="24"/>
              </w:rPr>
              <w:t>用电</w:t>
            </w:r>
          </w:p>
          <w:p>
            <w:pPr>
              <w:spacing w:line="360" w:lineRule="auto"/>
              <w:ind w:firstLine="480" w:firstLineChars="200"/>
              <w:rPr>
                <w:sz w:val="24"/>
              </w:rPr>
            </w:pPr>
            <w:r>
              <w:rPr>
                <w:sz w:val="24"/>
              </w:rPr>
              <w:t>本项目由</w:t>
            </w:r>
            <w:r>
              <w:rPr>
                <w:rFonts w:hint="eastAsia"/>
                <w:sz w:val="24"/>
              </w:rPr>
              <w:t>园区</w:t>
            </w:r>
            <w:r>
              <w:rPr>
                <w:sz w:val="24"/>
              </w:rPr>
              <w:t>电网供电。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九、水平衡</w:t>
            </w:r>
          </w:p>
          <w:p>
            <w:pPr>
              <w:pStyle w:val="21"/>
              <w:adjustRightInd w:val="0"/>
              <w:spacing w:line="360" w:lineRule="auto"/>
              <w:ind w:left="0" w:leftChars="0" w:firstLine="0" w:firstLineChars="0"/>
              <w:textAlignment w:val="baseline"/>
              <w:rPr>
                <w:color w:val="FF0000"/>
                <w:sz w:val="24"/>
                <w:szCs w:val="24"/>
              </w:rPr>
            </w:pPr>
            <w:r>
              <w:rPr>
                <w:color w:val="auto"/>
              </w:rPr>
              <mc:AlternateContent>
                <mc:Choice Requires="wps">
                  <w:drawing>
                    <wp:anchor distT="0" distB="0" distL="114300" distR="114300" simplePos="0" relativeHeight="251675648" behindDoc="0" locked="0" layoutInCell="1" allowOverlap="1">
                      <wp:simplePos x="0" y="0"/>
                      <wp:positionH relativeFrom="column">
                        <wp:posOffset>2588895</wp:posOffset>
                      </wp:positionH>
                      <wp:positionV relativeFrom="paragraph">
                        <wp:posOffset>213360</wp:posOffset>
                      </wp:positionV>
                      <wp:extent cx="1769745" cy="29718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769745" cy="297180"/>
                              </a:xfrm>
                              <a:prstGeom prst="rect">
                                <a:avLst/>
                              </a:prstGeom>
                              <a:noFill/>
                              <a:ln>
                                <a:noFill/>
                              </a:ln>
                            </wps:spPr>
                            <wps:txbx>
                              <w:txbxContent>
                                <w:p>
                                  <w:pPr>
                                    <w:rPr>
                                      <w:rFonts w:hint="eastAsia" w:eastAsia="仿宋_GB2312"/>
                                      <w:lang w:eastAsia="zh-CN"/>
                                    </w:rPr>
                                  </w:pPr>
                                  <w:r>
                                    <w:rPr>
                                      <w:rFonts w:hint="eastAsia" w:eastAsia="仿宋_GB2312"/>
                                    </w:rPr>
                                    <w:t>损耗0.</w:t>
                                  </w:r>
                                  <w:r>
                                    <w:rPr>
                                      <w:rFonts w:hint="eastAsia" w:eastAsia="仿宋_GB2312"/>
                                      <w:lang w:val="en-US" w:eastAsia="zh-CN"/>
                                    </w:rPr>
                                    <w:t>5</w:t>
                                  </w:r>
                                </w:p>
                              </w:txbxContent>
                            </wps:txbx>
                            <wps:bodyPr upright="1"/>
                          </wps:wsp>
                        </a:graphicData>
                      </a:graphic>
                    </wp:anchor>
                  </w:drawing>
                </mc:Choice>
                <mc:Fallback>
                  <w:pict>
                    <v:shape id="_x0000_s1026" o:spid="_x0000_s1026" o:spt="202" type="#_x0000_t202" style="position:absolute;left:0pt;margin-left:203.85pt;margin-top:16.8pt;height:23.4pt;width:139.35pt;z-index:251675648;mso-width-relative:page;mso-height-relative:page;" filled="f" stroked="f" coordsize="21600,21600" o:gfxdata="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Ps4oXX&#10;AAAACQEAAA8AAAAAAAAAAQAgAAAAIgAAAGRycy9kb3ducmV2LnhtbFBLAQIUABQAAAAIAIdO4kCg&#10;TeGarwEAAFADAAAOAAAAAAAAAAEAIAAAACYBAABkcnMvZTJvRG9jLnhtbFBLBQYAAAAABgAGAFkB&#10;AABHBQAAAAA=&#10;">
                      <v:path/>
                      <v:fill on="f" focussize="0,0"/>
                      <v:stroke on="f"/>
                      <v:imagedata o:title=""/>
                      <o:lock v:ext="edit" grouping="f" rotation="f" text="f" aspectratio="f"/>
                      <v:textbox>
                        <w:txbxContent>
                          <w:p>
                            <w:pPr>
                              <w:rPr>
                                <w:rFonts w:hint="eastAsia" w:eastAsia="仿宋_GB2312"/>
                                <w:lang w:eastAsia="zh-CN"/>
                              </w:rPr>
                            </w:pPr>
                            <w:r>
                              <w:rPr>
                                <w:rFonts w:hint="eastAsia" w:eastAsia="仿宋_GB2312"/>
                              </w:rPr>
                              <w:t>损耗0.</w:t>
                            </w:r>
                            <w:r>
                              <w:rPr>
                                <w:rFonts w:hint="eastAsia" w:eastAsia="仿宋_GB2312"/>
                                <w:lang w:val="en-US" w:eastAsia="zh-CN"/>
                              </w:rPr>
                              <w:t>5</w:t>
                            </w:r>
                          </w:p>
                        </w:txbxContent>
                      </v:textbox>
                    </v:shape>
                  </w:pict>
                </mc:Fallback>
              </mc:AlternateContent>
            </w:r>
            <w:r>
              <w:rPr>
                <w:color w:val="auto"/>
                <w:sz w:val="24"/>
                <w:szCs w:val="24"/>
              </w:rPr>
              <w:t>以每天进行水量平衡分析，见</w:t>
            </w:r>
            <w:r>
              <w:rPr>
                <w:rFonts w:hint="eastAsia"/>
                <w:color w:val="auto"/>
                <w:sz w:val="24"/>
                <w:szCs w:val="24"/>
                <w:lang w:eastAsia="zh-CN"/>
              </w:rPr>
              <w:t>下图</w:t>
            </w:r>
            <w:r>
              <w:rPr>
                <w:color w:val="auto"/>
                <w:sz w:val="24"/>
                <w:szCs w:val="24"/>
              </w:rPr>
              <w:t>：</w:t>
            </w:r>
          </w:p>
          <w:p>
            <w:pPr>
              <w:pStyle w:val="21"/>
              <w:adjustRightInd w:val="0"/>
              <w:spacing w:line="360" w:lineRule="auto"/>
              <w:textAlignment w:val="baseline"/>
              <w:rPr>
                <w:color w:val="FF0000"/>
                <w:sz w:val="24"/>
                <w:szCs w:val="24"/>
              </w:rPr>
            </w:pPr>
            <w:r>
              <w:rPr>
                <w:b/>
                <w:color w:val="FF0000"/>
              </w:rPr>
              <mc:AlternateContent>
                <mc:Choice Requires="wps">
                  <w:drawing>
                    <wp:anchor distT="0" distB="0" distL="114300" distR="114300" simplePos="0" relativeHeight="251677696" behindDoc="0" locked="0" layoutInCell="1" allowOverlap="1">
                      <wp:simplePos x="0" y="0"/>
                      <wp:positionH relativeFrom="column">
                        <wp:posOffset>2297430</wp:posOffset>
                      </wp:positionH>
                      <wp:positionV relativeFrom="paragraph">
                        <wp:posOffset>59055</wp:posOffset>
                      </wp:positionV>
                      <wp:extent cx="325755" cy="198120"/>
                      <wp:effectExtent l="0" t="24130" r="17145" b="6350"/>
                      <wp:wrapNone/>
                      <wp:docPr id="73" name="曲线连接符 73"/>
                      <wp:cNvGraphicFramePr/>
                      <a:graphic xmlns:a="http://schemas.openxmlformats.org/drawingml/2006/main">
                        <a:graphicData uri="http://schemas.microsoft.com/office/word/2010/wordprocessingShape">
                          <wps:wsp>
                            <wps:cNvCnPr/>
                            <wps:spPr>
                              <a:xfrm flipV="1">
                                <a:off x="0" y="0"/>
                                <a:ext cx="325755" cy="198120"/>
                              </a:xfrm>
                              <a:prstGeom prst="curvedConnector3">
                                <a:avLst>
                                  <a:gd name="adj1" fmla="val 49903"/>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flip:y;margin-left:180.9pt;margin-top:4.65pt;height:15.6pt;width:25.65pt;z-index:251677696;mso-width-relative:page;mso-height-relative:page;" o:connectortype="curved" filled="f" coordsize="21600,21600" o:gfxdata="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Pl&#10;Q2vXAAAACAEAAA8AAAAAAAAAAQAgAAAAIgAAAGRycy9kb3ducmV2LnhtbFBLAQIUABQAAAAIAIdO&#10;4kAUbm5sJAIAACUEAAAOAAAAAAAAAAEAIAAAACYBAABkcnMvZTJvRG9jLnhtbFBLBQYAAAAABgAG&#10;AFkBAAC8BQAAAAA=&#10;" adj="10779,822531,-287874">
                      <v:path arrowok="t"/>
                      <v:fill on="f" focussize="0,0"/>
                      <v:stroke endarrow="block"/>
                      <v:imagedata o:title=""/>
                      <o:lock v:ext="edit"/>
                    </v:shape>
                  </w:pict>
                </mc:Fallback>
              </mc:AlternateContent>
            </w:r>
            <w:r>
              <w:rPr>
                <w:b/>
                <w:color w:val="FF0000"/>
              </w:rPr>
              <mc:AlternateContent>
                <mc:Choice Requires="wps">
                  <w:drawing>
                    <wp:anchor distT="0" distB="0" distL="114300" distR="114300" simplePos="0" relativeHeight="251659264" behindDoc="0" locked="0" layoutInCell="1" allowOverlap="1">
                      <wp:simplePos x="0" y="0"/>
                      <wp:positionH relativeFrom="column">
                        <wp:posOffset>3773805</wp:posOffset>
                      </wp:positionH>
                      <wp:positionV relativeFrom="paragraph">
                        <wp:posOffset>54610</wp:posOffset>
                      </wp:positionV>
                      <wp:extent cx="1133475" cy="29718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133475" cy="297180"/>
                              </a:xfrm>
                              <a:prstGeom prst="rect">
                                <a:avLst/>
                              </a:prstGeom>
                              <a:noFill/>
                              <a:ln>
                                <a:noFill/>
                              </a:ln>
                            </wps:spPr>
                            <wps:txbx>
                              <w:txbxContent>
                                <w:p>
                                  <w:pPr>
                                    <w:rPr>
                                      <w:rFonts w:hint="default" w:eastAsia="仿宋_GB2312"/>
                                      <w:lang w:val="en-US" w:eastAsia="zh-CN"/>
                                    </w:rPr>
                                  </w:pPr>
                                  <w:r>
                                    <w:rPr>
                                      <w:rFonts w:hint="eastAsia" w:eastAsia="仿宋_GB2312"/>
                                    </w:rPr>
                                    <w:t>尾水</w:t>
                                  </w:r>
                                  <w:r>
                                    <w:rPr>
                                      <w:rFonts w:hint="eastAsia" w:eastAsia="仿宋_GB2312"/>
                                      <w:lang w:val="en-US" w:eastAsia="zh-CN"/>
                                    </w:rPr>
                                    <w:t>4.5</w:t>
                                  </w:r>
                                </w:p>
                              </w:txbxContent>
                            </wps:txbx>
                            <wps:bodyPr upright="1"/>
                          </wps:wsp>
                        </a:graphicData>
                      </a:graphic>
                    </wp:anchor>
                  </w:drawing>
                </mc:Choice>
                <mc:Fallback>
                  <w:pict>
                    <v:shape id="_x0000_s1026" o:spid="_x0000_s1026" o:spt="202" type="#_x0000_t202" style="position:absolute;left:0pt;margin-left:297.15pt;margin-top:4.3pt;height:23.4pt;width:89.25pt;z-index:251659264;mso-width-relative:page;mso-height-relative:page;" filled="f" stroked="f" coordsize="21600,21600" o:gfxdata="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zVumzW&#10;AAAACAEAAA8AAAAAAAAAAQAgAAAAIgAAAGRycy9kb3ducmV2LnhtbFBLAQIUABQAAAAIAIdO4kBn&#10;BTDZsAEAAFADAAAOAAAAAAAAAAEAIAAAACUBAABkcnMvZTJvRG9jLnhtbFBLBQYAAAAABgAGAFkB&#10;AABHBQ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rPr>
                              <w:t>尾水</w:t>
                            </w:r>
                            <w:r>
                              <w:rPr>
                                <w:rFonts w:hint="eastAsia" w:eastAsia="仿宋_GB2312"/>
                                <w:lang w:val="en-US" w:eastAsia="zh-CN"/>
                              </w:rPr>
                              <w:t>4.5</w:t>
                            </w:r>
                          </w:p>
                        </w:txbxContent>
                      </v:textbox>
                    </v:shape>
                  </w:pict>
                </mc:Fallback>
              </mc:AlternateContent>
            </w:r>
            <w:r>
              <w:rPr>
                <w:rFonts w:eastAsia="仿宋_GB2312"/>
                <w:b/>
                <w:color w:val="FF0000"/>
              </w:rPr>
              <mc:AlternateContent>
                <mc:Choice Requires="wps">
                  <w:drawing>
                    <wp:anchor distT="0" distB="0" distL="114300" distR="114300" simplePos="0" relativeHeight="251673600" behindDoc="0" locked="0" layoutInCell="1" allowOverlap="1">
                      <wp:simplePos x="0" y="0"/>
                      <wp:positionH relativeFrom="column">
                        <wp:posOffset>4364990</wp:posOffset>
                      </wp:positionH>
                      <wp:positionV relativeFrom="paragraph">
                        <wp:posOffset>110490</wp:posOffset>
                      </wp:positionV>
                      <wp:extent cx="795655" cy="774065"/>
                      <wp:effectExtent l="4445" t="4445" r="19050" b="21590"/>
                      <wp:wrapNone/>
                      <wp:docPr id="74" name="文本框 74"/>
                      <wp:cNvGraphicFramePr/>
                      <a:graphic xmlns:a="http://schemas.openxmlformats.org/drawingml/2006/main">
                        <a:graphicData uri="http://schemas.microsoft.com/office/word/2010/wordprocessingShape">
                          <wps:wsp>
                            <wps:cNvSpPr txBox="1"/>
                            <wps:spPr>
                              <a:xfrm>
                                <a:off x="0" y="0"/>
                                <a:ext cx="795655" cy="774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eastAsia="仿宋_GB2312"/>
                                    </w:rPr>
                                    <w:t>园区污水管网及工业污水处理站</w:t>
                                  </w:r>
                                </w:p>
                              </w:txbxContent>
                            </wps:txbx>
                            <wps:bodyPr upright="1"/>
                          </wps:wsp>
                        </a:graphicData>
                      </a:graphic>
                    </wp:anchor>
                  </w:drawing>
                </mc:Choice>
                <mc:Fallback>
                  <w:pict>
                    <v:shape id="_x0000_s1026" o:spid="_x0000_s1026" o:spt="202" type="#_x0000_t202" style="position:absolute;left:0pt;margin-left:343.7pt;margin-top:8.7pt;height:60.95pt;width:62.65pt;z-index:251673600;mso-width-relative:page;mso-height-relative:page;" fillcolor="#FFFFFF" filled="t" stroked="t" coordsize="21600,21600" o:gfxdata="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rVp42QAAAAoBAAAPAAAAAAAAAAEAIAAA&#10;ACIAAABkcnMvZG93bnJldi54bWxQSwECFAAUAAAACACHTuJAszW4FwsCAAA3BAAADgAAAAAAAAAB&#10;ACAAAAAoAQAAZHJzL2Uyb0RvYy54bWxQSwUGAAAAAAYABgBZAQAApQUAAAAA&#10;">
                      <v:path/>
                      <v:fill on="t" color2="#FFFFFF" focussize="0,0"/>
                      <v:stroke joinstyle="miter"/>
                      <v:imagedata o:title=""/>
                      <o:lock v:ext="edit" aspectratio="f"/>
                      <v:textbox>
                        <w:txbxContent>
                          <w:p>
                            <w:pPr>
                              <w:jc w:val="center"/>
                              <w:rPr>
                                <w:rFonts w:hint="eastAsia" w:eastAsia="仿宋_GB2312"/>
                              </w:rPr>
                            </w:pPr>
                            <w:r>
                              <w:rPr>
                                <w:rFonts w:hint="eastAsia" w:eastAsia="仿宋_GB2312"/>
                              </w:rPr>
                              <w:t>园区污水管网及工业污水处理站</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61312" behindDoc="0" locked="0" layoutInCell="1" allowOverlap="1">
                      <wp:simplePos x="0" y="0"/>
                      <wp:positionH relativeFrom="column">
                        <wp:posOffset>1297305</wp:posOffset>
                      </wp:positionH>
                      <wp:positionV relativeFrom="paragraph">
                        <wp:posOffset>222250</wp:posOffset>
                      </wp:positionV>
                      <wp:extent cx="666750" cy="29718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666750" cy="297180"/>
                              </a:xfrm>
                              <a:prstGeom prst="rect">
                                <a:avLst/>
                              </a:prstGeom>
                              <a:noFill/>
                              <a:ln>
                                <a:noFill/>
                              </a:ln>
                            </wps:spPr>
                            <wps:txbx>
                              <w:txbxContent>
                                <w:p>
                                  <w:pPr>
                                    <w:rPr>
                                      <w:rFonts w:hint="default" w:eastAsia="宋体"/>
                                      <w:lang w:val="en-US" w:eastAsia="zh-CN"/>
                                    </w:rPr>
                                  </w:pPr>
                                  <w:r>
                                    <w:rPr>
                                      <w:rFonts w:hint="eastAsia"/>
                                      <w:kern w:val="0"/>
                                      <w:szCs w:val="21"/>
                                      <w:lang w:val="en-US" w:eastAsia="zh-CN"/>
                                    </w:rPr>
                                    <w:t>5.0</w:t>
                                  </w:r>
                                </w:p>
                              </w:txbxContent>
                            </wps:txbx>
                            <wps:bodyPr upright="1"/>
                          </wps:wsp>
                        </a:graphicData>
                      </a:graphic>
                    </wp:anchor>
                  </w:drawing>
                </mc:Choice>
                <mc:Fallback>
                  <w:pict>
                    <v:shape id="_x0000_s1026" o:spid="_x0000_s1026" o:spt="202" type="#_x0000_t202" style="position:absolute;left:0pt;margin-left:102.15pt;margin-top:17.5pt;height:23.4pt;width:52.5pt;z-index:251661312;mso-width-relative:page;mso-height-relative:page;" filled="f" stroked="f" coordsize="21600,21600" o:gfxdata="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xsO/tYAAAAJ&#10;AQAADwAAAAAAAAABACAAAAAiAAAAZHJzL2Rvd25yZXYueG1sUEsBAhQAFAAAAAgAh07iQN59eM+s&#10;AQAATwMAAA4AAAAAAAAAAQAgAAAAJQEAAGRycy9lMm9Eb2MueG1sUEsFBgAAAAAGAAYAWQEAAEMF&#10;AAAAAA==&#10;">
                      <v:path/>
                      <v:fill on="f" focussize="0,0"/>
                      <v:stroke on="f"/>
                      <v:imagedata o:title=""/>
                      <o:lock v:ext="edit" grouping="f" rotation="f" text="f" aspectratio="f"/>
                      <v:textbox>
                        <w:txbxContent>
                          <w:p>
                            <w:pPr>
                              <w:rPr>
                                <w:rFonts w:hint="default" w:eastAsia="宋体"/>
                                <w:lang w:val="en-US" w:eastAsia="zh-CN"/>
                              </w:rPr>
                            </w:pPr>
                            <w:r>
                              <w:rPr>
                                <w:rFonts w:hint="eastAsia"/>
                                <w:kern w:val="0"/>
                                <w:szCs w:val="21"/>
                                <w:lang w:val="en-US" w:eastAsia="zh-CN"/>
                              </w:rPr>
                              <w:t>5.0</w:t>
                            </w:r>
                          </w:p>
                        </w:txbxContent>
                      </v:textbox>
                    </v:shape>
                  </w:pict>
                </mc:Fallback>
              </mc:AlternateContent>
            </w:r>
          </w:p>
          <w:p>
            <w:pPr>
              <w:pStyle w:val="103"/>
              <w:spacing w:line="520" w:lineRule="exact"/>
              <w:ind w:firstLine="562" w:firstLineChars="200"/>
              <w:jc w:val="both"/>
              <w:rPr>
                <w:rFonts w:eastAsia="仿宋_GB2312"/>
                <w:bCs/>
                <w:color w:val="FF0000"/>
              </w:rPr>
            </w:pPr>
            <w:r>
              <w:rPr>
                <w:b/>
                <w:color w:val="FF0000"/>
                <w:sz w:val="28"/>
              </w:rPr>
              <mc:AlternateContent>
                <mc:Choice Requires="wps">
                  <w:drawing>
                    <wp:anchor distT="0" distB="0" distL="114300" distR="114300" simplePos="0" relativeHeight="251698176" behindDoc="0" locked="0" layoutInCell="1" allowOverlap="1">
                      <wp:simplePos x="0" y="0"/>
                      <wp:positionH relativeFrom="column">
                        <wp:posOffset>2538095</wp:posOffset>
                      </wp:positionH>
                      <wp:positionV relativeFrom="paragraph">
                        <wp:posOffset>354330</wp:posOffset>
                      </wp:positionV>
                      <wp:extent cx="931545" cy="297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31545" cy="297180"/>
                              </a:xfrm>
                              <a:prstGeom prst="rect">
                                <a:avLst/>
                              </a:prstGeom>
                              <a:noFill/>
                              <a:ln>
                                <a:noFill/>
                              </a:ln>
                            </wps:spPr>
                            <wps:txbx>
                              <w:txbxContent>
                                <w:p>
                                  <w:pPr>
                                    <w:rPr>
                                      <w:rFonts w:hint="eastAsia" w:eastAsia="仿宋_GB2312"/>
                                    </w:rPr>
                                  </w:pPr>
                                  <w:r>
                                    <w:rPr>
                                      <w:rFonts w:hint="eastAsia" w:eastAsia="仿宋_GB2312"/>
                                    </w:rPr>
                                    <w:t>损耗0.5</w:t>
                                  </w:r>
                                </w:p>
                              </w:txbxContent>
                            </wps:txbx>
                            <wps:bodyPr upright="1"/>
                          </wps:wsp>
                        </a:graphicData>
                      </a:graphic>
                    </wp:anchor>
                  </w:drawing>
                </mc:Choice>
                <mc:Fallback>
                  <w:pict>
                    <v:shape id="_x0000_s1026" o:spid="_x0000_s1026" o:spt="202" type="#_x0000_t202" style="position:absolute;left:0pt;margin-left:199.85pt;margin-top:27.9pt;height:23.4pt;width:73.35pt;z-index:251698176;mso-width-relative:page;mso-height-relative:page;" filled="f" stroked="f" coordsize="21600,21600" o:gfxdata="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ZfyydcA&#10;AAAKAQAADwAAAAAAAAABACAAAAAiAAAAZHJzL2Rvd25yZXYueG1sUEsBAhQAFAAAAAgAh07iQPqi&#10;Dl+uAQAATwMAAA4AAAAAAAAAAQAgAAAAJgEAAGRycy9lMm9Eb2MueG1sUEsFBgAAAAAGAAYAWQEA&#10;AEYFAAAAAA==&#10;">
                      <v:path/>
                      <v:fill on="f" focussize="0,0"/>
                      <v:stroke on="f"/>
                      <v:imagedata o:title=""/>
                      <o:lock v:ext="edit" grouping="f" rotation="f" text="f" aspectratio="f"/>
                      <v:textbox>
                        <w:txbxContent>
                          <w:p>
                            <w:pPr>
                              <w:rPr>
                                <w:rFonts w:hint="eastAsia" w:eastAsia="仿宋_GB2312"/>
                              </w:rPr>
                            </w:pPr>
                            <w:r>
                              <w:rPr>
                                <w:rFonts w:hint="eastAsia" w:eastAsia="仿宋_GB2312"/>
                              </w:rPr>
                              <w:t>损耗0.5</w:t>
                            </w:r>
                          </w:p>
                        </w:txbxContent>
                      </v:textbox>
                    </v:shape>
                  </w:pict>
                </mc:Fallback>
              </mc:AlternateContent>
            </w:r>
            <w:r>
              <w:rPr>
                <w:rFonts w:eastAsia="仿宋_GB2312"/>
                <w:b/>
                <w:color w:val="FF0000"/>
              </w:rPr>
              <mc:AlternateContent>
                <mc:Choice Requires="wps">
                  <w:drawing>
                    <wp:anchor distT="0" distB="0" distL="114300" distR="114300" simplePos="0" relativeHeight="251674624" behindDoc="0" locked="0" layoutInCell="1" allowOverlap="1">
                      <wp:simplePos x="0" y="0"/>
                      <wp:positionH relativeFrom="column">
                        <wp:posOffset>3822700</wp:posOffset>
                      </wp:positionH>
                      <wp:positionV relativeFrom="paragraph">
                        <wp:posOffset>130175</wp:posOffset>
                      </wp:positionV>
                      <wp:extent cx="545465" cy="635"/>
                      <wp:effectExtent l="0" t="38100" r="6985" b="37465"/>
                      <wp:wrapNone/>
                      <wp:docPr id="66" name="直接连接符 66"/>
                      <wp:cNvGraphicFramePr/>
                      <a:graphic xmlns:a="http://schemas.openxmlformats.org/drawingml/2006/main">
                        <a:graphicData uri="http://schemas.microsoft.com/office/word/2010/wordprocessingShape">
                          <wps:wsp>
                            <wps:cNvSpPr/>
                            <wps:spPr>
                              <a:xfrm flipV="1">
                                <a:off x="0" y="0"/>
                                <a:ext cx="54546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01pt;margin-top:10.25pt;height:0.05pt;width:42.95pt;z-index:251674624;mso-width-relative:page;mso-height-relative:page;" filled="f" coordsize="21600,21600" o:gfxdata="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xDk9kAAAAJAQAADwAAAAAAAAABACAAAAAiAAAAZHJz&#10;L2Rvd25yZXYueG1sUEsBAhQAFAAAAAgAh07iQLnBTo0DAgAA9QMAAA4AAAAAAAAAAQAgAAAAKAEA&#10;AGRycy9lMm9Eb2MueG1sUEsFBgAAAAAGAAYAWQEAAJ0FA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679744" behindDoc="0" locked="0" layoutInCell="1" allowOverlap="1">
                      <wp:simplePos x="0" y="0"/>
                      <wp:positionH relativeFrom="column">
                        <wp:posOffset>3017520</wp:posOffset>
                      </wp:positionH>
                      <wp:positionV relativeFrom="paragraph">
                        <wp:posOffset>11430</wp:posOffset>
                      </wp:positionV>
                      <wp:extent cx="798830" cy="295275"/>
                      <wp:effectExtent l="4445" t="5080" r="15875" b="4445"/>
                      <wp:wrapNone/>
                      <wp:docPr id="67" name="文本框 67"/>
                      <wp:cNvGraphicFramePr/>
                      <a:graphic xmlns:a="http://schemas.openxmlformats.org/drawingml/2006/main">
                        <a:graphicData uri="http://schemas.microsoft.com/office/word/2010/wordprocessingShape">
                          <wps:wsp>
                            <wps:cNvSpPr txBox="1"/>
                            <wps:spPr>
                              <a:xfrm>
                                <a:off x="0" y="0"/>
                                <a:ext cx="79883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eastAsia="仿宋_GB2312"/>
                                    </w:rPr>
                                    <w:t>预处理池</w:t>
                                  </w:r>
                                </w:p>
                              </w:txbxContent>
                            </wps:txbx>
                            <wps:bodyPr upright="1"/>
                          </wps:wsp>
                        </a:graphicData>
                      </a:graphic>
                    </wp:anchor>
                  </w:drawing>
                </mc:Choice>
                <mc:Fallback>
                  <w:pict>
                    <v:shape id="_x0000_s1026" o:spid="_x0000_s1026" o:spt="202" type="#_x0000_t202" style="position:absolute;left:0pt;margin-left:237.6pt;margin-top:0.9pt;height:23.25pt;width:62.9pt;z-index:251679744;mso-width-relative:page;mso-height-relative:page;" fillcolor="#FFFFFF" filled="t" stroked="t" coordsize="21600,21600" o:gfxdata="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dT8TWAAAACAEAAA8AAAAAAAAAAQAgAAAAIgAA&#10;AGRycy9kb3ducmV2LnhtbFBLAQIUABQAAAAIAIdO4kDPRhLlCgIAADcEAAAOAAAAAAAAAAEAIAAA&#10;ACUBAABkcnMvZTJvRG9jLnhtbFBLBQYAAAAABgAGAFkBAAChBQAAAAA=&#10;">
                      <v:path/>
                      <v:fill on="t" focussize="0,0"/>
                      <v:stroke/>
                      <v:imagedata o:title=""/>
                      <o:lock v:ext="edit" grouping="f" rotation="f" text="f" aspectratio="f"/>
                      <v:textbox>
                        <w:txbxContent>
                          <w:p>
                            <w:pPr>
                              <w:jc w:val="center"/>
                              <w:rPr>
                                <w:rFonts w:hint="eastAsia" w:eastAsia="仿宋_GB2312"/>
                              </w:rPr>
                            </w:pPr>
                            <w:r>
                              <w:rPr>
                                <w:rFonts w:hint="eastAsia" w:eastAsia="仿宋_GB2312"/>
                              </w:rPr>
                              <w:t>预处理池</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67456" behindDoc="0" locked="0" layoutInCell="1" allowOverlap="1">
                      <wp:simplePos x="0" y="0"/>
                      <wp:positionH relativeFrom="column">
                        <wp:posOffset>2737485</wp:posOffset>
                      </wp:positionH>
                      <wp:positionV relativeFrom="paragraph">
                        <wp:posOffset>130810</wp:posOffset>
                      </wp:positionV>
                      <wp:extent cx="276860" cy="635"/>
                      <wp:effectExtent l="0" t="38100" r="8890" b="37465"/>
                      <wp:wrapNone/>
                      <wp:docPr id="69" name="直接连接符 69"/>
                      <wp:cNvGraphicFramePr/>
                      <a:graphic xmlns:a="http://schemas.openxmlformats.org/drawingml/2006/main">
                        <a:graphicData uri="http://schemas.microsoft.com/office/word/2010/wordprocessingShape">
                          <wps:wsp>
                            <wps:cNvSpPr/>
                            <wps:spPr>
                              <a:xfrm flipV="1">
                                <a:off x="0" y="0"/>
                                <a:ext cx="27686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15.55pt;margin-top:10.3pt;height:0.05pt;width:21.8pt;z-index:251667456;mso-width-relative:page;mso-height-relative:page;" filled="f" coordsize="21600,21600" o:gfxdata="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yNdD/ZAAAACQEAAA8AAAAAAAAAAQAgAAAAIgAAAGRy&#10;cy9kb3ducmV2LnhtbFBLAQIUABQAAAAIAIdO4kDx+oItBAIAAPUDAAAOAAAAAAAAAAEAIAAAACgB&#10;AABkcnMvZTJvRG9jLnhtbFBLBQYAAAAABgAGAFkBAACeBQAAAAA=&#10;">
                      <v:path arrowok="t"/>
                      <v:fill on="f" focussize="0,0"/>
                      <v:stroke endarrow="block"/>
                      <v:imagedata o:title=""/>
                      <o:lock v:ext="edit" grouping="f" rotation="f" text="f" aspectratio="f"/>
                    </v:line>
                  </w:pict>
                </mc:Fallback>
              </mc:AlternateContent>
            </w:r>
            <w:r>
              <w:rPr>
                <w:rFonts w:eastAsia="仿宋_GB2312"/>
                <w:bCs/>
                <w:color w:val="FF0000"/>
                <w:sz w:val="20"/>
              </w:rPr>
              <mc:AlternateContent>
                <mc:Choice Requires="wps">
                  <w:drawing>
                    <wp:anchor distT="0" distB="0" distL="114300" distR="114300" simplePos="0" relativeHeight="251670528" behindDoc="0" locked="0" layoutInCell="1" allowOverlap="1">
                      <wp:simplePos x="0" y="0"/>
                      <wp:positionH relativeFrom="column">
                        <wp:posOffset>1257300</wp:posOffset>
                      </wp:positionH>
                      <wp:positionV relativeFrom="paragraph">
                        <wp:posOffset>132080</wp:posOffset>
                      </wp:positionV>
                      <wp:extent cx="6985" cy="4071620"/>
                      <wp:effectExtent l="4445" t="0" r="7620" b="5080"/>
                      <wp:wrapNone/>
                      <wp:docPr id="71" name="直接连接符 71"/>
                      <wp:cNvGraphicFramePr/>
                      <a:graphic xmlns:a="http://schemas.openxmlformats.org/drawingml/2006/main">
                        <a:graphicData uri="http://schemas.microsoft.com/office/word/2010/wordprocessingShape">
                          <wps:wsp>
                            <wps:cNvSpPr/>
                            <wps:spPr>
                              <a:xfrm>
                                <a:off x="0" y="0"/>
                                <a:ext cx="6985" cy="4071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10.4pt;height:320.6pt;width:0.55pt;z-index:251670528;mso-width-relative:page;mso-height-relative:page;" filled="f" stroked="t" coordsize="21600,21600" o:gfxdata="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z51wAAAAoBAAAPAAAAAAAAAAEAIAAAACIAAABkcnMvZG93bnJldi54bWxQ&#10;SwECFAAUAAAACACHTuJAs2kaNPgBAADpAwAADgAAAAAAAAABACAAAAAmAQAAZHJzL2Uyb0RvYy54&#10;bWxQSwUGAAAAAAYABgBZAQAAkAUAAAAA&#10;">
                      <v:path arrowok="t"/>
                      <v:fill on="f" focussize="0,0"/>
                      <v:stroke/>
                      <v:imagedata o:title=""/>
                      <o:lock v:ext="edit" aspectratio="f"/>
                    </v:line>
                  </w:pict>
                </mc:Fallback>
              </mc:AlternateContent>
            </w:r>
            <w:r>
              <w:rPr>
                <w:rFonts w:eastAsia="仿宋_GB2312"/>
                <w:bCs/>
                <w:color w:val="FF0000"/>
                <w:sz w:val="20"/>
              </w:rPr>
              <mc:AlternateContent>
                <mc:Choice Requires="wps">
                  <w:drawing>
                    <wp:anchor distT="0" distB="0" distL="114300" distR="114300" simplePos="0" relativeHeight="251660288" behindDoc="0" locked="0" layoutInCell="1" allowOverlap="1">
                      <wp:simplePos x="0" y="0"/>
                      <wp:positionH relativeFrom="column">
                        <wp:posOffset>1851025</wp:posOffset>
                      </wp:positionH>
                      <wp:positionV relativeFrom="paragraph">
                        <wp:posOffset>12065</wp:posOffset>
                      </wp:positionV>
                      <wp:extent cx="883285" cy="320040"/>
                      <wp:effectExtent l="4445" t="5080" r="7620" b="17780"/>
                      <wp:wrapNone/>
                      <wp:docPr id="16" name="文本框 16"/>
                      <wp:cNvGraphicFramePr/>
                      <a:graphic xmlns:a="http://schemas.openxmlformats.org/drawingml/2006/main">
                        <a:graphicData uri="http://schemas.microsoft.com/office/word/2010/wordprocessingShape">
                          <wps:wsp>
                            <wps:cNvSpPr txBox="1"/>
                            <wps:spPr>
                              <a:xfrm>
                                <a:off x="0" y="0"/>
                                <a:ext cx="883285" cy="320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eastAsia="仿宋_GB2312"/>
                                    </w:rPr>
                                    <w:t>生活用水</w:t>
                                  </w:r>
                                </w:p>
                              </w:txbxContent>
                            </wps:txbx>
                            <wps:bodyPr upright="1"/>
                          </wps:wsp>
                        </a:graphicData>
                      </a:graphic>
                    </wp:anchor>
                  </w:drawing>
                </mc:Choice>
                <mc:Fallback>
                  <w:pict>
                    <v:shape id="_x0000_s1026" o:spid="_x0000_s1026" o:spt="202" type="#_x0000_t202" style="position:absolute;left:0pt;margin-left:145.75pt;margin-top:0.95pt;height:25.2pt;width:69.55pt;z-index:251660288;mso-width-relative:page;mso-height-relative:page;" coordsize="21600,21600" o:gfxdata="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88vn2AAAAAgBAAAPAAAAAAAAAAEAIAAA&#10;ACIAAABkcnMvZG93bnJldi54bWxQSwECFAAUAAAACACHTuJAi+qnhAwCAAA3BAAADgAAAAAAAAAB&#10;ACAAAAAnAQAAZHJzL2Uyb0RvYy54bWxQSwUGAAAAAAYABgBZAQAApQUAAAAA&#10;">
                      <v:path/>
                      <v:fill focussize="0,0"/>
                      <v:stroke/>
                      <v:imagedata o:title=""/>
                      <o:lock v:ext="edit" grouping="f" rotation="f" text="f" aspectratio="f"/>
                      <v:textbox>
                        <w:txbxContent>
                          <w:p>
                            <w:pPr>
                              <w:jc w:val="center"/>
                              <w:rPr>
                                <w:rFonts w:hint="eastAsia" w:eastAsia="仿宋_GB2312"/>
                              </w:rPr>
                            </w:pPr>
                            <w:r>
                              <w:rPr>
                                <w:rFonts w:hint="eastAsia" w:eastAsia="仿宋_GB2312"/>
                              </w:rPr>
                              <w:t>生活用水</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132080</wp:posOffset>
                      </wp:positionV>
                      <wp:extent cx="592455" cy="0"/>
                      <wp:effectExtent l="0" t="38100" r="17145" b="38100"/>
                      <wp:wrapNone/>
                      <wp:docPr id="9" name="直接连接符 9"/>
                      <wp:cNvGraphicFramePr/>
                      <a:graphic xmlns:a="http://schemas.openxmlformats.org/drawingml/2006/main">
                        <a:graphicData uri="http://schemas.microsoft.com/office/word/2010/wordprocessingShape">
                          <wps:wsp>
                            <wps:cNvSpPr/>
                            <wps:spPr>
                              <a:xfrm>
                                <a:off x="0" y="0"/>
                                <a:ext cx="5924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9pt;margin-top:10.4pt;height:0pt;width:46.65pt;z-index:251668480;mso-width-relative:page;mso-height-relative:page;" filled="f" coordsize="21600,21600" o:gfxdata="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EtyvYAAAACQEAAA8AAAAAAAAAAQAgAAAAIgAAAGRycy9kb3ducmV2Lnht&#10;bFBLAQIUABQAAAAIAIdO4kCplPGk+QEAAOcDAAAOAAAAAAAAAAEAIAAAACcBAABkcnMvZTJvRG9j&#10;LnhtbFBLBQYAAAAABgAGAFkBAACSBQAAAAA=&#10;">
                      <v:path arrowok="t"/>
                      <v:fill on="f" focussize="0,0"/>
                      <v:stroke endarrow="block"/>
                      <v:imagedata o:title=""/>
                      <o:lock v:ext="edit" grouping="f" rotation="f" text="f" aspectratio="f"/>
                    </v:line>
                  </w:pict>
                </mc:Fallback>
              </mc:AlternateContent>
            </w:r>
          </w:p>
          <w:p>
            <w:pPr>
              <w:pStyle w:val="103"/>
              <w:spacing w:line="520" w:lineRule="exact"/>
              <w:jc w:val="both"/>
              <w:rPr>
                <w:rFonts w:eastAsia="仿宋_GB2312"/>
                <w:bCs/>
                <w:color w:val="FF0000"/>
              </w:rPr>
            </w:pPr>
            <w:r>
              <w:rPr>
                <w:b/>
                <w:color w:val="FF0000"/>
                <w:sz w:val="28"/>
              </w:rPr>
              <mc:AlternateContent>
                <mc:Choice Requires="wps">
                  <w:drawing>
                    <wp:anchor distT="0" distB="0" distL="114300" distR="114300" simplePos="0" relativeHeight="251696128" behindDoc="0" locked="0" layoutInCell="1" allowOverlap="1">
                      <wp:simplePos x="0" y="0"/>
                      <wp:positionH relativeFrom="column">
                        <wp:posOffset>1857375</wp:posOffset>
                      </wp:positionH>
                      <wp:positionV relativeFrom="paragraph">
                        <wp:posOffset>304800</wp:posOffset>
                      </wp:positionV>
                      <wp:extent cx="1210310" cy="297180"/>
                      <wp:effectExtent l="4445" t="4445" r="23495" b="22225"/>
                      <wp:wrapNone/>
                      <wp:docPr id="10" name="文本框 10"/>
                      <wp:cNvGraphicFramePr/>
                      <a:graphic xmlns:a="http://schemas.openxmlformats.org/drawingml/2006/main">
                        <a:graphicData uri="http://schemas.microsoft.com/office/word/2010/wordprocessingShape">
                          <wps:wsp>
                            <wps:cNvSpPr txBox="1"/>
                            <wps:spPr>
                              <a:xfrm>
                                <a:off x="0" y="0"/>
                                <a:ext cx="12103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eastAsia="仿宋_GB2312"/>
                                    </w:rPr>
                                    <w:t>实验用水</w:t>
                                  </w:r>
                                </w:p>
                              </w:txbxContent>
                            </wps:txbx>
                            <wps:bodyPr upright="1"/>
                          </wps:wsp>
                        </a:graphicData>
                      </a:graphic>
                    </wp:anchor>
                  </w:drawing>
                </mc:Choice>
                <mc:Fallback>
                  <w:pict>
                    <v:shape id="_x0000_s1026" o:spid="_x0000_s1026" o:spt="202" type="#_x0000_t202" style="position:absolute;left:0pt;margin-left:146.25pt;margin-top:24pt;height:23.4pt;width:95.3pt;z-index:251696128;mso-width-relative:page;mso-height-relative:page;" coordsize="21600,21600" o:gfxdata="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5URSY2QAAAAkBAAAPAAAAAAAAAAEAIAAA&#10;ACIAAABkcnMvZG93bnJldi54bWxQSwECFAAUAAAACACHTuJAP3EvdgsCAAA4BAAADgAAAAAAAAAB&#10;ACAAAAAoAQAAZHJzL2Uyb0RvYy54bWxQSwUGAAAAAAYABgBZAQAApQUAAAAA&#10;">
                      <v:path/>
                      <v:fill focussize="0,0"/>
                      <v:stroke/>
                      <v:imagedata o:title=""/>
                      <o:lock v:ext="edit" grouping="f" rotation="f" text="f" aspectratio="f"/>
                      <v:textbox>
                        <w:txbxContent>
                          <w:p>
                            <w:pPr>
                              <w:jc w:val="center"/>
                              <w:rPr>
                                <w:rFonts w:hint="eastAsia" w:eastAsia="仿宋_GB2312"/>
                              </w:rPr>
                            </w:pPr>
                            <w:r>
                              <w:rPr>
                                <w:rFonts w:hint="eastAsia" w:eastAsia="仿宋_GB2312"/>
                              </w:rPr>
                              <w:t>实验用水</w:t>
                            </w:r>
                          </w:p>
                        </w:txbxContent>
                      </v:textbox>
                    </v:shape>
                  </w:pict>
                </mc:Fallback>
              </mc:AlternateContent>
            </w:r>
            <w:r>
              <w:rPr>
                <w:b/>
                <w:color w:val="FF0000"/>
                <w:sz w:val="28"/>
              </w:rPr>
              <mc:AlternateContent>
                <mc:Choice Requires="wps">
                  <w:drawing>
                    <wp:anchor distT="0" distB="0" distL="114300" distR="114300" simplePos="0" relativeHeight="251697152" behindDoc="0" locked="0" layoutInCell="1" allowOverlap="1">
                      <wp:simplePos x="0" y="0"/>
                      <wp:positionH relativeFrom="column">
                        <wp:posOffset>1338580</wp:posOffset>
                      </wp:positionH>
                      <wp:positionV relativeFrom="paragraph">
                        <wp:posOffset>213360</wp:posOffset>
                      </wp:positionV>
                      <wp:extent cx="417195" cy="2711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17195" cy="271145"/>
                              </a:xfrm>
                              <a:prstGeom prst="rect">
                                <a:avLst/>
                              </a:prstGeom>
                              <a:noFill/>
                              <a:ln>
                                <a:noFill/>
                              </a:ln>
                            </wps:spPr>
                            <wps:txbx>
                              <w:txbxContent>
                                <w:p>
                                  <w:pPr>
                                    <w:rPr>
                                      <w:rFonts w:hint="eastAsia"/>
                                    </w:rPr>
                                  </w:pPr>
                                  <w:r>
                                    <w:rPr>
                                      <w:rFonts w:hint="eastAsia"/>
                                    </w:rPr>
                                    <w:t>0.5</w:t>
                                  </w:r>
                                </w:p>
                              </w:txbxContent>
                            </wps:txbx>
                            <wps:bodyPr upright="1"/>
                          </wps:wsp>
                        </a:graphicData>
                      </a:graphic>
                    </wp:anchor>
                  </w:drawing>
                </mc:Choice>
                <mc:Fallback>
                  <w:pict>
                    <v:shape id="_x0000_s1026" o:spid="_x0000_s1026" o:spt="202" type="#_x0000_t202" style="position:absolute;left:0pt;margin-left:105.4pt;margin-top:16.8pt;height:21.35pt;width:32.85pt;z-index:251697152;mso-width-relative:page;mso-height-relative:page;" filled="f" stroked="f" coordsize="21600,21600" o:gfxdata="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IMRmX1wAA&#10;AAkBAAAPAAAAAAAAAAEAIAAAACIAAABkcnMvZG93bnJldi54bWxQSwECFAAUAAAACACHTuJAhDnV&#10;la0BAABPAwAADgAAAAAAAAABACAAAAAmAQAAZHJzL2Uyb0RvYy54bWxQSwUGAAAAAAYABgBZAQAA&#10;RQUAAAAA&#10;">
                      <v:path/>
                      <v:fill on="f" focussize="0,0"/>
                      <v:stroke on="f"/>
                      <v:imagedata o:title=""/>
                      <o:lock v:ext="edit" grouping="f" rotation="f" text="f" aspectratio="f"/>
                      <v:textbox>
                        <w:txbxContent>
                          <w:p>
                            <w:pPr>
                              <w:rPr>
                                <w:rFonts w:hint="eastAsia"/>
                              </w:rPr>
                            </w:pPr>
                            <w:r>
                              <w:rPr>
                                <w:rFonts w:hint="eastAsia"/>
                              </w:rPr>
                              <w:t>0.5</w:t>
                            </w:r>
                          </w:p>
                        </w:txbxContent>
                      </v:textbox>
                    </v:shape>
                  </w:pict>
                </mc:Fallback>
              </mc:AlternateContent>
            </w:r>
            <w:r>
              <w:rPr>
                <w:b/>
                <w:color w:val="FF0000"/>
                <w:sz w:val="28"/>
              </w:rPr>
              <mc:AlternateContent>
                <mc:Choice Requires="wps">
                  <w:drawing>
                    <wp:anchor distT="0" distB="0" distL="114300" distR="114300" simplePos="0" relativeHeight="251700224" behindDoc="0" locked="0" layoutInCell="1" allowOverlap="1">
                      <wp:simplePos x="0" y="0"/>
                      <wp:positionH relativeFrom="column">
                        <wp:posOffset>2294255</wp:posOffset>
                      </wp:positionH>
                      <wp:positionV relativeFrom="paragraph">
                        <wp:posOffset>108585</wp:posOffset>
                      </wp:positionV>
                      <wp:extent cx="325755" cy="198120"/>
                      <wp:effectExtent l="0" t="24130" r="17145" b="6350"/>
                      <wp:wrapNone/>
                      <wp:docPr id="12" name="曲线连接符 12"/>
                      <wp:cNvGraphicFramePr/>
                      <a:graphic xmlns:a="http://schemas.openxmlformats.org/drawingml/2006/main">
                        <a:graphicData uri="http://schemas.microsoft.com/office/word/2010/wordprocessingShape">
                          <wps:wsp>
                            <wps:cNvCnPr/>
                            <wps:spPr>
                              <a:xfrm flipV="1">
                                <a:off x="0" y="0"/>
                                <a:ext cx="325755" cy="198120"/>
                              </a:xfrm>
                              <a:prstGeom prst="curvedConnector3">
                                <a:avLst>
                                  <a:gd name="adj1" fmla="val 49903"/>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flip:y;margin-left:180.65pt;margin-top:8.55pt;height:15.6pt;width:25.65pt;z-index:251700224;mso-width-relative:page;mso-height-relative:page;" o:connectortype="curved" filled="f" coordsize="21600,21600" o:gfxdata="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ww&#10;6m3YAAAACQEAAA8AAAAAAAAAAQAgAAAAIgAAAGRycy9kb3ducmV2LnhtbFBLAQIUABQAAAAIAIdO&#10;4kACV24sIwIAACUEAAAOAAAAAAAAAAEAIAAAACcBAABkcnMvZTJvRG9jLnhtbFBLBQYAAAAABgAG&#10;AFkBAAC8BQAAAAA=&#10;" adj="10779,822531,-287874">
                      <v:path arrowok="t"/>
                      <v:fill on="f" focussize="0,0"/>
                      <v:stroke endarrow="block"/>
                      <v:imagedata o:title=""/>
                      <o:lock v:ext="edit"/>
                    </v:shape>
                  </w:pict>
                </mc:Fallback>
              </mc:AlternateContent>
            </w:r>
          </w:p>
          <w:p>
            <w:pPr>
              <w:pStyle w:val="103"/>
              <w:spacing w:line="520" w:lineRule="exact"/>
              <w:ind w:firstLine="562" w:firstLineChars="200"/>
              <w:jc w:val="both"/>
              <w:rPr>
                <w:rFonts w:eastAsia="仿宋_GB2312"/>
                <w:bCs/>
                <w:color w:val="FF0000"/>
              </w:rPr>
            </w:pPr>
            <w:r>
              <w:rPr>
                <w:b/>
                <w:color w:val="FF0000"/>
                <w:sz w:val="28"/>
              </w:rPr>
              <mc:AlternateContent>
                <mc:Choice Requires="wps">
                  <w:drawing>
                    <wp:anchor distT="0" distB="0" distL="114300" distR="114300" simplePos="0" relativeHeight="251726848" behindDoc="0" locked="0" layoutInCell="1" allowOverlap="1">
                      <wp:simplePos x="0" y="0"/>
                      <wp:positionH relativeFrom="column">
                        <wp:posOffset>3142615</wp:posOffset>
                      </wp:positionH>
                      <wp:positionV relativeFrom="paragraph">
                        <wp:posOffset>198755</wp:posOffset>
                      </wp:positionV>
                      <wp:extent cx="605790" cy="27114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05790" cy="271145"/>
                              </a:xfrm>
                              <a:prstGeom prst="rect">
                                <a:avLst/>
                              </a:prstGeom>
                              <a:noFill/>
                              <a:ln>
                                <a:noFill/>
                              </a:ln>
                            </wps:spPr>
                            <wps:txbx>
                              <w:txbxContent>
                                <w:p>
                                  <w:pPr>
                                    <w:rPr>
                                      <w:rFonts w:hint="default" w:eastAsia="宋体"/>
                                      <w:lang w:val="en-US" w:eastAsia="zh-CN"/>
                                    </w:rPr>
                                  </w:pPr>
                                  <w:r>
                                    <w:rPr>
                                      <w:rFonts w:hint="eastAsia"/>
                                      <w:lang w:val="en-US" w:eastAsia="zh-CN"/>
                                    </w:rPr>
                                    <w:t>992.52</w:t>
                                  </w:r>
                                </w:p>
                              </w:txbxContent>
                            </wps:txbx>
                            <wps:bodyPr upright="1"/>
                          </wps:wsp>
                        </a:graphicData>
                      </a:graphic>
                    </wp:anchor>
                  </w:drawing>
                </mc:Choice>
                <mc:Fallback>
                  <w:pict>
                    <v:shape id="_x0000_s1026" o:spid="_x0000_s1026" o:spt="202" type="#_x0000_t202" style="position:absolute;left:0pt;margin-left:247.45pt;margin-top:15.65pt;height:21.35pt;width:47.7pt;z-index:251726848;mso-width-relative:page;mso-height-relative:page;" filled="f" stroked="f" coordsize="21600,21600" o:gfxdata="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70YJfWAAAA&#10;CQEAAA8AAAAAAAAAAQAgAAAAIgAAAGRycy9kb3ducmV2LnhtbFBLAQIUABQAAAAIAIdO4kBjYBYg&#10;rQEAAE8DAAAOAAAAAAAAAAEAIAAAACUBAABkcnMvZTJvRG9jLnhtbFBLBQYAAAAABgAGAFkBAABE&#10;BQAAAAA=&#10;">
                      <v:path/>
                      <v:fill on="f" focussize="0,0"/>
                      <v:stroke on="f"/>
                      <v:imagedata o:title=""/>
                      <o:lock v:ext="edit" aspectratio="f"/>
                      <v:textbox>
                        <w:txbxContent>
                          <w:p>
                            <w:pPr>
                              <w:rPr>
                                <w:rFonts w:hint="default" w:eastAsia="宋体"/>
                                <w:lang w:val="en-US" w:eastAsia="zh-CN"/>
                              </w:rPr>
                            </w:pPr>
                            <w:r>
                              <w:rPr>
                                <w:rFonts w:hint="eastAsia"/>
                                <w:lang w:val="en-US" w:eastAsia="zh-CN"/>
                              </w:rPr>
                              <w:t>992.52</w:t>
                            </w:r>
                          </w:p>
                        </w:txbxContent>
                      </v:textbox>
                    </v:shape>
                  </w:pict>
                </mc:Fallback>
              </mc:AlternateContent>
            </w:r>
            <w:r>
              <w:rPr>
                <w:b/>
                <w:color w:val="FF0000"/>
                <w:sz w:val="28"/>
              </w:rPr>
              <mc:AlternateContent>
                <mc:Choice Requires="wps">
                  <w:drawing>
                    <wp:anchor distT="0" distB="0" distL="114300" distR="114300" simplePos="0" relativeHeight="251699200" behindDoc="0" locked="0" layoutInCell="1" allowOverlap="1">
                      <wp:simplePos x="0" y="0"/>
                      <wp:positionH relativeFrom="column">
                        <wp:posOffset>1262380</wp:posOffset>
                      </wp:positionH>
                      <wp:positionV relativeFrom="paragraph">
                        <wp:posOffset>126365</wp:posOffset>
                      </wp:positionV>
                      <wp:extent cx="584200" cy="0"/>
                      <wp:effectExtent l="0" t="38100" r="6350" b="38100"/>
                      <wp:wrapNone/>
                      <wp:docPr id="14" name="直接连接符 14"/>
                      <wp:cNvGraphicFramePr/>
                      <a:graphic xmlns:a="http://schemas.openxmlformats.org/drawingml/2006/main">
                        <a:graphicData uri="http://schemas.microsoft.com/office/word/2010/wordprocessingShape">
                          <wps:wsp>
                            <wps:cNvSpPr/>
                            <wps:spPr>
                              <a:xfrm flipV="1">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99.4pt;margin-top:9.95pt;height:0pt;width:46pt;z-index:251699200;mso-width-relative:page;mso-height-relative:page;" filled="f" coordsize="21600,21600" o:gfxdata="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pMMK1gAAAAkBAAAPAAAAAAAAAAEAIAAAACIAAABkcnMvZG93&#10;bnJldi54bWxQSwECFAAUAAAACACHTuJAIUEixgICAADzAwAADgAAAAAAAAABACAAAAAlAQAAZHJz&#10;L2Uyb0RvYy54bWxQSwUGAAAAAAYABgBZAQAAmQUAAAAA&#10;">
                      <v:path arrowok="t"/>
                      <v:fill on="f" focussize="0,0"/>
                      <v:stroke endarrow="block"/>
                      <v:imagedata o:title=""/>
                      <o:lock v:ext="edit" grouping="f" rotation="f" text="f" aspectratio="f"/>
                    </v:line>
                  </w:pict>
                </mc:Fallback>
              </mc:AlternateContent>
            </w:r>
          </w:p>
          <w:p>
            <w:pPr>
              <w:pStyle w:val="103"/>
              <w:spacing w:line="520" w:lineRule="exact"/>
              <w:ind w:firstLine="562" w:firstLineChars="200"/>
              <w:jc w:val="both"/>
              <w:rPr>
                <w:rFonts w:eastAsia="仿宋_GB2312"/>
                <w:bCs/>
                <w:color w:val="FF0000"/>
              </w:rPr>
            </w:pPr>
            <w:r>
              <w:rPr>
                <w:b/>
                <w:color w:val="FF0000"/>
                <w:sz w:val="28"/>
              </w:rPr>
              <mc:AlternateContent>
                <mc:Choice Requires="wps">
                  <w:drawing>
                    <wp:anchor distT="0" distB="0" distL="114300" distR="114300" simplePos="0" relativeHeight="251727872" behindDoc="0" locked="0" layoutInCell="1" allowOverlap="1">
                      <wp:simplePos x="0" y="0"/>
                      <wp:positionH relativeFrom="column">
                        <wp:posOffset>3138170</wp:posOffset>
                      </wp:positionH>
                      <wp:positionV relativeFrom="paragraph">
                        <wp:posOffset>256540</wp:posOffset>
                      </wp:positionV>
                      <wp:extent cx="605790" cy="27114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605790" cy="271145"/>
                              </a:xfrm>
                              <a:prstGeom prst="rect">
                                <a:avLst/>
                              </a:prstGeom>
                              <a:noFill/>
                              <a:ln>
                                <a:noFill/>
                              </a:ln>
                            </wps:spPr>
                            <wps:txbx>
                              <w:txbxContent>
                                <w:p>
                                  <w:pPr>
                                    <w:rPr>
                                      <w:rFonts w:hint="default" w:eastAsia="宋体"/>
                                      <w:lang w:val="en-US" w:eastAsia="zh-CN"/>
                                    </w:rPr>
                                  </w:pPr>
                                  <w:r>
                                    <w:rPr>
                                      <w:rFonts w:hint="eastAsia"/>
                                      <w:lang w:val="en-US" w:eastAsia="zh-CN"/>
                                    </w:rPr>
                                    <w:t>1102.8</w:t>
                                  </w:r>
                                </w:p>
                              </w:txbxContent>
                            </wps:txbx>
                            <wps:bodyPr upright="1"/>
                          </wps:wsp>
                        </a:graphicData>
                      </a:graphic>
                    </wp:anchor>
                  </w:drawing>
                </mc:Choice>
                <mc:Fallback>
                  <w:pict>
                    <v:shape id="_x0000_s1026" o:spid="_x0000_s1026" o:spt="202" type="#_x0000_t202" style="position:absolute;left:0pt;margin-left:247.1pt;margin-top:20.2pt;height:21.35pt;width:47.7pt;z-index:251727872;mso-width-relative:page;mso-height-relative:page;" filled="f" stroked="f" coordsize="21600,21600" o:gfxdata="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pVOz1wAA&#10;AAkBAAAPAAAAAAAAAAEAIAAAACIAAABkcnMvZG93bnJldi54bWxQSwECFAAUAAAACACHTuJAfpyv&#10;hq0BAABPAwAADgAAAAAAAAABACAAAAAmAQAAZHJzL2Uyb0RvYy54bWxQSwUGAAAAAAYABgBZAQAA&#10;RQUAAAAA&#10;">
                      <v:path/>
                      <v:fill on="f" focussize="0,0"/>
                      <v:stroke on="f"/>
                      <v:imagedata o:title=""/>
                      <o:lock v:ext="edit" aspectratio="f"/>
                      <v:textbox>
                        <w:txbxContent>
                          <w:p>
                            <w:pPr>
                              <w:rPr>
                                <w:rFonts w:hint="default" w:eastAsia="宋体"/>
                                <w:lang w:val="en-US" w:eastAsia="zh-CN"/>
                              </w:rPr>
                            </w:pPr>
                            <w:r>
                              <w:rPr>
                                <w:rFonts w:hint="eastAsia"/>
                                <w:lang w:val="en-US" w:eastAsia="zh-CN"/>
                              </w:rPr>
                              <w:t>1102.8</w:t>
                            </w:r>
                          </w:p>
                        </w:txbxContent>
                      </v:textbox>
                    </v:shape>
                  </w:pict>
                </mc:Fallback>
              </mc:AlternateContent>
            </w:r>
            <w:r>
              <w:rPr>
                <w:b/>
                <w:color w:val="FF0000"/>
                <w:sz w:val="28"/>
              </w:rPr>
              <mc:AlternateContent>
                <mc:Choice Requires="wps">
                  <w:drawing>
                    <wp:anchor distT="0" distB="0" distL="114300" distR="114300" simplePos="0" relativeHeight="251720704" behindDoc="0" locked="0" layoutInCell="1" allowOverlap="1">
                      <wp:simplePos x="0" y="0"/>
                      <wp:positionH relativeFrom="column">
                        <wp:posOffset>1283970</wp:posOffset>
                      </wp:positionH>
                      <wp:positionV relativeFrom="paragraph">
                        <wp:posOffset>229235</wp:posOffset>
                      </wp:positionV>
                      <wp:extent cx="605790" cy="27114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605790" cy="271145"/>
                              </a:xfrm>
                              <a:prstGeom prst="rect">
                                <a:avLst/>
                              </a:prstGeom>
                              <a:noFill/>
                              <a:ln>
                                <a:noFill/>
                              </a:ln>
                            </wps:spPr>
                            <wps:txbx>
                              <w:txbxContent>
                                <w:p>
                                  <w:pPr>
                                    <w:rPr>
                                      <w:rFonts w:hint="default" w:eastAsia="宋体"/>
                                      <w:lang w:val="en-US" w:eastAsia="zh-CN"/>
                                    </w:rPr>
                                  </w:pPr>
                                  <w:r>
                                    <w:rPr>
                                      <w:rFonts w:hint="eastAsia"/>
                                      <w:lang w:val="en-US" w:eastAsia="zh-CN"/>
                                    </w:rPr>
                                    <w:t>110.28</w:t>
                                  </w:r>
                                </w:p>
                              </w:txbxContent>
                            </wps:txbx>
                            <wps:bodyPr upright="1"/>
                          </wps:wsp>
                        </a:graphicData>
                      </a:graphic>
                    </wp:anchor>
                  </w:drawing>
                </mc:Choice>
                <mc:Fallback>
                  <w:pict>
                    <v:shape id="_x0000_s1026" o:spid="_x0000_s1026" o:spt="202" type="#_x0000_t202" style="position:absolute;left:0pt;margin-left:101.1pt;margin-top:18.05pt;height:21.35pt;width:47.7pt;z-index:251720704;mso-width-relative:page;mso-height-relative:page;" filled="f" stroked="f" coordsize="21600,21600" o:gfxdata="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wPm0m1wAA&#10;AAkBAAAPAAAAAAAAAAEAIAAAACIAAABkcnMvZG93bnJldi54bWxQSwECFAAUAAAACACHTuJA5d/G&#10;KK0BAABPAwAADgAAAAAAAAABACAAAAAmAQAAZHJzL2Uyb0RvYy54bWxQSwUGAAAAAAYABgBZAQAA&#10;RQUAAAAA&#10;">
                      <v:path/>
                      <v:fill on="f" focussize="0,0"/>
                      <v:stroke on="f"/>
                      <v:imagedata o:title=""/>
                      <o:lock v:ext="edit" aspectratio="f"/>
                      <v:textbox>
                        <w:txbxContent>
                          <w:p>
                            <w:pPr>
                              <w:rPr>
                                <w:rFonts w:hint="default" w:eastAsia="宋体"/>
                                <w:lang w:val="en-US" w:eastAsia="zh-CN"/>
                              </w:rPr>
                            </w:pPr>
                            <w:r>
                              <w:rPr>
                                <w:rFonts w:hint="eastAsia"/>
                                <w:lang w:val="en-US" w:eastAsia="zh-CN"/>
                              </w:rPr>
                              <w:t>110.28</w:t>
                            </w:r>
                          </w:p>
                        </w:txbxContent>
                      </v:textbox>
                    </v:shape>
                  </w:pict>
                </mc:Fallback>
              </mc:AlternateContent>
            </w:r>
            <w:r>
              <w:rPr>
                <w:rFonts w:eastAsia="仿宋_GB2312"/>
                <w:bCs/>
                <w:color w:val="FF0000"/>
                <w:sz w:val="20"/>
              </w:rPr>
              <mc:AlternateContent>
                <mc:Choice Requires="wps">
                  <w:drawing>
                    <wp:anchor distT="0" distB="0" distL="114300" distR="114300" simplePos="0" relativeHeight="251725824" behindDoc="0" locked="0" layoutInCell="1" allowOverlap="1">
                      <wp:simplePos x="0" y="0"/>
                      <wp:positionH relativeFrom="column">
                        <wp:posOffset>4137025</wp:posOffset>
                      </wp:positionH>
                      <wp:positionV relativeFrom="paragraph">
                        <wp:posOffset>159385</wp:posOffset>
                      </wp:positionV>
                      <wp:extent cx="1270" cy="245110"/>
                      <wp:effectExtent l="4445" t="0" r="13335" b="2540"/>
                      <wp:wrapNone/>
                      <wp:docPr id="24" name="直接连接符 24"/>
                      <wp:cNvGraphicFramePr/>
                      <a:graphic xmlns:a="http://schemas.openxmlformats.org/drawingml/2006/main">
                        <a:graphicData uri="http://schemas.microsoft.com/office/word/2010/wordprocessingShape">
                          <wps:wsp>
                            <wps:cNvSpPr/>
                            <wps:spPr>
                              <a:xfrm>
                                <a:off x="0" y="0"/>
                                <a:ext cx="1270" cy="2451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5.75pt;margin-top:12.55pt;height:19.3pt;width:0.1pt;z-index:251725824;mso-width-relative:page;mso-height-relative:page;" filled="f" stroked="t" coordsize="21600,21600" o:gfxdata="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SJpa1wAAAAkBAAAPAAAAAAAAAAEAIAAAACIAAABkcnMvZG93bnJldi54bWxQ&#10;SwECFAAUAAAACACHTuJA1EmXV/gBAADoAwAADgAAAAAAAAABACAAAAAmAQAAZHJzL2Uyb0RvYy54&#10;bWxQSwUGAAAAAAYABgBZAQAAkAUAAAAA&#10;">
                      <v:path arrowok="t"/>
                      <v:fill on="f" focussize="0,0"/>
                      <v:stroke/>
                      <v:imagedata o:title=""/>
                      <o:lock v:ext="edit" aspectratio="f"/>
                    </v:line>
                  </w:pict>
                </mc:Fallback>
              </mc:AlternateContent>
            </w:r>
            <w:r>
              <w:rPr>
                <w:b/>
                <w:color w:val="FF0000"/>
                <w:sz w:val="28"/>
              </w:rPr>
              <mc:AlternateContent>
                <mc:Choice Requires="wps">
                  <w:drawing>
                    <wp:anchor distT="0" distB="0" distL="114300" distR="114300" simplePos="0" relativeHeight="251724800" behindDoc="0" locked="0" layoutInCell="1" allowOverlap="1">
                      <wp:simplePos x="0" y="0"/>
                      <wp:positionH relativeFrom="column">
                        <wp:posOffset>2551430</wp:posOffset>
                      </wp:positionH>
                      <wp:positionV relativeFrom="paragraph">
                        <wp:posOffset>165735</wp:posOffset>
                      </wp:positionV>
                      <wp:extent cx="1585595" cy="635"/>
                      <wp:effectExtent l="0" t="0" r="0" b="0"/>
                      <wp:wrapNone/>
                      <wp:docPr id="38" name="直接连接符 38"/>
                      <wp:cNvGraphicFramePr/>
                      <a:graphic xmlns:a="http://schemas.openxmlformats.org/drawingml/2006/main">
                        <a:graphicData uri="http://schemas.microsoft.com/office/word/2010/wordprocessingShape">
                          <wps:wsp>
                            <wps:cNvSpPr/>
                            <wps:spPr>
                              <a:xfrm>
                                <a:off x="0" y="0"/>
                                <a:ext cx="158559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0.9pt;margin-top:13.05pt;height:0.05pt;width:124.85pt;z-index:251724800;mso-width-relative:page;mso-height-relative:page;" filled="f" stroked="t" coordsize="21600,21600" o:gfxdata="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uHOW9cAAAAJAQAADwAAAAAAAAABACAAAAAiAAAAZHJzL2Rvd25yZXYueG1sUEsB&#10;AhQAFAAAAAgAh07iQOEmIfX2AQAA6AMAAA4AAAAAAAAAAQAgAAAAJgEAAGRycy9lMm9Eb2MueG1s&#10;UEsFBgAAAAAGAAYAWQEAAI4FAAAAAA==&#10;">
                      <v:path arrowok="t"/>
                      <v:fill on="f" focussize="0,0"/>
                      <v:stroke/>
                      <v:imagedata o:title=""/>
                      <o:lock v:ext="edit" aspectratio="f"/>
                    </v:line>
                  </w:pict>
                </mc:Fallback>
              </mc:AlternateContent>
            </w:r>
            <w:r>
              <w:rPr>
                <w:rFonts w:eastAsia="仿宋_GB2312"/>
                <w:b/>
                <w:color w:val="FF0000"/>
              </w:rPr>
              <mc:AlternateContent>
                <mc:Choice Requires="wps">
                  <w:drawing>
                    <wp:anchor distT="0" distB="0" distL="114300" distR="114300" simplePos="0" relativeHeight="251723776" behindDoc="0" locked="0" layoutInCell="1" allowOverlap="1">
                      <wp:simplePos x="0" y="0"/>
                      <wp:positionH relativeFrom="column">
                        <wp:posOffset>2535555</wp:posOffset>
                      </wp:positionH>
                      <wp:positionV relativeFrom="paragraph">
                        <wp:posOffset>163830</wp:posOffset>
                      </wp:positionV>
                      <wp:extent cx="7620" cy="241935"/>
                      <wp:effectExtent l="35560" t="0" r="33020" b="5715"/>
                      <wp:wrapNone/>
                      <wp:docPr id="33" name="直接连接符 33"/>
                      <wp:cNvGraphicFramePr/>
                      <a:graphic xmlns:a="http://schemas.openxmlformats.org/drawingml/2006/main">
                        <a:graphicData uri="http://schemas.microsoft.com/office/word/2010/wordprocessingShape">
                          <wps:wsp>
                            <wps:cNvSpPr/>
                            <wps:spPr>
                              <a:xfrm flipH="1">
                                <a:off x="0" y="0"/>
                                <a:ext cx="7620"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9.65pt;margin-top:12.9pt;height:19.05pt;width:0.6pt;z-index:251723776;mso-width-relative:page;mso-height-relative:page;" filled="f" stroked="t" coordsize="21600,21600" o:gfxdata="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&#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6mUtoAAAAJAQAADwAAAAAAAAABACAAAAAiAAAA&#10;ZHJzL2Rvd25yZXYueG1sUEsBAhQAFAAAAAgAh07iQJd6AzQFAgAA9gMAAA4AAAAAAAAAAQAgAAAA&#10;KQEAAGRycy9lMm9Eb2MueG1sUEsFBgAAAAAGAAYAWQEAAKAFAAAAAA==&#10;">
                      <v:path arrowok="t"/>
                      <v:fill on="f" focussize="0,0"/>
                      <v:stroke endarrow="block"/>
                      <v:imagedata o:title=""/>
                      <o:lock v:ext="edit" aspectratio="f"/>
                    </v:line>
                  </w:pict>
                </mc:Fallback>
              </mc:AlternateContent>
            </w:r>
          </w:p>
          <w:p>
            <w:pPr>
              <w:pStyle w:val="103"/>
              <w:spacing w:line="520" w:lineRule="exact"/>
              <w:ind w:firstLine="562" w:firstLineChars="200"/>
              <w:jc w:val="both"/>
              <w:rPr>
                <w:rFonts w:eastAsia="仿宋_GB2312"/>
                <w:bCs/>
                <w:color w:val="FF0000"/>
              </w:rPr>
            </w:pPr>
            <w:r>
              <w:rPr>
                <w:b/>
                <w:color w:val="FF0000"/>
                <w:sz w:val="28"/>
              </w:rPr>
              <mc:AlternateContent>
                <mc:Choice Requires="wps">
                  <w:drawing>
                    <wp:anchor distT="0" distB="0" distL="114300" distR="114300" simplePos="0" relativeHeight="251721728" behindDoc="0" locked="0" layoutInCell="1" allowOverlap="1">
                      <wp:simplePos x="0" y="0"/>
                      <wp:positionH relativeFrom="column">
                        <wp:posOffset>3813175</wp:posOffset>
                      </wp:positionH>
                      <wp:positionV relativeFrom="paragraph">
                        <wp:posOffset>47625</wp:posOffset>
                      </wp:positionV>
                      <wp:extent cx="866775" cy="290830"/>
                      <wp:effectExtent l="4445" t="5080" r="5080" b="8890"/>
                      <wp:wrapNone/>
                      <wp:docPr id="28" name="文本框 28"/>
                      <wp:cNvGraphicFramePr/>
                      <a:graphic xmlns:a="http://schemas.openxmlformats.org/drawingml/2006/main">
                        <a:graphicData uri="http://schemas.microsoft.com/office/word/2010/wordprocessingShape">
                          <wps:wsp>
                            <wps:cNvSpPr txBox="1"/>
                            <wps:spPr>
                              <a:xfrm>
                                <a:off x="0" y="0"/>
                                <a:ext cx="866775" cy="290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lang w:val="en-US" w:eastAsia="zh-CN"/>
                                    </w:rPr>
                                  </w:pPr>
                                  <w:r>
                                    <w:rPr>
                                      <w:rFonts w:hint="eastAsia" w:eastAsia="仿宋_GB2312"/>
                                      <w:lang w:val="en-US" w:eastAsia="zh-CN"/>
                                    </w:rPr>
                                    <w:t>沉淀池</w:t>
                                  </w:r>
                                </w:p>
                              </w:txbxContent>
                            </wps:txbx>
                            <wps:bodyPr upright="1"/>
                          </wps:wsp>
                        </a:graphicData>
                      </a:graphic>
                    </wp:anchor>
                  </w:drawing>
                </mc:Choice>
                <mc:Fallback>
                  <w:pict>
                    <v:shape id="_x0000_s1026" o:spid="_x0000_s1026" o:spt="202" type="#_x0000_t202" style="position:absolute;left:0pt;margin-left:300.25pt;margin-top:3.75pt;height:22.9pt;width:68.25pt;z-index:251721728;mso-width-relative:page;mso-height-relative:page;" fillcolor="#FFFFFF" filled="t" stroked="t" coordsize="21600,21600" o:gfxdata="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n9YDPYAAAACAEAAA8AAAAAAAAAAQAg&#10;AAAAIgAAAGRycy9kb3ducmV2LnhtbFBLAQIUABQAAAAIAIdO4kBslApHDgIAADcEAAAOAAAAAAAA&#10;AAEAIAAAACcBAABkcnMvZTJvRG9jLnhtbFBLBQYAAAAABgAGAFkBAACnBQAAAAA=&#10;">
                      <v:path/>
                      <v:fill on="t" focussize="0,0"/>
                      <v:stroke/>
                      <v:imagedata o:title=""/>
                      <o:lock v:ext="edit" grouping="f" rotation="f" text="f" aspectratio="f"/>
                      <v:textbox>
                        <w:txbxContent>
                          <w:p>
                            <w:pPr>
                              <w:jc w:val="center"/>
                              <w:rPr>
                                <w:rFonts w:hint="eastAsia" w:eastAsia="仿宋_GB2312"/>
                                <w:lang w:val="en-US" w:eastAsia="zh-CN"/>
                              </w:rPr>
                            </w:pPr>
                            <w:r>
                              <w:rPr>
                                <w:rFonts w:hint="eastAsia" w:eastAsia="仿宋_GB2312"/>
                                <w:lang w:val="en-US" w:eastAsia="zh-CN"/>
                              </w:rPr>
                              <w:t>沉淀池</w:t>
                            </w:r>
                          </w:p>
                        </w:txbxContent>
                      </v:textbox>
                    </v:shape>
                  </w:pict>
                </mc:Fallback>
              </mc:AlternateContent>
            </w:r>
            <w:r>
              <w:rPr>
                <w:rFonts w:eastAsia="仿宋_GB2312"/>
                <w:b/>
                <w:color w:val="FF0000"/>
              </w:rPr>
              <mc:AlternateContent>
                <mc:Choice Requires="wps">
                  <w:drawing>
                    <wp:anchor distT="0" distB="0" distL="114300" distR="114300" simplePos="0" relativeHeight="251722752" behindDoc="0" locked="0" layoutInCell="1" allowOverlap="1">
                      <wp:simplePos x="0" y="0"/>
                      <wp:positionH relativeFrom="column">
                        <wp:posOffset>3100705</wp:posOffset>
                      </wp:positionH>
                      <wp:positionV relativeFrom="paragraph">
                        <wp:posOffset>184785</wp:posOffset>
                      </wp:positionV>
                      <wp:extent cx="717550" cy="635"/>
                      <wp:effectExtent l="0" t="38100" r="6350" b="37465"/>
                      <wp:wrapNone/>
                      <wp:docPr id="26" name="直接连接符 26"/>
                      <wp:cNvGraphicFramePr/>
                      <a:graphic xmlns:a="http://schemas.openxmlformats.org/drawingml/2006/main">
                        <a:graphicData uri="http://schemas.microsoft.com/office/word/2010/wordprocessingShape">
                          <wps:wsp>
                            <wps:cNvSpPr/>
                            <wps:spPr>
                              <a:xfrm flipV="1">
                                <a:off x="0" y="0"/>
                                <a:ext cx="7175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44.15pt;margin-top:14.55pt;height:0.05pt;width:56.5pt;z-index:251722752;mso-width-relative:page;mso-height-relative:page;" filled="f" stroked="t" coordsize="21600,21600" o:gfxdata="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6z0NtgAAAAJAQAADwAAAAAAAAABACAAAAAiAAAAZHJz&#10;L2Rvd25yZXYueG1sUEsBAhQAFAAAAAgAh07iQMrLAR0EAgAA9QMAAA4AAAAAAAAAAQAgAAAAJwEA&#10;AGRycy9lMm9Eb2MueG1sUEsFBgAAAAAGAAYAWQEAAJ0FAAAAAA==&#10;">
                      <v:path arrowok="t"/>
                      <v:fill on="f" focussize="0,0"/>
                      <v:stroke endarrow="block"/>
                      <v:imagedata o:title=""/>
                      <o:lock v:ext="edit" aspectratio="f"/>
                    </v:line>
                  </w:pict>
                </mc:Fallback>
              </mc:AlternateContent>
            </w:r>
            <w:r>
              <w:rPr>
                <w:b/>
                <w:color w:val="FF0000"/>
                <w:sz w:val="28"/>
              </w:rPr>
              <mc:AlternateContent>
                <mc:Choice Requires="wps">
                  <w:drawing>
                    <wp:anchor distT="0" distB="0" distL="114300" distR="114300" simplePos="0" relativeHeight="251719680" behindDoc="0" locked="0" layoutInCell="1" allowOverlap="1">
                      <wp:simplePos x="0" y="0"/>
                      <wp:positionH relativeFrom="column">
                        <wp:posOffset>1276350</wp:posOffset>
                      </wp:positionH>
                      <wp:positionV relativeFrom="paragraph">
                        <wp:posOffset>211455</wp:posOffset>
                      </wp:positionV>
                      <wp:extent cx="584200" cy="0"/>
                      <wp:effectExtent l="0" t="38100" r="6350" b="38100"/>
                      <wp:wrapNone/>
                      <wp:docPr id="18" name="直接连接符 18"/>
                      <wp:cNvGraphicFramePr/>
                      <a:graphic xmlns:a="http://schemas.openxmlformats.org/drawingml/2006/main">
                        <a:graphicData uri="http://schemas.microsoft.com/office/word/2010/wordprocessingShape">
                          <wps:wsp>
                            <wps:cNvSpPr/>
                            <wps:spPr>
                              <a:xfrm flipV="1">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00.5pt;margin-top:16.65pt;height:0pt;width:46pt;z-index:251719680;mso-width-relative:page;mso-height-relative:page;" filled="f" coordsize="21600,21600" o:gfxdata="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xDkPrYAAAACQEAAA8AAAAAAAAAAQAgAAAAIgAAAGRycy9k&#10;b3ducmV2LnhtbFBLAQIUABQAAAAIAIdO4kCGvakWAgIAAPMDAAAOAAAAAAAAAAEAIAAAACcBAABk&#10;cnMvZTJvRG9jLnhtbFBLBQYAAAAABgAGAFkBAACbBQ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718656" behindDoc="0" locked="0" layoutInCell="1" allowOverlap="1">
                      <wp:simplePos x="0" y="0"/>
                      <wp:positionH relativeFrom="column">
                        <wp:posOffset>1871345</wp:posOffset>
                      </wp:positionH>
                      <wp:positionV relativeFrom="paragraph">
                        <wp:posOffset>44450</wp:posOffset>
                      </wp:positionV>
                      <wp:extent cx="1210310" cy="297180"/>
                      <wp:effectExtent l="4445" t="4445" r="23495" b="22225"/>
                      <wp:wrapNone/>
                      <wp:docPr id="19" name="文本框 19"/>
                      <wp:cNvGraphicFramePr/>
                      <a:graphic xmlns:a="http://schemas.openxmlformats.org/drawingml/2006/main">
                        <a:graphicData uri="http://schemas.microsoft.com/office/word/2010/wordprocessingShape">
                          <wps:wsp>
                            <wps:cNvSpPr txBox="1"/>
                            <wps:spPr>
                              <a:xfrm>
                                <a:off x="0" y="0"/>
                                <a:ext cx="12103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仿宋_GB2312"/>
                                      <w:lang w:val="en-US" w:eastAsia="zh-CN"/>
                                    </w:rPr>
                                  </w:pPr>
                                  <w:r>
                                    <w:rPr>
                                      <w:rFonts w:hint="eastAsia" w:eastAsia="仿宋_GB2312"/>
                                      <w:lang w:val="en-US" w:eastAsia="zh-CN"/>
                                    </w:rPr>
                                    <w:t>砂石生产线</w:t>
                                  </w:r>
                                </w:p>
                              </w:txbxContent>
                            </wps:txbx>
                            <wps:bodyPr upright="1"/>
                          </wps:wsp>
                        </a:graphicData>
                      </a:graphic>
                    </wp:anchor>
                  </w:drawing>
                </mc:Choice>
                <mc:Fallback>
                  <w:pict>
                    <v:shape id="_x0000_s1026" o:spid="_x0000_s1026" o:spt="202" type="#_x0000_t202" style="position:absolute;left:0pt;margin-left:147.35pt;margin-top:3.5pt;height:23.4pt;width:95.3pt;z-index:251718656;mso-width-relative:page;mso-height-relative:page;" coordsize="21600,21600" o:gfxdata="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q5122AAAAAgBAAAPAAAAAAAAAAEAIAAA&#10;ACIAAABkcnMvZG93bnJldi54bWxQSwECFAAUAAAACACHTuJA6jAMsAwCAAA4BAAADgAAAAAAAAAB&#10;ACAAAAAnAQAAZHJzL2Uyb0RvYy54bWxQSwUGAAAAAAYABgBZAQAApQUAAAAA&#10;">
                      <v:path/>
                      <v:fill focussize="0,0"/>
                      <v:stroke/>
                      <v:imagedata o:title=""/>
                      <o:lock v:ext="edit" grouping="f" rotation="f" text="f" aspectratio="f"/>
                      <v:textbox>
                        <w:txbxContent>
                          <w:p>
                            <w:pPr>
                              <w:jc w:val="center"/>
                              <w:rPr>
                                <w:rFonts w:hint="default" w:eastAsia="仿宋_GB2312"/>
                                <w:lang w:val="en-US" w:eastAsia="zh-CN"/>
                              </w:rPr>
                            </w:pPr>
                            <w:r>
                              <w:rPr>
                                <w:rFonts w:hint="eastAsia" w:eastAsia="仿宋_GB2312"/>
                                <w:lang w:val="en-US" w:eastAsia="zh-CN"/>
                              </w:rPr>
                              <w:t>砂石生产线</w:t>
                            </w:r>
                          </w:p>
                        </w:txbxContent>
                      </v:textbox>
                    </v:shape>
                  </w:pict>
                </mc:Fallback>
              </mc:AlternateContent>
            </w:r>
          </w:p>
          <w:p>
            <w:pPr>
              <w:pStyle w:val="103"/>
              <w:spacing w:line="520" w:lineRule="exact"/>
              <w:ind w:firstLine="400" w:firstLineChars="200"/>
              <w:jc w:val="both"/>
              <w:rPr>
                <w:rFonts w:eastAsia="仿宋_GB2312"/>
                <w:bCs/>
                <w:color w:val="FF0000"/>
              </w:rPr>
            </w:pPr>
            <w:r>
              <w:rPr>
                <w:rFonts w:eastAsia="仿宋_GB2312"/>
                <w:bCs/>
                <w:color w:val="FF0000"/>
                <w:sz w:val="20"/>
              </w:rPr>
              <mc:AlternateContent>
                <mc:Choice Requires="wps">
                  <w:drawing>
                    <wp:anchor distT="0" distB="0" distL="114300" distR="114300" simplePos="0" relativeHeight="251663360" behindDoc="0" locked="0" layoutInCell="1" allowOverlap="1">
                      <wp:simplePos x="0" y="0"/>
                      <wp:positionH relativeFrom="column">
                        <wp:posOffset>1238885</wp:posOffset>
                      </wp:positionH>
                      <wp:positionV relativeFrom="paragraph">
                        <wp:posOffset>174625</wp:posOffset>
                      </wp:positionV>
                      <wp:extent cx="598170" cy="2952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98170" cy="295275"/>
                              </a:xfrm>
                              <a:prstGeom prst="rect">
                                <a:avLst/>
                              </a:prstGeom>
                              <a:noFill/>
                              <a:ln>
                                <a:noFill/>
                              </a:ln>
                            </wps:spPr>
                            <wps:txbx>
                              <w:txbxContent>
                                <w:p>
                                  <w:pPr>
                                    <w:rPr>
                                      <w:rFonts w:hint="default" w:eastAsia="宋体"/>
                                      <w:lang w:val="en-US" w:eastAsia="zh-CN"/>
                                    </w:rPr>
                                  </w:pPr>
                                  <w:r>
                                    <w:rPr>
                                      <w:rFonts w:hint="eastAsia"/>
                                      <w:lang w:val="en-US" w:eastAsia="zh-CN"/>
                                    </w:rPr>
                                    <w:t>215.53</w:t>
                                  </w:r>
                                </w:p>
                              </w:txbxContent>
                            </wps:txbx>
                            <wps:bodyPr upright="1"/>
                          </wps:wsp>
                        </a:graphicData>
                      </a:graphic>
                    </wp:anchor>
                  </w:drawing>
                </mc:Choice>
                <mc:Fallback>
                  <w:pict>
                    <v:shape id="_x0000_s1026" o:spid="_x0000_s1026" o:spt="202" type="#_x0000_t202" style="position:absolute;left:0pt;margin-left:97.55pt;margin-top:13.75pt;height:23.25pt;width:47.1pt;z-index:251663360;mso-width-relative:page;mso-height-relative:page;" filled="f" stroked="f" coordsize="21600,21600" o:gfxdata="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Cifg9YAAAAJ&#10;AQAADwAAAAAAAAABACAAAAAiAAAAZHJzL2Rvd25yZXYueG1sUEsBAhQAFAAAAAgAh07iQApGK7us&#10;AQAATwMAAA4AAAAAAAAAAQAgAAAAJQEAAGRycy9lMm9Eb2MueG1sUEsFBgAAAAAGAAYAWQEAAEMF&#10;AAAAAA==&#10;">
                      <v:path/>
                      <v:fill on="f" focussize="0,0"/>
                      <v:stroke on="f"/>
                      <v:imagedata o:title=""/>
                      <o:lock v:ext="edit" aspectratio="f"/>
                      <v:textbox>
                        <w:txbxContent>
                          <w:p>
                            <w:pPr>
                              <w:rPr>
                                <w:rFonts w:hint="default" w:eastAsia="宋体"/>
                                <w:lang w:val="en-US" w:eastAsia="zh-CN"/>
                              </w:rPr>
                            </w:pPr>
                            <w:r>
                              <w:rPr>
                                <w:rFonts w:hint="eastAsia"/>
                                <w:lang w:val="en-US" w:eastAsia="zh-CN"/>
                              </w:rPr>
                              <w:t>215.53</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62336" behindDoc="0" locked="0" layoutInCell="1" allowOverlap="1">
                      <wp:simplePos x="0" y="0"/>
                      <wp:positionH relativeFrom="column">
                        <wp:posOffset>1854835</wp:posOffset>
                      </wp:positionH>
                      <wp:positionV relativeFrom="paragraph">
                        <wp:posOffset>172085</wp:posOffset>
                      </wp:positionV>
                      <wp:extent cx="1235075" cy="495300"/>
                      <wp:effectExtent l="5080" t="4445" r="17145" b="14605"/>
                      <wp:wrapNone/>
                      <wp:docPr id="31" name="文本框 31"/>
                      <wp:cNvGraphicFramePr/>
                      <a:graphic xmlns:a="http://schemas.openxmlformats.org/drawingml/2006/main">
                        <a:graphicData uri="http://schemas.microsoft.com/office/word/2010/wordprocessingShape">
                          <wps:wsp>
                            <wps:cNvSpPr txBox="1"/>
                            <wps:spPr>
                              <a:xfrm>
                                <a:off x="0" y="0"/>
                                <a:ext cx="1235075"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eastAsia="仿宋_GB2312"/>
                                    </w:rPr>
                                    <w:t>混凝土生产搅拌用水</w:t>
                                  </w:r>
                                  <w:r>
                                    <w:rPr>
                                      <w:rFonts w:hint="eastAsia" w:eastAsia="仿宋_GB2312"/>
                                    </w:rPr>
                                    <w:t>（进入产品）</w:t>
                                  </w:r>
                                </w:p>
                              </w:txbxContent>
                            </wps:txbx>
                            <wps:bodyPr upright="1"/>
                          </wps:wsp>
                        </a:graphicData>
                      </a:graphic>
                    </wp:anchor>
                  </w:drawing>
                </mc:Choice>
                <mc:Fallback>
                  <w:pict>
                    <v:shape id="_x0000_s1026" o:spid="_x0000_s1026" o:spt="202" type="#_x0000_t202" style="position:absolute;left:0pt;margin-left:146.05pt;margin-top:13.55pt;height:39pt;width:97.25pt;z-index:251662336;mso-width-relative:page;mso-height-relative:page;" coordsize="21600,21600" o:gfxdata="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G7gPZAAAACgEAAA8AAAAAAAAAAQAg&#10;AAAAIgAAAGRycy9kb3ducmV2LnhtbFBLAQIUABQAAAAIAIdO4kB+hmLaDQIAADgEAAAOAAAAAAAA&#10;AAEAIAAAACgBAABkcnMvZTJvRG9jLnhtbFBLBQYAAAAABgAGAFkBAACnBQAAAAA=&#10;">
                      <v:path/>
                      <v:fill focussize="0,0"/>
                      <v:stroke/>
                      <v:imagedata o:title=""/>
                      <o:lock v:ext="edit" grouping="f" rotation="f" text="f" aspectratio="f"/>
                      <v:textbox>
                        <w:txbxContent>
                          <w:p>
                            <w:pPr>
                              <w:jc w:val="center"/>
                              <w:rPr>
                                <w:rFonts w:hint="eastAsia" w:eastAsia="仿宋_GB2312"/>
                              </w:rPr>
                            </w:pPr>
                            <w:r>
                              <w:rPr>
                                <w:rFonts w:eastAsia="仿宋_GB2312"/>
                              </w:rPr>
                              <w:t>混凝土生产搅拌用水</w:t>
                            </w:r>
                            <w:r>
                              <w:rPr>
                                <w:rFonts w:hint="eastAsia" w:eastAsia="仿宋_GB2312"/>
                              </w:rPr>
                              <w:t>（进入产品）</w:t>
                            </w:r>
                          </w:p>
                        </w:txbxContent>
                      </v:textbox>
                    </v:shape>
                  </w:pict>
                </mc:Fallback>
              </mc:AlternateContent>
            </w:r>
            <w:r>
              <w:rPr>
                <w:b/>
                <w:color w:val="FF0000"/>
                <w:sz w:val="28"/>
              </w:rPr>
              <mc:AlternateContent>
                <mc:Choice Requires="wps">
                  <w:drawing>
                    <wp:anchor distT="0" distB="0" distL="114300" distR="114300" simplePos="0" relativeHeight="251713536" behindDoc="0" locked="0" layoutInCell="1" allowOverlap="1">
                      <wp:simplePos x="0" y="0"/>
                      <wp:positionH relativeFrom="column">
                        <wp:posOffset>3636010</wp:posOffset>
                      </wp:positionH>
                      <wp:positionV relativeFrom="paragraph">
                        <wp:posOffset>227965</wp:posOffset>
                      </wp:positionV>
                      <wp:extent cx="576580" cy="29718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76580" cy="297180"/>
                              </a:xfrm>
                              <a:prstGeom prst="rect">
                                <a:avLst/>
                              </a:prstGeom>
                              <a:noFill/>
                              <a:ln>
                                <a:noFill/>
                              </a:ln>
                            </wps:spPr>
                            <wps:txbx>
                              <w:txbxContent>
                                <w:p>
                                  <w:pPr>
                                    <w:rPr>
                                      <w:rFonts w:hint="default" w:eastAsia="仿宋_GB2312"/>
                                      <w:lang w:val="en-US" w:eastAsia="zh-CN"/>
                                    </w:rPr>
                                  </w:pPr>
                                  <w:r>
                                    <w:rPr>
                                      <w:rFonts w:hint="eastAsia" w:eastAsia="仿宋_GB2312"/>
                                      <w:lang w:val="en-US" w:eastAsia="zh-CN"/>
                                    </w:rPr>
                                    <w:t>134.47</w:t>
                                  </w:r>
                                </w:p>
                              </w:txbxContent>
                            </wps:txbx>
                            <wps:bodyPr upright="1"/>
                          </wps:wsp>
                        </a:graphicData>
                      </a:graphic>
                    </wp:anchor>
                  </w:drawing>
                </mc:Choice>
                <mc:Fallback>
                  <w:pict>
                    <v:shape id="_x0000_s1026" o:spid="_x0000_s1026" o:spt="202" type="#_x0000_t202" style="position:absolute;left:0pt;margin-left:286.3pt;margin-top:17.95pt;height:23.4pt;width:45.4pt;z-index:251713536;mso-width-relative:page;mso-height-relative:page;" filled="f" stroked="f" coordsize="21600,21600" o:gfxdata="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5h269gA&#10;AAAJAQAADwAAAAAAAAABACAAAAAiAAAAZHJzL2Rvd25yZXYueG1sUEsBAhQAFAAAAAgAh07iQKoZ&#10;bXutAQAATwMAAA4AAAAAAAAAAQAgAAAAJwEAAGRycy9lMm9Eb2MueG1sUEsFBgAAAAAGAAYAWQEA&#10;AEYFA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lang w:val="en-US" w:eastAsia="zh-CN"/>
                              </w:rPr>
                              <w:t>134.47</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69504" behindDoc="0" locked="0" layoutInCell="1" allowOverlap="1">
                      <wp:simplePos x="0" y="0"/>
                      <wp:positionH relativeFrom="column">
                        <wp:posOffset>1257300</wp:posOffset>
                      </wp:positionH>
                      <wp:positionV relativeFrom="paragraph">
                        <wp:posOffset>469900</wp:posOffset>
                      </wp:positionV>
                      <wp:extent cx="584200" cy="0"/>
                      <wp:effectExtent l="0" t="38100" r="6350" b="38100"/>
                      <wp:wrapNone/>
                      <wp:docPr id="27" name="直接连接符 27"/>
                      <wp:cNvGraphicFramePr/>
                      <a:graphic xmlns:a="http://schemas.openxmlformats.org/drawingml/2006/main">
                        <a:graphicData uri="http://schemas.microsoft.com/office/word/2010/wordprocessingShape">
                          <wps:wsp>
                            <wps:cNvSpPr/>
                            <wps:spPr>
                              <a:xfrm>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9pt;margin-top:37pt;height:0pt;width:46pt;z-index:251669504;mso-width-relative:page;mso-height-relative:page;" filled="f" coordsize="21600,21600" o:gfxdata="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2CMpvWAAAACQEAAA8AAAAAAAAAAQAgAAAAIgAAAGRycy9kb3ducmV2Lnht&#10;bFBLAQIUABQAAAAIAIdO4kA4Wugp+wEAAOkDAAAOAAAAAAAAAAEAIAAAACUBAABkcnMvZTJvRG9j&#10;LnhtbFBLBQYAAAAABgAGAFkBAACSBQAAAAA=&#10;">
                      <v:path arrowok="t"/>
                      <v:fill on="f" focussize="0,0"/>
                      <v:stroke endarrow="block"/>
                      <v:imagedata o:title=""/>
                      <o:lock v:ext="edit" grouping="f" rotation="f" text="f" aspectratio="f"/>
                    </v:line>
                  </w:pict>
                </mc:Fallback>
              </mc:AlternateContent>
            </w:r>
          </w:p>
          <w:p>
            <w:pPr>
              <w:pStyle w:val="103"/>
              <w:spacing w:line="520" w:lineRule="exact"/>
              <w:ind w:firstLine="480" w:firstLineChars="200"/>
              <w:jc w:val="both"/>
              <w:rPr>
                <w:rFonts w:eastAsia="仿宋_GB2312"/>
                <w:bCs/>
                <w:color w:val="FF0000"/>
              </w:rPr>
            </w:pPr>
            <w:r>
              <w:rPr>
                <w:color w:val="FF0000"/>
              </w:rPr>
              <mc:AlternateContent>
                <mc:Choice Requires="wps">
                  <w:drawing>
                    <wp:anchor distT="0" distB="0" distL="114300" distR="114300" simplePos="0" relativeHeight="251717632" behindDoc="0" locked="0" layoutInCell="1" allowOverlap="1">
                      <wp:simplePos x="0" y="0"/>
                      <wp:positionH relativeFrom="column">
                        <wp:posOffset>204470</wp:posOffset>
                      </wp:positionH>
                      <wp:positionV relativeFrom="paragraph">
                        <wp:posOffset>175895</wp:posOffset>
                      </wp:positionV>
                      <wp:extent cx="894715" cy="91821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94715" cy="91821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eastAsia="仿宋_GB2312"/>
                                      <w:b/>
                                      <w:bCs/>
                                      <w:sz w:val="24"/>
                                      <w:szCs w:val="24"/>
                                      <w:lang w:val="en-US" w:eastAsia="zh-CN"/>
                                    </w:rPr>
                                    <w:t>新鲜水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sz w:val="24"/>
                                      <w:szCs w:val="24"/>
                                      <w:lang w:val="en-US" w:eastAsia="zh-CN"/>
                                    </w:rPr>
                                  </w:pPr>
                                  <w:r>
                                    <w:rPr>
                                      <w:rFonts w:hint="eastAsia" w:eastAsia="仿宋_GB2312"/>
                                      <w:b/>
                                      <w:bCs/>
                                      <w:sz w:val="24"/>
                                      <w:szCs w:val="24"/>
                                      <w:lang w:val="en-US" w:eastAsia="zh-CN"/>
                                    </w:rPr>
                                    <w:t>385.39</w:t>
                                  </w:r>
                                </w:p>
                                <w:p>
                                  <w:pPr>
                                    <w:rPr>
                                      <w:rFonts w:hint="eastAsia"/>
                                      <w:lang w:val="en-US" w:eastAsia="zh-CN"/>
                                    </w:rPr>
                                  </w:pPr>
                                </w:p>
                              </w:txbxContent>
                            </wps:txbx>
                            <wps:bodyPr upright="1"/>
                          </wps:wsp>
                        </a:graphicData>
                      </a:graphic>
                    </wp:anchor>
                  </w:drawing>
                </mc:Choice>
                <mc:Fallback>
                  <w:pict>
                    <v:shape id="_x0000_s1026" o:spid="_x0000_s1026" o:spt="202" type="#_x0000_t202" style="position:absolute;left:0pt;margin-left:16.1pt;margin-top:13.85pt;height:72.3pt;width:70.45pt;z-index:251717632;mso-width-relative:page;mso-height-relative:page;" filled="f" stroked="f" coordsize="21600,21600" o:gfxdata="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J1QS1gAA&#10;AAkBAAAPAAAAAAAAAAEAIAAAACIAAABkcnMvZG93bnJldi54bWxQSwECFAAUAAAACACHTuJAK3Mf&#10;dq4BAABPAwAADgAAAAAAAAABACAAAAAlAQAAZHJzL2Uyb0RvYy54bWxQSwUGAAAAAAYABgBZAQAA&#10;RQUAAAAA&#1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eastAsia="仿宋_GB2312"/>
                                <w:b/>
                                <w:bCs/>
                                <w:sz w:val="24"/>
                                <w:szCs w:val="24"/>
                                <w:lang w:val="en-US" w:eastAsia="zh-CN"/>
                              </w:rPr>
                              <w:t>新鲜水</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sz w:val="24"/>
                                <w:szCs w:val="24"/>
                                <w:lang w:val="en-US" w:eastAsia="zh-CN"/>
                              </w:rPr>
                            </w:pPr>
                            <w:r>
                              <w:rPr>
                                <w:rFonts w:hint="eastAsia" w:eastAsia="仿宋_GB2312"/>
                                <w:b/>
                                <w:bCs/>
                                <w:sz w:val="24"/>
                                <w:szCs w:val="24"/>
                                <w:lang w:val="en-US" w:eastAsia="zh-CN"/>
                              </w:rPr>
                              <w:t>385.39</w:t>
                            </w:r>
                          </w:p>
                          <w:p>
                            <w:pPr>
                              <w:rPr>
                                <w:rFonts w:hint="eastAsia"/>
                                <w:lang w:val="en-US" w:eastAsia="zh-CN"/>
                              </w:rPr>
                            </w:pPr>
                          </w:p>
                        </w:txbxContent>
                      </v:textbox>
                    </v:shape>
                  </w:pict>
                </mc:Fallback>
              </mc:AlternateContent>
            </w:r>
            <w:r>
              <w:rPr>
                <w:b/>
                <w:color w:val="FF0000"/>
                <w:sz w:val="28"/>
              </w:rPr>
              <mc:AlternateContent>
                <mc:Choice Requires="wps">
                  <w:drawing>
                    <wp:anchor distT="0" distB="0" distL="114300" distR="114300" simplePos="0" relativeHeight="251712512" behindDoc="0" locked="0" layoutInCell="1" allowOverlap="1">
                      <wp:simplePos x="0" y="0"/>
                      <wp:positionH relativeFrom="column">
                        <wp:posOffset>3120390</wp:posOffset>
                      </wp:positionH>
                      <wp:positionV relativeFrom="paragraph">
                        <wp:posOffset>78105</wp:posOffset>
                      </wp:positionV>
                      <wp:extent cx="1618615" cy="0"/>
                      <wp:effectExtent l="0" t="38100" r="635" b="38100"/>
                      <wp:wrapNone/>
                      <wp:docPr id="25" name="直接连接符 25"/>
                      <wp:cNvGraphicFramePr/>
                      <a:graphic xmlns:a="http://schemas.openxmlformats.org/drawingml/2006/main">
                        <a:graphicData uri="http://schemas.microsoft.com/office/word/2010/wordprocessingShape">
                          <wps:wsp>
                            <wps:cNvSpPr/>
                            <wps:spPr>
                              <a:xfrm flipH="1">
                                <a:off x="0" y="0"/>
                                <a:ext cx="161861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5.7pt;margin-top:6.15pt;height:0pt;width:127.45pt;z-index:251712512;mso-width-relative:page;mso-height-relative:page;" filled="f" coordsize="21600,21600" o:gfxdata="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xo+vZAAAACQEAAA8AAAAAAAAAAQAgAAAAIgAAAGRy&#10;cy9kb3ducmV2LnhtbFBLAQIUABQAAAAIAIdO4kDU/4i4BAIAAPQDAAAOAAAAAAAAAAEAIAAAACgB&#10;AABkcnMvZTJvRG9jLnhtbFBLBQYAAAAABgAGAFkBAACeBQ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711488" behindDoc="0" locked="0" layoutInCell="1" allowOverlap="1">
                      <wp:simplePos x="0" y="0"/>
                      <wp:positionH relativeFrom="column">
                        <wp:posOffset>4742180</wp:posOffset>
                      </wp:positionH>
                      <wp:positionV relativeFrom="paragraph">
                        <wp:posOffset>61595</wp:posOffset>
                      </wp:positionV>
                      <wp:extent cx="15875" cy="1504950"/>
                      <wp:effectExtent l="4445" t="0" r="17780" b="0"/>
                      <wp:wrapNone/>
                      <wp:docPr id="35" name="直接连接符 35"/>
                      <wp:cNvGraphicFramePr/>
                      <a:graphic xmlns:a="http://schemas.openxmlformats.org/drawingml/2006/main">
                        <a:graphicData uri="http://schemas.microsoft.com/office/word/2010/wordprocessingShape">
                          <wps:wsp>
                            <wps:cNvSpPr/>
                            <wps:spPr>
                              <a:xfrm>
                                <a:off x="0" y="0"/>
                                <a:ext cx="15875" cy="1504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3.4pt;margin-top:4.85pt;height:118.5pt;width:1.25pt;z-index:251711488;mso-width-relative:page;mso-height-relative:page;" filled="f" coordsize="21600,21600" o:gfxdata="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L+1l2AAAAAkBAAAPAAAAAAAAAAEAIAAAACIAAABkcnMvZG93bnJldi54&#10;bWxQSwECFAAUAAAACACHTuJAOB0LlfoBAADqAwAADgAAAAAAAAABACAAAAAnAQAAZHJzL2Uyb0Rv&#10;Yy54bWxQSwUGAAAAAAYABgBZAQAAkwUAAAAA&#10;">
                      <v:path arrowok="t"/>
                      <v:fill on="f" focussize="0,0"/>
                      <v:stroke/>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707392" behindDoc="0" locked="0" layoutInCell="1" allowOverlap="1">
                      <wp:simplePos x="0" y="0"/>
                      <wp:positionH relativeFrom="column">
                        <wp:posOffset>3283585</wp:posOffset>
                      </wp:positionH>
                      <wp:positionV relativeFrom="paragraph">
                        <wp:posOffset>800100</wp:posOffset>
                      </wp:positionV>
                      <wp:extent cx="659130" cy="0"/>
                      <wp:effectExtent l="0" t="0" r="0" b="0"/>
                      <wp:wrapNone/>
                      <wp:docPr id="32" name="直接连接符 32"/>
                      <wp:cNvGraphicFramePr/>
                      <a:graphic xmlns:a="http://schemas.openxmlformats.org/drawingml/2006/main">
                        <a:graphicData uri="http://schemas.microsoft.com/office/word/2010/wordprocessingShape">
                          <wps:wsp>
                            <wps:cNvSpPr/>
                            <wps:spPr>
                              <a:xfrm>
                                <a:off x="0" y="0"/>
                                <a:ext cx="659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8.55pt;margin-top:63pt;height:0pt;width:51.9pt;z-index:251707392;mso-width-relative:page;mso-height-relative:page;" filled="f" coordsize="21600,21600" o:gfxdata="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Mo6X1wAAAAsBAAAPAAAAAAAAAAEAIAAAACIAAABkcnMvZG93bnJldi54bWxQSwEC&#10;FAAUAAAACACHTuJAzZ6LePUBAADlAwAADgAAAAAAAAABACAAAAAmAQAAZHJzL2Uyb0RvYy54bWxQ&#10;SwUGAAAAAAYABgBZAQAAjQUAAAAA&#10;">
                      <v:path arrowok="t"/>
                      <v:fill on="f" focussize="0,0"/>
                      <v:stroke/>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706368" behindDoc="0" locked="0" layoutInCell="1" allowOverlap="1">
                      <wp:simplePos x="0" y="0"/>
                      <wp:positionH relativeFrom="column">
                        <wp:posOffset>3357880</wp:posOffset>
                      </wp:positionH>
                      <wp:positionV relativeFrom="paragraph">
                        <wp:posOffset>512445</wp:posOffset>
                      </wp:positionV>
                      <wp:extent cx="576580" cy="2971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76580" cy="297180"/>
                              </a:xfrm>
                              <a:prstGeom prst="rect">
                                <a:avLst/>
                              </a:prstGeom>
                              <a:noFill/>
                              <a:ln>
                                <a:noFill/>
                              </a:ln>
                            </wps:spPr>
                            <wps:txbx>
                              <w:txbxContent>
                                <w:p>
                                  <w:pPr>
                                    <w:rPr>
                                      <w:rFonts w:hint="default" w:eastAsia="仿宋_GB2312"/>
                                      <w:lang w:val="en-US" w:eastAsia="zh-CN"/>
                                    </w:rPr>
                                  </w:pPr>
                                  <w:r>
                                    <w:rPr>
                                      <w:rFonts w:hint="eastAsia" w:eastAsia="仿宋_GB2312"/>
                                      <w:lang w:val="en-US" w:eastAsia="zh-CN"/>
                                    </w:rPr>
                                    <w:t>5.4</w:t>
                                  </w:r>
                                </w:p>
                              </w:txbxContent>
                            </wps:txbx>
                            <wps:bodyPr upright="1"/>
                          </wps:wsp>
                        </a:graphicData>
                      </a:graphic>
                    </wp:anchor>
                  </w:drawing>
                </mc:Choice>
                <mc:Fallback>
                  <w:pict>
                    <v:shape id="_x0000_s1026" o:spid="_x0000_s1026" o:spt="202" type="#_x0000_t202" style="position:absolute;left:0pt;margin-left:264.4pt;margin-top:40.35pt;height:23.4pt;width:45.4pt;z-index:251706368;mso-width-relative:page;mso-height-relative:page;" filled="f" stroked="f" coordsize="21600,21600" o:gfxdata="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C9x2NgA&#10;AAAKAQAADwAAAAAAAAABACAAAAAiAAAAZHJzL2Rvd25yZXYueG1sUEsBAhQAFAAAAAgAh07iQJpp&#10;O3qtAQAATwMAAA4AAAAAAAAAAQAgAAAAJwEAAGRycy9lMm9Eb2MueG1sUEsFBgAAAAAGAAYAWQEA&#10;AEYFA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lang w:val="en-US" w:eastAsia="zh-CN"/>
                              </w:rPr>
                              <w:t>5.4</w:t>
                            </w:r>
                          </w:p>
                        </w:txbxContent>
                      </v:textbox>
                    </v:shape>
                  </w:pict>
                </mc:Fallback>
              </mc:AlternateContent>
            </w:r>
            <w:r>
              <w:rPr>
                <w:b/>
                <w:color w:val="FF0000"/>
                <w:sz w:val="28"/>
              </w:rPr>
              <mc:AlternateContent>
                <mc:Choice Requires="wps">
                  <w:drawing>
                    <wp:anchor distT="0" distB="0" distL="114300" distR="114300" simplePos="0" relativeHeight="251705344" behindDoc="0" locked="0" layoutInCell="1" allowOverlap="1">
                      <wp:simplePos x="0" y="0"/>
                      <wp:positionH relativeFrom="column">
                        <wp:posOffset>1275715</wp:posOffset>
                      </wp:positionH>
                      <wp:positionV relativeFrom="paragraph">
                        <wp:posOffset>800100</wp:posOffset>
                      </wp:positionV>
                      <wp:extent cx="584200" cy="0"/>
                      <wp:effectExtent l="0" t="38100" r="6350" b="38100"/>
                      <wp:wrapNone/>
                      <wp:docPr id="37" name="直接连接符 37"/>
                      <wp:cNvGraphicFramePr/>
                      <a:graphic xmlns:a="http://schemas.openxmlformats.org/drawingml/2006/main">
                        <a:graphicData uri="http://schemas.microsoft.com/office/word/2010/wordprocessingShape">
                          <wps:wsp>
                            <wps:cNvSpPr/>
                            <wps:spPr>
                              <a:xfrm flipV="1">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00.45pt;margin-top:63pt;height:0pt;width:46pt;z-index:251705344;mso-width-relative:page;mso-height-relative:page;" filled="f" coordsize="21600,21600" o:gfxdata="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8ipXXAAAACwEAAA8AAAAAAAAAAQAgAAAAIgAAAGRycy9k&#10;b3ducmV2LnhtbFBLAQIUABQAAAAIAIdO4kARyBwuAwIAAPMDAAAOAAAAAAAAAAEAIAAAACYBAABk&#10;cnMvZTJvRG9jLnhtbFBLBQYAAAAABgAGAFkBAACbBQ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704320" behindDoc="0" locked="0" layoutInCell="1" allowOverlap="1">
                      <wp:simplePos x="0" y="0"/>
                      <wp:positionH relativeFrom="column">
                        <wp:posOffset>2517140</wp:posOffset>
                      </wp:positionH>
                      <wp:positionV relativeFrom="paragraph">
                        <wp:posOffset>277495</wp:posOffset>
                      </wp:positionV>
                      <wp:extent cx="931545" cy="29718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31545" cy="297180"/>
                              </a:xfrm>
                              <a:prstGeom prst="rect">
                                <a:avLst/>
                              </a:prstGeom>
                              <a:noFill/>
                              <a:ln>
                                <a:noFill/>
                              </a:ln>
                            </wps:spPr>
                            <wps:txbx>
                              <w:txbxContent>
                                <w:p>
                                  <w:pPr>
                                    <w:rPr>
                                      <w:rFonts w:hint="eastAsia" w:eastAsia="仿宋_GB2312"/>
                                      <w:lang w:eastAsia="zh-CN"/>
                                    </w:rPr>
                                  </w:pPr>
                                  <w:r>
                                    <w:rPr>
                                      <w:rFonts w:hint="eastAsia" w:eastAsia="仿宋_GB2312"/>
                                    </w:rPr>
                                    <w:t>损耗0.</w:t>
                                  </w:r>
                                  <w:r>
                                    <w:rPr>
                                      <w:rFonts w:hint="eastAsia" w:eastAsia="仿宋_GB2312"/>
                                      <w:lang w:val="en-US" w:eastAsia="zh-CN"/>
                                    </w:rPr>
                                    <w:t>6</w:t>
                                  </w:r>
                                </w:p>
                              </w:txbxContent>
                            </wps:txbx>
                            <wps:bodyPr upright="1"/>
                          </wps:wsp>
                        </a:graphicData>
                      </a:graphic>
                    </wp:anchor>
                  </w:drawing>
                </mc:Choice>
                <mc:Fallback>
                  <w:pict>
                    <v:shape id="_x0000_s1026" o:spid="_x0000_s1026" o:spt="202" type="#_x0000_t202" style="position:absolute;left:0pt;margin-left:198.2pt;margin-top:21.85pt;height:23.4pt;width:73.35pt;z-index:251704320;mso-width-relative:page;mso-height-relative:page;" filled="f" stroked="f" coordsize="21600,21600" o:gfxdata="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Mg2dTX&#10;AAAACQEAAA8AAAAAAAAAAQAgAAAAIgAAAGRycy9kb3ducmV2LnhtbFBLAQIUABQAAAAIAIdO4kAi&#10;NnyirwEAAE8DAAAOAAAAAAAAAAEAIAAAACYBAABkcnMvZTJvRG9jLnhtbFBLBQYAAAAABgAGAFkB&#10;AABHBQAAAAA=&#10;">
                      <v:path/>
                      <v:fill on="f" focussize="0,0"/>
                      <v:stroke on="f"/>
                      <v:imagedata o:title=""/>
                      <o:lock v:ext="edit" grouping="f" rotation="f" text="f" aspectratio="f"/>
                      <v:textbox>
                        <w:txbxContent>
                          <w:p>
                            <w:pPr>
                              <w:rPr>
                                <w:rFonts w:hint="eastAsia" w:eastAsia="仿宋_GB2312"/>
                                <w:lang w:eastAsia="zh-CN"/>
                              </w:rPr>
                            </w:pPr>
                            <w:r>
                              <w:rPr>
                                <w:rFonts w:hint="eastAsia" w:eastAsia="仿宋_GB2312"/>
                              </w:rPr>
                              <w:t>损耗0.</w:t>
                            </w:r>
                            <w:r>
                              <w:rPr>
                                <w:rFonts w:hint="eastAsia" w:eastAsia="仿宋_GB2312"/>
                                <w:lang w:val="en-US" w:eastAsia="zh-CN"/>
                              </w:rPr>
                              <w:t>6</w:t>
                            </w:r>
                          </w:p>
                        </w:txbxContent>
                      </v:textbox>
                    </v:shape>
                  </w:pict>
                </mc:Fallback>
              </mc:AlternateContent>
            </w:r>
            <w:r>
              <w:rPr>
                <w:b/>
                <w:color w:val="FF0000"/>
                <w:sz w:val="28"/>
              </w:rPr>
              <mc:AlternateContent>
                <mc:Choice Requires="wps">
                  <w:drawing>
                    <wp:anchor distT="0" distB="0" distL="114300" distR="114300" simplePos="0" relativeHeight="251703296" behindDoc="0" locked="0" layoutInCell="1" allowOverlap="1">
                      <wp:simplePos x="0" y="0"/>
                      <wp:positionH relativeFrom="column">
                        <wp:posOffset>1316990</wp:posOffset>
                      </wp:positionH>
                      <wp:positionV relativeFrom="paragraph">
                        <wp:posOffset>574675</wp:posOffset>
                      </wp:positionV>
                      <wp:extent cx="417195" cy="2711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17195" cy="271145"/>
                              </a:xfrm>
                              <a:prstGeom prst="rect">
                                <a:avLst/>
                              </a:prstGeom>
                              <a:noFill/>
                              <a:ln>
                                <a:noFill/>
                              </a:ln>
                            </wps:spPr>
                            <wps:txbx>
                              <w:txbxContent>
                                <w:p>
                                  <w:pPr>
                                    <w:rPr>
                                      <w:rFonts w:hint="default" w:eastAsia="宋体"/>
                                      <w:lang w:val="en-US" w:eastAsia="zh-CN"/>
                                    </w:rPr>
                                  </w:pPr>
                                  <w:r>
                                    <w:rPr>
                                      <w:rFonts w:hint="eastAsia"/>
                                      <w:lang w:val="en-US" w:eastAsia="zh-CN"/>
                                    </w:rPr>
                                    <w:t>6.0</w:t>
                                  </w:r>
                                </w:p>
                              </w:txbxContent>
                            </wps:txbx>
                            <wps:bodyPr upright="1"/>
                          </wps:wsp>
                        </a:graphicData>
                      </a:graphic>
                    </wp:anchor>
                  </w:drawing>
                </mc:Choice>
                <mc:Fallback>
                  <w:pict>
                    <v:shape id="_x0000_s1026" o:spid="_x0000_s1026" o:spt="202" type="#_x0000_t202" style="position:absolute;left:0pt;margin-left:103.7pt;margin-top:45.25pt;height:21.35pt;width:32.85pt;z-index:251703296;mso-width-relative:page;mso-height-relative:page;" filled="f" stroked="f" coordsize="21600,21600" o:gfxdata="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wOeNgA&#10;AAAKAQAADwAAAAAAAAABACAAAAAiAAAAZHJzL2Rvd25yZXYueG1sUEsBAhQAFAAAAAgAh07iQJnF&#10;bDOtAQAATwMAAA4AAAAAAAAAAQAgAAAAJwEAAGRycy9lMm9Eb2MueG1sUEsFBgAAAAAGAAYAWQEA&#10;AEYFAAAAAA==&#10;">
                      <v:path/>
                      <v:fill on="f" focussize="0,0"/>
                      <v:stroke on="f"/>
                      <v:imagedata o:title=""/>
                      <o:lock v:ext="edit" grouping="f" rotation="f" text="f" aspectratio="f"/>
                      <v:textbox>
                        <w:txbxContent>
                          <w:p>
                            <w:pPr>
                              <w:rPr>
                                <w:rFonts w:hint="default" w:eastAsia="宋体"/>
                                <w:lang w:val="en-US" w:eastAsia="zh-CN"/>
                              </w:rPr>
                            </w:pPr>
                            <w:r>
                              <w:rPr>
                                <w:rFonts w:hint="eastAsia"/>
                                <w:lang w:val="en-US" w:eastAsia="zh-CN"/>
                              </w:rPr>
                              <w:t>6.0</w:t>
                            </w:r>
                          </w:p>
                        </w:txbxContent>
                      </v:textbox>
                    </v:shape>
                  </w:pict>
                </mc:Fallback>
              </mc:AlternateContent>
            </w:r>
            <w:r>
              <w:rPr>
                <w:b/>
                <w:color w:val="FF0000"/>
                <w:sz w:val="28"/>
              </w:rPr>
              <mc:AlternateContent>
                <mc:Choice Requires="wps">
                  <w:drawing>
                    <wp:anchor distT="0" distB="0" distL="114300" distR="114300" simplePos="0" relativeHeight="251702272" behindDoc="0" locked="0" layoutInCell="1" allowOverlap="1">
                      <wp:simplePos x="0" y="0"/>
                      <wp:positionH relativeFrom="column">
                        <wp:posOffset>1870710</wp:posOffset>
                      </wp:positionH>
                      <wp:positionV relativeFrom="paragraph">
                        <wp:posOffset>659765</wp:posOffset>
                      </wp:positionV>
                      <wp:extent cx="1412875" cy="297180"/>
                      <wp:effectExtent l="4445" t="4445" r="11430" b="22225"/>
                      <wp:wrapNone/>
                      <wp:docPr id="22" name="文本框 22"/>
                      <wp:cNvGraphicFramePr/>
                      <a:graphic xmlns:a="http://schemas.openxmlformats.org/drawingml/2006/main">
                        <a:graphicData uri="http://schemas.microsoft.com/office/word/2010/wordprocessingShape">
                          <wps:wsp>
                            <wps:cNvSpPr txBox="1"/>
                            <wps:spPr>
                              <a:xfrm>
                                <a:off x="0" y="0"/>
                                <a:ext cx="14128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仿宋_GB2312"/>
                                    </w:rPr>
                                  </w:pPr>
                                  <w:r>
                                    <w:rPr>
                                      <w:rFonts w:hint="eastAsia" w:eastAsia="仿宋_GB2312"/>
                                    </w:rPr>
                                    <w:t>搅拌机清洗用水</w:t>
                                  </w:r>
                                </w:p>
                              </w:txbxContent>
                            </wps:txbx>
                            <wps:bodyPr upright="1"/>
                          </wps:wsp>
                        </a:graphicData>
                      </a:graphic>
                    </wp:anchor>
                  </w:drawing>
                </mc:Choice>
                <mc:Fallback>
                  <w:pict>
                    <v:shape id="_x0000_s1026" o:spid="_x0000_s1026" o:spt="202" type="#_x0000_t202" style="position:absolute;left:0pt;margin-left:147.3pt;margin-top:51.95pt;height:23.4pt;width:111.25pt;z-index:251702272;mso-width-relative:page;mso-height-relative:page;" coordsize="21600,21600" o:gfxdata="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B7+/toAAAALAQAADwAAAAAAAAAB&#10;ACAAAAAiAAAAZHJzL2Rvd25yZXYueG1sUEsBAhQAFAAAAAgAh07iQMNQt4gOAgAAOAQAAA4AAAAA&#10;AAAAAQAgAAAAKQEAAGRycy9lMm9Eb2MueG1sUEsFBgAAAAAGAAYAWQEAAKkFAAAAAA==&#10;">
                      <v:path/>
                      <v:fill focussize="0,0"/>
                      <v:stroke/>
                      <v:imagedata o:title=""/>
                      <o:lock v:ext="edit" grouping="f" rotation="f" text="f" aspectratio="f"/>
                      <v:textbox>
                        <w:txbxContent>
                          <w:p>
                            <w:pPr>
                              <w:rPr>
                                <w:rFonts w:hint="eastAsia" w:eastAsia="仿宋_GB2312"/>
                              </w:rPr>
                            </w:pPr>
                            <w:r>
                              <w:rPr>
                                <w:rFonts w:hint="eastAsia" w:eastAsia="仿宋_GB2312"/>
                              </w:rPr>
                              <w:t>搅拌机清洗用水</w:t>
                            </w:r>
                          </w:p>
                        </w:txbxContent>
                      </v:textbox>
                    </v:shape>
                  </w:pict>
                </mc:Fallback>
              </mc:AlternateContent>
            </w:r>
          </w:p>
          <w:p>
            <w:pPr>
              <w:spacing w:line="360" w:lineRule="auto"/>
              <w:rPr>
                <w:rFonts w:hint="eastAsia"/>
                <w:color w:val="FF0000"/>
                <w:sz w:val="24"/>
              </w:rPr>
            </w:pPr>
            <w:r>
              <w:rPr>
                <w:rFonts w:eastAsia="仿宋_GB2312"/>
                <w:bCs/>
                <w:color w:val="FF0000"/>
                <w:sz w:val="20"/>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104140</wp:posOffset>
                      </wp:positionV>
                      <wp:extent cx="1266825" cy="0"/>
                      <wp:effectExtent l="0" t="38100" r="9525" b="38100"/>
                      <wp:wrapNone/>
                      <wp:docPr id="23" name="直接连接符 23"/>
                      <wp:cNvGraphicFramePr/>
                      <a:graphic xmlns:a="http://schemas.openxmlformats.org/drawingml/2006/main">
                        <a:graphicData uri="http://schemas.microsoft.com/office/word/2010/wordprocessingShape">
                          <wps:wsp>
                            <wps:cNvSpPr/>
                            <wps:spPr>
                              <a:xfrm>
                                <a:off x="0" y="0"/>
                                <a:ext cx="12668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0.45pt;margin-top:8.2pt;height:0pt;width:99.75pt;z-index:251672576;mso-width-relative:page;mso-height-relative:page;" filled="f" coordsize="21600,21600" o:gfxdata="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fPMnrVAAAABwEAAA8AAAAAAAAAAQAgAAAAIgAAAGRycy9kb3ducmV2Lnht&#10;bFBLAQIUABQAAAAIAIdO4kD9Q2WV/AEAAOoDAAAOAAAAAAAAAAEAIAAAACQBAABkcnMvZTJvRG9j&#10;LnhtbFBLBQYAAAAABgAGAFkBAACSBQ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708416" behindDoc="0" locked="0" layoutInCell="1" allowOverlap="1">
                      <wp:simplePos x="0" y="0"/>
                      <wp:positionH relativeFrom="column">
                        <wp:posOffset>2285365</wp:posOffset>
                      </wp:positionH>
                      <wp:positionV relativeFrom="paragraph">
                        <wp:posOffset>104775</wp:posOffset>
                      </wp:positionV>
                      <wp:extent cx="325755" cy="198120"/>
                      <wp:effectExtent l="0" t="24130" r="17145" b="6350"/>
                      <wp:wrapNone/>
                      <wp:docPr id="45" name="曲线连接符 45"/>
                      <wp:cNvGraphicFramePr/>
                      <a:graphic xmlns:a="http://schemas.openxmlformats.org/drawingml/2006/main">
                        <a:graphicData uri="http://schemas.microsoft.com/office/word/2010/wordprocessingShape">
                          <wps:wsp>
                            <wps:cNvCnPr/>
                            <wps:spPr>
                              <a:xfrm flipV="1">
                                <a:off x="0" y="0"/>
                                <a:ext cx="325755" cy="198120"/>
                              </a:xfrm>
                              <a:prstGeom prst="curvedConnector3">
                                <a:avLst>
                                  <a:gd name="adj1" fmla="val 49903"/>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flip:y;margin-left:179.95pt;margin-top:8.25pt;height:15.6pt;width:25.65pt;z-index:251708416;mso-width-relative:page;mso-height-relative:page;" o:connectortype="curved" filled="f" coordsize="21600,21600" o:gfxdata="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S&#10;Jv5h2QAAAAkBAAAPAAAAAAAAAAEAIAAAACIAAABkcnMvZG93bnJldi54bWxQSwECFAAUAAAACACH&#10;TuJA4VZ8MSMCAAAlBAAADgAAAAAAAAABACAAAAAoAQAAZHJzL2Uyb0RvYy54bWxQSwUGAAAAAAYA&#10;BgBZAQAAvQUAAAAA&#10;" adj="10779,822531,-287874">
                      <v:path arrowok="t"/>
                      <v:fill on="f" focussize="0,0"/>
                      <v:stroke endarrow="block"/>
                      <v:imagedata o:title=""/>
                      <o:lock v:ext="edit"/>
                    </v:shape>
                  </w:pict>
                </mc:Fallback>
              </mc:AlternateContent>
            </w:r>
          </w:p>
          <w:p>
            <w:pPr>
              <w:spacing w:line="360" w:lineRule="auto"/>
              <w:rPr>
                <w:rFonts w:hint="eastAsia"/>
                <w:color w:val="FF0000"/>
                <w:sz w:val="24"/>
              </w:rPr>
            </w:pPr>
            <w:r>
              <w:rPr>
                <w:b/>
                <w:color w:val="FF0000"/>
                <w:sz w:val="28"/>
              </w:rPr>
              <mc:AlternateContent>
                <mc:Choice Requires="wps">
                  <w:drawing>
                    <wp:anchor distT="0" distB="0" distL="114300" distR="114300" simplePos="0" relativeHeight="251709440" behindDoc="0" locked="0" layoutInCell="1" allowOverlap="1">
                      <wp:simplePos x="0" y="0"/>
                      <wp:positionH relativeFrom="column">
                        <wp:posOffset>3940175</wp:posOffset>
                      </wp:positionH>
                      <wp:positionV relativeFrom="paragraph">
                        <wp:posOffset>198755</wp:posOffset>
                      </wp:positionV>
                      <wp:extent cx="10160" cy="1827530"/>
                      <wp:effectExtent l="4445" t="0" r="23495" b="1270"/>
                      <wp:wrapNone/>
                      <wp:docPr id="39" name="直接连接符 39"/>
                      <wp:cNvGraphicFramePr/>
                      <a:graphic xmlns:a="http://schemas.openxmlformats.org/drawingml/2006/main">
                        <a:graphicData uri="http://schemas.microsoft.com/office/word/2010/wordprocessingShape">
                          <wps:wsp>
                            <wps:cNvSpPr/>
                            <wps:spPr>
                              <a:xfrm>
                                <a:off x="0" y="0"/>
                                <a:ext cx="10160" cy="18275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0.25pt;margin-top:15.65pt;height:143.9pt;width:0.8pt;z-index:251709440;mso-width-relative:page;mso-height-relative:page;" filled="f" stroked="t" coordsize="21600,21600" o:gfxdata="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HZLfa1wAAAAoBAAAPAAAAAAAAAAEAIAAAACIAAABkcnMvZG93bnJldi54&#10;bWxQSwECFAAUAAAACACHTuJAP+iU0fsBAADqAwAADgAAAAAAAAABACAAAAAmAQAAZHJzL2Uyb0Rv&#10;Yy54bWxQSwUGAAAAAAYABgBZAQAAkwUAAAAA&#10;">
                      <v:path arrowok="t"/>
                      <v:fill on="f" focussize="0,0"/>
                      <v:stroke/>
                      <v:imagedata o:title=""/>
                      <o:lock v:ext="edit" aspectratio="f"/>
                    </v:line>
                  </w:pict>
                </mc:Fallback>
              </mc:AlternateContent>
            </w:r>
          </w:p>
          <w:p>
            <w:pPr>
              <w:spacing w:line="360" w:lineRule="auto"/>
              <w:rPr>
                <w:rFonts w:hint="eastAsia"/>
                <w:color w:val="FF0000"/>
                <w:sz w:val="24"/>
              </w:rPr>
            </w:pPr>
            <w:r>
              <w:rPr>
                <w:rFonts w:eastAsia="仿宋_GB2312"/>
                <w:bCs/>
                <w:color w:val="FF0000"/>
                <w:sz w:val="20"/>
              </w:rPr>
              <mc:AlternateContent>
                <mc:Choice Requires="wps">
                  <w:drawing>
                    <wp:anchor distT="0" distB="0" distL="114300" distR="114300" simplePos="0" relativeHeight="251666432" behindDoc="0" locked="0" layoutInCell="1" allowOverlap="1">
                      <wp:simplePos x="0" y="0"/>
                      <wp:positionH relativeFrom="column">
                        <wp:posOffset>2498725</wp:posOffset>
                      </wp:positionH>
                      <wp:positionV relativeFrom="paragraph">
                        <wp:posOffset>32385</wp:posOffset>
                      </wp:positionV>
                      <wp:extent cx="931545" cy="29718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31545" cy="297180"/>
                              </a:xfrm>
                              <a:prstGeom prst="rect">
                                <a:avLst/>
                              </a:prstGeom>
                              <a:noFill/>
                              <a:ln>
                                <a:noFill/>
                              </a:ln>
                            </wps:spPr>
                            <wps:txbx>
                              <w:txbxContent>
                                <w:p>
                                  <w:pPr>
                                    <w:rPr>
                                      <w:rFonts w:hint="eastAsia" w:eastAsia="仿宋_GB2312"/>
                                    </w:rPr>
                                  </w:pPr>
                                  <w:r>
                                    <w:rPr>
                                      <w:rFonts w:hint="eastAsia" w:eastAsia="仿宋_GB2312"/>
                                    </w:rPr>
                                    <w:t>损耗</w:t>
                                  </w:r>
                                  <w:r>
                                    <w:rPr>
                                      <w:rFonts w:hint="eastAsia" w:eastAsia="仿宋_GB2312"/>
                                      <w:lang w:val="en-US" w:eastAsia="zh-CN"/>
                                    </w:rPr>
                                    <w:t>3</w:t>
                                  </w:r>
                                  <w:r>
                                    <w:rPr>
                                      <w:rFonts w:hint="eastAsia" w:eastAsia="仿宋_GB2312"/>
                                    </w:rPr>
                                    <w:t>.0</w:t>
                                  </w:r>
                                </w:p>
                              </w:txbxContent>
                            </wps:txbx>
                            <wps:bodyPr upright="1"/>
                          </wps:wsp>
                        </a:graphicData>
                      </a:graphic>
                    </wp:anchor>
                  </w:drawing>
                </mc:Choice>
                <mc:Fallback>
                  <w:pict>
                    <v:shape id="_x0000_s1026" o:spid="_x0000_s1026" o:spt="202" type="#_x0000_t202" style="position:absolute;left:0pt;margin-left:196.75pt;margin-top:2.55pt;height:23.4pt;width:73.35pt;z-index:251666432;mso-width-relative:page;mso-height-relative:page;" filled="f" stroked="f" coordsize="21600,21600" o:gfxdata="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0Q9P7VAAAA&#10;CAEAAA8AAAAAAAAAAQAgAAAAIgAAAGRycy9kb3ducmV2LnhtbFBLAQIUABQAAAAIAIdO4kBLum2a&#10;rgEAAE8DAAAOAAAAAAAAAAEAIAAAACQBAABkcnMvZTJvRG9jLnhtbFBLBQYAAAAABgAGAFkBAABE&#10;BQAAAAA=&#10;">
                      <v:path/>
                      <v:fill on="f" focussize="0,0"/>
                      <v:stroke on="f"/>
                      <v:imagedata o:title=""/>
                      <o:lock v:ext="edit" grouping="f" rotation="f" text="f" aspectratio="f"/>
                      <v:textbox>
                        <w:txbxContent>
                          <w:p>
                            <w:pPr>
                              <w:rPr>
                                <w:rFonts w:hint="eastAsia" w:eastAsia="仿宋_GB2312"/>
                              </w:rPr>
                            </w:pPr>
                            <w:r>
                              <w:rPr>
                                <w:rFonts w:hint="eastAsia" w:eastAsia="仿宋_GB2312"/>
                              </w:rPr>
                              <w:t>损耗</w:t>
                            </w:r>
                            <w:r>
                              <w:rPr>
                                <w:rFonts w:hint="eastAsia" w:eastAsia="仿宋_GB2312"/>
                                <w:lang w:val="en-US" w:eastAsia="zh-CN"/>
                              </w:rPr>
                              <w:t>3</w:t>
                            </w:r>
                            <w:r>
                              <w:rPr>
                                <w:rFonts w:hint="eastAsia" w:eastAsia="仿宋_GB2312"/>
                              </w:rPr>
                              <w:t>.0</w:t>
                            </w:r>
                          </w:p>
                        </w:txbxContent>
                      </v:textbox>
                    </v:shape>
                  </w:pict>
                </mc:Fallback>
              </mc:AlternateContent>
            </w:r>
            <w:r>
              <w:rPr>
                <w:b/>
                <w:color w:val="FF0000"/>
                <w:sz w:val="28"/>
              </w:rPr>
              <mc:AlternateContent>
                <mc:Choice Requires="wps">
                  <w:drawing>
                    <wp:anchor distT="0" distB="0" distL="114300" distR="114300" simplePos="0" relativeHeight="251678720" behindDoc="0" locked="0" layoutInCell="1" allowOverlap="1">
                      <wp:simplePos x="0" y="0"/>
                      <wp:positionH relativeFrom="column">
                        <wp:posOffset>2263140</wp:posOffset>
                      </wp:positionH>
                      <wp:positionV relativeFrom="paragraph">
                        <wp:posOffset>216535</wp:posOffset>
                      </wp:positionV>
                      <wp:extent cx="325755" cy="198120"/>
                      <wp:effectExtent l="0" t="24130" r="17145" b="6350"/>
                      <wp:wrapNone/>
                      <wp:docPr id="41" name="曲线连接符 41"/>
                      <wp:cNvGraphicFramePr/>
                      <a:graphic xmlns:a="http://schemas.openxmlformats.org/drawingml/2006/main">
                        <a:graphicData uri="http://schemas.microsoft.com/office/word/2010/wordprocessingShape">
                          <wps:wsp>
                            <wps:cNvCnPr/>
                            <wps:spPr>
                              <a:xfrm flipV="1">
                                <a:off x="0" y="0"/>
                                <a:ext cx="325755" cy="198120"/>
                              </a:xfrm>
                              <a:prstGeom prst="curvedConnector3">
                                <a:avLst>
                                  <a:gd name="adj1" fmla="val 49903"/>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flip:y;margin-left:178.2pt;margin-top:17.05pt;height:15.6pt;width:25.65pt;z-index:251678720;mso-width-relative:page;mso-height-relative:page;" o:connectortype="curved" filled="f" coordsize="21600,21600" o:gfxdata="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7hUl2QAAAAkBAAAPAAAAAAAAAAEAIAAAACIAAABkcnMvZG93bnJldi54bWxQSwECFAAUAAAACACH&#10;TuJAjCUmQSMCAAAlBAAADgAAAAAAAAABACAAAAAoAQAAZHJzL2Uyb0RvYy54bWxQSwUGAAAAAAYA&#10;BgBZAQAAvQUAAAAA&#10;" adj="10779,822531,-287874">
                      <v:path arrowok="t"/>
                      <v:fill on="f" focussize="0,0"/>
                      <v:stroke endarrow="block"/>
                      <v:imagedata o:title=""/>
                      <o:lock v:ext="edit"/>
                    </v:shape>
                  </w:pict>
                </mc:Fallback>
              </mc:AlternateContent>
            </w:r>
            <w:r>
              <w:rPr>
                <w:rFonts w:eastAsia="仿宋_GB2312"/>
                <w:bCs/>
                <w:color w:val="FF0000"/>
                <w:sz w:val="20"/>
              </w:rPr>
              <mc:AlternateContent>
                <mc:Choice Requires="wps">
                  <w:drawing>
                    <wp:anchor distT="0" distB="0" distL="114300" distR="114300" simplePos="0" relativeHeight="251664384" behindDoc="0" locked="0" layoutInCell="1" allowOverlap="1">
                      <wp:simplePos x="0" y="0"/>
                      <wp:positionH relativeFrom="column">
                        <wp:posOffset>1852295</wp:posOffset>
                      </wp:positionH>
                      <wp:positionV relativeFrom="paragraph">
                        <wp:posOffset>414655</wp:posOffset>
                      </wp:positionV>
                      <wp:extent cx="1412875" cy="297180"/>
                      <wp:effectExtent l="4445" t="4445" r="11430" b="22225"/>
                      <wp:wrapNone/>
                      <wp:docPr id="42" name="文本框 42"/>
                      <wp:cNvGraphicFramePr/>
                      <a:graphic xmlns:a="http://schemas.openxmlformats.org/drawingml/2006/main">
                        <a:graphicData uri="http://schemas.microsoft.com/office/word/2010/wordprocessingShape">
                          <wps:wsp>
                            <wps:cNvSpPr txBox="1"/>
                            <wps:spPr>
                              <a:xfrm>
                                <a:off x="0" y="0"/>
                                <a:ext cx="141287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仿宋_GB2312"/>
                                    </w:rPr>
                                  </w:pPr>
                                  <w:r>
                                    <w:rPr>
                                      <w:rFonts w:hint="eastAsia" w:eastAsia="仿宋_GB2312"/>
                                    </w:rPr>
                                    <w:t>运输车辆清洗用水</w:t>
                                  </w:r>
                                </w:p>
                              </w:txbxContent>
                            </wps:txbx>
                            <wps:bodyPr upright="1"/>
                          </wps:wsp>
                        </a:graphicData>
                      </a:graphic>
                    </wp:anchor>
                  </w:drawing>
                </mc:Choice>
                <mc:Fallback>
                  <w:pict>
                    <v:shape id="_x0000_s1026" o:spid="_x0000_s1026" o:spt="202" type="#_x0000_t202" style="position:absolute;left:0pt;margin-left:145.85pt;margin-top:32.65pt;height:23.4pt;width:111.25pt;z-index:251664384;mso-width-relative:page;mso-height-relative:page;" coordsize="21600,21600" o:gfxdata="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9wxs9oAAAAKAQAADwAAAAAAAAAB&#10;ACAAAAAiAAAAZHJzL2Rvd25yZXYueG1sUEsBAhQAFAAAAAgAh07iQEnn3k0OAgAAOAQAAA4AAAAA&#10;AAAAAQAgAAAAKQEAAGRycy9lMm9Eb2MueG1sUEsFBgAAAAAGAAYAWQEAAKkFAAAAAA==&#10;">
                      <v:path/>
                      <v:fill focussize="0,0"/>
                      <v:stroke/>
                      <v:imagedata o:title=""/>
                      <o:lock v:ext="edit" grouping="f" rotation="f" text="f" aspectratio="f"/>
                      <v:textbox>
                        <w:txbxContent>
                          <w:p>
                            <w:pPr>
                              <w:rPr>
                                <w:rFonts w:hint="eastAsia" w:eastAsia="仿宋_GB2312"/>
                              </w:rPr>
                            </w:pPr>
                            <w:r>
                              <w:rPr>
                                <w:rFonts w:hint="eastAsia" w:eastAsia="仿宋_GB2312"/>
                              </w:rPr>
                              <w:t>运输车辆清洗用水</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65408" behindDoc="0" locked="0" layoutInCell="1" allowOverlap="1">
                      <wp:simplePos x="0" y="0"/>
                      <wp:positionH relativeFrom="column">
                        <wp:posOffset>1298575</wp:posOffset>
                      </wp:positionH>
                      <wp:positionV relativeFrom="paragraph">
                        <wp:posOffset>329565</wp:posOffset>
                      </wp:positionV>
                      <wp:extent cx="417195" cy="27114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417195" cy="271145"/>
                              </a:xfrm>
                              <a:prstGeom prst="rect">
                                <a:avLst/>
                              </a:prstGeom>
                              <a:noFill/>
                              <a:ln>
                                <a:noFill/>
                              </a:ln>
                            </wps:spPr>
                            <wps:txbx>
                              <w:txbxContent>
                                <w:p>
                                  <w:pPr>
                                    <w:rPr>
                                      <w:rFonts w:hint="eastAsia"/>
                                    </w:rPr>
                                  </w:pPr>
                                  <w:r>
                                    <w:rPr>
                                      <w:rFonts w:hint="eastAsia"/>
                                      <w:lang w:val="en-US" w:eastAsia="zh-CN"/>
                                    </w:rPr>
                                    <w:t>3</w:t>
                                  </w:r>
                                  <w:r>
                                    <w:rPr>
                                      <w:rFonts w:hint="eastAsia"/>
                                    </w:rPr>
                                    <w:t>0.0</w:t>
                                  </w:r>
                                </w:p>
                              </w:txbxContent>
                            </wps:txbx>
                            <wps:bodyPr upright="1"/>
                          </wps:wsp>
                        </a:graphicData>
                      </a:graphic>
                    </wp:anchor>
                  </w:drawing>
                </mc:Choice>
                <mc:Fallback>
                  <w:pict>
                    <v:shape id="_x0000_s1026" o:spid="_x0000_s1026" o:spt="202" type="#_x0000_t202" style="position:absolute;left:0pt;margin-left:102.25pt;margin-top:25.95pt;height:21.35pt;width:32.85pt;z-index:251665408;mso-width-relative:page;mso-height-relative:page;" filled="f" stroked="f" coordsize="21600,21600" o:gfxdata="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GBCe1gAA&#10;AAkBAAAPAAAAAAAAAAEAIAAAACIAAABkcnMvZG93bnJldi54bWxQSwECFAAUAAAACACHTuJAIIRA&#10;Mq4BAABPAwAADgAAAAAAAAABACAAAAAlAQAAZHJzL2Uyb0RvYy54bWxQSwUGAAAAAAYABgBZAQAA&#10;RQUAAAAA&#10;">
                      <v:path/>
                      <v:fill on="f" focussize="0,0"/>
                      <v:stroke on="f"/>
                      <v:imagedata o:title=""/>
                      <o:lock v:ext="edit" grouping="f" rotation="f" text="f" aspectratio="f"/>
                      <v:textbox>
                        <w:txbxContent>
                          <w:p>
                            <w:pPr>
                              <w:rPr>
                                <w:rFonts w:hint="eastAsia"/>
                              </w:rPr>
                            </w:pPr>
                            <w:r>
                              <w:rPr>
                                <w:rFonts w:hint="eastAsia"/>
                                <w:lang w:val="en-US" w:eastAsia="zh-CN"/>
                              </w:rPr>
                              <w:t>3</w:t>
                            </w:r>
                            <w:r>
                              <w:rPr>
                                <w:rFonts w:hint="eastAsia"/>
                              </w:rPr>
                              <w:t>0.0</w:t>
                            </w:r>
                          </w:p>
                        </w:txbxContent>
                      </v:textbox>
                    </v:shape>
                  </w:pict>
                </mc:Fallback>
              </mc:AlternateContent>
            </w:r>
            <w:r>
              <w:rPr>
                <w:b/>
                <w:color w:val="FF0000"/>
                <w:sz w:val="28"/>
              </w:rPr>
              <mc:AlternateContent>
                <mc:Choice Requires="wps">
                  <w:drawing>
                    <wp:anchor distT="0" distB="0" distL="114300" distR="114300" simplePos="0" relativeHeight="251683840" behindDoc="0" locked="0" layoutInCell="1" allowOverlap="1">
                      <wp:simplePos x="0" y="0"/>
                      <wp:positionH relativeFrom="column">
                        <wp:posOffset>3265170</wp:posOffset>
                      </wp:positionH>
                      <wp:positionV relativeFrom="paragraph">
                        <wp:posOffset>554990</wp:posOffset>
                      </wp:positionV>
                      <wp:extent cx="659130" cy="0"/>
                      <wp:effectExtent l="0" t="0" r="0" b="0"/>
                      <wp:wrapNone/>
                      <wp:docPr id="43" name="直接连接符 43"/>
                      <wp:cNvGraphicFramePr/>
                      <a:graphic xmlns:a="http://schemas.openxmlformats.org/drawingml/2006/main">
                        <a:graphicData uri="http://schemas.microsoft.com/office/word/2010/wordprocessingShape">
                          <wps:wsp>
                            <wps:cNvSpPr/>
                            <wps:spPr>
                              <a:xfrm>
                                <a:off x="0" y="0"/>
                                <a:ext cx="659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7.1pt;margin-top:43.7pt;height:0pt;width:51.9pt;z-index:251683840;mso-width-relative:page;mso-height-relative:page;" filled="f" coordsize="21600,21600" o:gfxdata="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LkpuTWAAAACQEAAA8AAAAAAAAAAQAgAAAAIgAAAGRycy9kb3ducmV2LnhtbFBLAQIU&#10;ABQAAAAIAIdO4kCih8mq9QEAAOUDAAAOAAAAAAAAAAEAIAAAACUBAABkcnMvZTJvRG9jLnhtbFBL&#10;BQYAAAAABgAGAFkBAACMBQAAAAA=&#10;">
                      <v:path arrowok="t"/>
                      <v:fill on="f" focussize="0,0"/>
                      <v:stroke/>
                      <v:imagedata o:title=""/>
                      <o:lock v:ext="edit" grouping="f" rotation="f" text="f" aspectratio="f"/>
                    </v:line>
                  </w:pict>
                </mc:Fallback>
              </mc:AlternateContent>
            </w:r>
            <w:r>
              <w:rPr>
                <w:rFonts w:eastAsia="仿宋_GB2312"/>
                <w:bCs/>
                <w:color w:val="FF0000"/>
                <w:sz w:val="20"/>
              </w:rPr>
              <mc:AlternateContent>
                <mc:Choice Requires="wps">
                  <w:drawing>
                    <wp:anchor distT="0" distB="0" distL="114300" distR="114300" simplePos="0" relativeHeight="251671552" behindDoc="0" locked="0" layoutInCell="1" allowOverlap="1">
                      <wp:simplePos x="0" y="0"/>
                      <wp:positionH relativeFrom="column">
                        <wp:posOffset>1257300</wp:posOffset>
                      </wp:positionH>
                      <wp:positionV relativeFrom="paragraph">
                        <wp:posOffset>554990</wp:posOffset>
                      </wp:positionV>
                      <wp:extent cx="584200" cy="0"/>
                      <wp:effectExtent l="0" t="38100" r="6350" b="38100"/>
                      <wp:wrapNone/>
                      <wp:docPr id="55" name="直接连接符 55"/>
                      <wp:cNvGraphicFramePr/>
                      <a:graphic xmlns:a="http://schemas.openxmlformats.org/drawingml/2006/main">
                        <a:graphicData uri="http://schemas.microsoft.com/office/word/2010/wordprocessingShape">
                          <wps:wsp>
                            <wps:cNvSpPr/>
                            <wps:spPr>
                              <a:xfrm flipV="1">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99pt;margin-top:43.7pt;height:0pt;width:46pt;z-index:251671552;mso-width-relative:page;mso-height-relative:page;" filled="f" coordsize="21600,21600" o:gfxdata="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Ph1nXAAAACQEAAA8AAAAAAAAAAQAgAAAAIgAAAGRycy9k&#10;b3ducmV2LnhtbFBLAQIUABQAAAAIAIdO4kAEw+4tAwIAAPMDAAAOAAAAAAAAAAEAIAAAACYBAABk&#10;cnMvZTJvRG9jLnhtbFBLBQYAAAAABgAGAFkBAACbBQ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688960" behindDoc="0" locked="0" layoutInCell="1" allowOverlap="1">
                      <wp:simplePos x="0" y="0"/>
                      <wp:positionH relativeFrom="column">
                        <wp:posOffset>1320800</wp:posOffset>
                      </wp:positionH>
                      <wp:positionV relativeFrom="paragraph">
                        <wp:posOffset>986790</wp:posOffset>
                      </wp:positionV>
                      <wp:extent cx="546735" cy="27114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546735" cy="271145"/>
                              </a:xfrm>
                              <a:prstGeom prst="rect">
                                <a:avLst/>
                              </a:prstGeom>
                              <a:noFill/>
                              <a:ln>
                                <a:noFill/>
                              </a:ln>
                            </wps:spPr>
                            <wps:txbx>
                              <w:txbxContent>
                                <w:p>
                                  <w:pPr>
                                    <w:rPr>
                                      <w:rFonts w:hint="default" w:eastAsia="宋体"/>
                                      <w:lang w:val="en-US" w:eastAsia="zh-CN"/>
                                    </w:rPr>
                                  </w:pPr>
                                  <w:r>
                                    <w:rPr>
                                      <w:rFonts w:hint="eastAsia"/>
                                      <w:lang w:val="en-US" w:eastAsia="zh-CN"/>
                                    </w:rPr>
                                    <w:t>18.08</w:t>
                                  </w:r>
                                </w:p>
                              </w:txbxContent>
                            </wps:txbx>
                            <wps:bodyPr upright="1"/>
                          </wps:wsp>
                        </a:graphicData>
                      </a:graphic>
                    </wp:anchor>
                  </w:drawing>
                </mc:Choice>
                <mc:Fallback>
                  <w:pict>
                    <v:shape id="_x0000_s1026" o:spid="_x0000_s1026" o:spt="202" type="#_x0000_t202" style="position:absolute;left:0pt;margin-left:104pt;margin-top:77.7pt;height:21.35pt;width:43.05pt;z-index:251688960;mso-width-relative:page;mso-height-relative:page;" filled="f" stroked="f" coordsize="21600,21600" o:gfxdata="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z+EH9cA&#10;AAALAQAADwAAAAAAAAABACAAAAAiAAAAZHJzL2Rvd25yZXYueG1sUEsBAhQAFAAAAAgAh07iQJly&#10;slGuAQAATwMAAA4AAAAAAAAAAQAgAAAAJgEAAGRycy9lMm9Eb2MueG1sUEsFBgAAAAAGAAYAWQEA&#10;AEYFAAAAAA==&#10;">
                      <v:path/>
                      <v:fill on="f" focussize="0,0"/>
                      <v:stroke on="f"/>
                      <v:imagedata o:title=""/>
                      <o:lock v:ext="edit" aspectratio="f"/>
                      <v:textbox>
                        <w:txbxContent>
                          <w:p>
                            <w:pPr>
                              <w:rPr>
                                <w:rFonts w:hint="default" w:eastAsia="宋体"/>
                                <w:lang w:val="en-US" w:eastAsia="zh-CN"/>
                              </w:rPr>
                            </w:pPr>
                            <w:r>
                              <w:rPr>
                                <w:rFonts w:hint="eastAsia"/>
                                <w:lang w:val="en-US" w:eastAsia="zh-CN"/>
                              </w:rPr>
                              <w:t>18.08</w:t>
                            </w:r>
                          </w:p>
                        </w:txbxContent>
                      </v:textbox>
                    </v:shape>
                  </w:pict>
                </mc:Fallback>
              </mc:AlternateContent>
            </w:r>
            <w:r>
              <w:rPr>
                <w:b/>
                <w:color w:val="FF0000"/>
                <w:sz w:val="28"/>
              </w:rPr>
              <mc:AlternateContent>
                <mc:Choice Requires="wps">
                  <w:drawing>
                    <wp:anchor distT="0" distB="0" distL="114300" distR="114300" simplePos="0" relativeHeight="251687936" behindDoc="0" locked="0" layoutInCell="1" allowOverlap="1">
                      <wp:simplePos x="0" y="0"/>
                      <wp:positionH relativeFrom="column">
                        <wp:posOffset>2588895</wp:posOffset>
                      </wp:positionH>
                      <wp:positionV relativeFrom="paragraph">
                        <wp:posOffset>808355</wp:posOffset>
                      </wp:positionV>
                      <wp:extent cx="931545" cy="29718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31545" cy="297180"/>
                              </a:xfrm>
                              <a:prstGeom prst="rect">
                                <a:avLst/>
                              </a:prstGeom>
                              <a:noFill/>
                              <a:ln>
                                <a:noFill/>
                              </a:ln>
                            </wps:spPr>
                            <wps:txbx>
                              <w:txbxContent>
                                <w:p>
                                  <w:pPr>
                                    <w:rPr>
                                      <w:rFonts w:hint="default" w:eastAsia="仿宋_GB2312"/>
                                      <w:lang w:val="en-US" w:eastAsia="zh-CN"/>
                                    </w:rPr>
                                  </w:pPr>
                                  <w:r>
                                    <w:rPr>
                                      <w:rFonts w:hint="eastAsia" w:eastAsia="仿宋_GB2312"/>
                                    </w:rPr>
                                    <w:t>损耗</w:t>
                                  </w:r>
                                  <w:r>
                                    <w:rPr>
                                      <w:rFonts w:hint="eastAsia" w:eastAsia="仿宋_GB2312"/>
                                      <w:lang w:val="en-US" w:eastAsia="zh-CN"/>
                                    </w:rPr>
                                    <w:t>1.81</w:t>
                                  </w:r>
                                </w:p>
                              </w:txbxContent>
                            </wps:txbx>
                            <wps:bodyPr upright="1"/>
                          </wps:wsp>
                        </a:graphicData>
                      </a:graphic>
                    </wp:anchor>
                  </w:drawing>
                </mc:Choice>
                <mc:Fallback>
                  <w:pict>
                    <v:shape id="_x0000_s1026" o:spid="_x0000_s1026" o:spt="202" type="#_x0000_t202" style="position:absolute;left:0pt;margin-left:203.85pt;margin-top:63.65pt;height:23.4pt;width:73.35pt;z-index:251687936;mso-width-relative:page;mso-height-relative:page;" filled="f" stroked="f" coordsize="21600,21600" o:gfxdata="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5Mo21wAA&#10;AAsBAAAPAAAAAAAAAAEAIAAAACIAAABkcnMvZG93bnJldi54bWxQSwECFAAUAAAACACHTuJAGh9l&#10;Z60BAABPAwAADgAAAAAAAAABACAAAAAmAQAAZHJzL2Uyb0RvYy54bWxQSwUGAAAAAAYABgBZAQAA&#10;RQU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rPr>
                              <w:t>损耗</w:t>
                            </w:r>
                            <w:r>
                              <w:rPr>
                                <w:rFonts w:hint="eastAsia" w:eastAsia="仿宋_GB2312"/>
                                <w:lang w:val="en-US" w:eastAsia="zh-CN"/>
                              </w:rPr>
                              <w:t>1.81</w:t>
                            </w:r>
                          </w:p>
                        </w:txbxContent>
                      </v:textbox>
                    </v:shape>
                  </w:pict>
                </mc:Fallback>
              </mc:AlternateContent>
            </w:r>
            <w:r>
              <w:rPr>
                <w:rFonts w:eastAsia="仿宋_GB2312"/>
                <w:bCs/>
                <w:color w:val="FF0000"/>
                <w:sz w:val="20"/>
              </w:rPr>
              <mc:AlternateContent>
                <mc:Choice Requires="wps">
                  <w:drawing>
                    <wp:anchor distT="0" distB="0" distL="114300" distR="114300" simplePos="0" relativeHeight="251676672" behindDoc="0" locked="0" layoutInCell="1" allowOverlap="1">
                      <wp:simplePos x="0" y="0"/>
                      <wp:positionH relativeFrom="column">
                        <wp:posOffset>2263140</wp:posOffset>
                      </wp:positionH>
                      <wp:positionV relativeFrom="paragraph">
                        <wp:posOffset>907415</wp:posOffset>
                      </wp:positionV>
                      <wp:extent cx="325755" cy="198120"/>
                      <wp:effectExtent l="0" t="24130" r="17145" b="6350"/>
                      <wp:wrapNone/>
                      <wp:docPr id="48" name="曲线连接符 48"/>
                      <wp:cNvGraphicFramePr/>
                      <a:graphic xmlns:a="http://schemas.openxmlformats.org/drawingml/2006/main">
                        <a:graphicData uri="http://schemas.microsoft.com/office/word/2010/wordprocessingShape">
                          <wps:wsp>
                            <wps:cNvCnPr/>
                            <wps:spPr>
                              <a:xfrm flipV="1">
                                <a:off x="0" y="0"/>
                                <a:ext cx="325755" cy="198120"/>
                              </a:xfrm>
                              <a:prstGeom prst="curvedConnector3">
                                <a:avLst>
                                  <a:gd name="adj1" fmla="val 49903"/>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8" type="#_x0000_t38" style="position:absolute;left:0pt;flip:y;margin-left:178.2pt;margin-top:71.45pt;height:15.6pt;width:25.65pt;z-index:251676672;mso-width-relative:page;mso-height-relative:page;" o:connectortype="curved" filled="f" coordsize="21600,21600" o:gfxdata="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8M3W9oAAAALAQAADwAAAAAAAAABACAAAAAiAAAAZHJzL2Rvd25yZXYueG1sUEsBAhQAFAAAAAgA&#10;h07iQB0eWMsjAgAAJQQAAA4AAAAAAAAAAQAgAAAAKQEAAGRycy9lMm9Eb2MueG1sUEsFBgAAAAAG&#10;AAYAWQEAAL4FAAAAAA==&#10;" adj="10779,822531,-287874">
                      <v:path arrowok="t"/>
                      <v:fill on="f" focussize="0,0"/>
                      <v:stroke endarrow="block"/>
                      <v:imagedata o:title=""/>
                      <o:lock v:ext="edit"/>
                    </v:shape>
                  </w:pict>
                </mc:Fallback>
              </mc:AlternateContent>
            </w:r>
            <w:r>
              <w:rPr>
                <w:b/>
                <w:color w:val="FF0000"/>
                <w:sz w:val="28"/>
              </w:rPr>
              <mc:AlternateContent>
                <mc:Choice Requires="wps">
                  <w:drawing>
                    <wp:anchor distT="0" distB="0" distL="114300" distR="114300" simplePos="0" relativeHeight="251685888" behindDoc="0" locked="0" layoutInCell="1" allowOverlap="1">
                      <wp:simplePos x="0" y="0"/>
                      <wp:positionH relativeFrom="column">
                        <wp:posOffset>1851025</wp:posOffset>
                      </wp:positionH>
                      <wp:positionV relativeFrom="paragraph">
                        <wp:posOffset>1105535</wp:posOffset>
                      </wp:positionV>
                      <wp:extent cx="1414145" cy="297180"/>
                      <wp:effectExtent l="4445" t="4445" r="10160" b="22225"/>
                      <wp:wrapNone/>
                      <wp:docPr id="51" name="文本框 51"/>
                      <wp:cNvGraphicFramePr/>
                      <a:graphic xmlns:a="http://schemas.openxmlformats.org/drawingml/2006/main">
                        <a:graphicData uri="http://schemas.microsoft.com/office/word/2010/wordprocessingShape">
                          <wps:wsp>
                            <wps:cNvSpPr txBox="1"/>
                            <wps:spPr>
                              <a:xfrm>
                                <a:off x="0" y="0"/>
                                <a:ext cx="14141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仿宋_GB2312"/>
                                    </w:rPr>
                                  </w:pPr>
                                  <w:r>
                                    <w:rPr>
                                      <w:rFonts w:hint="eastAsia" w:eastAsia="仿宋_GB2312"/>
                                    </w:rPr>
                                    <w:t>生产区地面冲洗用水</w:t>
                                  </w:r>
                                </w:p>
                              </w:txbxContent>
                            </wps:txbx>
                            <wps:bodyPr upright="1"/>
                          </wps:wsp>
                        </a:graphicData>
                      </a:graphic>
                    </wp:anchor>
                  </w:drawing>
                </mc:Choice>
                <mc:Fallback>
                  <w:pict>
                    <v:shape id="_x0000_s1026" o:spid="_x0000_s1026" o:spt="202" type="#_x0000_t202" style="position:absolute;left:0pt;margin-left:145.75pt;margin-top:87.05pt;height:23.4pt;width:111.35pt;z-index:251685888;mso-width-relative:page;mso-height-relative:page;" coordsize="21600,21600" o:gfxdata="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p0zy2QAAAAsBAAAPAAAAAAAAAAEAIAAA&#10;ACIAAABkcnMvZG93bnJldi54bWxQSwECFAAUAAAACACHTuJAZRegYQsCAAA4BAAADgAAAAAAAAAB&#10;ACAAAAAoAQAAZHJzL2Uyb0RvYy54bWxQSwUGAAAAAAYABgBZAQAApQUAAAAA&#10;">
                      <v:path/>
                      <v:fill focussize="0,0"/>
                      <v:stroke/>
                      <v:imagedata o:title=""/>
                      <o:lock v:ext="edit" grouping="f" rotation="f" text="f" aspectratio="f"/>
                      <v:textbox>
                        <w:txbxContent>
                          <w:p>
                            <w:pPr>
                              <w:rPr>
                                <w:rFonts w:hint="eastAsia" w:eastAsia="仿宋_GB2312"/>
                              </w:rPr>
                            </w:pPr>
                            <w:r>
                              <w:rPr>
                                <w:rFonts w:hint="eastAsia" w:eastAsia="仿宋_GB2312"/>
                              </w:rPr>
                              <w:t>生产区地面冲洗用水</w:t>
                            </w:r>
                          </w:p>
                        </w:txbxContent>
                      </v:textbox>
                    </v:shape>
                  </w:pict>
                </mc:Fallback>
              </mc:AlternateContent>
            </w:r>
            <w:r>
              <w:rPr>
                <w:b/>
                <w:color w:val="FF0000"/>
                <w:sz w:val="28"/>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1257935</wp:posOffset>
                      </wp:positionV>
                      <wp:extent cx="584200" cy="0"/>
                      <wp:effectExtent l="0" t="38100" r="6350" b="38100"/>
                      <wp:wrapNone/>
                      <wp:docPr id="53" name="直接连接符 53"/>
                      <wp:cNvGraphicFramePr/>
                      <a:graphic xmlns:a="http://schemas.openxmlformats.org/drawingml/2006/main">
                        <a:graphicData uri="http://schemas.microsoft.com/office/word/2010/wordprocessingShape">
                          <wps:wsp>
                            <wps:cNvSpPr/>
                            <wps:spPr>
                              <a:xfrm flipV="1">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99pt;margin-top:99.05pt;height:0pt;width:46pt;z-index:251686912;mso-width-relative:page;mso-height-relative:page;" filled="f" coordsize="21600,21600" o:gfxdata="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GvMi1QAAAAsBAAAPAAAAAAAAAAEAIAAAACIAAABkcnMvZG93&#10;bnJldi54bWxQSwECFAAUAAAACACHTuJAd74TqAMCAADzAwAADgAAAAAAAAABACAAAAAkAQAAZHJz&#10;L2Uyb0RvYy54bWxQSwUGAAAAAAYABgBZAQAAmQU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682816" behindDoc="0" locked="0" layoutInCell="1" allowOverlap="1">
                      <wp:simplePos x="0" y="0"/>
                      <wp:positionH relativeFrom="column">
                        <wp:posOffset>3339465</wp:posOffset>
                      </wp:positionH>
                      <wp:positionV relativeFrom="paragraph">
                        <wp:posOffset>267335</wp:posOffset>
                      </wp:positionV>
                      <wp:extent cx="576580" cy="29718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76580" cy="297180"/>
                              </a:xfrm>
                              <a:prstGeom prst="rect">
                                <a:avLst/>
                              </a:prstGeom>
                              <a:noFill/>
                              <a:ln>
                                <a:noFill/>
                              </a:ln>
                            </wps:spPr>
                            <wps:txbx>
                              <w:txbxContent>
                                <w:p>
                                  <w:pPr>
                                    <w:rPr>
                                      <w:rFonts w:hint="default" w:eastAsia="仿宋_GB2312"/>
                                      <w:lang w:val="en-US" w:eastAsia="zh-CN"/>
                                    </w:rPr>
                                  </w:pPr>
                                  <w:r>
                                    <w:rPr>
                                      <w:rFonts w:hint="eastAsia" w:eastAsia="仿宋_GB2312"/>
                                      <w:lang w:val="en-US" w:eastAsia="zh-CN"/>
                                    </w:rPr>
                                    <w:t>27.0</w:t>
                                  </w:r>
                                </w:p>
                              </w:txbxContent>
                            </wps:txbx>
                            <wps:bodyPr upright="1"/>
                          </wps:wsp>
                        </a:graphicData>
                      </a:graphic>
                    </wp:anchor>
                  </w:drawing>
                </mc:Choice>
                <mc:Fallback>
                  <w:pict>
                    <v:shape id="_x0000_s1026" o:spid="_x0000_s1026" o:spt="202" type="#_x0000_t202" style="position:absolute;left:0pt;margin-left:262.95pt;margin-top:21.05pt;height:23.4pt;width:45.4pt;z-index:251682816;mso-width-relative:page;mso-height-relative:page;" filled="f" stroked="f" coordsize="21600,21600" o:gfxdata="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bDLn1wAA&#10;AAkBAAAPAAAAAAAAAAEAIAAAACIAAABkcnMvZG93bnJldi54bWxQSwECFAAUAAAACACHTuJA2k8r&#10;MK0BAABPAwAADgAAAAAAAAABACAAAAAmAQAAZHJzL2Uyb0RvYy54bWxQSwUGAAAAAAYABgBZAQAA&#10;RQU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lang w:val="en-US" w:eastAsia="zh-CN"/>
                              </w:rPr>
                              <w:t>27.0</w:t>
                            </w:r>
                          </w:p>
                        </w:txbxContent>
                      </v:textbox>
                    </v:shape>
                  </w:pict>
                </mc:Fallback>
              </mc:AlternateContent>
            </w:r>
          </w:p>
          <w:p>
            <w:pPr>
              <w:spacing w:line="360" w:lineRule="auto"/>
              <w:rPr>
                <w:rFonts w:hint="eastAsia"/>
                <w:color w:val="FF0000"/>
                <w:sz w:val="24"/>
              </w:rPr>
            </w:pPr>
            <w:r>
              <w:rPr>
                <w:b/>
                <w:color w:val="FF0000"/>
                <w:sz w:val="28"/>
              </w:rPr>
              <mc:AlternateContent>
                <mc:Choice Requires="wps">
                  <w:drawing>
                    <wp:anchor distT="0" distB="0" distL="114300" distR="114300" simplePos="0" relativeHeight="251710464" behindDoc="0" locked="0" layoutInCell="1" allowOverlap="1">
                      <wp:simplePos x="0" y="0"/>
                      <wp:positionH relativeFrom="column">
                        <wp:posOffset>3953510</wp:posOffset>
                      </wp:positionH>
                      <wp:positionV relativeFrom="paragraph">
                        <wp:posOffset>260985</wp:posOffset>
                      </wp:positionV>
                      <wp:extent cx="576580" cy="29718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76580" cy="297180"/>
                              </a:xfrm>
                              <a:prstGeom prst="rect">
                                <a:avLst/>
                              </a:prstGeom>
                              <a:noFill/>
                              <a:ln>
                                <a:noFill/>
                              </a:ln>
                            </wps:spPr>
                            <wps:txbx>
                              <w:txbxContent>
                                <w:p>
                                  <w:pPr>
                                    <w:rPr>
                                      <w:rFonts w:hint="default" w:eastAsia="仿宋_GB2312"/>
                                      <w:lang w:val="en-US" w:eastAsia="zh-CN"/>
                                    </w:rPr>
                                  </w:pPr>
                                  <w:r>
                                    <w:rPr>
                                      <w:rFonts w:hint="eastAsia" w:eastAsia="仿宋_GB2312"/>
                                      <w:lang w:val="en-US" w:eastAsia="zh-CN"/>
                                    </w:rPr>
                                    <w:t>134.47</w:t>
                                  </w:r>
                                </w:p>
                              </w:txbxContent>
                            </wps:txbx>
                            <wps:bodyPr upright="1"/>
                          </wps:wsp>
                        </a:graphicData>
                      </a:graphic>
                    </wp:anchor>
                  </w:drawing>
                </mc:Choice>
                <mc:Fallback>
                  <w:pict>
                    <v:shape id="_x0000_s1026" o:spid="_x0000_s1026" o:spt="202" type="#_x0000_t202" style="position:absolute;left:0pt;margin-left:311.3pt;margin-top:20.55pt;height:23.4pt;width:45.4pt;z-index:251710464;mso-width-relative:page;mso-height-relative:page;" filled="f" stroked="f" coordsize="21600,21600" o:gfxdata="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0A5ctgA&#10;AAAJAQAADwAAAAAAAAABACAAAAAiAAAAZHJzL2Rvd25yZXYueG1sUEsBAhQAFAAAAAgAh07iQMBk&#10;d1qtAQAATwMAAA4AAAAAAAAAAQAgAAAAJwEAAGRycy9lMm9Eb2MueG1sUEsFBgAAAAAGAAYAWQEA&#10;AEYFA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lang w:val="en-US" w:eastAsia="zh-CN"/>
                              </w:rPr>
                              <w:t>134.47</w:t>
                            </w:r>
                          </w:p>
                        </w:txbxContent>
                      </v:textbox>
                    </v:shape>
                  </w:pict>
                </mc:Fallback>
              </mc:AlternateContent>
            </w:r>
          </w:p>
          <w:p>
            <w:pPr>
              <w:spacing w:line="360" w:lineRule="auto"/>
              <w:rPr>
                <w:rFonts w:hint="eastAsia"/>
                <w:color w:val="FF0000"/>
                <w:sz w:val="24"/>
              </w:rPr>
            </w:pPr>
            <w:r>
              <w:rPr>
                <w:b/>
                <w:color w:val="FF0000"/>
                <w:sz w:val="28"/>
              </w:rPr>
              <mc:AlternateContent>
                <mc:Choice Requires="wps">
                  <w:drawing>
                    <wp:anchor distT="0" distB="0" distL="114300" distR="114300" simplePos="0" relativeHeight="251680768" behindDoc="0" locked="0" layoutInCell="1" allowOverlap="1">
                      <wp:simplePos x="0" y="0"/>
                      <wp:positionH relativeFrom="column">
                        <wp:posOffset>4492625</wp:posOffset>
                      </wp:positionH>
                      <wp:positionV relativeFrom="paragraph">
                        <wp:posOffset>153670</wp:posOffset>
                      </wp:positionV>
                      <wp:extent cx="762635" cy="290830"/>
                      <wp:effectExtent l="4445" t="5080" r="13970" b="8890"/>
                      <wp:wrapNone/>
                      <wp:docPr id="54" name="文本框 54"/>
                      <wp:cNvGraphicFramePr/>
                      <a:graphic xmlns:a="http://schemas.openxmlformats.org/drawingml/2006/main">
                        <a:graphicData uri="http://schemas.microsoft.com/office/word/2010/wordprocessingShape">
                          <wps:wsp>
                            <wps:cNvSpPr txBox="1"/>
                            <wps:spPr>
                              <a:xfrm>
                                <a:off x="0" y="0"/>
                                <a:ext cx="762635" cy="2908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lang w:eastAsia="zh-CN"/>
                                    </w:rPr>
                                  </w:pPr>
                                  <w:r>
                                    <w:rPr>
                                      <w:rFonts w:hint="eastAsia" w:eastAsia="仿宋_GB2312"/>
                                      <w:lang w:val="en-US" w:eastAsia="zh-CN"/>
                                    </w:rPr>
                                    <w:t>沉淀池</w:t>
                                  </w:r>
                                </w:p>
                              </w:txbxContent>
                            </wps:txbx>
                            <wps:bodyPr upright="1"/>
                          </wps:wsp>
                        </a:graphicData>
                      </a:graphic>
                    </wp:anchor>
                  </w:drawing>
                </mc:Choice>
                <mc:Fallback>
                  <w:pict>
                    <v:shape id="_x0000_s1026" o:spid="_x0000_s1026" o:spt="202" type="#_x0000_t202" style="position:absolute;left:0pt;margin-left:353.75pt;margin-top:12.1pt;height:22.9pt;width:60.05pt;z-index:251680768;mso-width-relative:page;mso-height-relative:page;" fillcolor="#FFFFFF" filled="t" stroked="t" coordsize="21600,21600" o:gfxdata="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5A0MHYAAAACQEAAA8AAAAAAAAAAQAg&#10;AAAAIgAAAGRycy9kb3ducmV2LnhtbFBLAQIUABQAAAAIAIdO4kCHv5sZDgIAADcEAAAOAAAAAAAA&#10;AAEAIAAAACcBAABkcnMvZTJvRG9jLnhtbFBLBQYAAAAABgAGAFkBAACnBQAAAAA=&#10;">
                      <v:path/>
                      <v:fill on="t" color2="#FFFFFF" focussize="0,0"/>
                      <v:stroke joinstyle="miter"/>
                      <v:imagedata o:title=""/>
                      <o:lock v:ext="edit" aspectratio="f"/>
                      <v:textbox>
                        <w:txbxContent>
                          <w:p>
                            <w:pPr>
                              <w:jc w:val="center"/>
                              <w:rPr>
                                <w:rFonts w:hint="eastAsia" w:eastAsia="仿宋_GB2312"/>
                                <w:lang w:eastAsia="zh-CN"/>
                              </w:rPr>
                            </w:pPr>
                            <w:r>
                              <w:rPr>
                                <w:rFonts w:hint="eastAsia" w:eastAsia="仿宋_GB2312"/>
                                <w:lang w:val="en-US" w:eastAsia="zh-CN"/>
                              </w:rPr>
                              <w:t>沉淀池</w:t>
                            </w:r>
                          </w:p>
                        </w:txbxContent>
                      </v:textbox>
                    </v:shape>
                  </w:pict>
                </mc:Fallback>
              </mc:AlternateContent>
            </w:r>
          </w:p>
          <w:p>
            <w:pPr>
              <w:spacing w:line="360" w:lineRule="auto"/>
              <w:rPr>
                <w:rFonts w:hint="eastAsia"/>
                <w:color w:val="FF0000"/>
                <w:sz w:val="24"/>
              </w:rPr>
            </w:pPr>
            <w:r>
              <w:rPr>
                <w:b/>
                <w:color w:val="FF0000"/>
                <w:sz w:val="28"/>
              </w:rPr>
              <mc:AlternateContent>
                <mc:Choice Requires="wps">
                  <w:drawing>
                    <wp:anchor distT="0" distB="0" distL="114300" distR="114300" simplePos="0" relativeHeight="251684864" behindDoc="0" locked="0" layoutInCell="1" allowOverlap="1">
                      <wp:simplePos x="0" y="0"/>
                      <wp:positionH relativeFrom="column">
                        <wp:posOffset>3361055</wp:posOffset>
                      </wp:positionH>
                      <wp:positionV relativeFrom="paragraph">
                        <wp:posOffset>198120</wp:posOffset>
                      </wp:positionV>
                      <wp:extent cx="551815" cy="29718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551815" cy="297180"/>
                              </a:xfrm>
                              <a:prstGeom prst="rect">
                                <a:avLst/>
                              </a:prstGeom>
                              <a:noFill/>
                              <a:ln>
                                <a:noFill/>
                              </a:ln>
                            </wps:spPr>
                            <wps:txbx>
                              <w:txbxContent>
                                <w:p>
                                  <w:pPr>
                                    <w:rPr>
                                      <w:rFonts w:hint="default" w:eastAsia="仿宋_GB2312"/>
                                      <w:lang w:val="en-US" w:eastAsia="zh-CN"/>
                                    </w:rPr>
                                  </w:pPr>
                                  <w:r>
                                    <w:rPr>
                                      <w:rFonts w:hint="eastAsia" w:eastAsia="仿宋_GB2312"/>
                                      <w:lang w:val="en-US" w:eastAsia="zh-CN"/>
                                    </w:rPr>
                                    <w:t>16.27</w:t>
                                  </w:r>
                                </w:p>
                              </w:txbxContent>
                            </wps:txbx>
                            <wps:bodyPr upright="1"/>
                          </wps:wsp>
                        </a:graphicData>
                      </a:graphic>
                    </wp:anchor>
                  </w:drawing>
                </mc:Choice>
                <mc:Fallback>
                  <w:pict>
                    <v:shape id="_x0000_s1026" o:spid="_x0000_s1026" o:spt="202" type="#_x0000_t202" style="position:absolute;left:0pt;margin-left:264.65pt;margin-top:15.6pt;height:23.4pt;width:43.45pt;z-index:251684864;mso-width-relative:page;mso-height-relative:page;" filled="f" stroked="f" coordsize="21600,21600" o:gfxdata="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L4PXPX&#10;AAAACQEAAA8AAAAAAAAAAQAgAAAAIgAAAGRycy9kb3ducmV2LnhtbFBLAQIUABQAAAAIAIdO4kCD&#10;bkUwrwEAAE8DAAAOAAAAAAAAAAEAIAAAACYBAABkcnMvZTJvRG9jLnhtbFBLBQYAAAAABgAGAFkB&#10;AABHBQAAAAA=&#10;">
                      <v:path/>
                      <v:fill on="f" focussize="0,0"/>
                      <v:stroke on="f"/>
                      <v:imagedata o:title=""/>
                      <o:lock v:ext="edit" aspectratio="f"/>
                      <v:textbox>
                        <w:txbxContent>
                          <w:p>
                            <w:pPr>
                              <w:rPr>
                                <w:rFonts w:hint="default" w:eastAsia="仿宋_GB2312"/>
                                <w:lang w:val="en-US" w:eastAsia="zh-CN"/>
                              </w:rPr>
                            </w:pPr>
                            <w:r>
                              <w:rPr>
                                <w:rFonts w:hint="eastAsia" w:eastAsia="仿宋_GB2312"/>
                                <w:lang w:val="en-US" w:eastAsia="zh-CN"/>
                              </w:rPr>
                              <w:t>16.27</w:t>
                            </w:r>
                          </w:p>
                        </w:txbxContent>
                      </v:textbox>
                    </v:shape>
                  </w:pict>
                </mc:Fallback>
              </mc:AlternateContent>
            </w:r>
            <w:r>
              <w:rPr>
                <w:b/>
                <w:color w:val="FF0000"/>
                <w:sz w:val="28"/>
              </w:rPr>
              <mc:AlternateContent>
                <mc:Choice Requires="wps">
                  <w:drawing>
                    <wp:anchor distT="0" distB="0" distL="114300" distR="114300" simplePos="0" relativeHeight="251681792" behindDoc="0" locked="0" layoutInCell="1" allowOverlap="1">
                      <wp:simplePos x="0" y="0"/>
                      <wp:positionH relativeFrom="column">
                        <wp:posOffset>3945890</wp:posOffset>
                      </wp:positionH>
                      <wp:positionV relativeFrom="paragraph">
                        <wp:posOffset>15240</wp:posOffset>
                      </wp:positionV>
                      <wp:extent cx="554355" cy="8890"/>
                      <wp:effectExtent l="0" t="30480" r="17145" b="36830"/>
                      <wp:wrapNone/>
                      <wp:docPr id="56" name="直接连接符 56"/>
                      <wp:cNvGraphicFramePr/>
                      <a:graphic xmlns:a="http://schemas.openxmlformats.org/drawingml/2006/main">
                        <a:graphicData uri="http://schemas.microsoft.com/office/word/2010/wordprocessingShape">
                          <wps:wsp>
                            <wps:cNvSpPr/>
                            <wps:spPr>
                              <a:xfrm>
                                <a:off x="0" y="0"/>
                                <a:ext cx="55435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10.7pt;margin-top:1.2pt;height:0.7pt;width:43.65pt;z-index:251681792;mso-width-relative:page;mso-height-relative:page;" filled="f" stroked="t" coordsize="21600,21600" o:gfxdata="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3PPh/YAAAABwEAAA8AAAAAAAAAAQAgAAAAIgAAAGRycy9kb3du&#10;cmV2LnhtbFBLAQIUABQAAAAIAIdO4kDrg0IK/wEAAOwDAAAOAAAAAAAAAAEAIAAAACcBAABkcnMv&#10;ZTJvRG9jLnhtbFBLBQYAAAAABgAGAFkBAACYBQAAAAA=&#10;">
                      <v:path arrowok="t"/>
                      <v:fill on="f" focussize="0,0"/>
                      <v:stroke endarrow="block"/>
                      <v:imagedata o:title=""/>
                      <o:lock v:ext="edit" aspectratio="f"/>
                    </v:line>
                  </w:pict>
                </mc:Fallback>
              </mc:AlternateContent>
            </w:r>
          </w:p>
          <w:p>
            <w:pPr>
              <w:spacing w:line="360" w:lineRule="auto"/>
              <w:rPr>
                <w:rFonts w:hint="eastAsia"/>
                <w:color w:val="FF0000"/>
                <w:sz w:val="24"/>
              </w:rPr>
            </w:pPr>
            <w:r>
              <w:rPr>
                <w:b/>
                <w:color w:val="FF0000"/>
                <w:sz w:val="28"/>
              </w:rPr>
              <mc:AlternateContent>
                <mc:Choice Requires="wps">
                  <w:drawing>
                    <wp:anchor distT="0" distB="0" distL="114300" distR="114300" simplePos="0" relativeHeight="251689984" behindDoc="0" locked="0" layoutInCell="1" allowOverlap="1">
                      <wp:simplePos x="0" y="0"/>
                      <wp:positionH relativeFrom="column">
                        <wp:posOffset>3273425</wp:posOffset>
                      </wp:positionH>
                      <wp:positionV relativeFrom="paragraph">
                        <wp:posOffset>197485</wp:posOffset>
                      </wp:positionV>
                      <wp:extent cx="659130" cy="0"/>
                      <wp:effectExtent l="0" t="0" r="0" b="0"/>
                      <wp:wrapNone/>
                      <wp:docPr id="49" name="直接连接符 49"/>
                      <wp:cNvGraphicFramePr/>
                      <a:graphic xmlns:a="http://schemas.openxmlformats.org/drawingml/2006/main">
                        <a:graphicData uri="http://schemas.microsoft.com/office/word/2010/wordprocessingShape">
                          <wps:wsp>
                            <wps:cNvSpPr/>
                            <wps:spPr>
                              <a:xfrm>
                                <a:off x="0" y="0"/>
                                <a:ext cx="659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7.75pt;margin-top:15.55pt;height:0pt;width:51.9pt;z-index:251689984;mso-width-relative:page;mso-height-relative:page;" filled="f" coordsize="21600,21600" o:gfxdata="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ybnJNYAAAAJAQAADwAAAAAAAAABACAAAAAiAAAAZHJzL2Rvd25yZXYueG1sUEsBAhQA&#10;FAAAAAgAh07iQOF7BRD0AQAA5QMAAA4AAAAAAAAAAQAgAAAAJQEAAGRycy9lMm9Eb2MueG1sUEsF&#10;BgAAAAAGAAYAWQEAAIsFAAAAAA==&#10;">
                      <v:path arrowok="t"/>
                      <v:fill on="f" focussize="0,0"/>
                      <v:stroke/>
                      <v:imagedata o:title=""/>
                      <o:lock v:ext="edit" grouping="f" rotation="f" text="f" aspectratio="f"/>
                    </v:line>
                  </w:pict>
                </mc:Fallback>
              </mc:AlternateContent>
            </w:r>
          </w:p>
          <w:p>
            <w:pPr>
              <w:spacing w:line="360" w:lineRule="auto"/>
              <w:rPr>
                <w:rFonts w:hint="eastAsia"/>
                <w:color w:val="FF0000"/>
                <w:sz w:val="24"/>
              </w:rPr>
            </w:pPr>
            <w:r>
              <w:rPr>
                <w:b/>
                <w:color w:val="FF0000"/>
                <w:sz w:val="28"/>
              </w:rPr>
              <mc:AlternateContent>
                <mc:Choice Requires="wps">
                  <w:drawing>
                    <wp:anchor distT="0" distB="0" distL="114300" distR="114300" simplePos="0" relativeHeight="251695104" behindDoc="0" locked="0" layoutInCell="1" allowOverlap="1">
                      <wp:simplePos x="0" y="0"/>
                      <wp:positionH relativeFrom="column">
                        <wp:posOffset>3292475</wp:posOffset>
                      </wp:positionH>
                      <wp:positionV relativeFrom="paragraph">
                        <wp:posOffset>424815</wp:posOffset>
                      </wp:positionV>
                      <wp:extent cx="659130" cy="0"/>
                      <wp:effectExtent l="0" t="0" r="0" b="0"/>
                      <wp:wrapNone/>
                      <wp:docPr id="58" name="直接连接符 58"/>
                      <wp:cNvGraphicFramePr/>
                      <a:graphic xmlns:a="http://schemas.openxmlformats.org/drawingml/2006/main">
                        <a:graphicData uri="http://schemas.microsoft.com/office/word/2010/wordprocessingShape">
                          <wps:wsp>
                            <wps:cNvSpPr/>
                            <wps:spPr>
                              <a:xfrm>
                                <a:off x="0" y="0"/>
                                <a:ext cx="65913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9.25pt;margin-top:33.45pt;height:0pt;width:51.9pt;z-index:251695104;mso-width-relative:page;mso-height-relative:page;" filled="f" coordsize="21600,21600" o:gfxdata="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USSXXAAAACQEAAA8AAAAAAAAAAQAgAAAAIgAAAGRycy9kb3ducmV2LnhtbFBLAQIU&#10;ABQAAAAIAIdO4kADK00u9AEAAOUDAAAOAAAAAAAAAAEAIAAAACYBAABkcnMvZTJvRG9jLnhtbFBL&#10;BQYAAAAABgAGAFkBAACMBQAAAAA=&#10;">
                      <v:path arrowok="t"/>
                      <v:fill on="f" focussize="0,0"/>
                      <v:stroke/>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694080" behindDoc="0" locked="0" layoutInCell="1" allowOverlap="1">
                      <wp:simplePos x="0" y="0"/>
                      <wp:positionH relativeFrom="column">
                        <wp:posOffset>1348105</wp:posOffset>
                      </wp:positionH>
                      <wp:positionV relativeFrom="paragraph">
                        <wp:posOffset>153670</wp:posOffset>
                      </wp:positionV>
                      <wp:extent cx="417195" cy="27114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17195" cy="271145"/>
                              </a:xfrm>
                              <a:prstGeom prst="rect">
                                <a:avLst/>
                              </a:prstGeom>
                              <a:noFill/>
                              <a:ln>
                                <a:noFill/>
                              </a:ln>
                            </wps:spPr>
                            <wps:txbx>
                              <w:txbxContent>
                                <w:p>
                                  <w:pPr>
                                    <w:rPr>
                                      <w:rFonts w:hint="default" w:eastAsia="宋体"/>
                                      <w:lang w:val="en-US" w:eastAsia="zh-CN"/>
                                    </w:rPr>
                                  </w:pPr>
                                  <w:r>
                                    <w:rPr>
                                      <w:rFonts w:hint="eastAsia"/>
                                      <w:lang w:val="en-US" w:eastAsia="zh-CN"/>
                                    </w:rPr>
                                    <w:t>85.8</w:t>
                                  </w:r>
                                </w:p>
                              </w:txbxContent>
                            </wps:txbx>
                            <wps:bodyPr upright="1"/>
                          </wps:wsp>
                        </a:graphicData>
                      </a:graphic>
                    </wp:anchor>
                  </w:drawing>
                </mc:Choice>
                <mc:Fallback>
                  <w:pict>
                    <v:shape id="_x0000_s1026" o:spid="_x0000_s1026" o:spt="202" type="#_x0000_t202" style="position:absolute;left:0pt;margin-left:106.15pt;margin-top:12.1pt;height:21.35pt;width:32.85pt;z-index:251694080;mso-width-relative:page;mso-height-relative:page;" filled="f" stroked="f" coordsize="21600,21600" o:gfxdata="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EKPeb1gAA&#10;AAkBAAAPAAAAAAAAAAEAIAAAACIAAABkcnMvZG93bnJldi54bWxQSwECFAAUAAAACACHTuJAw8gg&#10;E64BAABPAwAADgAAAAAAAAABACAAAAAlAQAAZHJzL2Uyb0RvYy54bWxQSwUGAAAAAAYABgBZAQAA&#10;RQUAAAAA&#10;">
                      <v:path/>
                      <v:fill on="f" focussize="0,0"/>
                      <v:stroke on="f"/>
                      <v:imagedata o:title=""/>
                      <o:lock v:ext="edit" grouping="f" rotation="f" text="f" aspectratio="f"/>
                      <v:textbox>
                        <w:txbxContent>
                          <w:p>
                            <w:pPr>
                              <w:rPr>
                                <w:rFonts w:hint="default" w:eastAsia="宋体"/>
                                <w:lang w:val="en-US" w:eastAsia="zh-CN"/>
                              </w:rPr>
                            </w:pPr>
                            <w:r>
                              <w:rPr>
                                <w:rFonts w:hint="eastAsia"/>
                                <w:lang w:val="en-US" w:eastAsia="zh-CN"/>
                              </w:rPr>
                              <w:t>85.8</w:t>
                            </w:r>
                          </w:p>
                        </w:txbxContent>
                      </v:textbox>
                    </v:shape>
                  </w:pict>
                </mc:Fallback>
              </mc:AlternateContent>
            </w:r>
            <w:r>
              <w:rPr>
                <w:b/>
                <w:color w:val="FF0000"/>
                <w:sz w:val="28"/>
              </w:rPr>
              <mc:AlternateContent>
                <mc:Choice Requires="wps">
                  <w:drawing>
                    <wp:anchor distT="0" distB="0" distL="114300" distR="114300" simplePos="0" relativeHeight="251693056" behindDoc="0" locked="0" layoutInCell="1" allowOverlap="1">
                      <wp:simplePos x="0" y="0"/>
                      <wp:positionH relativeFrom="column">
                        <wp:posOffset>1284605</wp:posOffset>
                      </wp:positionH>
                      <wp:positionV relativeFrom="paragraph">
                        <wp:posOffset>424815</wp:posOffset>
                      </wp:positionV>
                      <wp:extent cx="584200" cy="0"/>
                      <wp:effectExtent l="0" t="38100" r="6350" b="38100"/>
                      <wp:wrapNone/>
                      <wp:docPr id="65" name="直接连接符 65"/>
                      <wp:cNvGraphicFramePr/>
                      <a:graphic xmlns:a="http://schemas.openxmlformats.org/drawingml/2006/main">
                        <a:graphicData uri="http://schemas.microsoft.com/office/word/2010/wordprocessingShape">
                          <wps:wsp>
                            <wps:cNvSpPr/>
                            <wps:spPr>
                              <a:xfrm flipV="1">
                                <a:off x="0" y="0"/>
                                <a:ext cx="584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101.15pt;margin-top:33.45pt;height:0pt;width:46pt;z-index:251693056;mso-width-relative:page;mso-height-relative:page;" filled="f" coordsize="21600,21600" o:gfxdata="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uKlu2AAAAAkBAAAPAAAAAAAAAAEAIAAAACIAAABkcnMv&#10;ZG93bnJldi54bWxQSwECFAAUAAAACACHTuJA2a6SpAMCAADzAwAADgAAAAAAAAABACAAAAAnAQAA&#10;ZHJzL2Uyb0RvYy54bWxQSwUGAAAAAAYABgBZAQAAnAUAAAAA&#10;">
                      <v:path arrowok="t"/>
                      <v:fill on="f" focussize="0,0"/>
                      <v:stroke endarrow="block"/>
                      <v:imagedata o:title=""/>
                      <o:lock v:ext="edit" grouping="f" rotation="f" text="f" aspectratio="f"/>
                    </v:line>
                  </w:pict>
                </mc:Fallback>
              </mc:AlternateContent>
            </w:r>
            <w:r>
              <w:rPr>
                <w:b/>
                <w:color w:val="FF0000"/>
                <w:sz w:val="28"/>
              </w:rPr>
              <mc:AlternateContent>
                <mc:Choice Requires="wps">
                  <w:drawing>
                    <wp:anchor distT="0" distB="0" distL="114300" distR="114300" simplePos="0" relativeHeight="251692032" behindDoc="0" locked="0" layoutInCell="1" allowOverlap="1">
                      <wp:simplePos x="0" y="0"/>
                      <wp:positionH relativeFrom="column">
                        <wp:posOffset>1878330</wp:posOffset>
                      </wp:positionH>
                      <wp:positionV relativeFrom="paragraph">
                        <wp:posOffset>272415</wp:posOffset>
                      </wp:positionV>
                      <wp:extent cx="1414145" cy="297180"/>
                      <wp:effectExtent l="4445" t="4445" r="10160" b="22225"/>
                      <wp:wrapNone/>
                      <wp:docPr id="60" name="文本框 60"/>
                      <wp:cNvGraphicFramePr/>
                      <a:graphic xmlns:a="http://schemas.openxmlformats.org/drawingml/2006/main">
                        <a:graphicData uri="http://schemas.microsoft.com/office/word/2010/wordprocessingShape">
                          <wps:wsp>
                            <wps:cNvSpPr txBox="1"/>
                            <wps:spPr>
                              <a:xfrm>
                                <a:off x="0" y="0"/>
                                <a:ext cx="14141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eastAsia="仿宋_GB2312"/>
                                    </w:rPr>
                                    <w:t>初期雨水池</w:t>
                                  </w:r>
                                </w:p>
                              </w:txbxContent>
                            </wps:txbx>
                            <wps:bodyPr upright="1"/>
                          </wps:wsp>
                        </a:graphicData>
                      </a:graphic>
                    </wp:anchor>
                  </w:drawing>
                </mc:Choice>
                <mc:Fallback>
                  <w:pict>
                    <v:shape id="_x0000_s1026" o:spid="_x0000_s1026" o:spt="202" type="#_x0000_t202" style="position:absolute;left:0pt;margin-left:147.9pt;margin-top:21.45pt;height:23.4pt;width:111.35pt;z-index:251692032;mso-width-relative:page;mso-height-relative:page;" coordsize="21600,21600" o:gfxdata="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ENRa2QAAAAkBAAAPAAAAAAAAAAEAIAAA&#10;ACIAAABkcnMvZG93bnJldi54bWxQSwECFAAUAAAACACHTuJAqziGkgsCAAA4BAAADgAAAAAAAAAB&#10;ACAAAAAoAQAAZHJzL2Uyb0RvYy54bWxQSwUGAAAAAAYABgBZAQAApQUAAAAA&#10;">
                      <v:path/>
                      <v:fill focussize="0,0"/>
                      <v:stroke/>
                      <v:imagedata o:title=""/>
                      <o:lock v:ext="edit" grouping="f" rotation="f" text="f" aspectratio="f"/>
                      <v:textbox>
                        <w:txbxContent>
                          <w:p>
                            <w:pPr>
                              <w:jc w:val="center"/>
                              <w:rPr>
                                <w:rFonts w:hint="eastAsia" w:eastAsia="仿宋_GB2312"/>
                              </w:rPr>
                            </w:pPr>
                            <w:r>
                              <w:rPr>
                                <w:rFonts w:hint="eastAsia" w:eastAsia="仿宋_GB2312"/>
                              </w:rPr>
                              <w:t>初期雨水池</w:t>
                            </w:r>
                          </w:p>
                        </w:txbxContent>
                      </v:textbox>
                    </v:shape>
                  </w:pict>
                </mc:Fallback>
              </mc:AlternateContent>
            </w:r>
            <w:r>
              <w:rPr>
                <w:b/>
                <w:color w:val="FF0000"/>
                <w:sz w:val="28"/>
              </w:rPr>
              <mc:AlternateContent>
                <mc:Choice Requires="wps">
                  <w:drawing>
                    <wp:anchor distT="0" distB="0" distL="114300" distR="114300" simplePos="0" relativeHeight="251691008" behindDoc="0" locked="0" layoutInCell="1" allowOverlap="1">
                      <wp:simplePos x="0" y="0"/>
                      <wp:positionH relativeFrom="column">
                        <wp:posOffset>3457575</wp:posOffset>
                      </wp:positionH>
                      <wp:positionV relativeFrom="paragraph">
                        <wp:posOffset>153670</wp:posOffset>
                      </wp:positionV>
                      <wp:extent cx="482600" cy="29718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82600" cy="297180"/>
                              </a:xfrm>
                              <a:prstGeom prst="rect">
                                <a:avLst/>
                              </a:prstGeom>
                              <a:noFill/>
                              <a:ln>
                                <a:noFill/>
                              </a:ln>
                            </wps:spPr>
                            <wps:txbx>
                              <w:txbxContent>
                                <w:p>
                                  <w:pPr>
                                    <w:rPr>
                                      <w:rFonts w:hint="default" w:eastAsia="仿宋_GB2312"/>
                                      <w:lang w:val="en-US" w:eastAsia="zh-CN"/>
                                    </w:rPr>
                                  </w:pPr>
                                  <w:r>
                                    <w:rPr>
                                      <w:rFonts w:hint="eastAsia" w:eastAsia="仿宋_GB2312"/>
                                      <w:lang w:val="en-US" w:eastAsia="zh-CN"/>
                                    </w:rPr>
                                    <w:t>85.8</w:t>
                                  </w:r>
                                </w:p>
                              </w:txbxContent>
                            </wps:txbx>
                            <wps:bodyPr upright="1"/>
                          </wps:wsp>
                        </a:graphicData>
                      </a:graphic>
                    </wp:anchor>
                  </w:drawing>
                </mc:Choice>
                <mc:Fallback>
                  <w:pict>
                    <v:shape id="_x0000_s1026" o:spid="_x0000_s1026" o:spt="202" type="#_x0000_t202" style="position:absolute;left:0pt;margin-left:272.25pt;margin-top:12.1pt;height:23.4pt;width:38pt;z-index:251691008;mso-width-relative:page;mso-height-relative:page;" filled="f" stroked="f" coordsize="21600,21600" o:gfxdata="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WROHWAAAA&#10;CQEAAA8AAAAAAAAAAQAgAAAAIgAAAGRycy9kb3ducmV2LnhtbFBLAQIUABQAAAAIAIdO4kBj5mhP&#10;rQEAAE8DAAAOAAAAAAAAAAEAIAAAACUBAABkcnMvZTJvRG9jLnhtbFBLBQYAAAAABgAGAFkBAABE&#10;BQAAAAA=&#10;">
                      <v:path/>
                      <v:fill on="f" focussize="0,0"/>
                      <v:stroke on="f"/>
                      <v:imagedata o:title=""/>
                      <o:lock v:ext="edit" grouping="f" rotation="f" text="f" aspectratio="f"/>
                      <v:textbox>
                        <w:txbxContent>
                          <w:p>
                            <w:pPr>
                              <w:rPr>
                                <w:rFonts w:hint="default" w:eastAsia="仿宋_GB2312"/>
                                <w:lang w:val="en-US" w:eastAsia="zh-CN"/>
                              </w:rPr>
                            </w:pPr>
                            <w:r>
                              <w:rPr>
                                <w:rFonts w:hint="eastAsia" w:eastAsia="仿宋_GB2312"/>
                                <w:lang w:val="en-US" w:eastAsia="zh-CN"/>
                              </w:rPr>
                              <w:t>85.8</w:t>
                            </w:r>
                          </w:p>
                        </w:txbxContent>
                      </v:textbox>
                    </v:shape>
                  </w:pict>
                </mc:Fallback>
              </mc:AlternateContent>
            </w:r>
            <w:r>
              <w:rPr>
                <w:b/>
                <w:color w:val="FF0000"/>
                <w:sz w:val="28"/>
              </w:rPr>
              <mc:AlternateContent>
                <mc:Choice Requires="wps">
                  <w:drawing>
                    <wp:anchor distT="0" distB="0" distL="114300" distR="114300" simplePos="0" relativeHeight="251701248" behindDoc="0" locked="0" layoutInCell="1" allowOverlap="1">
                      <wp:simplePos x="0" y="0"/>
                      <wp:positionH relativeFrom="column">
                        <wp:posOffset>438785</wp:posOffset>
                      </wp:positionH>
                      <wp:positionV relativeFrom="paragraph">
                        <wp:posOffset>272415</wp:posOffset>
                      </wp:positionV>
                      <wp:extent cx="829945" cy="297180"/>
                      <wp:effectExtent l="4445" t="5080" r="22860" b="21590"/>
                      <wp:wrapNone/>
                      <wp:docPr id="62" name="文本框 62"/>
                      <wp:cNvGraphicFramePr/>
                      <a:graphic xmlns:a="http://schemas.openxmlformats.org/drawingml/2006/main">
                        <a:graphicData uri="http://schemas.microsoft.com/office/word/2010/wordprocessingShape">
                          <wps:wsp>
                            <wps:cNvSpPr txBox="1"/>
                            <wps:spPr>
                              <a:xfrm>
                                <a:off x="0" y="0"/>
                                <a:ext cx="8299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仿宋_GB2312"/>
                                    </w:rPr>
                                  </w:pPr>
                                  <w:r>
                                    <w:rPr>
                                      <w:rFonts w:hint="eastAsia" w:eastAsia="仿宋_GB2312"/>
                                    </w:rPr>
                                    <w:t>初期雨水</w:t>
                                  </w:r>
                                </w:p>
                              </w:txbxContent>
                            </wps:txbx>
                            <wps:bodyPr upright="1"/>
                          </wps:wsp>
                        </a:graphicData>
                      </a:graphic>
                    </wp:anchor>
                  </w:drawing>
                </mc:Choice>
                <mc:Fallback>
                  <w:pict>
                    <v:shape id="_x0000_s1026" o:spid="_x0000_s1026" o:spt="202" type="#_x0000_t202" style="position:absolute;left:0pt;margin-left:34.55pt;margin-top:21.45pt;height:23.4pt;width:65.35pt;z-index:251701248;mso-width-relative:page;mso-height-relative:page;" fillcolor="#FFFFFF" filled="t" stroked="t" coordsize="21600,21600" o:gfxdata="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NqZ61wAAAAgBAAAPAAAAAAAAAAEAIAAA&#10;ACIAAABkcnMvZG93bnJldi54bWxQSwECFAAUAAAACACHTuJAljujvA0CAAA3BAAADgAAAAAAAAAB&#10;ACAAAAAmAQAAZHJzL2Uyb0RvYy54bWxQSwUGAAAAAAYABgBZAQAApQUAAAAA&#10;">
                      <v:path/>
                      <v:fill on="t" focussize="0,0"/>
                      <v:stroke/>
                      <v:imagedata o:title=""/>
                      <o:lock v:ext="edit" grouping="f" rotation="f" text="f" aspectratio="f"/>
                      <v:textbox>
                        <w:txbxContent>
                          <w:p>
                            <w:pPr>
                              <w:jc w:val="center"/>
                              <w:rPr>
                                <w:rFonts w:hint="eastAsia" w:eastAsia="仿宋_GB2312"/>
                              </w:rPr>
                            </w:pPr>
                            <w:r>
                              <w:rPr>
                                <w:rFonts w:hint="eastAsia" w:eastAsia="仿宋_GB2312"/>
                              </w:rPr>
                              <w:t>初期雨水</w:t>
                            </w:r>
                          </w:p>
                        </w:txbxContent>
                      </v:textbox>
                    </v:shape>
                  </w:pict>
                </mc:Fallback>
              </mc:AlternateContent>
            </w:r>
          </w:p>
          <w:p>
            <w:pPr>
              <w:spacing w:line="360" w:lineRule="auto"/>
              <w:rPr>
                <w:rFonts w:hint="eastAsia"/>
                <w:color w:val="FF0000"/>
                <w:sz w:val="24"/>
              </w:rPr>
            </w:pPr>
          </w:p>
          <w:p>
            <w:pPr>
              <w:pStyle w:val="2"/>
              <w:rPr>
                <w:rFonts w:hint="eastAsia"/>
                <w:color w:val="FF0000"/>
              </w:rPr>
            </w:pPr>
          </w:p>
          <w:p>
            <w:pPr>
              <w:spacing w:line="360" w:lineRule="auto"/>
              <w:jc w:val="right"/>
              <w:rPr>
                <w:rFonts w:hint="eastAsia"/>
                <w:b/>
                <w:bCs/>
                <w:color w:val="auto"/>
                <w:kern w:val="0"/>
                <w:szCs w:val="21"/>
              </w:rPr>
            </w:pPr>
            <w:r>
              <w:rPr>
                <w:b/>
                <w:bCs/>
                <w:color w:val="auto"/>
                <w:kern w:val="0"/>
                <w:szCs w:val="21"/>
              </w:rPr>
              <w:t>图</w:t>
            </w:r>
            <w:r>
              <w:rPr>
                <w:rFonts w:hint="eastAsia"/>
                <w:b/>
                <w:bCs/>
                <w:color w:val="auto"/>
                <w:kern w:val="0"/>
                <w:szCs w:val="21"/>
              </w:rPr>
              <w:t>2-</w:t>
            </w:r>
            <w:r>
              <w:rPr>
                <w:rFonts w:hint="eastAsia"/>
                <w:b/>
                <w:bCs/>
                <w:color w:val="auto"/>
                <w:kern w:val="0"/>
                <w:szCs w:val="21"/>
                <w:lang w:val="en-US" w:eastAsia="zh-CN"/>
              </w:rPr>
              <w:t>1</w:t>
            </w:r>
            <w:r>
              <w:rPr>
                <w:b/>
                <w:bCs/>
                <w:color w:val="auto"/>
                <w:kern w:val="0"/>
                <w:szCs w:val="21"/>
              </w:rPr>
              <w:t xml:space="preserve"> 项目水平衡图</w:t>
            </w:r>
            <w:r>
              <w:rPr>
                <w:rFonts w:hint="eastAsia"/>
                <w:b/>
                <w:bCs/>
                <w:color w:val="auto"/>
                <w:kern w:val="0"/>
                <w:szCs w:val="21"/>
              </w:rPr>
              <w:t xml:space="preserve">                 </w:t>
            </w:r>
            <w:r>
              <w:rPr>
                <w:b/>
                <w:bCs/>
                <w:color w:val="auto"/>
                <w:kern w:val="0"/>
                <w:szCs w:val="21"/>
              </w:rPr>
              <w:t>单位：m</w:t>
            </w:r>
            <w:r>
              <w:rPr>
                <w:b/>
                <w:bCs/>
                <w:color w:val="auto"/>
                <w:kern w:val="0"/>
                <w:szCs w:val="21"/>
                <w:vertAlign w:val="superscript"/>
              </w:rPr>
              <w:t>3</w:t>
            </w:r>
            <w:r>
              <w:rPr>
                <w:b/>
                <w:bCs/>
                <w:color w:val="auto"/>
                <w:kern w:val="0"/>
                <w:szCs w:val="21"/>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十、物料平衡</w:t>
            </w:r>
          </w:p>
          <w:p>
            <w:pPr>
              <w:spacing w:line="360" w:lineRule="auto"/>
              <w:jc w:val="center"/>
              <w:rPr>
                <w:b/>
                <w:bCs/>
                <w:color w:val="auto"/>
                <w:kern w:val="0"/>
                <w:szCs w:val="21"/>
              </w:rPr>
            </w:pPr>
            <w:r>
              <w:rPr>
                <w:b/>
                <w:bCs/>
                <w:color w:val="auto"/>
                <w:kern w:val="0"/>
                <w:szCs w:val="21"/>
              </w:rPr>
              <w:t>表</w:t>
            </w:r>
            <w:r>
              <w:rPr>
                <w:rFonts w:hint="eastAsia"/>
                <w:b/>
                <w:bCs/>
                <w:color w:val="auto"/>
                <w:kern w:val="0"/>
                <w:szCs w:val="21"/>
              </w:rPr>
              <w:t>2-</w:t>
            </w:r>
            <w:r>
              <w:rPr>
                <w:rFonts w:hint="eastAsia"/>
                <w:b/>
                <w:bCs/>
                <w:color w:val="auto"/>
                <w:kern w:val="0"/>
                <w:szCs w:val="21"/>
                <w:lang w:val="en-US" w:eastAsia="zh-CN"/>
              </w:rPr>
              <w:t>8</w:t>
            </w:r>
            <w:r>
              <w:rPr>
                <w:b/>
                <w:bCs/>
                <w:color w:val="auto"/>
                <w:kern w:val="0"/>
                <w:szCs w:val="21"/>
              </w:rPr>
              <w:t xml:space="preserve">  总物料平衡表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1519"/>
              <w:gridCol w:w="2559"/>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trPr>
              <w:tc>
                <w:tcPr>
                  <w:tcW w:w="2195" w:type="pct"/>
                  <w:gridSpan w:val="2"/>
                  <w:noWrap w:val="0"/>
                  <w:vAlign w:val="center"/>
                </w:tcPr>
                <w:p>
                  <w:pPr>
                    <w:jc w:val="center"/>
                    <w:rPr>
                      <w:color w:val="auto"/>
                    </w:rPr>
                  </w:pPr>
                  <w:r>
                    <w:rPr>
                      <w:rFonts w:hAnsi="宋体"/>
                      <w:color w:val="auto"/>
                    </w:rPr>
                    <w:t>输入（万</w:t>
                  </w:r>
                  <w:r>
                    <w:rPr>
                      <w:color w:val="auto"/>
                    </w:rPr>
                    <w:t>t</w:t>
                  </w:r>
                  <w:r>
                    <w:rPr>
                      <w:rFonts w:hAnsi="宋体"/>
                      <w:color w:val="auto"/>
                    </w:rPr>
                    <w:t>）</w:t>
                  </w:r>
                </w:p>
              </w:tc>
              <w:tc>
                <w:tcPr>
                  <w:tcW w:w="2804" w:type="pct"/>
                  <w:gridSpan w:val="2"/>
                  <w:noWrap w:val="0"/>
                  <w:vAlign w:val="center"/>
                </w:tcPr>
                <w:p>
                  <w:pPr>
                    <w:jc w:val="center"/>
                    <w:rPr>
                      <w:color w:val="auto"/>
                    </w:rPr>
                  </w:pPr>
                  <w:r>
                    <w:rPr>
                      <w:rFonts w:hAnsi="宋体"/>
                      <w:color w:val="auto"/>
                    </w:rPr>
                    <w:t>输出（万</w:t>
                  </w:r>
                  <w:r>
                    <w:rPr>
                      <w:color w:val="auto"/>
                    </w:rPr>
                    <w:t>t</w:t>
                  </w:r>
                  <w:r>
                    <w:rPr>
                      <w:rFonts w:hAnsi="宋体"/>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80" w:type="pct"/>
                  <w:noWrap w:val="0"/>
                  <w:vAlign w:val="center"/>
                </w:tcPr>
                <w:p>
                  <w:pPr>
                    <w:jc w:val="center"/>
                    <w:rPr>
                      <w:color w:val="auto"/>
                      <w:szCs w:val="21"/>
                    </w:rPr>
                  </w:pPr>
                  <w:r>
                    <w:rPr>
                      <w:rFonts w:hAnsi="宋体"/>
                      <w:color w:val="auto"/>
                      <w:szCs w:val="21"/>
                    </w:rPr>
                    <w:t>水泥</w:t>
                  </w:r>
                </w:p>
              </w:tc>
              <w:tc>
                <w:tcPr>
                  <w:tcW w:w="914" w:type="pct"/>
                  <w:noWrap w:val="0"/>
                  <w:vAlign w:val="center"/>
                </w:tcPr>
                <w:p>
                  <w:pPr>
                    <w:jc w:val="center"/>
                    <w:rPr>
                      <w:rFonts w:hint="default" w:eastAsia="宋体"/>
                      <w:color w:val="auto"/>
                      <w:szCs w:val="21"/>
                      <w:lang w:val="en-US" w:eastAsia="zh-CN"/>
                    </w:rPr>
                  </w:pPr>
                  <w:r>
                    <w:rPr>
                      <w:rFonts w:hint="eastAsia"/>
                      <w:color w:val="auto"/>
                      <w:szCs w:val="21"/>
                      <w:lang w:val="en-US" w:eastAsia="zh-CN"/>
                    </w:rPr>
                    <w:t>18.6</w:t>
                  </w:r>
                </w:p>
              </w:tc>
              <w:tc>
                <w:tcPr>
                  <w:tcW w:w="1541" w:type="pct"/>
                  <w:vMerge w:val="restart"/>
                  <w:noWrap w:val="0"/>
                  <w:vAlign w:val="center"/>
                </w:tcPr>
                <w:p>
                  <w:pPr>
                    <w:jc w:val="center"/>
                    <w:rPr>
                      <w:color w:val="auto"/>
                    </w:rPr>
                  </w:pPr>
                  <w:r>
                    <w:rPr>
                      <w:rFonts w:hAnsi="宋体"/>
                      <w:color w:val="auto"/>
                    </w:rPr>
                    <w:t>商品混凝土</w:t>
                  </w:r>
                </w:p>
              </w:tc>
              <w:tc>
                <w:tcPr>
                  <w:tcW w:w="1263" w:type="pct"/>
                  <w:vMerge w:val="restart"/>
                  <w:noWrap w:val="0"/>
                  <w:vAlign w:val="center"/>
                </w:tcPr>
                <w:p>
                  <w:pPr>
                    <w:jc w:val="center"/>
                    <w:rPr>
                      <w:color w:val="auto"/>
                    </w:rPr>
                  </w:pPr>
                  <w:r>
                    <w:rPr>
                      <w:rFonts w:hint="eastAsia"/>
                      <w:color w:val="auto"/>
                    </w:rPr>
                    <w:t>144</w:t>
                  </w:r>
                </w:p>
                <w:p>
                  <w:pPr>
                    <w:jc w:val="center"/>
                    <w:rPr>
                      <w:color w:val="auto"/>
                    </w:rPr>
                  </w:pPr>
                  <w:r>
                    <w:rPr>
                      <w:rFonts w:hAnsi="宋体"/>
                      <w:color w:val="auto"/>
                    </w:rPr>
                    <w:t>（折合总计</w:t>
                  </w:r>
                  <w:r>
                    <w:rPr>
                      <w:rFonts w:hint="eastAsia"/>
                      <w:color w:val="auto"/>
                    </w:rPr>
                    <w:t>60</w:t>
                  </w:r>
                  <w:r>
                    <w:rPr>
                      <w:rFonts w:hAnsi="宋体"/>
                      <w:color w:val="auto"/>
                    </w:rPr>
                    <w:t>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80" w:type="pct"/>
                  <w:noWrap w:val="0"/>
                  <w:vAlign w:val="center"/>
                </w:tcPr>
                <w:p>
                  <w:pPr>
                    <w:jc w:val="center"/>
                    <w:rPr>
                      <w:rFonts w:hint="eastAsia" w:hAnsi="宋体" w:eastAsia="宋体"/>
                      <w:color w:val="auto"/>
                      <w:szCs w:val="21"/>
                      <w:lang w:val="en-US" w:eastAsia="zh-CN"/>
                    </w:rPr>
                  </w:pPr>
                  <w:r>
                    <w:rPr>
                      <w:rFonts w:hint="eastAsia" w:hAnsi="宋体"/>
                      <w:color w:val="auto"/>
                      <w:szCs w:val="21"/>
                      <w:lang w:val="en-US" w:eastAsia="zh-CN"/>
                    </w:rPr>
                    <w:t>鹅卵石</w:t>
                  </w:r>
                </w:p>
              </w:tc>
              <w:tc>
                <w:tcPr>
                  <w:tcW w:w="914" w:type="pct"/>
                  <w:noWrap w:val="0"/>
                  <w:vAlign w:val="center"/>
                </w:tcPr>
                <w:p>
                  <w:pPr>
                    <w:jc w:val="center"/>
                    <w:rPr>
                      <w:rFonts w:hint="default"/>
                      <w:color w:val="auto"/>
                      <w:szCs w:val="21"/>
                      <w:lang w:val="en-US" w:eastAsia="zh-CN"/>
                    </w:rPr>
                  </w:pPr>
                  <w:r>
                    <w:rPr>
                      <w:rFonts w:hint="eastAsia"/>
                      <w:color w:val="auto"/>
                      <w:szCs w:val="21"/>
                      <w:lang w:val="en-US" w:eastAsia="zh-CN"/>
                    </w:rPr>
                    <w:t>110.28</w:t>
                  </w:r>
                </w:p>
              </w:tc>
              <w:tc>
                <w:tcPr>
                  <w:tcW w:w="1541" w:type="pct"/>
                  <w:vMerge w:val="continue"/>
                  <w:noWrap w:val="0"/>
                  <w:vAlign w:val="center"/>
                </w:tcPr>
                <w:p>
                  <w:pPr>
                    <w:jc w:val="center"/>
                    <w:rPr>
                      <w:rFonts w:hAnsi="宋体"/>
                      <w:color w:val="auto"/>
                    </w:rPr>
                  </w:pPr>
                </w:p>
              </w:tc>
              <w:tc>
                <w:tcPr>
                  <w:tcW w:w="1263" w:type="pct"/>
                  <w:vMerge w:val="continue"/>
                  <w:noWrap w:val="0"/>
                  <w:vAlign w:val="center"/>
                </w:tcPr>
                <w:p>
                  <w:pPr>
                    <w:jc w:val="center"/>
                    <w:rPr>
                      <w:rFonts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80" w:type="pct"/>
                  <w:noWrap w:val="0"/>
                  <w:vAlign w:val="center"/>
                </w:tcPr>
                <w:p>
                  <w:pPr>
                    <w:jc w:val="center"/>
                    <w:rPr>
                      <w:color w:val="auto"/>
                      <w:szCs w:val="21"/>
                    </w:rPr>
                  </w:pPr>
                  <w:r>
                    <w:rPr>
                      <w:rFonts w:hAnsi="宋体"/>
                      <w:color w:val="auto"/>
                      <w:szCs w:val="21"/>
                    </w:rPr>
                    <w:t>粉煤灰</w:t>
                  </w:r>
                </w:p>
              </w:tc>
              <w:tc>
                <w:tcPr>
                  <w:tcW w:w="914" w:type="pct"/>
                  <w:noWrap w:val="0"/>
                  <w:vAlign w:val="center"/>
                </w:tcPr>
                <w:p>
                  <w:pPr>
                    <w:jc w:val="center"/>
                    <w:rPr>
                      <w:rFonts w:hint="eastAsia" w:eastAsia="宋体"/>
                      <w:color w:val="auto"/>
                      <w:szCs w:val="21"/>
                      <w:lang w:eastAsia="zh-CN"/>
                    </w:rPr>
                  </w:pPr>
                  <w:r>
                    <w:rPr>
                      <w:rFonts w:hint="eastAsia"/>
                      <w:color w:val="auto"/>
                      <w:szCs w:val="21"/>
                      <w:lang w:val="en-US" w:eastAsia="zh-CN"/>
                    </w:rPr>
                    <w:t>3</w:t>
                  </w:r>
                </w:p>
              </w:tc>
              <w:tc>
                <w:tcPr>
                  <w:tcW w:w="1541" w:type="pct"/>
                  <w:vMerge w:val="continue"/>
                  <w:noWrap w:val="0"/>
                  <w:vAlign w:val="center"/>
                </w:tcPr>
                <w:p>
                  <w:pPr>
                    <w:jc w:val="center"/>
                    <w:rPr>
                      <w:color w:val="auto"/>
                    </w:rPr>
                  </w:pPr>
                </w:p>
              </w:tc>
              <w:tc>
                <w:tcPr>
                  <w:tcW w:w="1263" w:type="pct"/>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280" w:type="pct"/>
                  <w:noWrap w:val="0"/>
                  <w:vAlign w:val="center"/>
                </w:tcPr>
                <w:p>
                  <w:pPr>
                    <w:jc w:val="center"/>
                    <w:rPr>
                      <w:rFonts w:hint="eastAsia" w:eastAsia="宋体"/>
                      <w:color w:val="auto"/>
                      <w:szCs w:val="21"/>
                      <w:lang w:eastAsia="zh-CN"/>
                    </w:rPr>
                  </w:pPr>
                  <w:r>
                    <w:rPr>
                      <w:rFonts w:hint="eastAsia" w:hAnsi="宋体"/>
                      <w:color w:val="auto"/>
                      <w:szCs w:val="21"/>
                      <w:lang w:val="en-US" w:eastAsia="zh-CN"/>
                    </w:rPr>
                    <w:t>矿粉</w:t>
                  </w:r>
                </w:p>
              </w:tc>
              <w:tc>
                <w:tcPr>
                  <w:tcW w:w="914" w:type="pct"/>
                  <w:noWrap w:val="0"/>
                  <w:vAlign w:val="center"/>
                </w:tcPr>
                <w:p>
                  <w:pPr>
                    <w:jc w:val="center"/>
                    <w:rPr>
                      <w:rFonts w:hint="default" w:eastAsia="宋体"/>
                      <w:color w:val="auto"/>
                      <w:szCs w:val="21"/>
                      <w:lang w:val="en-US" w:eastAsia="zh-CN"/>
                    </w:rPr>
                  </w:pPr>
                  <w:r>
                    <w:rPr>
                      <w:rFonts w:hint="eastAsia"/>
                      <w:color w:val="auto"/>
                      <w:szCs w:val="21"/>
                      <w:lang w:val="en-US" w:eastAsia="zh-CN"/>
                    </w:rPr>
                    <w:t>1.2</w:t>
                  </w:r>
                </w:p>
              </w:tc>
              <w:tc>
                <w:tcPr>
                  <w:tcW w:w="1541" w:type="pct"/>
                  <w:vMerge w:val="continue"/>
                  <w:noWrap w:val="0"/>
                  <w:vAlign w:val="center"/>
                </w:tcPr>
                <w:p>
                  <w:pPr>
                    <w:jc w:val="center"/>
                    <w:rPr>
                      <w:color w:val="auto"/>
                    </w:rPr>
                  </w:pPr>
                </w:p>
              </w:tc>
              <w:tc>
                <w:tcPr>
                  <w:tcW w:w="1263" w:type="pct"/>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80" w:type="pct"/>
                  <w:tcBorders>
                    <w:bottom w:val="single" w:color="auto" w:sz="4" w:space="0"/>
                  </w:tcBorders>
                  <w:noWrap w:val="0"/>
                  <w:vAlign w:val="center"/>
                </w:tcPr>
                <w:p>
                  <w:pPr>
                    <w:jc w:val="center"/>
                    <w:rPr>
                      <w:color w:val="auto"/>
                      <w:szCs w:val="21"/>
                    </w:rPr>
                  </w:pPr>
                  <w:r>
                    <w:rPr>
                      <w:rFonts w:hAnsi="宋体"/>
                      <w:color w:val="auto"/>
                      <w:szCs w:val="21"/>
                    </w:rPr>
                    <w:t>外加剂（高性能减水剂</w:t>
                  </w:r>
                </w:p>
              </w:tc>
              <w:tc>
                <w:tcPr>
                  <w:tcW w:w="914" w:type="pct"/>
                  <w:tcBorders>
                    <w:bottom w:val="single" w:color="auto" w:sz="4" w:space="0"/>
                  </w:tcBorders>
                  <w:noWrap w:val="0"/>
                  <w:vAlign w:val="center"/>
                </w:tcPr>
                <w:p>
                  <w:pPr>
                    <w:jc w:val="center"/>
                    <w:rPr>
                      <w:rFonts w:hint="default" w:eastAsia="宋体"/>
                      <w:color w:val="auto"/>
                      <w:szCs w:val="21"/>
                      <w:lang w:val="en-US" w:eastAsia="zh-CN"/>
                    </w:rPr>
                  </w:pPr>
                  <w:r>
                    <w:rPr>
                      <w:rFonts w:hint="eastAsia"/>
                      <w:color w:val="auto"/>
                      <w:szCs w:val="21"/>
                      <w:lang w:val="en-US" w:eastAsia="zh-CN"/>
                    </w:rPr>
                    <w:t>0.42</w:t>
                  </w:r>
                </w:p>
              </w:tc>
              <w:tc>
                <w:tcPr>
                  <w:tcW w:w="1541" w:type="pct"/>
                  <w:vMerge w:val="continue"/>
                  <w:noWrap w:val="0"/>
                  <w:vAlign w:val="center"/>
                </w:tcPr>
                <w:p>
                  <w:pPr>
                    <w:jc w:val="center"/>
                    <w:rPr>
                      <w:color w:val="auto"/>
                    </w:rPr>
                  </w:pPr>
                </w:p>
              </w:tc>
              <w:tc>
                <w:tcPr>
                  <w:tcW w:w="1263" w:type="pct"/>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80" w:type="pct"/>
                  <w:noWrap w:val="0"/>
                  <w:vAlign w:val="center"/>
                </w:tcPr>
                <w:p>
                  <w:pPr>
                    <w:jc w:val="center"/>
                    <w:rPr>
                      <w:color w:val="auto"/>
                    </w:rPr>
                  </w:pPr>
                  <w:r>
                    <w:rPr>
                      <w:rFonts w:hAnsi="宋体"/>
                      <w:color w:val="auto"/>
                    </w:rPr>
                    <w:t>混凝土生产搅拌用水</w:t>
                  </w:r>
                </w:p>
              </w:tc>
              <w:tc>
                <w:tcPr>
                  <w:tcW w:w="914" w:type="pct"/>
                  <w:noWrap w:val="0"/>
                  <w:vAlign w:val="center"/>
                </w:tcPr>
                <w:p>
                  <w:pPr>
                    <w:jc w:val="center"/>
                    <w:rPr>
                      <w:rFonts w:hint="default" w:eastAsia="宋体"/>
                      <w:color w:val="auto"/>
                      <w:lang w:val="en-US" w:eastAsia="zh-CN"/>
                    </w:rPr>
                  </w:pPr>
                  <w:r>
                    <w:rPr>
                      <w:rFonts w:hint="eastAsia"/>
                      <w:color w:val="auto"/>
                      <w:lang w:val="en-US" w:eastAsia="zh-CN"/>
                    </w:rPr>
                    <w:t>10.5</w:t>
                  </w:r>
                </w:p>
              </w:tc>
              <w:tc>
                <w:tcPr>
                  <w:tcW w:w="1541" w:type="pct"/>
                  <w:vMerge w:val="continue"/>
                  <w:noWrap w:val="0"/>
                  <w:vAlign w:val="center"/>
                </w:tcPr>
                <w:p>
                  <w:pPr>
                    <w:jc w:val="center"/>
                    <w:rPr>
                      <w:color w:val="auto"/>
                    </w:rPr>
                  </w:pPr>
                </w:p>
              </w:tc>
              <w:tc>
                <w:tcPr>
                  <w:tcW w:w="1263" w:type="pct"/>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80" w:type="pct"/>
                  <w:tcBorders>
                    <w:bottom w:val="single" w:color="auto" w:sz="4" w:space="0"/>
                  </w:tcBorders>
                  <w:noWrap w:val="0"/>
                  <w:vAlign w:val="center"/>
                </w:tcPr>
                <w:p>
                  <w:pPr>
                    <w:jc w:val="center"/>
                    <w:rPr>
                      <w:color w:val="auto"/>
                    </w:rPr>
                  </w:pPr>
                  <w:r>
                    <w:rPr>
                      <w:rFonts w:hAnsi="宋体"/>
                      <w:color w:val="auto"/>
                    </w:rPr>
                    <w:t>小计</w:t>
                  </w:r>
                </w:p>
              </w:tc>
              <w:tc>
                <w:tcPr>
                  <w:tcW w:w="914" w:type="pct"/>
                  <w:tcBorders>
                    <w:bottom w:val="single" w:color="auto" w:sz="4" w:space="0"/>
                  </w:tcBorders>
                  <w:noWrap w:val="0"/>
                  <w:vAlign w:val="center"/>
                </w:tcPr>
                <w:p>
                  <w:pPr>
                    <w:jc w:val="center"/>
                    <w:rPr>
                      <w:rFonts w:hint="default" w:eastAsia="宋体"/>
                      <w:color w:val="auto"/>
                      <w:lang w:val="en-US" w:eastAsia="zh-CN"/>
                    </w:rPr>
                  </w:pPr>
                  <w:r>
                    <w:rPr>
                      <w:rFonts w:hint="eastAsia"/>
                      <w:color w:val="auto"/>
                      <w:lang w:val="en-US" w:eastAsia="zh-CN"/>
                    </w:rPr>
                    <w:t>144</w:t>
                  </w:r>
                </w:p>
              </w:tc>
              <w:tc>
                <w:tcPr>
                  <w:tcW w:w="1541" w:type="pct"/>
                  <w:tcBorders>
                    <w:bottom w:val="single" w:color="auto" w:sz="4" w:space="0"/>
                  </w:tcBorders>
                  <w:noWrap w:val="0"/>
                  <w:vAlign w:val="center"/>
                </w:tcPr>
                <w:p>
                  <w:pPr>
                    <w:jc w:val="center"/>
                    <w:rPr>
                      <w:color w:val="auto"/>
                    </w:rPr>
                  </w:pPr>
                  <w:r>
                    <w:rPr>
                      <w:rFonts w:hAnsi="宋体"/>
                      <w:color w:val="auto"/>
                    </w:rPr>
                    <w:t>小计</w:t>
                  </w:r>
                </w:p>
              </w:tc>
              <w:tc>
                <w:tcPr>
                  <w:tcW w:w="1263" w:type="pct"/>
                  <w:tcBorders>
                    <w:bottom w:val="single" w:color="auto" w:sz="4" w:space="0"/>
                  </w:tcBorders>
                  <w:noWrap w:val="0"/>
                  <w:vAlign w:val="center"/>
                </w:tcPr>
                <w:p>
                  <w:pPr>
                    <w:jc w:val="center"/>
                    <w:rPr>
                      <w:rFonts w:hint="default" w:eastAsia="宋体"/>
                      <w:color w:val="auto"/>
                      <w:lang w:val="en-US" w:eastAsia="zh-CN"/>
                    </w:rPr>
                  </w:pPr>
                  <w:r>
                    <w:rPr>
                      <w:rFonts w:hint="eastAsia"/>
                      <w:color w:val="auto"/>
                      <w:lang w:val="en-US" w:eastAsia="zh-CN"/>
                    </w:rPr>
                    <w:t>144</w:t>
                  </w:r>
                </w:p>
              </w:tc>
            </w:tr>
          </w:tbl>
          <w:p>
            <w:pPr>
              <w:jc w:val="left"/>
              <w:rPr>
                <w:rFonts w:hint="eastAsia"/>
                <w:color w:val="auto"/>
                <w:sz w:val="24"/>
              </w:rPr>
            </w:pPr>
            <w:r>
              <w:rPr>
                <w:rFonts w:hint="eastAsia" w:hAnsi="宋体"/>
                <w:color w:val="auto"/>
              </w:rPr>
              <w:t>注：本项目主要固废及收尘全部作为原料回用于生产；经过后章节工程分析，逸散入环境中的粉尘量约为</w:t>
            </w:r>
            <w:r>
              <w:rPr>
                <w:rFonts w:hint="eastAsia" w:hAnsi="宋体"/>
                <w:color w:val="auto"/>
                <w:lang w:val="en-US" w:eastAsia="zh-CN"/>
              </w:rPr>
              <w:t>1.91</w:t>
            </w:r>
            <w:r>
              <w:rPr>
                <w:rFonts w:hint="eastAsia" w:hAnsi="宋体"/>
                <w:color w:val="auto"/>
              </w:rPr>
              <w:t>t/a，相对于物料量太小，在本次物料计算中忽略不计。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十一、总平面布置合理性分析</w:t>
            </w:r>
          </w:p>
          <w:p>
            <w:pPr>
              <w:spacing w:line="360" w:lineRule="auto"/>
              <w:ind w:firstLine="480" w:firstLineChars="200"/>
              <w:rPr>
                <w:rFonts w:hint="eastAsia"/>
                <w:sz w:val="24"/>
              </w:rPr>
            </w:pPr>
            <w:r>
              <w:rPr>
                <w:rFonts w:hint="eastAsia"/>
                <w:sz w:val="24"/>
              </w:rPr>
              <w:t>根据项目总平面布置图，对项目布局合理性分析如下：</w:t>
            </w:r>
          </w:p>
          <w:p>
            <w:pPr>
              <w:spacing w:line="360" w:lineRule="auto"/>
              <w:ind w:firstLine="480" w:firstLineChars="200"/>
              <w:rPr>
                <w:rFonts w:hint="eastAsia"/>
                <w:sz w:val="24"/>
              </w:rPr>
            </w:pPr>
            <w:r>
              <w:rPr>
                <w:rFonts w:hint="eastAsia"/>
                <w:sz w:val="24"/>
              </w:rPr>
              <w:t>总平面布置功能分区明确，主要生产厂房密闭，主要生产设备均采取基础减震和墙体隔声，高噪声的机械设备均位于生产厂房内，可以有效降低噪声对外环境的影响。项目厂房总平面布置合理顺畅、各个功能分区明确。生产区布置比较紧凑、物料流程短，总体布置有利于生产操作和管理；项目厂房出入口位于南面，靠近园区主入口道路，有利于产品及原料的进出；车间能按照生产工序进行立面布局，主要生产单位集中于中部区域，原料直接存放在生产车间，确保物料输送便利，有效提高生产效率。</w:t>
            </w:r>
          </w:p>
          <w:p>
            <w:pPr>
              <w:spacing w:line="360" w:lineRule="auto"/>
              <w:ind w:firstLine="480" w:firstLineChars="200"/>
              <w:rPr>
                <w:rFonts w:hint="eastAsia"/>
                <w:sz w:val="18"/>
              </w:rPr>
            </w:pPr>
            <w:r>
              <w:rPr>
                <w:rFonts w:hint="eastAsia"/>
                <w:sz w:val="24"/>
              </w:rPr>
              <w:t>综上所述，项目总平面布置考虑了建、构筑物布置紧凑性、节能等因素，功能分区明确，总图布置基本合理。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noWrap w:val="0"/>
            <w:vAlign w:val="center"/>
          </w:tcPr>
          <w:p>
            <w:pPr>
              <w:pStyle w:val="34"/>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4"/>
                <w:szCs w:val="24"/>
              </w:rPr>
              <w:t>工艺流程和产排污环节</w:t>
            </w:r>
          </w:p>
        </w:tc>
        <w:tc>
          <w:tcPr>
            <w:tcW w:w="8161" w:type="dxa"/>
            <w:noWrap w:val="0"/>
            <w:vAlign w:val="top"/>
          </w:tcPr>
          <w:p>
            <w:pPr>
              <w:numPr>
                <w:ilvl w:val="0"/>
                <w:numId w:val="0"/>
              </w:numPr>
              <w:adjustRightInd w:val="0"/>
              <w:snapToGrid w:val="0"/>
              <w:spacing w:line="360" w:lineRule="auto"/>
              <w:rPr>
                <w:rFonts w:hint="eastAsia" w:ascii="宋体" w:hAnsi="宋体"/>
                <w:b/>
                <w:bCs w:val="0"/>
                <w:sz w:val="24"/>
                <w:szCs w:val="24"/>
                <w:lang w:eastAsia="zh-CN"/>
              </w:rPr>
            </w:pPr>
            <w:r>
              <w:rPr>
                <w:rFonts w:hint="eastAsia" w:ascii="宋体" w:hAnsi="宋体"/>
                <w:b/>
                <w:bCs w:val="0"/>
                <w:sz w:val="24"/>
                <w:szCs w:val="24"/>
                <w:lang w:eastAsia="zh-CN"/>
              </w:rPr>
              <w:t>一、工艺流程</w:t>
            </w:r>
          </w:p>
          <w:p>
            <w:pPr>
              <w:numPr>
                <w:ilvl w:val="0"/>
                <w:numId w:val="0"/>
              </w:numPr>
              <w:adjustRightInd w:val="0"/>
              <w:snapToGrid w:val="0"/>
              <w:spacing w:line="360" w:lineRule="auto"/>
              <w:ind w:firstLine="482" w:firstLineChars="200"/>
              <w:rPr>
                <w:rFonts w:hint="eastAsia" w:ascii="宋体" w:hAnsi="宋体"/>
                <w:b/>
                <w:bCs w:val="0"/>
                <w:sz w:val="24"/>
                <w:szCs w:val="24"/>
                <w:lang w:val="en-US" w:eastAsia="zh-CN"/>
              </w:rPr>
            </w:pPr>
            <w:r>
              <w:rPr>
                <w:rFonts w:hint="default" w:ascii="Times New Roman" w:hAnsi="Times New Roman" w:cs="Times New Roman"/>
                <w:b/>
                <w:bCs w:val="0"/>
                <w:sz w:val="24"/>
                <w:szCs w:val="24"/>
                <w:lang w:val="en-US" w:eastAsia="zh-CN"/>
              </w:rPr>
              <w:t>1.</w:t>
            </w:r>
            <w:r>
              <w:rPr>
                <w:rFonts w:hint="eastAsia" w:ascii="宋体" w:hAnsi="宋体"/>
                <w:b/>
                <w:bCs w:val="0"/>
                <w:sz w:val="24"/>
                <w:szCs w:val="24"/>
                <w:lang w:val="en-US" w:eastAsia="zh-CN"/>
              </w:rPr>
              <w:t>施工期工艺流程</w:t>
            </w:r>
          </w:p>
          <w:p>
            <w:pPr>
              <w:keepNext w:val="0"/>
              <w:keepLines w:val="0"/>
              <w:widowControl/>
              <w:suppressLineNumbers w:val="0"/>
              <w:spacing w:line="360" w:lineRule="auto"/>
              <w:ind w:firstLine="480" w:firstLineChars="200"/>
              <w:jc w:val="left"/>
              <w:rPr>
                <w:rFonts w:hint="default"/>
                <w:lang w:val="en-US"/>
              </w:rPr>
            </w:pPr>
            <w:r>
              <w:rPr>
                <w:rFonts w:hint="eastAsia" w:ascii="宋体" w:hAnsi="宋体" w:eastAsia="宋体" w:cs="宋体"/>
                <w:color w:val="000000"/>
                <w:kern w:val="0"/>
                <w:sz w:val="24"/>
                <w:szCs w:val="24"/>
                <w:lang w:val="en-US" w:eastAsia="zh-CN" w:bidi="ar"/>
              </w:rPr>
              <w:t>本项目施工期包括：基础工程施工、主体工程及附属工程施工和设备安装调试阶段。施工期时，基础工程、主体工程、设备安装、工程验收等建设工序产生了噪声、扬尘、固体废物、少量污水和废气等污染物，其排放量随工期和施工强度不同而有所变化，其施工工艺流程及产污环节详见</w:t>
            </w:r>
            <w:r>
              <w:rPr>
                <w:rFonts w:hint="eastAsia" w:ascii="宋体" w:hAnsi="宋体" w:cs="宋体"/>
                <w:color w:val="000000"/>
                <w:kern w:val="0"/>
                <w:sz w:val="24"/>
                <w:szCs w:val="24"/>
                <w:lang w:val="en-US" w:eastAsia="zh-CN" w:bidi="ar"/>
              </w:rPr>
              <w:t>图</w:t>
            </w:r>
            <w:r>
              <w:rPr>
                <w:rFonts w:hint="default" w:ascii="Times New Roman" w:hAnsi="Times New Roman" w:cs="Times New Roman"/>
                <w:color w:val="000000"/>
                <w:kern w:val="0"/>
                <w:sz w:val="24"/>
                <w:szCs w:val="24"/>
                <w:lang w:val="en-US" w:eastAsia="zh-CN" w:bidi="ar"/>
              </w:rPr>
              <w:t>2-</w:t>
            </w:r>
            <w:r>
              <w:rPr>
                <w:rFonts w:hint="eastAsia" w:ascii="Times New Roman" w:hAnsi="Times New Roman" w:cs="Times New Roman"/>
                <w:color w:val="000000"/>
                <w:kern w:val="0"/>
                <w:sz w:val="24"/>
                <w:szCs w:val="24"/>
                <w:lang w:val="en-US" w:eastAsia="zh-CN" w:bidi="ar"/>
              </w:rPr>
              <w:t>2。</w:t>
            </w:r>
          </w:p>
          <w:p>
            <w:pPr>
              <w:numPr>
                <w:ilvl w:val="0"/>
                <w:numId w:val="0"/>
              </w:numPr>
              <w:adjustRightInd w:val="0"/>
              <w:snapToGrid w:val="0"/>
              <w:spacing w:line="360" w:lineRule="auto"/>
              <w:jc w:val="center"/>
              <w:rPr>
                <w:rFonts w:hint="default" w:ascii="宋体" w:hAnsi="宋体"/>
                <w:bCs/>
                <w:sz w:val="24"/>
                <w:szCs w:val="24"/>
                <w:lang w:val="en-US" w:eastAsia="zh-CN"/>
              </w:rPr>
            </w:pPr>
            <w:r>
              <w:rPr>
                <w:rFonts w:hint="default" w:ascii="Times New Roman" w:hAnsi="Times New Roman" w:cs="Times New Roman"/>
              </w:rPr>
              <w:object>
                <v:shape id="_x0000_i1030" o:spt="75" type="#_x0000_t75" style="height:146pt;width:382.3pt;" o:ole="t" filled="f" o:preferrelative="t" stroked="f" coordsize="21600,21600">
                  <v:path/>
                  <v:fill on="f" focussize="0,0"/>
                  <v:stroke on="f"/>
                  <v:imagedata r:id="rId15" o:title=""/>
                  <o:lock v:ext="edit" aspectratio="t"/>
                  <w10:wrap type="none"/>
                  <w10:anchorlock/>
                </v:shape>
                <o:OLEObject Type="Embed" ProgID="Visio.Drawing.15" ShapeID="_x0000_i1030" DrawAspect="Content" ObjectID="_1468075725" r:id="rId14">
                  <o:LockedField>false</o:LockedField>
                </o:OLEObject>
              </w:object>
            </w:r>
          </w:p>
          <w:p>
            <w:pPr>
              <w:keepNext w:val="0"/>
              <w:keepLines w:val="0"/>
              <w:widowControl/>
              <w:suppressLineNumbers w:val="0"/>
              <w:spacing w:line="360" w:lineRule="auto"/>
              <w:jc w:val="center"/>
              <w:rPr>
                <w:rFonts w:hint="default" w:ascii="宋体" w:hAnsi="宋体"/>
                <w:b/>
                <w:bCs w:val="0"/>
                <w:sz w:val="24"/>
                <w:szCs w:val="24"/>
                <w:lang w:val="en-US" w:eastAsia="zh-CN"/>
              </w:rPr>
            </w:pPr>
            <w:r>
              <w:rPr>
                <w:rFonts w:hint="eastAsia" w:ascii="宋体" w:hAnsi="宋体"/>
                <w:b/>
                <w:bCs w:val="0"/>
                <w:sz w:val="24"/>
                <w:szCs w:val="24"/>
                <w:lang w:val="en-US" w:eastAsia="zh-CN"/>
              </w:rPr>
              <w:t>图</w:t>
            </w:r>
            <w:r>
              <w:rPr>
                <w:rFonts w:hint="default" w:ascii="Times New Roman" w:hAnsi="Times New Roman" w:cs="Times New Roman"/>
                <w:b/>
                <w:bCs w:val="0"/>
                <w:sz w:val="24"/>
                <w:szCs w:val="24"/>
                <w:lang w:val="en-US" w:eastAsia="zh-CN"/>
              </w:rPr>
              <w:t>2-</w:t>
            </w:r>
            <w:r>
              <w:rPr>
                <w:rFonts w:hint="eastAsia" w:ascii="Times New Roman" w:hAnsi="Times New Roman" w:cs="Times New Roman"/>
                <w:b/>
                <w:bCs w:val="0"/>
                <w:sz w:val="24"/>
                <w:szCs w:val="24"/>
                <w:lang w:val="en-US" w:eastAsia="zh-CN"/>
              </w:rPr>
              <w:t>2</w:t>
            </w:r>
            <w:r>
              <w:rPr>
                <w:rFonts w:hint="eastAsia" w:ascii="宋体" w:hAnsi="宋体" w:eastAsia="宋体" w:cs="宋体"/>
                <w:b/>
                <w:bCs w:val="0"/>
                <w:color w:val="000000"/>
                <w:kern w:val="0"/>
                <w:sz w:val="24"/>
                <w:szCs w:val="24"/>
                <w:lang w:val="en-US" w:eastAsia="zh-CN" w:bidi="ar"/>
              </w:rPr>
              <w:t>施工期工艺流程及产污环节图</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工艺流程简述：</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）基础工程：因前期场地已经平整，故本项目施工期的基础工程建设主要指厂房建设的土石方开挖与钢砼柱梁浇注；</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）主体工程：主体工程主要包括厂房钢架、彩钢复合板的安装；</w:t>
            </w:r>
          </w:p>
          <w:p>
            <w:pPr>
              <w:keepNext w:val="0"/>
              <w:keepLines w:val="0"/>
              <w:widowControl/>
              <w:suppressLineNumbers w:val="0"/>
              <w:spacing w:line="360" w:lineRule="auto"/>
              <w:ind w:left="547" w:leftChars="228" w:firstLine="0" w:firstLineChars="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）装饰工程：装饰工程主要指厂房内电路、电灯等基础设施的建设；（</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）设备安装工程：主要指生产区各类生产设备的安装工程；</w:t>
            </w:r>
          </w:p>
          <w:p>
            <w:pPr>
              <w:keepNext w:val="0"/>
              <w:keepLines w:val="0"/>
              <w:widowControl/>
              <w:suppressLineNumbers w:val="0"/>
              <w:spacing w:line="360" w:lineRule="auto"/>
              <w:ind w:firstLine="480" w:firstLineChars="20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）工程验收：在厂房建设完成后进行工程验收工作，确保建设工程能够保证营运期的安全正常生产使用</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2" w:firstLineChars="200"/>
              <w:jc w:val="left"/>
              <w:rPr>
                <w:rFonts w:hint="eastAsia" w:ascii="宋体" w:hAnsi="宋体" w:cs="宋体"/>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2.</w:t>
            </w:r>
            <w:r>
              <w:rPr>
                <w:rFonts w:hint="eastAsia" w:ascii="宋体" w:hAnsi="宋体" w:cs="宋体"/>
                <w:b/>
                <w:bCs/>
                <w:color w:val="000000"/>
                <w:kern w:val="0"/>
                <w:sz w:val="24"/>
                <w:szCs w:val="24"/>
                <w:lang w:val="en-US" w:eastAsia="zh-CN" w:bidi="ar"/>
              </w:rPr>
              <w:t>运营期工艺流程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kern w:val="0"/>
                <w:sz w:val="24"/>
                <w:szCs w:val="20"/>
                <w:lang w:val="en-US" w:eastAsia="zh-CN" w:bidi="ar-SA"/>
              </w:rPr>
            </w:pPr>
            <w:r>
              <w:rPr>
                <w:rFonts w:hint="default" w:ascii="Times New Roman" w:hAnsi="Times New Roman" w:eastAsia="宋体" w:cs="Times New Roman"/>
                <w:b w:val="0"/>
                <w:bCs w:val="0"/>
                <w:color w:val="auto"/>
                <w:sz w:val="24"/>
                <w:szCs w:val="24"/>
                <w:lang w:val="en-US" w:eastAsia="zh-CN"/>
              </w:rPr>
              <w:t>本项目新建砂石破碎筛分生产线一条、商品混凝土生产线2条，形成年产商品混凝土</w:t>
            </w:r>
            <w:r>
              <w:rPr>
                <w:rFonts w:hint="eastAsia" w:ascii="Times New Roman" w:hAnsi="Times New Roman" w:eastAsia="宋体" w:cs="Times New Roman"/>
                <w:b w:val="0"/>
                <w:bCs w:val="0"/>
                <w:color w:val="auto"/>
                <w:sz w:val="24"/>
                <w:szCs w:val="24"/>
                <w:lang w:val="en-US" w:eastAsia="zh-CN"/>
              </w:rPr>
              <w:t>60</w:t>
            </w:r>
            <w:r>
              <w:rPr>
                <w:rFonts w:hint="default" w:ascii="Times New Roman" w:hAnsi="Times New Roman" w:eastAsia="宋体" w:cs="Times New Roman"/>
                <w:b w:val="0"/>
                <w:bCs w:val="0"/>
                <w:color w:val="auto"/>
                <w:sz w:val="24"/>
                <w:szCs w:val="24"/>
                <w:lang w:val="en-US" w:eastAsia="zh-CN"/>
              </w:rPr>
              <w:t>万m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lang w:val="en-US" w:eastAsia="zh-CN"/>
              </w:rPr>
              <w:t>的规模</w:t>
            </w:r>
            <w:r>
              <w:rPr>
                <w:rFonts w:hint="default" w:ascii="Times New Roman" w:hAnsi="Times New Roman" w:cs="Times New Roman"/>
                <w:sz w:val="24"/>
                <w:szCs w:val="24"/>
                <w:lang w:val="en-US" w:eastAsia="zh-CN"/>
              </w:rPr>
              <w:t>。</w:t>
            </w:r>
            <w:r>
              <w:rPr>
                <w:rFonts w:hint="default" w:ascii="Times New Roman" w:hAnsi="Times New Roman" w:eastAsia="宋体" w:cs="Times New Roman"/>
                <w:bCs/>
                <w:color w:val="auto"/>
                <w:kern w:val="0"/>
                <w:sz w:val="24"/>
                <w:szCs w:val="20"/>
                <w:lang w:val="en-US" w:eastAsia="zh-CN" w:bidi="ar-SA"/>
              </w:rPr>
              <w:t>混凝土是以水泥为胶结料，把水泥、粉煤灰（粉料）</w:t>
            </w:r>
            <w:r>
              <w:rPr>
                <w:rFonts w:hint="eastAsia" w:ascii="Times New Roman" w:hAnsi="Times New Roman" w:eastAsia="宋体" w:cs="Times New Roman"/>
                <w:bCs/>
                <w:color w:val="auto"/>
                <w:kern w:val="0"/>
                <w:sz w:val="24"/>
                <w:szCs w:val="20"/>
                <w:lang w:val="en-US" w:eastAsia="zh-CN" w:bidi="ar-SA"/>
              </w:rPr>
              <w:t>、矿粉</w:t>
            </w:r>
            <w:r>
              <w:rPr>
                <w:rFonts w:hint="default" w:ascii="Times New Roman" w:hAnsi="Times New Roman" w:eastAsia="宋体" w:cs="Times New Roman"/>
                <w:bCs/>
                <w:color w:val="auto"/>
                <w:kern w:val="0"/>
                <w:sz w:val="24"/>
                <w:szCs w:val="20"/>
                <w:lang w:val="en-US" w:eastAsia="zh-CN" w:bidi="ar-SA"/>
              </w:rPr>
              <w:t>（粉料）、砂、石（骨料）和水按一定比例配合，经搅拌机搅拌而成的一种建筑材料。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cs="Times New Roman"/>
                <w:b w:val="0"/>
                <w:bCs/>
                <w:sz w:val="24"/>
                <w:szCs w:val="24"/>
                <w:lang w:val="en-US" w:eastAsia="zh-CN"/>
              </w:rPr>
            </w:pPr>
            <w:r>
              <w:rPr>
                <w:rFonts w:hint="default" w:ascii="Times New Roman" w:hAnsi="Times New Roman" w:cs="Times New Roman"/>
                <w:b/>
                <w:bCs/>
                <w:sz w:val="24"/>
                <w:szCs w:val="24"/>
                <w:lang w:val="en-US" w:eastAsia="zh-CN"/>
              </w:rPr>
              <w:t>1.项目工艺流程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eastAsia="宋体" w:cs="Times New Roman"/>
                <w:b/>
                <w:bCs w:val="0"/>
                <w:color w:val="auto"/>
                <w:kern w:val="0"/>
                <w:sz w:val="24"/>
                <w:szCs w:val="20"/>
                <w:lang w:val="en-US" w:eastAsia="zh-CN" w:bidi="ar-SA"/>
              </w:rPr>
            </w:pPr>
            <w:r>
              <w:rPr>
                <w:rFonts w:hint="default" w:ascii="Times New Roman" w:hAnsi="Times New Roman" w:eastAsia="宋体" w:cs="Times New Roman"/>
                <w:b/>
                <w:bCs w:val="0"/>
                <w:color w:val="auto"/>
                <w:kern w:val="0"/>
                <w:sz w:val="24"/>
                <w:szCs w:val="20"/>
                <w:lang w:val="en-US" w:eastAsia="zh-CN" w:bidi="ar-SA"/>
              </w:rPr>
              <w:t>砂石生产线主要工艺流程及产污环节如下：</w:t>
            </w: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ind w:left="0" w:leftChars="0" w:firstLine="0" w:firstLineChars="0"/>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object>
                <v:shape id="_x0000_i1031" o:spt="75" type="#_x0000_t75" style="height:450pt;width:343.5pt;" o:ole="t" filled="f" o:preferrelative="t" stroked="f" coordsize="21600,21600">
                  <v:path/>
                  <v:fill on="f" focussize="0,0"/>
                  <v:stroke on="f"/>
                  <v:imagedata r:id="rId17" o:title=""/>
                  <o:lock v:ext="edit" aspectratio="f"/>
                  <w10:wrap type="none"/>
                  <w10:anchorlock/>
                </v:shape>
                <o:OLEObject Type="Embed" ProgID="Visio.Drawing.11" ShapeID="_x0000_i1031" DrawAspect="Content" ObjectID="_1468075726" r:id="rId16">
                  <o:LockedField>false</o:LockedField>
                </o:OLEObject>
              </w:object>
            </w:r>
          </w:p>
          <w:p>
            <w:pPr>
              <w:keepNext w:val="0"/>
              <w:keepLines w:val="0"/>
              <w:widowControl/>
              <w:suppressLineNumbers w:val="0"/>
              <w:spacing w:line="360" w:lineRule="auto"/>
              <w:jc w:val="center"/>
              <w:rPr>
                <w:rFonts w:hint="eastAsia"/>
                <w:sz w:val="24"/>
                <w:szCs w:val="24"/>
                <w:lang w:val="en-US" w:eastAsia="zh-CN"/>
              </w:rPr>
            </w:pPr>
            <w:r>
              <w:rPr>
                <w:rFonts w:hint="eastAsia" w:ascii="宋体" w:hAnsi="宋体" w:eastAsia="宋体" w:cs="宋体"/>
                <w:b/>
                <w:bCs/>
                <w:color w:val="000000"/>
                <w:kern w:val="0"/>
                <w:sz w:val="24"/>
                <w:szCs w:val="24"/>
                <w:lang w:val="en-US" w:eastAsia="zh-CN" w:bidi="ar"/>
              </w:rPr>
              <w:t>图</w:t>
            </w: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主要工艺流程及产污环节图</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主要工序简述：</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）原料采购</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原料主要为鹅卵石，由运输车辆运输至项目原生骨料生产线的原料堆场，矿石直径约为</w:t>
            </w:r>
            <w:r>
              <w:rPr>
                <w:rFonts w:hint="default" w:ascii="Times New Roman" w:hAnsi="Times New Roman" w:eastAsia="宋体" w:cs="Times New Roman"/>
                <w:color w:val="000000"/>
                <w:kern w:val="0"/>
                <w:sz w:val="24"/>
                <w:szCs w:val="24"/>
                <w:lang w:val="en-US" w:eastAsia="zh-CN" w:bidi="ar"/>
              </w:rPr>
              <w:t>0mm~560mm</w:t>
            </w:r>
            <w:r>
              <w:rPr>
                <w:rFonts w:hint="eastAsia" w:ascii="宋体" w:hAnsi="宋体" w:eastAsia="宋体" w:cs="宋体"/>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不涉及采砂</w:t>
            </w:r>
            <w:r>
              <w:rPr>
                <w:rFonts w:hint="eastAsia" w:ascii="宋体" w:hAnsi="宋体" w:eastAsia="宋体" w:cs="宋体"/>
                <w:color w:val="000000"/>
                <w:kern w:val="0"/>
                <w:sz w:val="24"/>
                <w:szCs w:val="24"/>
                <w:lang w:val="en-US" w:eastAsia="zh-CN" w:bidi="ar"/>
              </w:rPr>
              <w:t>，生产过程无辅助材料。</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）一破</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通过装载机将连砂石送入给料机料斗内，先经振动筛分机进行初筛，将大粒径块石通过皮带传送至鄂式破碎机对原料进行粗破碎，粗破碎后砂石粒径约为</w:t>
            </w:r>
            <w:r>
              <w:rPr>
                <w:rFonts w:hint="default" w:ascii="Times New Roman" w:hAnsi="Times New Roman" w:eastAsia="宋体" w:cs="Times New Roman"/>
                <w:color w:val="000000"/>
                <w:kern w:val="0"/>
                <w:sz w:val="24"/>
                <w:szCs w:val="24"/>
                <w:lang w:val="en-US" w:eastAsia="zh-CN" w:bidi="ar"/>
              </w:rPr>
              <w:t>20mm~60mm</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360" w:lineRule="auto"/>
              <w:ind w:firstLine="482" w:firstLineChars="200"/>
              <w:jc w:val="left"/>
              <w:rPr>
                <w:sz w:val="24"/>
                <w:szCs w:val="24"/>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）筛分</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000000"/>
                <w:kern w:val="0"/>
                <w:sz w:val="24"/>
                <w:szCs w:val="24"/>
                <w:lang w:val="en-US" w:eastAsia="zh-CN" w:bidi="ar"/>
              </w:rPr>
              <w:t>在振动筛分机的作用下将原料分为粒度＞</w:t>
            </w:r>
            <w:r>
              <w:rPr>
                <w:rFonts w:hint="default" w:ascii="Times New Roman" w:hAnsi="Times New Roman" w:eastAsia="宋体" w:cs="Times New Roman"/>
                <w:color w:val="000000"/>
                <w:kern w:val="0"/>
                <w:sz w:val="24"/>
                <w:szCs w:val="24"/>
                <w:lang w:val="en-US" w:eastAsia="zh-CN" w:bidi="ar"/>
              </w:rPr>
              <w:t>20mm</w:t>
            </w:r>
            <w:r>
              <w:rPr>
                <w:rFonts w:hint="eastAsia" w:ascii="宋体" w:hAnsi="宋体" w:eastAsia="宋体" w:cs="宋体"/>
                <w:color w:val="000000"/>
                <w:kern w:val="0"/>
                <w:sz w:val="24"/>
                <w:szCs w:val="24"/>
                <w:lang w:val="en-US" w:eastAsia="zh-CN" w:bidi="ar"/>
              </w:rPr>
              <w:t>的石料通过皮带传送进入破碎机进一步细碎，粒度＜</w:t>
            </w:r>
            <w:r>
              <w:rPr>
                <w:rFonts w:hint="default" w:ascii="Times New Roman" w:hAnsi="Times New Roman" w:eastAsia="宋体" w:cs="Times New Roman"/>
                <w:color w:val="000000"/>
                <w:kern w:val="0"/>
                <w:sz w:val="24"/>
                <w:szCs w:val="24"/>
                <w:lang w:val="en-US" w:eastAsia="zh-CN" w:bidi="ar"/>
              </w:rPr>
              <w:t>20mm</w:t>
            </w:r>
            <w:r>
              <w:rPr>
                <w:rFonts w:hint="eastAsia" w:ascii="宋体" w:hAnsi="宋体" w:eastAsia="宋体" w:cs="宋体"/>
                <w:color w:val="000000"/>
                <w:kern w:val="0"/>
                <w:sz w:val="24"/>
                <w:szCs w:val="24"/>
                <w:lang w:val="en-US" w:eastAsia="zh-CN" w:bidi="ar"/>
              </w:rPr>
              <w:t>的原料通过皮带传送进入螺旋洗砂机，得到天然</w:t>
            </w:r>
            <w:r>
              <w:rPr>
                <w:rFonts w:hint="eastAsia" w:ascii="宋体" w:hAnsi="宋体" w:eastAsia="宋体" w:cs="宋体"/>
                <w:color w:val="auto"/>
                <w:kern w:val="0"/>
                <w:sz w:val="24"/>
                <w:szCs w:val="24"/>
                <w:lang w:val="en-US" w:eastAsia="zh-CN" w:bidi="ar"/>
              </w:rPr>
              <w:t>砂。</w:t>
            </w:r>
          </w:p>
          <w:p>
            <w:pPr>
              <w:keepNext w:val="0"/>
              <w:keepLines w:val="0"/>
              <w:widowControl/>
              <w:suppressLineNumbers w:val="0"/>
              <w:spacing w:line="360" w:lineRule="auto"/>
              <w:ind w:firstLine="482" w:firstLineChars="200"/>
              <w:jc w:val="left"/>
              <w:rPr>
                <w:color w:val="auto"/>
                <w:sz w:val="24"/>
                <w:szCs w:val="24"/>
              </w:rPr>
            </w:pPr>
            <w:r>
              <w:rPr>
                <w:rFonts w:hint="eastAsia" w:ascii="宋体" w:hAnsi="宋体" w:eastAsia="宋体" w:cs="宋体"/>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4</w:t>
            </w:r>
            <w:r>
              <w:rPr>
                <w:rFonts w:hint="eastAsia" w:ascii="宋体" w:hAnsi="宋体" w:eastAsia="宋体" w:cs="宋体"/>
                <w:b/>
                <w:bCs/>
                <w:color w:val="auto"/>
                <w:kern w:val="0"/>
                <w:sz w:val="24"/>
                <w:szCs w:val="24"/>
                <w:lang w:val="en-US" w:eastAsia="zh-CN" w:bidi="ar"/>
              </w:rPr>
              <w:t>）二破</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粗破碎后的石料再由皮带传送至圆锥破碎机进行圆锥破碎机进行细破碎，细破碎后石料进行筛分机进行筛分。</w:t>
            </w:r>
          </w:p>
          <w:p>
            <w:pPr>
              <w:keepNext w:val="0"/>
              <w:keepLines w:val="0"/>
              <w:widowControl/>
              <w:suppressLineNumbers w:val="0"/>
              <w:spacing w:line="360" w:lineRule="auto"/>
              <w:ind w:firstLine="482" w:firstLineChars="200"/>
              <w:jc w:val="left"/>
              <w:rPr>
                <w:color w:val="auto"/>
                <w:sz w:val="24"/>
                <w:szCs w:val="24"/>
              </w:rPr>
            </w:pPr>
            <w:r>
              <w:rPr>
                <w:rFonts w:hint="eastAsia" w:ascii="宋体" w:hAnsi="宋体" w:eastAsia="宋体" w:cs="宋体"/>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）筛分</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在振动筛的作用下将破碎后的物料分为粒度＞</w:t>
            </w:r>
            <w:r>
              <w:rPr>
                <w:rFonts w:hint="default" w:ascii="Times New Roman" w:hAnsi="Times New Roman" w:eastAsia="宋体" w:cs="Times New Roman"/>
                <w:color w:val="auto"/>
                <w:kern w:val="0"/>
                <w:sz w:val="24"/>
                <w:szCs w:val="24"/>
                <w:lang w:val="en-US" w:eastAsia="zh-CN" w:bidi="ar"/>
              </w:rPr>
              <w:t>40mm</w:t>
            </w:r>
            <w:r>
              <w:rPr>
                <w:rFonts w:hint="eastAsia" w:ascii="宋体" w:hAnsi="宋体" w:eastAsia="宋体" w:cs="宋体"/>
                <w:color w:val="auto"/>
                <w:kern w:val="0"/>
                <w:sz w:val="24"/>
                <w:szCs w:val="24"/>
                <w:lang w:val="en-US" w:eastAsia="zh-CN" w:bidi="ar"/>
              </w:rPr>
              <w:t>的石料通过皮带传送进入料斗，再进入圆锥破碎机进一步细碎，粒度＜</w:t>
            </w:r>
            <w:r>
              <w:rPr>
                <w:rFonts w:hint="default" w:ascii="Times New Roman" w:hAnsi="Times New Roman" w:eastAsia="宋体" w:cs="Times New Roman"/>
                <w:color w:val="auto"/>
                <w:kern w:val="0"/>
                <w:sz w:val="24"/>
                <w:szCs w:val="24"/>
                <w:lang w:val="en-US" w:eastAsia="zh-CN" w:bidi="ar"/>
              </w:rPr>
              <w:t>40mm</w:t>
            </w:r>
            <w:r>
              <w:rPr>
                <w:rFonts w:hint="eastAsia" w:ascii="宋体" w:hAnsi="宋体" w:eastAsia="宋体" w:cs="宋体"/>
                <w:color w:val="auto"/>
                <w:kern w:val="0"/>
                <w:sz w:val="24"/>
                <w:szCs w:val="24"/>
                <w:lang w:val="en-US" w:eastAsia="zh-CN" w:bidi="ar"/>
              </w:rPr>
              <w:t>的石料通过皮带传送进入立式冲击破碎机进行进行破碎。</w:t>
            </w:r>
          </w:p>
          <w:p>
            <w:pPr>
              <w:keepNext w:val="0"/>
              <w:keepLines w:val="0"/>
              <w:widowControl/>
              <w:suppressLineNumbers w:val="0"/>
              <w:spacing w:line="360" w:lineRule="auto"/>
              <w:ind w:firstLine="482" w:firstLineChars="200"/>
              <w:jc w:val="left"/>
              <w:rPr>
                <w:color w:val="auto"/>
                <w:sz w:val="24"/>
                <w:szCs w:val="24"/>
              </w:rPr>
            </w:pPr>
            <w:r>
              <w:rPr>
                <w:rFonts w:hint="eastAsia" w:ascii="宋体" w:hAnsi="宋体" w:eastAsia="宋体" w:cs="宋体"/>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6</w:t>
            </w:r>
            <w:r>
              <w:rPr>
                <w:rFonts w:hint="eastAsia" w:ascii="宋体" w:hAnsi="宋体" w:eastAsia="宋体" w:cs="宋体"/>
                <w:b/>
                <w:bCs/>
                <w:color w:val="auto"/>
                <w:kern w:val="0"/>
                <w:sz w:val="24"/>
                <w:szCs w:val="24"/>
                <w:lang w:val="en-US" w:eastAsia="zh-CN" w:bidi="ar"/>
              </w:rPr>
              <w:t>）三破</w:t>
            </w:r>
          </w:p>
          <w:p>
            <w:pPr>
              <w:keepNext w:val="0"/>
              <w:keepLines w:val="0"/>
              <w:widowControl/>
              <w:suppressLineNumbers w:val="0"/>
              <w:spacing w:line="360" w:lineRule="auto"/>
              <w:ind w:firstLine="480" w:firstLineChars="200"/>
              <w:jc w:val="left"/>
              <w:rPr>
                <w:color w:val="auto"/>
                <w:sz w:val="24"/>
                <w:szCs w:val="24"/>
              </w:rPr>
            </w:pPr>
            <w:r>
              <w:rPr>
                <w:rFonts w:hint="eastAsia" w:ascii="宋体" w:hAnsi="宋体" w:eastAsia="宋体" w:cs="宋体"/>
                <w:color w:val="auto"/>
                <w:kern w:val="0"/>
                <w:sz w:val="24"/>
                <w:szCs w:val="24"/>
                <w:lang w:val="en-US" w:eastAsia="zh-CN" w:bidi="ar"/>
              </w:rPr>
              <w:t>细破碎后的石料再由皮带传送至立式冲击破碎机进行进行破碎，破碎后石料进行筛分机进行筛分。</w:t>
            </w:r>
          </w:p>
          <w:p>
            <w:pPr>
              <w:keepNext w:val="0"/>
              <w:keepLines w:val="0"/>
              <w:widowControl/>
              <w:suppressLineNumbers w:val="0"/>
              <w:spacing w:line="360" w:lineRule="auto"/>
              <w:ind w:firstLine="482" w:firstLineChars="200"/>
              <w:jc w:val="left"/>
              <w:rPr>
                <w:color w:val="auto"/>
                <w:sz w:val="24"/>
                <w:szCs w:val="24"/>
              </w:rPr>
            </w:pPr>
            <w:r>
              <w:rPr>
                <w:rFonts w:hint="eastAsia" w:ascii="宋体" w:hAnsi="宋体" w:eastAsia="宋体" w:cs="宋体"/>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7</w:t>
            </w:r>
            <w:r>
              <w:rPr>
                <w:rFonts w:hint="eastAsia" w:ascii="宋体" w:hAnsi="宋体" w:eastAsia="宋体" w:cs="宋体"/>
                <w:b/>
                <w:bCs/>
                <w:color w:val="auto"/>
                <w:kern w:val="0"/>
                <w:sz w:val="24"/>
                <w:szCs w:val="24"/>
                <w:lang w:val="en-US" w:eastAsia="zh-CN" w:bidi="ar"/>
              </w:rPr>
              <w:t>）筛分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4"/>
                <w:szCs w:val="24"/>
                <w:lang w:val="en-US" w:eastAsia="zh-CN" w:bidi="ar"/>
              </w:rPr>
              <w:t>在振动筛的作用下将破碎后的物料分为粒度</w:t>
            </w:r>
            <w:r>
              <w:rPr>
                <w:rFonts w:hint="default" w:ascii="Times New Roman" w:hAnsi="Times New Roman" w:eastAsia="宋体" w:cs="Times New Roman"/>
                <w:color w:val="auto"/>
                <w:kern w:val="0"/>
                <w:sz w:val="24"/>
                <w:szCs w:val="24"/>
                <w:lang w:val="en-US" w:eastAsia="zh-CN" w:bidi="ar"/>
              </w:rPr>
              <w:t>0~5mm</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5~10mm</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10</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30mm</w:t>
            </w:r>
            <w:r>
              <w:rPr>
                <w:rFonts w:hint="eastAsia" w:ascii="宋体" w:hAnsi="宋体" w:eastAsia="宋体" w:cs="宋体"/>
                <w:color w:val="auto"/>
                <w:kern w:val="0"/>
                <w:sz w:val="24"/>
                <w:szCs w:val="24"/>
                <w:lang w:val="en-US" w:eastAsia="zh-CN" w:bidi="ar"/>
              </w:rPr>
              <w:t>，进入各自的成品仓库。</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sz w:val="24"/>
                <w:szCs w:val="24"/>
                <w:lang w:val="en-US" w:eastAsia="zh-CN"/>
              </w:rPr>
            </w:pPr>
            <w:r>
              <w:rPr>
                <w:rFonts w:hint="default" w:ascii="Times New Roman" w:hAnsi="Times New Roman" w:eastAsia="宋体" w:cs="Times New Roman"/>
                <w:b/>
                <w:bCs w:val="0"/>
                <w:color w:val="auto"/>
                <w:kern w:val="0"/>
                <w:sz w:val="24"/>
                <w:szCs w:val="20"/>
                <w:lang w:val="en-US" w:eastAsia="zh-CN" w:bidi="ar-SA"/>
              </w:rPr>
              <w:t>商品混凝土生产线主要工艺流程及产污环节如下：</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sz w:val="24"/>
                <w:szCs w:val="24"/>
                <w:lang w:val="en-US" w:eastAsia="zh-CN"/>
              </w:rPr>
            </w:pPr>
            <w:r>
              <w:rPr>
                <w:sz w:val="24"/>
              </w:rPr>
              <mc:AlternateContent>
                <mc:Choice Requires="wps">
                  <w:drawing>
                    <wp:anchor distT="0" distB="0" distL="114300" distR="114300" simplePos="0" relativeHeight="251714560" behindDoc="0" locked="0" layoutInCell="1" allowOverlap="1">
                      <wp:simplePos x="0" y="0"/>
                      <wp:positionH relativeFrom="column">
                        <wp:posOffset>1896110</wp:posOffset>
                      </wp:positionH>
                      <wp:positionV relativeFrom="paragraph">
                        <wp:posOffset>301625</wp:posOffset>
                      </wp:positionV>
                      <wp:extent cx="1479550" cy="250825"/>
                      <wp:effectExtent l="4445" t="5080" r="20955" b="10795"/>
                      <wp:wrapNone/>
                      <wp:docPr id="59" name="文本框 59"/>
                      <wp:cNvGraphicFramePr/>
                      <a:graphic xmlns:a="http://schemas.openxmlformats.org/drawingml/2006/main">
                        <a:graphicData uri="http://schemas.microsoft.com/office/word/2010/wordprocessingShape">
                          <wps:wsp>
                            <wps:cNvSpPr txBox="1"/>
                            <wps:spPr>
                              <a:xfrm>
                                <a:off x="0" y="0"/>
                                <a:ext cx="1479550" cy="2508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宋体"/>
                                      <w:b w:val="0"/>
                                      <w:bCs w:val="0"/>
                                      <w:lang w:val="en-US" w:eastAsia="zh-CN"/>
                                    </w:rPr>
                                  </w:pPr>
                                  <w:r>
                                    <w:rPr>
                                      <w:rFonts w:hint="eastAsia"/>
                                      <w:b w:val="0"/>
                                      <w:bCs w:val="0"/>
                                      <w:lang w:val="en-US" w:eastAsia="zh-CN"/>
                                    </w:rPr>
                                    <w:t>水泥、粉煤灰、矿粉</w:t>
                                  </w:r>
                                </w:p>
                              </w:txbxContent>
                            </wps:txbx>
                            <wps:bodyPr upright="0">
                              <a:spAutoFit/>
                            </wps:bodyPr>
                          </wps:wsp>
                        </a:graphicData>
                      </a:graphic>
                    </wp:anchor>
                  </w:drawing>
                </mc:Choice>
                <mc:Fallback>
                  <w:pict>
                    <v:shape id="_x0000_s1026" o:spid="_x0000_s1026" o:spt="202" type="#_x0000_t202" style="position:absolute;left:0pt;margin-left:149.3pt;margin-top:23.75pt;height:19.75pt;width:116.5pt;z-index:251714560;mso-width-relative:page;mso-height-relative:page;" fillcolor="#FFFFFF" filled="t" stroked="t" coordsize="21600,21600" o:gfxdata="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q/jn2QAAAAkBAAAPAAAAAAAA&#10;AAEAIAAAACIAAABkcnMvZG93bnJldi54bWxQSwECFAAUAAAACACHTuJA3EQcGhECAABSBAAADgAA&#10;AAAAAAABACAAAAAoAQAAZHJzL2Uyb0RvYy54bWxQSwUGAAAAAAYABgBZAQAAqwUAAAAA&#10;">
                      <v:path/>
                      <v:fill on="t" focussize="0,0"/>
                      <v:stroke color="#FFFFFF"/>
                      <v:imagedata o:title=""/>
                      <o:lock v:ext="edit" aspectratio="f"/>
                      <v:textbox style="mso-fit-shape-to-text:t;">
                        <w:txbxContent>
                          <w:p>
                            <w:pPr>
                              <w:rPr>
                                <w:rFonts w:hint="default" w:eastAsia="宋体"/>
                                <w:b w:val="0"/>
                                <w:bCs w:val="0"/>
                                <w:lang w:val="en-US" w:eastAsia="zh-CN"/>
                              </w:rPr>
                            </w:pPr>
                            <w:r>
                              <w:rPr>
                                <w:rFonts w:hint="eastAsia"/>
                                <w:b w:val="0"/>
                                <w:bCs w:val="0"/>
                                <w:lang w:val="en-US" w:eastAsia="zh-CN"/>
                              </w:rPr>
                              <w:t>水泥、粉煤灰、矿粉</w:t>
                            </w:r>
                          </w:p>
                        </w:txbxContent>
                      </v:textbox>
                    </v:shape>
                  </w:pict>
                </mc:Fallback>
              </mc:AlternateContent>
            </w:r>
            <w:r>
              <w:rPr>
                <w:rFonts w:hint="default" w:ascii="Times New Roman" w:hAnsi="Times New Roman" w:cs="Times New Roman"/>
                <w:b/>
                <w:bCs/>
                <w:sz w:val="24"/>
                <w:szCs w:val="24"/>
                <w:lang w:val="en-US" w:eastAsia="zh-CN"/>
              </w:rPr>
              <w:drawing>
                <wp:inline distT="0" distB="0" distL="114300" distR="114300">
                  <wp:extent cx="5271135" cy="6776085"/>
                  <wp:effectExtent l="0" t="0" r="5715" b="5715"/>
                  <wp:docPr id="63"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descr="图片2"/>
                          <pic:cNvPicPr>
                            <a:picLocks noChangeAspect="1"/>
                          </pic:cNvPicPr>
                        </pic:nvPicPr>
                        <pic:blipFill>
                          <a:blip r:embed="rId18"/>
                          <a:stretch>
                            <a:fillRect/>
                          </a:stretch>
                        </pic:blipFill>
                        <pic:spPr>
                          <a:xfrm>
                            <a:off x="0" y="0"/>
                            <a:ext cx="5271135" cy="67760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图</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rPr>
              <w:t xml:space="preserve">  混凝土工艺流程及产污环节</w:t>
            </w:r>
          </w:p>
          <w:p>
            <w:pPr>
              <w:spacing w:line="360" w:lineRule="auto"/>
              <w:rPr>
                <w:rFonts w:hint="default" w:ascii="Times New Roman" w:hAnsi="Times New Roman" w:cs="Times New Roman"/>
                <w:b/>
                <w:sz w:val="24"/>
                <w:szCs w:val="24"/>
              </w:rPr>
            </w:pPr>
            <w:r>
              <w:rPr>
                <w:rFonts w:hint="default" w:ascii="Times New Roman" w:hAnsi="Times New Roman" w:cs="Times New Roman"/>
                <w:b/>
                <w:sz w:val="24"/>
                <w:szCs w:val="24"/>
              </w:rPr>
              <w:t>主要工序简述：</w:t>
            </w:r>
          </w:p>
          <w:p>
            <w:pPr>
              <w:spacing w:line="360" w:lineRule="auto"/>
              <w:ind w:firstLine="361" w:firstLineChars="150"/>
              <w:rPr>
                <w:rFonts w:hint="default" w:ascii="Times New Roman" w:hAnsi="Times New Roman" w:cs="Times New Roman"/>
              </w:rPr>
            </w:pPr>
            <w:r>
              <w:rPr>
                <w:rFonts w:hint="default" w:ascii="Times New Roman" w:hAnsi="Times New Roman" w:cs="Times New Roman"/>
                <w:b/>
                <w:sz w:val="24"/>
                <w:szCs w:val="24"/>
              </w:rPr>
              <w:t>（1）原料运输及储存方式</w:t>
            </w:r>
          </w:p>
          <w:p>
            <w:pPr>
              <w:spacing w:line="360" w:lineRule="auto"/>
              <w:ind w:firstLine="480"/>
              <w:rPr>
                <w:rFonts w:hint="default" w:ascii="Times New Roman" w:hAnsi="Times New Roman" w:cs="Times New Roman"/>
                <w:b/>
                <w:bCs/>
                <w:sz w:val="24"/>
                <w:szCs w:val="24"/>
              </w:rPr>
            </w:pPr>
            <w:r>
              <w:rPr>
                <w:rFonts w:hint="default" w:ascii="Times New Roman" w:hAnsi="Times New Roman" w:cs="Times New Roman"/>
                <w:sz w:val="24"/>
                <w:szCs w:val="24"/>
              </w:rPr>
              <w:t>公司生产商品混凝土的原材料主要为砂、石、水泥</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粉煤灰</w:t>
            </w:r>
            <w:r>
              <w:rPr>
                <w:rFonts w:hint="eastAsia" w:ascii="Times New Roman" w:hAnsi="Times New Roman" w:cs="Times New Roman"/>
                <w:sz w:val="24"/>
                <w:szCs w:val="24"/>
                <w:lang w:val="en-US" w:eastAsia="zh-CN"/>
              </w:rPr>
              <w:t>、矿粉</w:t>
            </w:r>
            <w:r>
              <w:rPr>
                <w:rFonts w:hint="default" w:ascii="Times New Roman" w:hAnsi="Times New Roman" w:cs="Times New Roman"/>
                <w:sz w:val="24"/>
                <w:szCs w:val="24"/>
              </w:rPr>
              <w:t>、外加剂。</w:t>
            </w:r>
            <w:r>
              <w:rPr>
                <w:rFonts w:hint="default" w:ascii="Times New Roman" w:hAnsi="Times New Roman" w:cs="Times New Roman"/>
                <w:b/>
                <w:bCs/>
                <w:sz w:val="24"/>
                <w:szCs w:val="24"/>
              </w:rPr>
              <w:t>砂、石由厂区</w:t>
            </w:r>
            <w:r>
              <w:rPr>
                <w:rFonts w:hint="default" w:ascii="Times New Roman" w:hAnsi="Times New Roman" w:cs="Times New Roman"/>
                <w:b/>
                <w:bCs/>
                <w:sz w:val="24"/>
                <w:szCs w:val="24"/>
                <w:lang w:val="en-US" w:eastAsia="zh-CN"/>
              </w:rPr>
              <w:t>破碎</w:t>
            </w:r>
            <w:r>
              <w:rPr>
                <w:rFonts w:hint="default" w:ascii="Times New Roman" w:hAnsi="Times New Roman" w:cs="Times New Roman"/>
                <w:b/>
                <w:bCs/>
                <w:sz w:val="24"/>
                <w:szCs w:val="24"/>
              </w:rPr>
              <w:t>加工生产线生产自用。</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砂石料</w:t>
            </w:r>
            <w:r>
              <w:rPr>
                <w:rFonts w:hint="default" w:ascii="Times New Roman" w:hAnsi="Times New Roman" w:cs="Times New Roman"/>
                <w:sz w:val="24"/>
                <w:szCs w:val="24"/>
                <w:lang w:val="en-US" w:eastAsia="zh-CN"/>
              </w:rPr>
              <w:t>由皮带</w:t>
            </w:r>
            <w:r>
              <w:rPr>
                <w:rFonts w:hint="default" w:ascii="Times New Roman" w:hAnsi="Times New Roman" w:cs="Times New Roman"/>
                <w:sz w:val="24"/>
                <w:szCs w:val="24"/>
              </w:rPr>
              <w:t>运至项目砂石料仓，水泥</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粉煤灰</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矿粉、</w:t>
            </w:r>
            <w:r>
              <w:rPr>
                <w:rFonts w:hint="default" w:ascii="Times New Roman" w:hAnsi="Times New Roman" w:cs="Times New Roman"/>
                <w:sz w:val="24"/>
                <w:szCs w:val="24"/>
              </w:rPr>
              <w:t>外加剂采用密闭的罐车运输到厂区，用输送管将罐车的出料口与原料罐的进料口连接，采用压缩空气将罐车中的料输送到原料筒仓中储存。</w:t>
            </w:r>
          </w:p>
          <w:p>
            <w:pPr>
              <w:spacing w:line="360" w:lineRule="auto"/>
              <w:ind w:firstLine="361" w:firstLineChars="150"/>
              <w:rPr>
                <w:rFonts w:hint="default" w:ascii="Times New Roman" w:hAnsi="Times New Roman" w:cs="Times New Roman"/>
                <w:b/>
                <w:sz w:val="24"/>
                <w:szCs w:val="24"/>
              </w:rPr>
            </w:pPr>
            <w:r>
              <w:rPr>
                <w:rFonts w:hint="default" w:ascii="Times New Roman" w:hAnsi="Times New Roman" w:cs="Times New Roman"/>
                <w:b/>
                <w:sz w:val="24"/>
                <w:szCs w:val="24"/>
              </w:rPr>
              <w:t>（2）配料比的出具</w:t>
            </w:r>
          </w:p>
          <w:p>
            <w:pPr>
              <w:spacing w:line="360" w:lineRule="auto"/>
              <w:ind w:firstLine="480"/>
              <w:rPr>
                <w:rFonts w:hint="default" w:ascii="Times New Roman" w:hAnsi="Times New Roman" w:cs="Times New Roman"/>
                <w:b/>
                <w:sz w:val="24"/>
                <w:szCs w:val="24"/>
              </w:rPr>
            </w:pPr>
            <w:r>
              <w:rPr>
                <w:rFonts w:hint="default" w:ascii="Times New Roman" w:hAnsi="Times New Roman" w:cs="Times New Roman"/>
                <w:sz w:val="24"/>
                <w:szCs w:val="24"/>
              </w:rPr>
              <w:t>取少量各原料拿入实验室，进行材料验收实验，主要确定粗细骨料的含水率，然后进行试配，最后按相应理论配合比及含水率开出配料单。本项目实验室用于混凝土性能和强度等指标物理检验，</w:t>
            </w:r>
            <w:r>
              <w:rPr>
                <w:rFonts w:hint="default" w:ascii="Times New Roman" w:hAnsi="Times New Roman" w:cs="Times New Roman"/>
                <w:b/>
                <w:sz w:val="24"/>
                <w:szCs w:val="24"/>
              </w:rPr>
              <w:t>不涉及化学检验</w:t>
            </w:r>
            <w:r>
              <w:rPr>
                <w:rFonts w:hint="default" w:ascii="Times New Roman" w:hAnsi="Times New Roman" w:cs="Times New Roman"/>
                <w:sz w:val="24"/>
                <w:szCs w:val="24"/>
              </w:rPr>
              <w:t>。在开盘前对原材料规格品牌是否相符、计量设备是否校对、搅拌站设备是否正常进行检查，检查完毕后开盘。</w:t>
            </w:r>
          </w:p>
          <w:p>
            <w:pPr>
              <w:spacing w:line="360" w:lineRule="auto"/>
              <w:ind w:firstLine="361" w:firstLineChars="150"/>
              <w:rPr>
                <w:rFonts w:hint="default" w:ascii="Times New Roman" w:hAnsi="Times New Roman" w:cs="Times New Roman"/>
                <w:b/>
                <w:sz w:val="24"/>
                <w:szCs w:val="24"/>
              </w:rPr>
            </w:pPr>
            <w:r>
              <w:rPr>
                <w:rFonts w:hint="default" w:ascii="Times New Roman" w:hAnsi="Times New Roman" w:cs="Times New Roman"/>
                <w:b/>
                <w:sz w:val="24"/>
                <w:szCs w:val="24"/>
              </w:rPr>
              <w:t>（3）生产时工艺流程</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生产时首先将原材料砂、石分别用密闭输送带运送至搅拌楼的进料口，砂、石从进料口处分别进入砂仓和石仓；水泥、粉煤灰</w:t>
            </w:r>
            <w:r>
              <w:rPr>
                <w:rFonts w:hint="default" w:ascii="Times New Roman" w:hAnsi="Times New Roman" w:cs="Times New Roman"/>
                <w:sz w:val="24"/>
                <w:szCs w:val="24"/>
                <w:lang w:eastAsia="zh-CN"/>
              </w:rPr>
              <w:t>、</w:t>
            </w:r>
            <w:r>
              <w:rPr>
                <w:rFonts w:hint="eastAsia" w:ascii="Times New Roman" w:hAnsi="Times New Roman" w:cs="Times New Roman"/>
                <w:sz w:val="24"/>
                <w:szCs w:val="24"/>
                <w:lang w:val="en-US" w:eastAsia="zh-CN"/>
              </w:rPr>
              <w:t>矿粉、</w:t>
            </w:r>
            <w:r>
              <w:rPr>
                <w:rFonts w:hint="default" w:ascii="Times New Roman" w:hAnsi="Times New Roman" w:cs="Times New Roman"/>
                <w:sz w:val="24"/>
                <w:szCs w:val="24"/>
              </w:rPr>
              <w:t>外加剂则事先以压缩空气吹入筒仓中（仓顶配有脉冲除尘器），辅以全封闭螺旋输送机供料；在底架处内设水箱，搅拌用水采用压力供水。再通过微机控制系统根据选定的配方对各种原材料进行计量，并控制各步操作，配料过程采用电脑控制，从而保证混凝土的品质。然后把经自动计量、配料后的各种原材料输送至搅拌机混合搅拌，搅拌机采用自动盖料，密封搅拌、湿法作业。最后由专用混凝土搅拌运输车将生产的商品混凝土送到各建筑工地。</w:t>
            </w:r>
          </w:p>
          <w:p>
            <w:pPr>
              <w:spacing w:line="360" w:lineRule="auto"/>
              <w:ind w:firstLine="361" w:firstLineChars="150"/>
              <w:rPr>
                <w:rFonts w:hint="default" w:ascii="Times New Roman" w:hAnsi="Times New Roman" w:cs="Times New Roman"/>
                <w:b/>
                <w:sz w:val="24"/>
                <w:szCs w:val="24"/>
              </w:rPr>
            </w:pPr>
            <w:r>
              <w:rPr>
                <w:rFonts w:hint="default" w:ascii="Times New Roman" w:hAnsi="Times New Roman" w:cs="Times New Roman"/>
                <w:b/>
                <w:sz w:val="24"/>
                <w:szCs w:val="24"/>
              </w:rPr>
              <w:t>散落混凝土的回用</w:t>
            </w:r>
          </w:p>
          <w:p>
            <w:pPr>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搅拌主机卸料过程中产生的混凝土通过铲车收集，返回至砂石仓库内回用。</w:t>
            </w:r>
          </w:p>
          <w:p>
            <w:pPr>
              <w:spacing w:line="360" w:lineRule="auto"/>
              <w:ind w:firstLine="361" w:firstLineChars="150"/>
              <w:rPr>
                <w:rFonts w:hint="default" w:ascii="Times New Roman" w:hAnsi="Times New Roman" w:cs="Times New Roman"/>
                <w:b/>
                <w:sz w:val="24"/>
                <w:szCs w:val="24"/>
              </w:rPr>
            </w:pPr>
            <w:r>
              <w:rPr>
                <w:rFonts w:hint="default" w:ascii="Times New Roman" w:hAnsi="Times New Roman" w:cs="Times New Roman"/>
                <w:b/>
                <w:sz w:val="24"/>
                <w:szCs w:val="24"/>
              </w:rPr>
              <w:t>运输车辆的清洗</w:t>
            </w:r>
          </w:p>
          <w:p>
            <w:pPr>
              <w:adjustRightInd w:val="0"/>
              <w:snapToGrid w:val="0"/>
              <w:spacing w:line="360" w:lineRule="auto"/>
              <w:ind w:firstLine="480" w:firstLineChars="200"/>
              <w:rPr>
                <w:b/>
                <w:bCs/>
                <w:szCs w:val="21"/>
              </w:rPr>
            </w:pPr>
            <w:r>
              <w:rPr>
                <w:rFonts w:hint="default" w:ascii="Times New Roman" w:hAnsi="Times New Roman" w:cs="Times New Roman"/>
                <w:sz w:val="24"/>
                <w:szCs w:val="24"/>
              </w:rPr>
              <w:t>运输原料、混凝土进入厂区卸料、装料完成出厂前，必须对其车胎、车身进行清洗，防止车胎、车身携带的砂石、混凝土在运输过程中对环境产生二次污染。清洗后的废水经沉淀后回用于生产过程中，不外排。</w:t>
            </w:r>
          </w:p>
          <w:p>
            <w:pPr>
              <w:numPr>
                <w:ilvl w:val="0"/>
                <w:numId w:val="0"/>
              </w:numPr>
              <w:adjustRightInd w:val="0"/>
              <w:snapToGrid w:val="0"/>
              <w:spacing w:line="360" w:lineRule="auto"/>
              <w:rPr>
                <w:rFonts w:hint="eastAsia" w:ascii="宋体" w:hAnsi="宋体"/>
                <w:b/>
                <w:bCs w:val="0"/>
                <w:sz w:val="24"/>
                <w:szCs w:val="24"/>
                <w:lang w:val="en-US" w:eastAsia="zh-CN"/>
              </w:rPr>
            </w:pPr>
            <w:r>
              <w:rPr>
                <w:rFonts w:hint="eastAsia" w:ascii="宋体" w:hAnsi="宋体"/>
                <w:b/>
                <w:bCs w:val="0"/>
                <w:sz w:val="24"/>
                <w:szCs w:val="24"/>
                <w:lang w:val="en-US" w:eastAsia="zh-CN"/>
              </w:rPr>
              <w:t>二、主要污染工序</w:t>
            </w:r>
          </w:p>
          <w:p>
            <w:pPr>
              <w:numPr>
                <w:ilvl w:val="0"/>
                <w:numId w:val="0"/>
              </w:numPr>
              <w:adjustRightInd w:val="0"/>
              <w:snapToGrid w:val="0"/>
              <w:spacing w:line="360" w:lineRule="auto"/>
              <w:ind w:firstLine="482" w:firstLineChars="200"/>
              <w:rPr>
                <w:rFonts w:hint="eastAsia" w:ascii="宋体" w:hAnsi="宋体"/>
                <w:b/>
                <w:bCs w:val="0"/>
                <w:sz w:val="24"/>
                <w:szCs w:val="24"/>
                <w:lang w:val="en-US" w:eastAsia="zh-CN"/>
              </w:rPr>
            </w:pPr>
            <w:r>
              <w:rPr>
                <w:rFonts w:hint="default" w:ascii="Times New Roman" w:hAnsi="Times New Roman" w:cs="Times New Roman"/>
                <w:b/>
                <w:bCs w:val="0"/>
                <w:sz w:val="24"/>
                <w:szCs w:val="24"/>
                <w:lang w:val="en-US" w:eastAsia="zh-CN"/>
              </w:rPr>
              <w:t>1.</w:t>
            </w:r>
            <w:r>
              <w:rPr>
                <w:rFonts w:hint="eastAsia" w:ascii="宋体" w:hAnsi="宋体"/>
                <w:b/>
                <w:bCs w:val="0"/>
                <w:sz w:val="24"/>
                <w:szCs w:val="24"/>
                <w:lang w:val="en-US" w:eastAsia="zh-CN"/>
              </w:rPr>
              <w:t>施工期主要污染工序</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）废气：主要为施工过程中产生的扬尘</w:t>
            </w:r>
            <w:r>
              <w:rPr>
                <w:rFonts w:hint="eastAsia" w:ascii="宋体" w:hAnsi="宋体" w:cs="宋体"/>
                <w:color w:val="000000"/>
                <w:kern w:val="0"/>
                <w:sz w:val="24"/>
                <w:szCs w:val="24"/>
                <w:lang w:val="en-US" w:eastAsia="zh-CN" w:bidi="ar"/>
              </w:rPr>
              <w:t>、机械废气和</w:t>
            </w:r>
            <w:r>
              <w:rPr>
                <w:rFonts w:hint="eastAsia" w:ascii="宋体" w:hAnsi="宋体" w:eastAsia="宋体" w:cs="宋体"/>
                <w:color w:val="000000"/>
                <w:kern w:val="0"/>
                <w:sz w:val="24"/>
                <w:szCs w:val="24"/>
                <w:lang w:val="en-US" w:eastAsia="zh-CN" w:bidi="ar"/>
              </w:rPr>
              <w:t>汽车尾气；</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）废水：主要为施工工人产生的生活污水和施工废水；</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）噪声：在基础工程、主体工程、装饰工程与设备安装过程中产生的施工噪声；</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w:t>
            </w:r>
            <w:r>
              <w:rPr>
                <w:rFonts w:hint="eastAsia"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）固体废物：主要为工程建设与装饰工程建设过程中产生的建筑垃圾，如多余的彩钢复合板材料与施工人员生活垃圾等</w:t>
            </w:r>
            <w:r>
              <w:rPr>
                <w:rFonts w:hint="eastAsia" w:ascii="宋体" w:hAnsi="宋体" w:cs="宋体"/>
                <w:color w:val="000000"/>
                <w:kern w:val="0"/>
                <w:sz w:val="24"/>
                <w:szCs w:val="24"/>
                <w:lang w:val="en-US" w:eastAsia="zh-CN" w:bidi="ar"/>
              </w:rPr>
              <w:t>。</w:t>
            </w:r>
          </w:p>
          <w:p>
            <w:pPr>
              <w:numPr>
                <w:ilvl w:val="0"/>
                <w:numId w:val="0"/>
              </w:numPr>
              <w:adjustRightInd w:val="0"/>
              <w:snapToGrid w:val="0"/>
              <w:spacing w:line="360" w:lineRule="auto"/>
              <w:ind w:firstLine="482" w:firstLineChars="200"/>
              <w:rPr>
                <w:rFonts w:hint="default" w:ascii="宋体" w:hAnsi="宋体"/>
                <w:b/>
                <w:bCs w:val="0"/>
                <w:sz w:val="24"/>
                <w:szCs w:val="24"/>
                <w:lang w:val="en-US" w:eastAsia="zh-CN"/>
              </w:rPr>
            </w:pPr>
            <w:r>
              <w:rPr>
                <w:rFonts w:hint="default" w:ascii="Times New Roman" w:hAnsi="Times New Roman" w:cs="Times New Roman"/>
                <w:b/>
                <w:bCs w:val="0"/>
                <w:sz w:val="24"/>
                <w:szCs w:val="24"/>
                <w:lang w:val="en-US" w:eastAsia="zh-CN"/>
              </w:rPr>
              <w:t>2.</w:t>
            </w:r>
            <w:r>
              <w:rPr>
                <w:rFonts w:hint="eastAsia" w:ascii="宋体" w:hAnsi="宋体"/>
                <w:b/>
                <w:bCs w:val="0"/>
                <w:sz w:val="24"/>
                <w:szCs w:val="24"/>
                <w:lang w:val="en-US" w:eastAsia="zh-CN"/>
              </w:rPr>
              <w:t>运营期主要污染工序</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（1）废气：主要为筒仓仓顶呼吸粉尘、搅拌粉尘、原料砂石破碎、筛分过程中产生的粉尘、运输车辆的动力起尘、砂石堆料场起尘、铲车投料粉尘、物料输送粉尘。</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（2）废水：主要为项目运营期工作人员产生的生活污水，搅拌机清洗废水、运输车辆冲洗废水、生产区地面冲洗废水、初期雨水和砂石生产线的洗砂废水；</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（3）噪声：本项目营运期噪声主要来自给料机、颚式破碎机、振动筛、圆锥机、冲击式破碎机、搅拌机等设备运行噪声以及运输车辆行驶过程中产生的噪声；</w:t>
            </w:r>
          </w:p>
          <w:p>
            <w:pPr>
              <w:keepNext w:val="0"/>
              <w:keepLines w:val="0"/>
              <w:widowControl/>
              <w:suppressLineNumbers w:val="0"/>
              <w:spacing w:line="360" w:lineRule="auto"/>
              <w:ind w:firstLine="480" w:firstLineChars="200"/>
              <w:jc w:val="left"/>
              <w:rPr>
                <w:bCs/>
                <w:szCs w:val="21"/>
              </w:rPr>
            </w:pPr>
            <w:r>
              <w:rPr>
                <w:rFonts w:hint="eastAsia" w:ascii="宋体" w:hAnsi="宋体" w:eastAsia="宋体" w:cs="宋体"/>
                <w:color w:val="000000"/>
                <w:kern w:val="0"/>
                <w:sz w:val="24"/>
                <w:szCs w:val="24"/>
                <w:lang w:val="en-US" w:eastAsia="zh-CN" w:bidi="ar"/>
              </w:rPr>
              <w:t>（4）固废：主要包括一般固体废物与危险废物，一般固体废物主要指生产过程中产生的除尘器收尘、职工生活垃圾、、污水预处理池污泥、餐厨垃圾、隔油池产生的油渣、沉淀池污泥，危险废物主要指废机油。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noWrap w:val="0"/>
            <w:vAlign w:val="center"/>
          </w:tcPr>
          <w:p>
            <w:pPr>
              <w:pStyle w:val="34"/>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4"/>
                <w:szCs w:val="24"/>
              </w:rPr>
              <w:t>与项目有关的原有环境污染问题</w:t>
            </w:r>
          </w:p>
        </w:tc>
        <w:tc>
          <w:tcPr>
            <w:tcW w:w="8161" w:type="dxa"/>
            <w:noWrap w:val="0"/>
            <w:vAlign w:val="top"/>
          </w:tcPr>
          <w:p>
            <w:pPr>
              <w:spacing w:line="360" w:lineRule="auto"/>
              <w:ind w:firstLine="480" w:firstLineChars="200"/>
              <w:rPr>
                <w:rFonts w:hint="eastAsia"/>
                <w:sz w:val="24"/>
              </w:rPr>
            </w:pPr>
            <w:r>
              <w:rPr>
                <w:sz w:val="24"/>
              </w:rPr>
              <w:t>本项目为新建项目，项目用地为园区待建用地，现状为待建</w:t>
            </w:r>
            <w:r>
              <w:rPr>
                <w:rFonts w:hint="eastAsia"/>
                <w:sz w:val="24"/>
              </w:rPr>
              <w:t>净地</w:t>
            </w:r>
            <w:r>
              <w:rPr>
                <w:sz w:val="24"/>
              </w:rPr>
              <w:t>，因此无与本项目有关的原有污染物，无环境遗留问题。</w:t>
            </w:r>
          </w:p>
          <w:p>
            <w:pPr>
              <w:adjustRightInd w:val="0"/>
              <w:snapToGrid w:val="0"/>
              <w:spacing w:line="360" w:lineRule="auto"/>
              <w:ind w:firstLine="480" w:firstLineChars="200"/>
              <w:rPr>
                <w:rFonts w:hint="eastAsia"/>
                <w:bCs/>
                <w:szCs w:val="21"/>
              </w:rPr>
            </w:pPr>
            <w:r>
              <w:rPr>
                <w:sz w:val="24"/>
              </w:rPr>
              <w:t>项目用地性质为工业用地，项目所在地不占用基本农田，周围无文物古迹、自然保护区、风景名胜区等特定保护目标。</w:t>
            </w:r>
          </w:p>
        </w:tc>
      </w:tr>
    </w:tbl>
    <w:p>
      <w:pPr>
        <w:pStyle w:val="34"/>
        <w:jc w:val="center"/>
        <w:rPr>
          <w:rFonts w:hint="eastAsia" w:ascii="Times New Roman" w:hAnsi="Times New Roman" w:eastAsia="黑体"/>
          <w:snapToGrid w:val="0"/>
          <w:sz w:val="36"/>
          <w:szCs w:val="36"/>
        </w:rPr>
        <w:sectPr>
          <w:footerReference r:id="rId6" w:type="default"/>
          <w:pgSz w:w="11906" w:h="16838"/>
          <w:pgMar w:top="1701" w:right="1531" w:bottom="1701" w:left="1531" w:header="851" w:footer="851" w:gutter="0"/>
          <w:cols w:space="720" w:num="1"/>
          <w:docGrid w:linePitch="312" w:charSpace="0"/>
        </w:sectPr>
      </w:pPr>
    </w:p>
    <w:p>
      <w:pPr>
        <w:pStyle w:val="3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86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80" w:type="dxa"/>
            <w:noWrap w:val="0"/>
            <w:vAlign w:val="center"/>
          </w:tcPr>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tc>
        <w:tc>
          <w:tcPr>
            <w:tcW w:w="8510" w:type="dxa"/>
            <w:noWrap w:val="0"/>
            <w:vAlign w:val="top"/>
          </w:tcPr>
          <w:p>
            <w:pPr>
              <w:keepNext w:val="0"/>
              <w:keepLines w:val="0"/>
              <w:widowControl/>
              <w:numPr>
                <w:ilvl w:val="0"/>
                <w:numId w:val="0"/>
              </w:numPr>
              <w:suppressLineNumbers w:val="0"/>
              <w:tabs>
                <w:tab w:val="left" w:pos="378"/>
              </w:tabs>
              <w:spacing w:line="360" w:lineRule="auto"/>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一、大气环境质量现状</w:t>
            </w:r>
          </w:p>
          <w:p>
            <w:pPr>
              <w:keepNext w:val="0"/>
              <w:keepLines w:val="0"/>
              <w:widowControl/>
              <w:numPr>
                <w:ilvl w:val="0"/>
                <w:numId w:val="0"/>
              </w:numPr>
              <w:suppressLineNumbers w:val="0"/>
              <w:spacing w:line="360" w:lineRule="auto"/>
              <w:ind w:firstLine="482" w:firstLineChars="200"/>
              <w:jc w:val="left"/>
              <w:rPr>
                <w:rFonts w:hint="default" w:ascii="宋体" w:hAnsi="宋体" w:cs="宋体"/>
                <w:b/>
                <w:bCs/>
                <w:kern w:val="0"/>
                <w:sz w:val="24"/>
                <w:szCs w:val="24"/>
                <w:lang w:val="en-US" w:eastAsia="zh-CN"/>
              </w:rPr>
            </w:pPr>
            <w:r>
              <w:rPr>
                <w:rFonts w:hint="default" w:ascii="Times New Roman" w:hAnsi="Times New Roman" w:cs="Times New Roman"/>
                <w:b/>
                <w:bCs/>
                <w:kern w:val="0"/>
                <w:sz w:val="24"/>
                <w:szCs w:val="24"/>
                <w:lang w:val="en-US" w:eastAsia="zh-CN"/>
              </w:rPr>
              <w:t>1.</w:t>
            </w:r>
            <w:r>
              <w:rPr>
                <w:rFonts w:hint="eastAsia" w:ascii="宋体" w:hAnsi="宋体" w:cs="宋体"/>
                <w:b/>
                <w:bCs/>
                <w:kern w:val="0"/>
                <w:sz w:val="24"/>
                <w:szCs w:val="24"/>
                <w:lang w:val="en-US" w:eastAsia="zh-CN"/>
              </w:rPr>
              <w:t>基本因子</w:t>
            </w:r>
          </w:p>
          <w:p>
            <w:pPr>
              <w:keepNext w:val="0"/>
              <w:keepLines w:val="0"/>
              <w:widowControl/>
              <w:suppressLineNumbers w:val="0"/>
              <w:spacing w:line="360" w:lineRule="auto"/>
              <w:ind w:firstLine="480" w:firstLineChars="200"/>
              <w:jc w:val="left"/>
              <w:rPr>
                <w:rFonts w:hint="default"/>
                <w:sz w:val="24"/>
                <w:szCs w:val="24"/>
                <w:lang w:val="en-US"/>
              </w:rPr>
            </w:pPr>
            <w:r>
              <w:rPr>
                <w:rFonts w:hint="eastAsia" w:ascii="宋体" w:hAnsi="宋体" w:eastAsia="宋体" w:cs="宋体"/>
                <w:color w:val="000000"/>
                <w:kern w:val="0"/>
                <w:sz w:val="24"/>
                <w:szCs w:val="24"/>
                <w:lang w:val="en-US" w:eastAsia="zh-CN" w:bidi="ar"/>
              </w:rPr>
              <w:t>本项目位于乐山市工业集中区水口</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罗汉工业园区内，根据《环境影响评价技术导则大气环境》（</w:t>
            </w:r>
            <w:r>
              <w:rPr>
                <w:rFonts w:hint="default" w:ascii="Times New Roman" w:hAnsi="Times New Roman" w:eastAsia="宋体" w:cs="Times New Roman"/>
                <w:color w:val="000000"/>
                <w:kern w:val="0"/>
                <w:sz w:val="24"/>
                <w:szCs w:val="24"/>
                <w:lang w:val="en-US" w:eastAsia="zh-CN" w:bidi="ar"/>
              </w:rPr>
              <w:t>HJ2.2-2018</w:t>
            </w:r>
            <w:r>
              <w:rPr>
                <w:rFonts w:hint="eastAsia" w:ascii="宋体" w:hAnsi="宋体" w:eastAsia="宋体" w:cs="宋体"/>
                <w:color w:val="000000"/>
                <w:kern w:val="0"/>
                <w:sz w:val="24"/>
                <w:szCs w:val="24"/>
                <w:lang w:val="en-US" w:eastAsia="zh-CN" w:bidi="ar"/>
              </w:rPr>
              <w:t>）中有关基本污染物环境质量现状数据的规定，可优先采用国家或地方生态环境主管部门公布的评价基准年（近</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年中</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个完整日历年）环境质量公告或环境质量报告中的数据或结论</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rPr>
                <w:rFonts w:hint="eastAsia" w:ascii="宋体" w:hAnsi="宋体" w:eastAsia="宋体" w:cs="宋体"/>
                <w:i w:val="0"/>
                <w:iCs w:val="0"/>
                <w:caps w:val="0"/>
                <w:color w:val="333333"/>
                <w:spacing w:val="0"/>
                <w:sz w:val="24"/>
                <w:szCs w:val="24"/>
                <w:shd w:val="clear" w:color="auto" w:fill="FFFFFF"/>
                <w:lang w:eastAsia="zh-CN"/>
              </w:rPr>
            </w:pPr>
            <w:r>
              <w:rPr>
                <w:rFonts w:hint="eastAsia" w:ascii="宋体" w:hAnsi="宋体" w:eastAsia="宋体" w:cs="宋体"/>
                <w:kern w:val="0"/>
                <w:sz w:val="24"/>
                <w:szCs w:val="24"/>
                <w:lang w:val="en-US" w:eastAsia="zh-CN"/>
              </w:rPr>
              <w:t>项目大气环境现状调查引用</w:t>
            </w:r>
            <w:r>
              <w:rPr>
                <w:rFonts w:hint="eastAsia" w:ascii="宋体" w:hAnsi="宋体" w:cs="宋体"/>
                <w:kern w:val="0"/>
                <w:sz w:val="24"/>
                <w:szCs w:val="24"/>
                <w:lang w:val="en-US" w:eastAsia="zh-CN"/>
              </w:rPr>
              <w:t>《乐山市污染防治攻坚战工作通报》</w:t>
            </w:r>
            <w:r>
              <w:rPr>
                <w:rFonts w:hint="default" w:ascii="Times New Roman" w:hAnsi="Times New Roman" w:cs="Times New Roman"/>
                <w:kern w:val="0"/>
                <w:sz w:val="24"/>
                <w:szCs w:val="24"/>
                <w:lang w:val="en-US" w:eastAsia="zh-CN"/>
              </w:rPr>
              <w:t>2022</w:t>
            </w:r>
            <w:r>
              <w:rPr>
                <w:rFonts w:hint="eastAsia" w:ascii="宋体" w:hAnsi="宋体" w:cs="宋体"/>
                <w:kern w:val="0"/>
                <w:sz w:val="24"/>
                <w:szCs w:val="24"/>
                <w:lang w:val="en-US" w:eastAsia="zh-CN"/>
              </w:rPr>
              <w:t>年第</w:t>
            </w:r>
            <w:r>
              <w:rPr>
                <w:rFonts w:hint="default" w:ascii="Times New Roman" w:hAnsi="Times New Roman" w:cs="Times New Roman"/>
                <w:kern w:val="0"/>
                <w:sz w:val="24"/>
                <w:szCs w:val="24"/>
                <w:lang w:val="en-US" w:eastAsia="zh-CN"/>
              </w:rPr>
              <w:t>2</w:t>
            </w:r>
            <w:r>
              <w:rPr>
                <w:rFonts w:hint="eastAsia" w:ascii="宋体" w:hAnsi="宋体" w:cs="宋体"/>
                <w:kern w:val="0"/>
                <w:sz w:val="24"/>
                <w:szCs w:val="24"/>
                <w:lang w:val="en-US" w:eastAsia="zh-CN"/>
              </w:rPr>
              <w:t>期</w:t>
            </w:r>
            <w:r>
              <w:rPr>
                <w:rFonts w:hint="eastAsia" w:ascii="宋体" w:hAnsi="宋体" w:eastAsia="宋体" w:cs="宋体"/>
                <w:kern w:val="0"/>
                <w:sz w:val="24"/>
                <w:szCs w:val="24"/>
                <w:lang w:val="en-US" w:eastAsia="zh-CN"/>
              </w:rPr>
              <w:t>，</w:t>
            </w:r>
            <w:r>
              <w:rPr>
                <w:rFonts w:hint="default" w:ascii="Times New Roman" w:hAnsi="Times New Roman" w:eastAsia="宋体" w:cs="Times New Roman"/>
                <w:i w:val="0"/>
                <w:iCs w:val="0"/>
                <w:caps w:val="0"/>
                <w:color w:val="333333"/>
                <w:spacing w:val="0"/>
                <w:sz w:val="24"/>
                <w:szCs w:val="24"/>
                <w:shd w:val="clear" w:color="auto" w:fill="FFFFFF"/>
              </w:rPr>
              <w:t>202</w:t>
            </w:r>
            <w:r>
              <w:rPr>
                <w:rFonts w:hint="eastAsia" w:cs="Times New Roman"/>
                <w:i w:val="0"/>
                <w:iCs w:val="0"/>
                <w:caps w:val="0"/>
                <w:color w:val="333333"/>
                <w:spacing w:val="0"/>
                <w:sz w:val="24"/>
                <w:szCs w:val="24"/>
                <w:shd w:val="clear" w:color="auto" w:fill="FFFFFF"/>
                <w:lang w:val="en-US" w:eastAsia="zh-CN"/>
              </w:rPr>
              <w:t>1</w:t>
            </w:r>
            <w:r>
              <w:rPr>
                <w:rFonts w:hint="eastAsia" w:ascii="宋体" w:hAnsi="宋体" w:eastAsia="宋体" w:cs="宋体"/>
                <w:i w:val="0"/>
                <w:iCs w:val="0"/>
                <w:caps w:val="0"/>
                <w:color w:val="333333"/>
                <w:spacing w:val="0"/>
                <w:sz w:val="24"/>
                <w:szCs w:val="24"/>
                <w:shd w:val="clear" w:color="auto" w:fill="FFFFFF"/>
              </w:rPr>
              <w:t>年</w:t>
            </w:r>
            <w:r>
              <w:rPr>
                <w:rFonts w:hint="eastAsia" w:ascii="宋体" w:hAnsi="宋体" w:eastAsia="宋体" w:cs="宋体"/>
                <w:b w:val="0"/>
                <w:bCs w:val="0"/>
                <w:i w:val="0"/>
                <w:iCs w:val="0"/>
                <w:caps w:val="0"/>
                <w:color w:val="333333"/>
                <w:spacing w:val="0"/>
                <w:sz w:val="24"/>
                <w:szCs w:val="24"/>
                <w:shd w:val="clear" w:color="auto" w:fill="FFFFFF"/>
              </w:rPr>
              <w:t>，</w:t>
            </w:r>
            <w:r>
              <w:rPr>
                <w:rFonts w:hint="eastAsia" w:ascii="宋体" w:hAnsi="宋体" w:eastAsia="宋体" w:cs="宋体"/>
                <w:b w:val="0"/>
                <w:bCs w:val="0"/>
                <w:color w:val="000000"/>
                <w:kern w:val="0"/>
                <w:sz w:val="24"/>
                <w:szCs w:val="24"/>
                <w:lang w:val="en-US" w:eastAsia="zh-CN" w:bidi="ar"/>
              </w:rPr>
              <w:t>乐山市主城区空气质量综合指数为</w:t>
            </w:r>
            <w:r>
              <w:rPr>
                <w:rFonts w:hint="default" w:ascii="Times New Roman" w:hAnsi="Times New Roman" w:eastAsia="宋体" w:cs="Times New Roman"/>
                <w:b w:val="0"/>
                <w:bCs w:val="0"/>
                <w:color w:val="000000"/>
                <w:kern w:val="0"/>
                <w:sz w:val="24"/>
                <w:szCs w:val="24"/>
                <w:lang w:val="en-US" w:eastAsia="zh-CN" w:bidi="ar"/>
              </w:rPr>
              <w:t>3.76</w:t>
            </w:r>
            <w:r>
              <w:rPr>
                <w:rFonts w:hint="eastAsia" w:ascii="宋体" w:hAnsi="宋体" w:eastAsia="宋体" w:cs="宋体"/>
                <w:b w:val="0"/>
                <w:bCs w:val="0"/>
                <w:color w:val="000000"/>
                <w:kern w:val="0"/>
                <w:sz w:val="24"/>
                <w:szCs w:val="24"/>
                <w:lang w:val="en-US" w:eastAsia="zh-CN" w:bidi="ar"/>
              </w:rPr>
              <w:t>，全省排名第</w:t>
            </w:r>
            <w:r>
              <w:rPr>
                <w:rFonts w:hint="default" w:ascii="Times New Roman" w:hAnsi="Times New Roman" w:eastAsia="宋体" w:cs="Times New Roman"/>
                <w:b w:val="0"/>
                <w:bCs w:val="0"/>
                <w:color w:val="000000"/>
                <w:kern w:val="0"/>
                <w:sz w:val="24"/>
                <w:szCs w:val="24"/>
                <w:lang w:val="en-US" w:eastAsia="zh-CN" w:bidi="ar"/>
              </w:rPr>
              <w:t>13</w:t>
            </w:r>
            <w:r>
              <w:rPr>
                <w:rFonts w:hint="eastAsia" w:ascii="宋体" w:hAnsi="宋体" w:eastAsia="宋体" w:cs="宋体"/>
                <w:b w:val="0"/>
                <w:bCs w:val="0"/>
                <w:color w:val="000000"/>
                <w:kern w:val="0"/>
                <w:sz w:val="24"/>
                <w:szCs w:val="24"/>
                <w:lang w:val="en-US" w:eastAsia="zh-CN" w:bidi="ar"/>
              </w:rPr>
              <w:t>位，综合指数同比上升</w:t>
            </w:r>
            <w:r>
              <w:rPr>
                <w:rFonts w:hint="default" w:ascii="Times New Roman" w:hAnsi="Times New Roman" w:eastAsia="宋体" w:cs="Times New Roman"/>
                <w:b w:val="0"/>
                <w:bCs w:val="0"/>
                <w:color w:val="000000"/>
                <w:kern w:val="0"/>
                <w:sz w:val="24"/>
                <w:szCs w:val="24"/>
                <w:lang w:val="en-US" w:eastAsia="zh-CN" w:bidi="ar"/>
              </w:rPr>
              <w:t>1.1%</w:t>
            </w:r>
            <w:r>
              <w:rPr>
                <w:rFonts w:hint="eastAsia" w:ascii="宋体" w:hAnsi="宋体" w:eastAsia="宋体" w:cs="宋体"/>
                <w:b w:val="0"/>
                <w:bCs w:val="0"/>
                <w:color w:val="000000"/>
                <w:kern w:val="0"/>
                <w:sz w:val="24"/>
                <w:szCs w:val="24"/>
                <w:lang w:val="en-US" w:eastAsia="zh-CN" w:bidi="ar"/>
              </w:rPr>
              <w:t>。优良天数为</w:t>
            </w:r>
            <w:r>
              <w:rPr>
                <w:rFonts w:hint="default" w:ascii="Times New Roman" w:hAnsi="Times New Roman" w:eastAsia="宋体" w:cs="Times New Roman"/>
                <w:b w:val="0"/>
                <w:bCs w:val="0"/>
                <w:color w:val="000000"/>
                <w:kern w:val="0"/>
                <w:sz w:val="24"/>
                <w:szCs w:val="24"/>
                <w:lang w:val="en-US" w:eastAsia="zh-CN" w:bidi="ar"/>
              </w:rPr>
              <w:t>314</w:t>
            </w:r>
            <w:r>
              <w:rPr>
                <w:rFonts w:hint="eastAsia" w:ascii="宋体" w:hAnsi="宋体" w:eastAsia="宋体" w:cs="宋体"/>
                <w:b w:val="0"/>
                <w:bCs w:val="0"/>
                <w:color w:val="000000"/>
                <w:kern w:val="0"/>
                <w:sz w:val="24"/>
                <w:szCs w:val="24"/>
                <w:lang w:val="en-US" w:eastAsia="zh-CN" w:bidi="ar"/>
              </w:rPr>
              <w:t>天，同比减少</w:t>
            </w:r>
            <w:r>
              <w:rPr>
                <w:rFonts w:hint="default" w:ascii="Times New Roman" w:hAnsi="Times New Roman" w:eastAsia="宋体" w:cs="Times New Roman"/>
                <w:b w:val="0"/>
                <w:bCs w:val="0"/>
                <w:color w:val="000000"/>
                <w:kern w:val="0"/>
                <w:sz w:val="24"/>
                <w:szCs w:val="24"/>
                <w:lang w:val="en-US" w:eastAsia="zh-CN" w:bidi="ar"/>
              </w:rPr>
              <w:t>5</w:t>
            </w:r>
            <w:r>
              <w:rPr>
                <w:rFonts w:hint="eastAsia" w:ascii="宋体" w:hAnsi="宋体" w:eastAsia="宋体" w:cs="宋体"/>
                <w:b w:val="0"/>
                <w:bCs w:val="0"/>
                <w:color w:val="000000"/>
                <w:kern w:val="0"/>
                <w:sz w:val="24"/>
                <w:szCs w:val="24"/>
                <w:lang w:val="en-US" w:eastAsia="zh-CN" w:bidi="ar"/>
              </w:rPr>
              <w:t>天，优良天数率为</w:t>
            </w:r>
            <w:r>
              <w:rPr>
                <w:rFonts w:hint="default" w:ascii="Times New Roman" w:hAnsi="Times New Roman" w:eastAsia="宋体" w:cs="Times New Roman"/>
                <w:b w:val="0"/>
                <w:bCs w:val="0"/>
                <w:color w:val="000000"/>
                <w:kern w:val="0"/>
                <w:sz w:val="24"/>
                <w:szCs w:val="24"/>
                <w:lang w:val="en-US" w:eastAsia="zh-CN" w:bidi="ar"/>
              </w:rPr>
              <w:t>86.0%</w:t>
            </w:r>
            <w:r>
              <w:rPr>
                <w:rFonts w:hint="eastAsia" w:ascii="宋体" w:hAnsi="宋体" w:eastAsia="宋体" w:cs="宋体"/>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PM</w:t>
            </w:r>
            <w:r>
              <w:rPr>
                <w:rFonts w:hint="default" w:ascii="Times New Roman" w:hAnsi="Times New Roman" w:eastAsia="宋体" w:cs="Times New Roman"/>
                <w:b w:val="0"/>
                <w:bCs w:val="0"/>
                <w:color w:val="000000"/>
                <w:kern w:val="0"/>
                <w:sz w:val="24"/>
                <w:szCs w:val="24"/>
                <w:vertAlign w:val="subscript"/>
                <w:lang w:val="en-US" w:eastAsia="zh-CN" w:bidi="ar"/>
              </w:rPr>
              <w:t>2.5</w:t>
            </w:r>
            <w:r>
              <w:rPr>
                <w:rFonts w:hint="eastAsia" w:ascii="宋体" w:hAnsi="宋体" w:eastAsia="宋体" w:cs="宋体"/>
                <w:b w:val="0"/>
                <w:bCs w:val="0"/>
                <w:color w:val="000000"/>
                <w:kern w:val="0"/>
                <w:sz w:val="24"/>
                <w:szCs w:val="24"/>
                <w:lang w:val="en-US" w:eastAsia="zh-CN" w:bidi="ar"/>
              </w:rPr>
              <w:t>均值浓度</w:t>
            </w:r>
            <w:r>
              <w:rPr>
                <w:rFonts w:hint="default" w:ascii="Times New Roman" w:hAnsi="Times New Roman" w:eastAsia="宋体" w:cs="Times New Roman"/>
                <w:b w:val="0"/>
                <w:bCs w:val="0"/>
                <w:color w:val="000000"/>
                <w:kern w:val="0"/>
                <w:sz w:val="24"/>
                <w:szCs w:val="24"/>
                <w:lang w:val="en-US" w:eastAsia="zh-CN" w:bidi="ar"/>
              </w:rPr>
              <w:t>37.2ug/m³</w:t>
            </w:r>
            <w:r>
              <w:rPr>
                <w:rFonts w:hint="eastAsia" w:ascii="宋体" w:hAnsi="宋体" w:eastAsia="宋体" w:cs="宋体"/>
                <w:b w:val="0"/>
                <w:bCs w:val="0"/>
                <w:color w:val="000000"/>
                <w:kern w:val="0"/>
                <w:sz w:val="24"/>
                <w:szCs w:val="24"/>
                <w:lang w:val="en-US" w:eastAsia="zh-CN" w:bidi="ar"/>
              </w:rPr>
              <w:t>，同比上升</w:t>
            </w:r>
            <w:r>
              <w:rPr>
                <w:rFonts w:hint="default" w:ascii="Times New Roman" w:hAnsi="Times New Roman" w:eastAsia="宋体" w:cs="Times New Roman"/>
                <w:b w:val="0"/>
                <w:bCs w:val="0"/>
                <w:color w:val="000000"/>
                <w:kern w:val="0"/>
                <w:sz w:val="24"/>
                <w:szCs w:val="24"/>
                <w:lang w:val="en-US" w:eastAsia="zh-CN" w:bidi="ar"/>
              </w:rPr>
              <w:t>6.0%</w:t>
            </w:r>
            <w:r>
              <w:rPr>
                <w:rFonts w:hint="eastAsia" w:ascii="宋体" w:hAnsi="宋体" w:eastAsia="宋体" w:cs="宋体"/>
                <w:b w:val="0"/>
                <w:bCs w:val="0"/>
                <w:color w:val="000000"/>
                <w:kern w:val="0"/>
                <w:sz w:val="24"/>
                <w:szCs w:val="24"/>
                <w:lang w:val="en-US" w:eastAsia="zh-CN" w:bidi="ar"/>
              </w:rPr>
              <w:t>，全省排名第</w:t>
            </w:r>
            <w:r>
              <w:rPr>
                <w:rFonts w:hint="default" w:ascii="Times New Roman" w:hAnsi="Times New Roman" w:eastAsia="宋体" w:cs="Times New Roman"/>
                <w:b w:val="0"/>
                <w:bCs w:val="0"/>
                <w:color w:val="000000"/>
                <w:kern w:val="0"/>
                <w:sz w:val="24"/>
                <w:szCs w:val="24"/>
                <w:lang w:val="en-US" w:eastAsia="zh-CN" w:bidi="ar"/>
              </w:rPr>
              <w:t>16</w:t>
            </w:r>
            <w:r>
              <w:rPr>
                <w:rFonts w:hint="eastAsia" w:ascii="宋体" w:hAnsi="宋体" w:eastAsia="宋体" w:cs="宋体"/>
                <w:b w:val="0"/>
                <w:bCs w:val="0"/>
                <w:color w:val="000000"/>
                <w:kern w:val="0"/>
                <w:sz w:val="24"/>
                <w:szCs w:val="24"/>
                <w:lang w:val="en-US" w:eastAsia="zh-CN" w:bidi="ar"/>
              </w:rPr>
              <w:t>位；</w:t>
            </w:r>
            <w:r>
              <w:rPr>
                <w:rFonts w:hint="default" w:ascii="Times New Roman" w:hAnsi="Times New Roman" w:eastAsia="宋体" w:cs="Times New Roman"/>
                <w:b w:val="0"/>
                <w:bCs w:val="0"/>
                <w:color w:val="000000"/>
                <w:kern w:val="0"/>
                <w:sz w:val="24"/>
                <w:szCs w:val="24"/>
                <w:lang w:val="en-US" w:eastAsia="zh-CN" w:bidi="ar"/>
              </w:rPr>
              <w:t>PM</w:t>
            </w:r>
            <w:r>
              <w:rPr>
                <w:rFonts w:hint="default" w:ascii="Times New Roman" w:hAnsi="Times New Roman" w:eastAsia="宋体" w:cs="Times New Roman"/>
                <w:b w:val="0"/>
                <w:bCs w:val="0"/>
                <w:color w:val="000000"/>
                <w:kern w:val="0"/>
                <w:sz w:val="24"/>
                <w:szCs w:val="24"/>
                <w:vertAlign w:val="subscript"/>
                <w:lang w:val="en-US" w:eastAsia="zh-CN" w:bidi="ar"/>
              </w:rPr>
              <w:t>10</w:t>
            </w:r>
            <w:r>
              <w:rPr>
                <w:rFonts w:hint="eastAsia" w:ascii="宋体" w:hAnsi="宋体" w:eastAsia="宋体" w:cs="宋体"/>
                <w:b w:val="0"/>
                <w:bCs w:val="0"/>
                <w:color w:val="000000"/>
                <w:kern w:val="0"/>
                <w:sz w:val="24"/>
                <w:szCs w:val="24"/>
                <w:lang w:val="en-US" w:eastAsia="zh-CN" w:bidi="ar"/>
              </w:rPr>
              <w:t>均值浓度</w:t>
            </w:r>
            <w:r>
              <w:rPr>
                <w:rFonts w:hint="default" w:ascii="Times New Roman" w:hAnsi="Times New Roman" w:eastAsia="宋体" w:cs="Times New Roman"/>
                <w:b w:val="0"/>
                <w:bCs w:val="0"/>
                <w:color w:val="000000"/>
                <w:kern w:val="0"/>
                <w:sz w:val="24"/>
                <w:szCs w:val="24"/>
                <w:lang w:val="en-US" w:eastAsia="zh-CN" w:bidi="ar"/>
              </w:rPr>
              <w:t>55.1ug/m³</w:t>
            </w:r>
            <w:r>
              <w:rPr>
                <w:rFonts w:hint="eastAsia" w:ascii="宋体" w:hAnsi="宋体" w:eastAsia="宋体" w:cs="宋体"/>
                <w:b w:val="0"/>
                <w:bCs w:val="0"/>
                <w:color w:val="000000"/>
                <w:kern w:val="0"/>
                <w:sz w:val="24"/>
                <w:szCs w:val="24"/>
                <w:lang w:val="en-US" w:eastAsia="zh-CN" w:bidi="ar"/>
              </w:rPr>
              <w:t>，同比上升</w:t>
            </w:r>
            <w:r>
              <w:rPr>
                <w:rFonts w:hint="default" w:ascii="Times New Roman" w:hAnsi="Times New Roman" w:eastAsia="宋体" w:cs="Times New Roman"/>
                <w:b w:val="0"/>
                <w:bCs w:val="0"/>
                <w:color w:val="000000"/>
                <w:kern w:val="0"/>
                <w:sz w:val="24"/>
                <w:szCs w:val="24"/>
                <w:lang w:val="en-US" w:eastAsia="zh-CN" w:bidi="ar"/>
              </w:rPr>
              <w:t>4.2%</w:t>
            </w:r>
            <w:r>
              <w:rPr>
                <w:rFonts w:hint="eastAsia" w:ascii="宋体" w:hAnsi="宋体" w:eastAsia="宋体" w:cs="宋体"/>
                <w:b w:val="0"/>
                <w:bCs w:val="0"/>
                <w:color w:val="000000"/>
                <w:kern w:val="0"/>
                <w:sz w:val="24"/>
                <w:szCs w:val="24"/>
                <w:lang w:val="en-US" w:eastAsia="zh-CN" w:bidi="ar"/>
              </w:rPr>
              <w:t>，全省排名第</w:t>
            </w:r>
            <w:r>
              <w:rPr>
                <w:rFonts w:hint="default" w:ascii="Times New Roman" w:hAnsi="Times New Roman" w:eastAsia="宋体" w:cs="Times New Roman"/>
                <w:b w:val="0"/>
                <w:bCs w:val="0"/>
                <w:color w:val="000000"/>
                <w:kern w:val="0"/>
                <w:sz w:val="24"/>
                <w:szCs w:val="24"/>
                <w:lang w:val="en-US" w:eastAsia="zh-CN" w:bidi="ar"/>
              </w:rPr>
              <w:t>14</w:t>
            </w:r>
            <w:r>
              <w:rPr>
                <w:rFonts w:hint="eastAsia" w:ascii="宋体" w:hAnsi="宋体" w:eastAsia="宋体" w:cs="宋体"/>
                <w:b w:val="0"/>
                <w:bCs w:val="0"/>
                <w:color w:val="000000"/>
                <w:kern w:val="0"/>
                <w:sz w:val="24"/>
                <w:szCs w:val="24"/>
                <w:lang w:val="en-US" w:eastAsia="zh-CN" w:bidi="ar"/>
              </w:rPr>
              <w:t>位。</w:t>
            </w:r>
          </w:p>
          <w:p>
            <w:pPr>
              <w:adjustRightInd w:val="0"/>
              <w:snapToGrid w:val="0"/>
              <w:spacing w:line="360" w:lineRule="auto"/>
              <w:ind w:firstLine="480" w:firstLineChars="200"/>
              <w:jc w:val="left"/>
              <w:rPr>
                <w:rFonts w:hint="eastAsia" w:ascii="宋体" w:hAnsi="宋体" w:eastAsia="宋体" w:cs="宋体"/>
                <w:i w:val="0"/>
                <w:iCs w:val="0"/>
                <w:caps w:val="0"/>
                <w:color w:val="333333"/>
                <w:spacing w:val="0"/>
                <w:sz w:val="24"/>
                <w:szCs w:val="24"/>
                <w:shd w:val="clear" w:color="auto" w:fill="FFFFFF"/>
                <w:lang w:eastAsia="zh-CN"/>
              </w:rPr>
            </w:pPr>
            <w:r>
              <w:rPr>
                <w:rFonts w:hint="default" w:ascii="Times New Roman" w:hAnsi="Times New Roman" w:eastAsia="宋体" w:cs="Times New Roman"/>
                <w:i w:val="0"/>
                <w:iCs w:val="0"/>
                <w:caps w:val="0"/>
                <w:color w:val="333333"/>
                <w:spacing w:val="0"/>
                <w:sz w:val="24"/>
                <w:szCs w:val="24"/>
                <w:shd w:val="clear" w:color="auto" w:fill="FFFFFF"/>
              </w:rPr>
              <w:t>202</w:t>
            </w:r>
            <w:r>
              <w:rPr>
                <w:rFonts w:hint="eastAsia" w:cs="Times New Roman"/>
                <w:i w:val="0"/>
                <w:iCs w:val="0"/>
                <w:caps w:val="0"/>
                <w:color w:val="333333"/>
                <w:spacing w:val="0"/>
                <w:sz w:val="24"/>
                <w:szCs w:val="24"/>
                <w:shd w:val="clear" w:color="auto" w:fill="FFFFFF"/>
                <w:lang w:val="en-US" w:eastAsia="zh-CN"/>
              </w:rPr>
              <w:t>1</w:t>
            </w:r>
            <w:r>
              <w:rPr>
                <w:rFonts w:hint="eastAsia" w:ascii="宋体" w:hAnsi="宋体" w:eastAsia="宋体" w:cs="宋体"/>
                <w:i w:val="0"/>
                <w:iCs w:val="0"/>
                <w:caps w:val="0"/>
                <w:color w:val="333333"/>
                <w:spacing w:val="0"/>
                <w:sz w:val="24"/>
                <w:szCs w:val="24"/>
                <w:shd w:val="clear" w:color="auto" w:fill="FFFFFF"/>
              </w:rPr>
              <w:t>年乐山市</w:t>
            </w:r>
            <w:r>
              <w:rPr>
                <w:rFonts w:hint="eastAsia" w:ascii="宋体" w:hAnsi="宋体" w:cs="宋体"/>
                <w:i w:val="0"/>
                <w:iCs w:val="0"/>
                <w:caps w:val="0"/>
                <w:color w:val="333333"/>
                <w:spacing w:val="0"/>
                <w:sz w:val="24"/>
                <w:szCs w:val="24"/>
                <w:shd w:val="clear" w:color="auto" w:fill="FFFFFF"/>
                <w:lang w:eastAsia="zh-CN"/>
              </w:rPr>
              <w:t>市中区</w:t>
            </w:r>
            <w:r>
              <w:rPr>
                <w:rFonts w:hint="eastAsia" w:ascii="宋体" w:hAnsi="宋体" w:eastAsia="宋体" w:cs="宋体"/>
                <w:i w:val="0"/>
                <w:iCs w:val="0"/>
                <w:caps w:val="0"/>
                <w:color w:val="333333"/>
                <w:spacing w:val="0"/>
                <w:sz w:val="24"/>
                <w:szCs w:val="24"/>
                <w:shd w:val="clear" w:color="auto" w:fill="FFFFFF"/>
              </w:rPr>
              <w:t>环境空气中二氧化硫、二氧化氮</w:t>
            </w:r>
            <w:r>
              <w:rPr>
                <w:rFonts w:hint="eastAsia" w:ascii="宋体" w:hAnsi="宋体" w:cs="宋体"/>
                <w:i w:val="0"/>
                <w:iCs w:val="0"/>
                <w:caps w:val="0"/>
                <w:color w:val="333333"/>
                <w:spacing w:val="0"/>
                <w:sz w:val="24"/>
                <w:szCs w:val="24"/>
                <w:shd w:val="clear" w:color="auto" w:fill="FFFFFF"/>
                <w:lang w:eastAsia="zh-CN"/>
              </w:rPr>
              <w:t>和可吸入颗粒物</w:t>
            </w:r>
            <w:r>
              <w:rPr>
                <w:rFonts w:hint="eastAsia" w:ascii="宋体" w:hAnsi="宋体" w:eastAsia="宋体" w:cs="宋体"/>
                <w:i w:val="0"/>
                <w:iCs w:val="0"/>
                <w:caps w:val="0"/>
                <w:color w:val="333333"/>
                <w:spacing w:val="0"/>
                <w:sz w:val="24"/>
                <w:szCs w:val="24"/>
                <w:shd w:val="clear" w:color="auto" w:fill="FFFFFF"/>
              </w:rPr>
              <w:t>年均浓度分别为</w:t>
            </w:r>
            <w:r>
              <w:rPr>
                <w:rFonts w:hint="eastAsia" w:cs="Times New Roman"/>
                <w:i w:val="0"/>
                <w:iCs w:val="0"/>
                <w:caps w:val="0"/>
                <w:color w:val="333333"/>
                <w:spacing w:val="0"/>
                <w:sz w:val="24"/>
                <w:szCs w:val="24"/>
                <w:shd w:val="clear" w:color="auto" w:fill="FFFFFF"/>
                <w:lang w:val="en-US" w:eastAsia="zh-CN"/>
              </w:rPr>
              <w:t>7</w:t>
            </w:r>
            <w:r>
              <w:rPr>
                <w:rFonts w:hint="default" w:ascii="Times New Roman" w:hAnsi="Times New Roman" w:eastAsia="宋体" w:cs="Times New Roman"/>
                <w:i w:val="0"/>
                <w:iCs w:val="0"/>
                <w:caps w:val="0"/>
                <w:color w:val="333333"/>
                <w:spacing w:val="0"/>
                <w:sz w:val="24"/>
                <w:szCs w:val="24"/>
                <w:shd w:val="clear" w:color="auto" w:fill="FFFFFF"/>
              </w:rPr>
              <w:t>μg/m</w:t>
            </w:r>
            <w:r>
              <w:rPr>
                <w:rFonts w:hint="default" w:ascii="Times New Roman" w:hAnsi="Times New Roman" w:eastAsia="宋体" w:cs="Times New Roman"/>
                <w:i w:val="0"/>
                <w:iCs w:val="0"/>
                <w:caps w:val="0"/>
                <w:color w:val="333333"/>
                <w:spacing w:val="0"/>
                <w:sz w:val="24"/>
                <w:szCs w:val="24"/>
                <w:shd w:val="clear" w:color="auto" w:fill="FFFFFF"/>
                <w:vertAlign w:val="superscript"/>
              </w:rPr>
              <w:t>3</w:t>
            </w:r>
            <w:r>
              <w:rPr>
                <w:rFonts w:hint="eastAsia" w:ascii="宋体" w:hAnsi="宋体" w:eastAsia="宋体" w:cs="宋体"/>
                <w:i w:val="0"/>
                <w:iCs w:val="0"/>
                <w:caps w:val="0"/>
                <w:color w:val="333333"/>
                <w:spacing w:val="0"/>
                <w:sz w:val="24"/>
                <w:szCs w:val="24"/>
                <w:shd w:val="clear" w:color="auto" w:fill="FFFFFF"/>
              </w:rPr>
              <w:t>、</w:t>
            </w:r>
            <w:r>
              <w:rPr>
                <w:rFonts w:hint="eastAsia" w:cs="Times New Roman"/>
                <w:i w:val="0"/>
                <w:iCs w:val="0"/>
                <w:caps w:val="0"/>
                <w:color w:val="333333"/>
                <w:spacing w:val="0"/>
                <w:sz w:val="24"/>
                <w:szCs w:val="24"/>
                <w:shd w:val="clear" w:color="auto" w:fill="FFFFFF"/>
                <w:lang w:val="en-US" w:eastAsia="zh-CN"/>
              </w:rPr>
              <w:t>25.6</w:t>
            </w:r>
            <w:r>
              <w:rPr>
                <w:rFonts w:hint="default" w:ascii="Times New Roman" w:hAnsi="Times New Roman" w:eastAsia="宋体" w:cs="Times New Roman"/>
                <w:i w:val="0"/>
                <w:iCs w:val="0"/>
                <w:caps w:val="0"/>
                <w:color w:val="333333"/>
                <w:spacing w:val="0"/>
                <w:sz w:val="24"/>
                <w:szCs w:val="24"/>
                <w:shd w:val="clear" w:color="auto" w:fill="FFFFFF"/>
              </w:rPr>
              <w:t>μg/m</w:t>
            </w:r>
            <w:r>
              <w:rPr>
                <w:rFonts w:hint="default" w:ascii="Times New Roman" w:hAnsi="Times New Roman" w:eastAsia="宋体" w:cs="Times New Roman"/>
                <w:i w:val="0"/>
                <w:iCs w:val="0"/>
                <w:caps w:val="0"/>
                <w:color w:val="333333"/>
                <w:spacing w:val="0"/>
                <w:sz w:val="24"/>
                <w:szCs w:val="24"/>
                <w:shd w:val="clear" w:color="auto" w:fill="FFFFFF"/>
                <w:vertAlign w:val="superscript"/>
              </w:rPr>
              <w:t>3</w:t>
            </w:r>
            <w:r>
              <w:rPr>
                <w:rFonts w:hint="eastAsia" w:cs="Times New Roman"/>
                <w:i w:val="0"/>
                <w:iCs w:val="0"/>
                <w:caps w:val="0"/>
                <w:color w:val="333333"/>
                <w:spacing w:val="0"/>
                <w:sz w:val="24"/>
                <w:szCs w:val="24"/>
                <w:shd w:val="clear" w:color="auto" w:fill="FFFFFF"/>
                <w:vertAlign w:val="baseline"/>
                <w:lang w:eastAsia="zh-CN"/>
              </w:rPr>
              <w:t>和</w:t>
            </w:r>
            <w:r>
              <w:rPr>
                <w:rFonts w:hint="eastAsia" w:cs="Times New Roman"/>
                <w:i w:val="0"/>
                <w:iCs w:val="0"/>
                <w:caps w:val="0"/>
                <w:color w:val="333333"/>
                <w:spacing w:val="0"/>
                <w:sz w:val="24"/>
                <w:szCs w:val="24"/>
                <w:shd w:val="clear" w:color="auto" w:fill="FFFFFF"/>
                <w:vertAlign w:val="baseline"/>
                <w:lang w:val="en-US" w:eastAsia="zh-CN"/>
              </w:rPr>
              <w:t>55.1</w:t>
            </w:r>
            <w:r>
              <w:rPr>
                <w:rFonts w:hint="default" w:ascii="Times New Roman" w:hAnsi="Times New Roman" w:eastAsia="宋体" w:cs="Times New Roman"/>
                <w:i w:val="0"/>
                <w:iCs w:val="0"/>
                <w:caps w:val="0"/>
                <w:color w:val="333333"/>
                <w:spacing w:val="0"/>
                <w:sz w:val="24"/>
                <w:szCs w:val="24"/>
                <w:shd w:val="clear" w:color="auto" w:fill="FFFFFF"/>
              </w:rPr>
              <w:t>μg/m</w:t>
            </w:r>
            <w:r>
              <w:rPr>
                <w:rFonts w:hint="default" w:ascii="Times New Roman" w:hAnsi="Times New Roman" w:eastAsia="宋体" w:cs="Times New Roman"/>
                <w:i w:val="0"/>
                <w:iCs w:val="0"/>
                <w:caps w:val="0"/>
                <w:color w:val="333333"/>
                <w:spacing w:val="0"/>
                <w:sz w:val="24"/>
                <w:szCs w:val="24"/>
                <w:shd w:val="clear" w:color="auto" w:fill="FFFFFF"/>
                <w:vertAlign w:val="superscript"/>
              </w:rPr>
              <w:t>3</w:t>
            </w:r>
            <w:r>
              <w:rPr>
                <w:rFonts w:hint="eastAsia" w:ascii="宋体" w:hAnsi="宋体" w:eastAsia="宋体" w:cs="宋体"/>
                <w:i w:val="0"/>
                <w:iCs w:val="0"/>
                <w:caps w:val="0"/>
                <w:color w:val="333333"/>
                <w:spacing w:val="0"/>
                <w:sz w:val="24"/>
                <w:szCs w:val="24"/>
                <w:shd w:val="clear" w:color="auto" w:fill="FFFFFF"/>
              </w:rPr>
              <w:t>，均达到国家环境空气质量二级标准</w:t>
            </w:r>
            <w:r>
              <w:rPr>
                <w:rFonts w:hint="eastAsia" w:ascii="宋体" w:hAnsi="宋体" w:cs="宋体"/>
                <w:i w:val="0"/>
                <w:iCs w:val="0"/>
                <w:caps w:val="0"/>
                <w:color w:val="333333"/>
                <w:spacing w:val="0"/>
                <w:sz w:val="24"/>
                <w:szCs w:val="24"/>
                <w:shd w:val="clear" w:color="auto" w:fill="FFFFFF"/>
                <w:lang w:eastAsia="zh-CN"/>
              </w:rPr>
              <w:t>，细颗粒物年均浓度为</w:t>
            </w:r>
            <w:r>
              <w:rPr>
                <w:rFonts w:hint="default" w:ascii="Times New Roman" w:hAnsi="Times New Roman" w:cs="Times New Roman"/>
                <w:i w:val="0"/>
                <w:iCs w:val="0"/>
                <w:caps w:val="0"/>
                <w:color w:val="333333"/>
                <w:spacing w:val="0"/>
                <w:sz w:val="24"/>
                <w:szCs w:val="24"/>
                <w:shd w:val="clear" w:color="auto" w:fill="FFFFFF"/>
                <w:lang w:val="en-US" w:eastAsia="zh-CN"/>
              </w:rPr>
              <w:t>37.2</w:t>
            </w:r>
            <w:r>
              <w:rPr>
                <w:rFonts w:hint="default" w:ascii="Times New Roman" w:hAnsi="Times New Roman" w:eastAsia="宋体" w:cs="Times New Roman"/>
                <w:i w:val="0"/>
                <w:iCs w:val="0"/>
                <w:caps w:val="0"/>
                <w:color w:val="333333"/>
                <w:spacing w:val="0"/>
                <w:sz w:val="24"/>
                <w:szCs w:val="24"/>
                <w:shd w:val="clear" w:color="auto" w:fill="FFFFFF"/>
              </w:rPr>
              <w:t>μg/m</w:t>
            </w:r>
            <w:r>
              <w:rPr>
                <w:rFonts w:hint="default" w:ascii="Times New Roman" w:hAnsi="Times New Roman" w:eastAsia="宋体" w:cs="Times New Roman"/>
                <w:i w:val="0"/>
                <w:iCs w:val="0"/>
                <w:caps w:val="0"/>
                <w:color w:val="333333"/>
                <w:spacing w:val="0"/>
                <w:sz w:val="24"/>
                <w:szCs w:val="24"/>
                <w:shd w:val="clear" w:color="auto" w:fill="FFFFFF"/>
                <w:vertAlign w:val="superscript"/>
              </w:rPr>
              <w:t>3</w:t>
            </w:r>
            <w:r>
              <w:rPr>
                <w:rFonts w:hint="eastAsia" w:cs="Times New Roman"/>
                <w:i w:val="0"/>
                <w:iCs w:val="0"/>
                <w:caps w:val="0"/>
                <w:color w:val="333333"/>
                <w:spacing w:val="0"/>
                <w:sz w:val="24"/>
                <w:szCs w:val="24"/>
                <w:shd w:val="clear" w:color="auto" w:fill="FFFFFF"/>
                <w:vertAlign w:val="baseline"/>
                <w:lang w:eastAsia="zh-CN"/>
              </w:rPr>
              <w:t>，未达到国家环境空气质量二级标准。</w:t>
            </w:r>
            <w:r>
              <w:rPr>
                <w:rFonts w:hint="eastAsia" w:ascii="宋体" w:hAnsi="宋体" w:eastAsia="宋体" w:cs="宋体"/>
                <w:i w:val="0"/>
                <w:iCs w:val="0"/>
                <w:caps w:val="0"/>
                <w:color w:val="333333"/>
                <w:spacing w:val="0"/>
                <w:sz w:val="24"/>
                <w:szCs w:val="24"/>
                <w:shd w:val="clear" w:color="auto" w:fill="FFFFFF"/>
              </w:rPr>
              <w:t>一氧化碳</w:t>
            </w:r>
            <w:r>
              <w:rPr>
                <w:rFonts w:hint="default" w:ascii="Times New Roman" w:hAnsi="Times New Roman" w:eastAsia="宋体" w:cs="Times New Roman"/>
                <w:i w:val="0"/>
                <w:iCs w:val="0"/>
                <w:caps w:val="0"/>
                <w:color w:val="333333"/>
                <w:spacing w:val="0"/>
                <w:sz w:val="24"/>
                <w:szCs w:val="24"/>
                <w:shd w:val="clear" w:color="auto" w:fill="FFFFFF"/>
              </w:rPr>
              <w:t>24</w:t>
            </w:r>
            <w:r>
              <w:rPr>
                <w:rFonts w:hint="eastAsia" w:ascii="宋体" w:hAnsi="宋体" w:eastAsia="宋体" w:cs="宋体"/>
                <w:i w:val="0"/>
                <w:iCs w:val="0"/>
                <w:caps w:val="0"/>
                <w:color w:val="333333"/>
                <w:spacing w:val="0"/>
                <w:sz w:val="24"/>
                <w:szCs w:val="24"/>
                <w:shd w:val="clear" w:color="auto" w:fill="FFFFFF"/>
              </w:rPr>
              <w:t>小时平均第</w:t>
            </w:r>
            <w:r>
              <w:rPr>
                <w:rFonts w:hint="default" w:ascii="Times New Roman" w:hAnsi="Times New Roman" w:eastAsia="宋体" w:cs="Times New Roman"/>
                <w:i w:val="0"/>
                <w:iCs w:val="0"/>
                <w:caps w:val="0"/>
                <w:color w:val="333333"/>
                <w:spacing w:val="0"/>
                <w:sz w:val="24"/>
                <w:szCs w:val="24"/>
                <w:shd w:val="clear" w:color="auto" w:fill="FFFFFF"/>
              </w:rPr>
              <w:t>95</w:t>
            </w:r>
            <w:r>
              <w:rPr>
                <w:rFonts w:hint="eastAsia" w:ascii="宋体" w:hAnsi="宋体" w:eastAsia="宋体" w:cs="宋体"/>
                <w:i w:val="0"/>
                <w:iCs w:val="0"/>
                <w:caps w:val="0"/>
                <w:color w:val="333333"/>
                <w:spacing w:val="0"/>
                <w:sz w:val="24"/>
                <w:szCs w:val="24"/>
                <w:shd w:val="clear" w:color="auto" w:fill="FFFFFF"/>
              </w:rPr>
              <w:t>百分位数浓度均值为</w:t>
            </w:r>
            <w:r>
              <w:rPr>
                <w:rFonts w:hint="default" w:ascii="Times New Roman" w:hAnsi="Times New Roman" w:eastAsia="宋体" w:cs="Times New Roman"/>
                <w:i w:val="0"/>
                <w:iCs w:val="0"/>
                <w:caps w:val="0"/>
                <w:color w:val="333333"/>
                <w:spacing w:val="0"/>
                <w:sz w:val="24"/>
                <w:szCs w:val="24"/>
                <w:shd w:val="clear" w:color="auto" w:fill="FFFFFF"/>
              </w:rPr>
              <w:t>1</w:t>
            </w:r>
            <w:r>
              <w:rPr>
                <w:rFonts w:hint="eastAsia" w:cs="Times New Roman"/>
                <w:i w:val="0"/>
                <w:iCs w:val="0"/>
                <w:caps w:val="0"/>
                <w:color w:val="333333"/>
                <w:spacing w:val="0"/>
                <w:sz w:val="24"/>
                <w:szCs w:val="24"/>
                <w:shd w:val="clear" w:color="auto" w:fill="FFFFFF"/>
                <w:lang w:val="en-US" w:eastAsia="zh-CN"/>
              </w:rPr>
              <w:t>.1</w:t>
            </w:r>
            <w:r>
              <w:rPr>
                <w:rFonts w:hint="default" w:ascii="Times New Roman" w:hAnsi="Times New Roman" w:eastAsia="宋体" w:cs="Times New Roman"/>
                <w:i w:val="0"/>
                <w:iCs w:val="0"/>
                <w:caps w:val="0"/>
                <w:color w:val="333333"/>
                <w:spacing w:val="0"/>
                <w:sz w:val="24"/>
                <w:szCs w:val="24"/>
                <w:shd w:val="clear" w:color="auto" w:fill="FFFFFF"/>
              </w:rPr>
              <w:t>mg/m</w:t>
            </w:r>
            <w:r>
              <w:rPr>
                <w:rFonts w:hint="default" w:ascii="Times New Roman" w:hAnsi="Times New Roman" w:eastAsia="宋体" w:cs="Times New Roman"/>
                <w:i w:val="0"/>
                <w:iCs w:val="0"/>
                <w:caps w:val="0"/>
                <w:color w:val="333333"/>
                <w:spacing w:val="0"/>
                <w:sz w:val="24"/>
                <w:szCs w:val="24"/>
                <w:shd w:val="clear" w:color="auto" w:fill="FFFFFF"/>
                <w:vertAlign w:val="superscript"/>
              </w:rPr>
              <w:t>3</w:t>
            </w:r>
            <w:r>
              <w:rPr>
                <w:rFonts w:hint="eastAsia" w:ascii="宋体" w:hAnsi="宋体" w:eastAsia="宋体" w:cs="宋体"/>
                <w:i w:val="0"/>
                <w:iCs w:val="0"/>
                <w:caps w:val="0"/>
                <w:color w:val="333333"/>
                <w:spacing w:val="0"/>
                <w:sz w:val="24"/>
                <w:szCs w:val="24"/>
                <w:shd w:val="clear" w:color="auto" w:fill="FFFFFF"/>
              </w:rPr>
              <w:t>，达到国家环境空气质量二级标准；臭氧日最大</w:t>
            </w:r>
            <w:r>
              <w:rPr>
                <w:rFonts w:hint="default" w:ascii="Times New Roman" w:hAnsi="Times New Roman" w:eastAsia="宋体" w:cs="Times New Roman"/>
                <w:i w:val="0"/>
                <w:iCs w:val="0"/>
                <w:caps w:val="0"/>
                <w:color w:val="333333"/>
                <w:spacing w:val="0"/>
                <w:sz w:val="24"/>
                <w:szCs w:val="24"/>
                <w:shd w:val="clear" w:color="auto" w:fill="FFFFFF"/>
              </w:rPr>
              <w:t>8</w:t>
            </w:r>
            <w:r>
              <w:rPr>
                <w:rFonts w:hint="eastAsia" w:ascii="宋体" w:hAnsi="宋体" w:eastAsia="宋体" w:cs="宋体"/>
                <w:i w:val="0"/>
                <w:iCs w:val="0"/>
                <w:caps w:val="0"/>
                <w:color w:val="333333"/>
                <w:spacing w:val="0"/>
                <w:sz w:val="24"/>
                <w:szCs w:val="24"/>
                <w:shd w:val="clear" w:color="auto" w:fill="FFFFFF"/>
              </w:rPr>
              <w:t>小时滑动平均浓度为</w:t>
            </w:r>
            <w:r>
              <w:rPr>
                <w:rFonts w:hint="eastAsia" w:cs="Times New Roman"/>
                <w:i w:val="0"/>
                <w:iCs w:val="0"/>
                <w:caps w:val="0"/>
                <w:color w:val="333333"/>
                <w:spacing w:val="0"/>
                <w:sz w:val="24"/>
                <w:szCs w:val="24"/>
                <w:shd w:val="clear" w:color="auto" w:fill="FFFFFF"/>
                <w:lang w:val="en-US" w:eastAsia="zh-CN"/>
              </w:rPr>
              <w:t>138</w:t>
            </w:r>
            <w:r>
              <w:rPr>
                <w:rFonts w:hint="default" w:ascii="Times New Roman" w:hAnsi="Times New Roman" w:eastAsia="宋体" w:cs="Times New Roman"/>
                <w:i w:val="0"/>
                <w:iCs w:val="0"/>
                <w:caps w:val="0"/>
                <w:color w:val="333333"/>
                <w:spacing w:val="0"/>
                <w:sz w:val="24"/>
                <w:szCs w:val="24"/>
                <w:shd w:val="clear" w:color="auto" w:fill="FFFFFF"/>
              </w:rPr>
              <w:t>μg/m</w:t>
            </w:r>
            <w:r>
              <w:rPr>
                <w:rFonts w:hint="default" w:ascii="Times New Roman" w:hAnsi="Times New Roman" w:eastAsia="宋体" w:cs="Times New Roman"/>
                <w:i w:val="0"/>
                <w:iCs w:val="0"/>
                <w:caps w:val="0"/>
                <w:color w:val="333333"/>
                <w:spacing w:val="0"/>
                <w:sz w:val="24"/>
                <w:szCs w:val="24"/>
                <w:shd w:val="clear" w:color="auto" w:fill="FFFFFF"/>
                <w:vertAlign w:val="superscript"/>
              </w:rPr>
              <w:t>3</w:t>
            </w:r>
            <w:r>
              <w:rPr>
                <w:rFonts w:hint="eastAsia" w:ascii="宋体" w:hAnsi="宋体" w:eastAsia="宋体" w:cs="宋体"/>
                <w:i w:val="0"/>
                <w:iCs w:val="0"/>
                <w:caps w:val="0"/>
                <w:color w:val="333333"/>
                <w:spacing w:val="0"/>
                <w:sz w:val="24"/>
                <w:szCs w:val="24"/>
                <w:shd w:val="clear" w:color="auto" w:fill="FFFFFF"/>
              </w:rPr>
              <w:t>，达到国家环境空气质量二级标准</w:t>
            </w:r>
            <w:r>
              <w:rPr>
                <w:rFonts w:hint="eastAsia" w:ascii="宋体" w:hAnsi="宋体" w:eastAsia="宋体" w:cs="宋体"/>
                <w:i w:val="0"/>
                <w:iCs w:val="0"/>
                <w:caps w:val="0"/>
                <w:color w:val="333333"/>
                <w:spacing w:val="0"/>
                <w:sz w:val="24"/>
                <w:szCs w:val="24"/>
                <w:shd w:val="clear" w:color="auto" w:fill="FFFFFF"/>
                <w:lang w:eastAsia="zh-CN"/>
              </w:rPr>
              <w:t>。</w:t>
            </w:r>
          </w:p>
          <w:p>
            <w:pPr>
              <w:adjustRightInd w:val="0"/>
              <w:snapToGrid w:val="0"/>
              <w:spacing w:line="360" w:lineRule="auto"/>
              <w:ind w:firstLine="480" w:firstLineChars="200"/>
              <w:jc w:val="left"/>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t>环境空气质量报告数据见下表</w:t>
            </w:r>
          </w:p>
          <w:p>
            <w:pPr>
              <w:adjustRightInd w:val="0"/>
              <w:snapToGrid w:val="0"/>
              <w:spacing w:line="240" w:lineRule="auto"/>
              <w:jc w:val="center"/>
              <w:rPr>
                <w:rFonts w:hint="default" w:ascii="宋体" w:hAnsi="宋体" w:eastAsia="宋体" w:cs="宋体"/>
                <w:b/>
                <w:bCs/>
                <w:i w:val="0"/>
                <w:iCs w:val="0"/>
                <w:caps w:val="0"/>
                <w:color w:val="333333"/>
                <w:spacing w:val="0"/>
                <w:sz w:val="24"/>
                <w:szCs w:val="24"/>
                <w:shd w:val="clear" w:color="auto" w:fill="FFFFFF"/>
                <w:lang w:val="en-US" w:eastAsia="zh-CN"/>
              </w:rPr>
            </w:pPr>
            <w:r>
              <w:rPr>
                <w:rFonts w:hint="eastAsia" w:ascii="宋体" w:hAnsi="宋体" w:eastAsia="宋体" w:cs="宋体"/>
                <w:b/>
                <w:bCs/>
                <w:i w:val="0"/>
                <w:iCs w:val="0"/>
                <w:caps w:val="0"/>
                <w:color w:val="333333"/>
                <w:spacing w:val="0"/>
                <w:sz w:val="24"/>
                <w:szCs w:val="24"/>
                <w:shd w:val="clear" w:color="auto" w:fill="FFFFFF"/>
                <w:lang w:val="en-US" w:eastAsia="zh-CN"/>
              </w:rPr>
              <w:t>表</w:t>
            </w:r>
            <w:r>
              <w:rPr>
                <w:rFonts w:hint="default" w:ascii="Times New Roman" w:hAnsi="Times New Roman" w:cs="Times New Roman"/>
                <w:b/>
                <w:bCs/>
                <w:i w:val="0"/>
                <w:iCs w:val="0"/>
                <w:caps w:val="0"/>
                <w:color w:val="333333"/>
                <w:spacing w:val="0"/>
                <w:sz w:val="24"/>
                <w:szCs w:val="24"/>
                <w:shd w:val="clear" w:color="auto" w:fill="FFFFFF"/>
                <w:lang w:val="en-US" w:eastAsia="zh-CN"/>
              </w:rPr>
              <w:t>3-1</w:t>
            </w:r>
            <w:r>
              <w:rPr>
                <w:rFonts w:hint="eastAsia" w:ascii="宋体" w:hAnsi="宋体" w:eastAsia="宋体" w:cs="宋体"/>
                <w:b/>
                <w:bCs/>
                <w:i w:val="0"/>
                <w:iCs w:val="0"/>
                <w:caps w:val="0"/>
                <w:color w:val="333333"/>
                <w:spacing w:val="0"/>
                <w:sz w:val="24"/>
                <w:szCs w:val="24"/>
                <w:shd w:val="clear" w:color="auto" w:fill="FFFFFF"/>
                <w:lang w:val="en-US" w:eastAsia="zh-CN"/>
              </w:rPr>
              <w:t>环境空气质量现状评价表</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746"/>
              <w:gridCol w:w="1361"/>
              <w:gridCol w:w="1414"/>
              <w:gridCol w:w="120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adjustRightInd w:val="0"/>
                    <w:snapToGrid w:val="0"/>
                    <w:spacing w:line="240" w:lineRule="auto"/>
                    <w:jc w:val="center"/>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污染物</w:t>
                  </w:r>
                </w:p>
              </w:tc>
              <w:tc>
                <w:tcPr>
                  <w:tcW w:w="1746" w:type="dxa"/>
                  <w:noWrap w:val="0"/>
                  <w:vAlign w:val="center"/>
                </w:tcPr>
                <w:p>
                  <w:pPr>
                    <w:adjustRightInd w:val="0"/>
                    <w:snapToGrid w:val="0"/>
                    <w:spacing w:line="240" w:lineRule="auto"/>
                    <w:jc w:val="center"/>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年评价指标</w:t>
                  </w:r>
                </w:p>
              </w:tc>
              <w:tc>
                <w:tcPr>
                  <w:tcW w:w="1361" w:type="dxa"/>
                  <w:noWrap w:val="0"/>
                  <w:vAlign w:val="center"/>
                </w:tcPr>
                <w:p>
                  <w:pPr>
                    <w:keepNext w:val="0"/>
                    <w:keepLines w:val="0"/>
                    <w:widowControl/>
                    <w:suppressLineNumbers w:val="0"/>
                    <w:jc w:val="center"/>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现状浓度（</w:t>
                  </w:r>
                  <w:r>
                    <w:rPr>
                      <w:rFonts w:hint="default" w:ascii="Times New Roman" w:hAnsi="Times New Roman" w:eastAsia="宋体" w:cs="Times New Roman"/>
                      <w:b/>
                      <w:bCs/>
                      <w:color w:val="000000"/>
                      <w:kern w:val="0"/>
                      <w:sz w:val="21"/>
                      <w:szCs w:val="21"/>
                      <w:lang w:val="en-US" w:eastAsia="zh-CN" w:bidi="ar"/>
                    </w:rPr>
                    <w:t>ug/m³</w:t>
                  </w:r>
                  <w:r>
                    <w:rPr>
                      <w:rFonts w:hint="eastAsia" w:ascii="宋体" w:hAnsi="宋体" w:eastAsia="宋体" w:cs="宋体"/>
                      <w:b/>
                      <w:bCs/>
                      <w:i w:val="0"/>
                      <w:iCs w:val="0"/>
                      <w:caps w:val="0"/>
                      <w:color w:val="333333"/>
                      <w:spacing w:val="0"/>
                      <w:sz w:val="21"/>
                      <w:szCs w:val="21"/>
                      <w:shd w:val="clear" w:color="auto" w:fill="FFFFFF"/>
                      <w:vertAlign w:val="baseline"/>
                      <w:lang w:val="en-US" w:eastAsia="zh-CN"/>
                    </w:rPr>
                    <w:t>）</w:t>
                  </w:r>
                </w:p>
              </w:tc>
              <w:tc>
                <w:tcPr>
                  <w:tcW w:w="1414" w:type="dxa"/>
                  <w:noWrap w:val="0"/>
                  <w:vAlign w:val="center"/>
                </w:tcPr>
                <w:p>
                  <w:pPr>
                    <w:keepNext w:val="0"/>
                    <w:keepLines w:val="0"/>
                    <w:widowControl/>
                    <w:suppressLineNumbers w:val="0"/>
                    <w:jc w:val="center"/>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标准值（</w:t>
                  </w:r>
                  <w:r>
                    <w:rPr>
                      <w:rFonts w:hint="default" w:ascii="Times New Roman" w:hAnsi="Times New Roman" w:eastAsia="宋体" w:cs="Times New Roman"/>
                      <w:b/>
                      <w:bCs/>
                      <w:color w:val="000000"/>
                      <w:kern w:val="0"/>
                      <w:sz w:val="21"/>
                      <w:szCs w:val="21"/>
                      <w:lang w:val="en-US" w:eastAsia="zh-CN" w:bidi="ar"/>
                    </w:rPr>
                    <w:t>ug/m³</w:t>
                  </w:r>
                  <w:r>
                    <w:rPr>
                      <w:rFonts w:hint="eastAsia" w:ascii="宋体" w:hAnsi="宋体" w:eastAsia="宋体" w:cs="宋体"/>
                      <w:b/>
                      <w:bCs/>
                      <w:i w:val="0"/>
                      <w:iCs w:val="0"/>
                      <w:caps w:val="0"/>
                      <w:color w:val="333333"/>
                      <w:spacing w:val="0"/>
                      <w:sz w:val="21"/>
                      <w:szCs w:val="21"/>
                      <w:shd w:val="clear" w:color="auto" w:fill="FFFFFF"/>
                      <w:vertAlign w:val="baseline"/>
                      <w:lang w:val="en-US" w:eastAsia="zh-CN"/>
                    </w:rPr>
                    <w:t>）</w:t>
                  </w:r>
                </w:p>
              </w:tc>
              <w:tc>
                <w:tcPr>
                  <w:tcW w:w="1200" w:type="dxa"/>
                  <w:noWrap w:val="0"/>
                  <w:vAlign w:val="center"/>
                </w:tcPr>
                <w:p>
                  <w:pPr>
                    <w:adjustRightInd w:val="0"/>
                    <w:snapToGrid w:val="0"/>
                    <w:spacing w:line="240" w:lineRule="auto"/>
                    <w:jc w:val="center"/>
                    <w:rPr>
                      <w:rFonts w:hint="default"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占标率</w:t>
                  </w:r>
                  <w:r>
                    <w:rPr>
                      <w:rFonts w:hint="default" w:ascii="Times New Roman" w:hAnsi="Times New Roman" w:eastAsia="宋体" w:cs="Times New Roman"/>
                      <w:b/>
                      <w:bCs/>
                      <w:i w:val="0"/>
                      <w:iCs w:val="0"/>
                      <w:caps w:val="0"/>
                      <w:color w:val="333333"/>
                      <w:spacing w:val="0"/>
                      <w:sz w:val="21"/>
                      <w:szCs w:val="21"/>
                      <w:shd w:val="clear" w:color="auto" w:fill="FFFFFF"/>
                      <w:vertAlign w:val="baseline"/>
                      <w:lang w:val="en-US" w:eastAsia="zh-CN"/>
                    </w:rPr>
                    <w:t>%</w:t>
                  </w:r>
                </w:p>
              </w:tc>
              <w:tc>
                <w:tcPr>
                  <w:tcW w:w="1210" w:type="dxa"/>
                  <w:noWrap w:val="0"/>
                  <w:vAlign w:val="center"/>
                </w:tcPr>
                <w:p>
                  <w:pPr>
                    <w:adjustRightInd w:val="0"/>
                    <w:snapToGrid w:val="0"/>
                    <w:spacing w:line="240" w:lineRule="auto"/>
                    <w:jc w:val="center"/>
                    <w:rPr>
                      <w:rFonts w:hint="eastAsia" w:ascii="宋体" w:hAnsi="宋体" w:eastAsia="宋体" w:cs="宋体"/>
                      <w:b/>
                      <w:bCs/>
                      <w:i w:val="0"/>
                      <w:iCs w:val="0"/>
                      <w:caps w:val="0"/>
                      <w:color w:val="333333"/>
                      <w:spacing w:val="0"/>
                      <w:sz w:val="21"/>
                      <w:szCs w:val="21"/>
                      <w:shd w:val="clear" w:color="auto" w:fill="FFFFFF"/>
                      <w:vertAlign w:val="baseline"/>
                      <w:lang w:val="en-US" w:eastAsia="zh-CN"/>
                    </w:rPr>
                  </w:pPr>
                  <w:r>
                    <w:rPr>
                      <w:rFonts w:hint="eastAsia" w:ascii="宋体" w:hAnsi="宋体" w:eastAsia="宋体" w:cs="宋体"/>
                      <w:b/>
                      <w:bCs/>
                      <w:i w:val="0"/>
                      <w:iCs w:val="0"/>
                      <w:caps w:val="0"/>
                      <w:color w:val="333333"/>
                      <w:spacing w:val="0"/>
                      <w:sz w:val="21"/>
                      <w:szCs w:val="21"/>
                      <w:shd w:val="clear" w:color="auto" w:fill="FFFFFF"/>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adjustRightInd w:val="0"/>
                    <w:snapToGrid w:val="0"/>
                    <w:spacing w:line="240" w:lineRule="auto"/>
                    <w:jc w:val="center"/>
                    <w:rPr>
                      <w:rFonts w:hint="default"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SO</w:t>
                  </w:r>
                  <w:r>
                    <w:rPr>
                      <w:rFonts w:hint="default" w:ascii="Times New Roman" w:hAnsi="Times New Roman" w:eastAsia="宋体" w:cs="Times New Roman"/>
                      <w:i w:val="0"/>
                      <w:iCs w:val="0"/>
                      <w:caps w:val="0"/>
                      <w:color w:val="333333"/>
                      <w:spacing w:val="0"/>
                      <w:sz w:val="21"/>
                      <w:szCs w:val="21"/>
                      <w:shd w:val="clear" w:color="auto" w:fill="FFFFFF"/>
                      <w:vertAlign w:val="subscript"/>
                      <w:lang w:val="en-US" w:eastAsia="zh-CN"/>
                    </w:rPr>
                    <w:t>2</w:t>
                  </w:r>
                </w:p>
              </w:tc>
              <w:tc>
                <w:tcPr>
                  <w:tcW w:w="1746"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年平均浓度</w:t>
                  </w:r>
                </w:p>
              </w:tc>
              <w:tc>
                <w:tcPr>
                  <w:tcW w:w="1361"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7</w:t>
                  </w:r>
                </w:p>
              </w:tc>
              <w:tc>
                <w:tcPr>
                  <w:tcW w:w="1414"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60</w:t>
                  </w:r>
                </w:p>
              </w:tc>
              <w:tc>
                <w:tcPr>
                  <w:tcW w:w="1200"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11.7</w:t>
                  </w:r>
                </w:p>
              </w:tc>
              <w:tc>
                <w:tcPr>
                  <w:tcW w:w="1210"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3" w:type="dxa"/>
                  <w:noWrap w:val="0"/>
                  <w:vAlign w:val="center"/>
                </w:tcPr>
                <w:p>
                  <w:pPr>
                    <w:adjustRightInd w:val="0"/>
                    <w:snapToGrid w:val="0"/>
                    <w:spacing w:line="240" w:lineRule="auto"/>
                    <w:jc w:val="center"/>
                    <w:rPr>
                      <w:rFonts w:hint="default"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NO</w:t>
                  </w:r>
                  <w:r>
                    <w:rPr>
                      <w:rFonts w:hint="default" w:ascii="Times New Roman" w:hAnsi="Times New Roman" w:eastAsia="宋体" w:cs="Times New Roman"/>
                      <w:i w:val="0"/>
                      <w:iCs w:val="0"/>
                      <w:caps w:val="0"/>
                      <w:color w:val="333333"/>
                      <w:spacing w:val="0"/>
                      <w:sz w:val="21"/>
                      <w:szCs w:val="21"/>
                      <w:shd w:val="clear" w:color="auto" w:fill="FFFFFF"/>
                      <w:vertAlign w:val="subscript"/>
                      <w:lang w:val="en-US" w:eastAsia="zh-CN"/>
                    </w:rPr>
                    <w:t>2</w:t>
                  </w:r>
                </w:p>
              </w:tc>
              <w:tc>
                <w:tcPr>
                  <w:tcW w:w="1746"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年平均浓度</w:t>
                  </w:r>
                </w:p>
              </w:tc>
              <w:tc>
                <w:tcPr>
                  <w:tcW w:w="1361"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25.6</w:t>
                  </w:r>
                </w:p>
              </w:tc>
              <w:tc>
                <w:tcPr>
                  <w:tcW w:w="1414"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40</w:t>
                  </w:r>
                </w:p>
              </w:tc>
              <w:tc>
                <w:tcPr>
                  <w:tcW w:w="1200"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64</w:t>
                  </w:r>
                </w:p>
              </w:tc>
              <w:tc>
                <w:tcPr>
                  <w:tcW w:w="1210"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3" w:type="dxa"/>
                  <w:noWrap w:val="0"/>
                  <w:vAlign w:val="center"/>
                </w:tcPr>
                <w:p>
                  <w:pPr>
                    <w:adjustRightInd w:val="0"/>
                    <w:snapToGrid w:val="0"/>
                    <w:spacing w:line="240" w:lineRule="auto"/>
                    <w:jc w:val="center"/>
                    <w:rPr>
                      <w:rFonts w:hint="default"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PM</w:t>
                  </w:r>
                  <w:r>
                    <w:rPr>
                      <w:rFonts w:hint="default" w:ascii="Times New Roman" w:hAnsi="Times New Roman" w:eastAsia="宋体" w:cs="Times New Roman"/>
                      <w:i w:val="0"/>
                      <w:iCs w:val="0"/>
                      <w:caps w:val="0"/>
                      <w:color w:val="333333"/>
                      <w:spacing w:val="0"/>
                      <w:sz w:val="21"/>
                      <w:szCs w:val="21"/>
                      <w:shd w:val="clear" w:color="auto" w:fill="FFFFFF"/>
                      <w:vertAlign w:val="subscript"/>
                      <w:lang w:val="en-US" w:eastAsia="zh-CN"/>
                    </w:rPr>
                    <w:t>10</w:t>
                  </w:r>
                </w:p>
              </w:tc>
              <w:tc>
                <w:tcPr>
                  <w:tcW w:w="1746"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年平均浓度</w:t>
                  </w:r>
                </w:p>
              </w:tc>
              <w:tc>
                <w:tcPr>
                  <w:tcW w:w="1361"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55.1</w:t>
                  </w:r>
                </w:p>
              </w:tc>
              <w:tc>
                <w:tcPr>
                  <w:tcW w:w="1414"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70</w:t>
                  </w:r>
                </w:p>
              </w:tc>
              <w:tc>
                <w:tcPr>
                  <w:tcW w:w="1200"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78.</w:t>
                  </w:r>
                  <w:r>
                    <w:rPr>
                      <w:rFonts w:hint="eastAsia" w:cs="Times New Roman"/>
                      <w:i w:val="0"/>
                      <w:iCs w:val="0"/>
                      <w:caps w:val="0"/>
                      <w:color w:val="333333"/>
                      <w:spacing w:val="0"/>
                      <w:sz w:val="21"/>
                      <w:szCs w:val="21"/>
                      <w:shd w:val="clear" w:color="auto" w:fill="FFFFFF"/>
                      <w:vertAlign w:val="baseline"/>
                      <w:lang w:val="en-US" w:eastAsia="zh-CN"/>
                    </w:rPr>
                    <w:t>7</w:t>
                  </w:r>
                </w:p>
              </w:tc>
              <w:tc>
                <w:tcPr>
                  <w:tcW w:w="1210"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3" w:type="dxa"/>
                  <w:noWrap w:val="0"/>
                  <w:vAlign w:val="center"/>
                </w:tcPr>
                <w:p>
                  <w:pPr>
                    <w:adjustRightInd w:val="0"/>
                    <w:snapToGrid w:val="0"/>
                    <w:spacing w:line="240" w:lineRule="auto"/>
                    <w:jc w:val="center"/>
                    <w:rPr>
                      <w:rFonts w:hint="default"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PM</w:t>
                  </w:r>
                  <w:r>
                    <w:rPr>
                      <w:rFonts w:hint="default" w:ascii="Times New Roman" w:hAnsi="Times New Roman" w:eastAsia="宋体" w:cs="Times New Roman"/>
                      <w:i w:val="0"/>
                      <w:iCs w:val="0"/>
                      <w:caps w:val="0"/>
                      <w:color w:val="333333"/>
                      <w:spacing w:val="0"/>
                      <w:sz w:val="21"/>
                      <w:szCs w:val="21"/>
                      <w:shd w:val="clear" w:color="auto" w:fill="FFFFFF"/>
                      <w:vertAlign w:val="subscript"/>
                      <w:lang w:val="en-US" w:eastAsia="zh-CN"/>
                    </w:rPr>
                    <w:t>2.5</w:t>
                  </w:r>
                </w:p>
              </w:tc>
              <w:tc>
                <w:tcPr>
                  <w:tcW w:w="1746"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年平均浓度</w:t>
                  </w:r>
                </w:p>
              </w:tc>
              <w:tc>
                <w:tcPr>
                  <w:tcW w:w="1361"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37.2</w:t>
                  </w:r>
                </w:p>
              </w:tc>
              <w:tc>
                <w:tcPr>
                  <w:tcW w:w="1414"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35</w:t>
                  </w:r>
                </w:p>
              </w:tc>
              <w:tc>
                <w:tcPr>
                  <w:tcW w:w="1200"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106.3</w:t>
                  </w:r>
                </w:p>
              </w:tc>
              <w:tc>
                <w:tcPr>
                  <w:tcW w:w="1210"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cs="宋体"/>
                      <w:i w:val="0"/>
                      <w:iCs w:val="0"/>
                      <w:caps w:val="0"/>
                      <w:color w:val="333333"/>
                      <w:spacing w:val="0"/>
                      <w:sz w:val="21"/>
                      <w:szCs w:val="21"/>
                      <w:shd w:val="clear" w:color="auto" w:fill="FFFFFF"/>
                      <w:vertAlign w:val="baseline"/>
                      <w:lang w:val="en-US" w:eastAsia="zh-CN"/>
                    </w:rPr>
                    <w:t>不</w:t>
                  </w:r>
                  <w:r>
                    <w:rPr>
                      <w:rFonts w:hint="eastAsia" w:ascii="宋体" w:hAnsi="宋体" w:eastAsia="宋体" w:cs="宋体"/>
                      <w:i w:val="0"/>
                      <w:iCs w:val="0"/>
                      <w:caps w:val="0"/>
                      <w:color w:val="333333"/>
                      <w:spacing w:val="0"/>
                      <w:sz w:val="21"/>
                      <w:szCs w:val="21"/>
                      <w:shd w:val="clear" w:color="auto" w:fill="FFFFFF"/>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43" w:type="dxa"/>
                  <w:noWrap w:val="0"/>
                  <w:vAlign w:val="center"/>
                </w:tcPr>
                <w:p>
                  <w:pPr>
                    <w:adjustRightInd w:val="0"/>
                    <w:snapToGrid w:val="0"/>
                    <w:spacing w:line="240" w:lineRule="auto"/>
                    <w:jc w:val="center"/>
                    <w:rPr>
                      <w:rFonts w:hint="default"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CO</w:t>
                  </w:r>
                </w:p>
              </w:tc>
              <w:tc>
                <w:tcPr>
                  <w:tcW w:w="1746"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rPr>
                    <w:t>24</w:t>
                  </w:r>
                  <w:r>
                    <w:rPr>
                      <w:rFonts w:hint="eastAsia" w:ascii="宋体" w:hAnsi="宋体" w:eastAsia="宋体" w:cs="宋体"/>
                      <w:i w:val="0"/>
                      <w:iCs w:val="0"/>
                      <w:caps w:val="0"/>
                      <w:color w:val="333333"/>
                      <w:spacing w:val="0"/>
                      <w:sz w:val="21"/>
                      <w:szCs w:val="21"/>
                      <w:shd w:val="clear" w:color="auto" w:fill="FFFFFF"/>
                    </w:rPr>
                    <w:t>小时平均第</w:t>
                  </w:r>
                  <w:r>
                    <w:rPr>
                      <w:rFonts w:hint="default" w:ascii="Times New Roman" w:hAnsi="Times New Roman" w:eastAsia="宋体" w:cs="Times New Roman"/>
                      <w:i w:val="0"/>
                      <w:iCs w:val="0"/>
                      <w:caps w:val="0"/>
                      <w:color w:val="333333"/>
                      <w:spacing w:val="0"/>
                      <w:sz w:val="21"/>
                      <w:szCs w:val="21"/>
                      <w:shd w:val="clear" w:color="auto" w:fill="FFFFFF"/>
                    </w:rPr>
                    <w:t>95</w:t>
                  </w:r>
                  <w:r>
                    <w:rPr>
                      <w:rFonts w:hint="eastAsia" w:ascii="宋体" w:hAnsi="宋体" w:eastAsia="宋体" w:cs="宋体"/>
                      <w:i w:val="0"/>
                      <w:iCs w:val="0"/>
                      <w:caps w:val="0"/>
                      <w:color w:val="333333"/>
                      <w:spacing w:val="0"/>
                      <w:sz w:val="21"/>
                      <w:szCs w:val="21"/>
                      <w:shd w:val="clear" w:color="auto" w:fill="FFFFFF"/>
                    </w:rPr>
                    <w:t>百分位数浓度</w:t>
                  </w:r>
                  <w:r>
                    <w:rPr>
                      <w:rFonts w:hint="eastAsia" w:ascii="宋体" w:hAnsi="宋体" w:eastAsia="宋体" w:cs="宋体"/>
                      <w:i w:val="0"/>
                      <w:iCs w:val="0"/>
                      <w:caps w:val="0"/>
                      <w:color w:val="333333"/>
                      <w:spacing w:val="0"/>
                      <w:sz w:val="21"/>
                      <w:szCs w:val="21"/>
                      <w:shd w:val="clear" w:color="auto" w:fill="FFFFFF"/>
                      <w:lang w:eastAsia="zh-CN"/>
                    </w:rPr>
                    <w:t>值</w:t>
                  </w:r>
                </w:p>
              </w:tc>
              <w:tc>
                <w:tcPr>
                  <w:tcW w:w="1361"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1.1</w:t>
                  </w:r>
                </w:p>
              </w:tc>
              <w:tc>
                <w:tcPr>
                  <w:tcW w:w="1414"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4</w:t>
                  </w:r>
                </w:p>
              </w:tc>
              <w:tc>
                <w:tcPr>
                  <w:tcW w:w="1200"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27.5</w:t>
                  </w:r>
                </w:p>
              </w:tc>
              <w:tc>
                <w:tcPr>
                  <w:tcW w:w="1210"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43" w:type="dxa"/>
                  <w:noWrap w:val="0"/>
                  <w:vAlign w:val="center"/>
                </w:tcPr>
                <w:p>
                  <w:pPr>
                    <w:adjustRightInd w:val="0"/>
                    <w:snapToGrid w:val="0"/>
                    <w:spacing w:line="240" w:lineRule="auto"/>
                    <w:jc w:val="center"/>
                    <w:rPr>
                      <w:rFonts w:hint="default" w:ascii="宋体" w:hAnsi="宋体" w:eastAsia="宋体" w:cs="宋体"/>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O</w:t>
                  </w:r>
                  <w:r>
                    <w:rPr>
                      <w:rFonts w:hint="default" w:ascii="Times New Roman" w:hAnsi="Times New Roman" w:eastAsia="宋体" w:cs="Times New Roman"/>
                      <w:i w:val="0"/>
                      <w:iCs w:val="0"/>
                      <w:caps w:val="0"/>
                      <w:color w:val="333333"/>
                      <w:spacing w:val="0"/>
                      <w:sz w:val="21"/>
                      <w:szCs w:val="21"/>
                      <w:shd w:val="clear" w:color="auto" w:fill="FFFFFF"/>
                      <w:vertAlign w:val="subscript"/>
                      <w:lang w:val="en-US" w:eastAsia="zh-CN"/>
                    </w:rPr>
                    <w:t>3</w:t>
                  </w:r>
                </w:p>
              </w:tc>
              <w:tc>
                <w:tcPr>
                  <w:tcW w:w="1746"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rPr>
                    <w:t>最大</w:t>
                  </w:r>
                  <w:r>
                    <w:rPr>
                      <w:rFonts w:hint="default" w:ascii="Times New Roman" w:hAnsi="Times New Roman" w:eastAsia="宋体" w:cs="Times New Roman"/>
                      <w:i w:val="0"/>
                      <w:iCs w:val="0"/>
                      <w:caps w:val="0"/>
                      <w:color w:val="333333"/>
                      <w:spacing w:val="0"/>
                      <w:sz w:val="21"/>
                      <w:szCs w:val="21"/>
                      <w:shd w:val="clear" w:color="auto" w:fill="FFFFFF"/>
                    </w:rPr>
                    <w:t>8</w:t>
                  </w:r>
                  <w:r>
                    <w:rPr>
                      <w:rFonts w:hint="eastAsia" w:ascii="宋体" w:hAnsi="宋体" w:eastAsia="宋体" w:cs="宋体"/>
                      <w:i w:val="0"/>
                      <w:iCs w:val="0"/>
                      <w:caps w:val="0"/>
                      <w:color w:val="333333"/>
                      <w:spacing w:val="0"/>
                      <w:sz w:val="21"/>
                      <w:szCs w:val="21"/>
                      <w:shd w:val="clear" w:color="auto" w:fill="FFFFFF"/>
                    </w:rPr>
                    <w:t>小时滑动平均浓度</w:t>
                  </w:r>
                  <w:r>
                    <w:rPr>
                      <w:rFonts w:hint="eastAsia" w:ascii="宋体" w:hAnsi="宋体" w:eastAsia="宋体" w:cs="宋体"/>
                      <w:i w:val="0"/>
                      <w:iCs w:val="0"/>
                      <w:caps w:val="0"/>
                      <w:color w:val="333333"/>
                      <w:spacing w:val="0"/>
                      <w:sz w:val="21"/>
                      <w:szCs w:val="21"/>
                      <w:shd w:val="clear" w:color="auto" w:fill="FFFFFF"/>
                      <w:lang w:eastAsia="zh-CN"/>
                    </w:rPr>
                    <w:t>值</w:t>
                  </w:r>
                </w:p>
              </w:tc>
              <w:tc>
                <w:tcPr>
                  <w:tcW w:w="1361"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138</w:t>
                  </w:r>
                </w:p>
              </w:tc>
              <w:tc>
                <w:tcPr>
                  <w:tcW w:w="1414"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t>160</w:t>
                  </w:r>
                </w:p>
              </w:tc>
              <w:tc>
                <w:tcPr>
                  <w:tcW w:w="1200" w:type="dxa"/>
                  <w:noWrap w:val="0"/>
                  <w:vAlign w:val="center"/>
                </w:tcPr>
                <w:p>
                  <w:pPr>
                    <w:adjustRightInd w:val="0"/>
                    <w:snapToGrid w:val="0"/>
                    <w:spacing w:line="240" w:lineRule="auto"/>
                    <w:jc w:val="center"/>
                    <w:rPr>
                      <w:rFonts w:hint="default" w:ascii="Times New Roman" w:hAnsi="Times New Roman" w:eastAsia="宋体" w:cs="Times New Roman"/>
                      <w:i w:val="0"/>
                      <w:iCs w:val="0"/>
                      <w:caps w:val="0"/>
                      <w:color w:val="333333"/>
                      <w:spacing w:val="0"/>
                      <w:sz w:val="21"/>
                      <w:szCs w:val="21"/>
                      <w:shd w:val="clear" w:color="auto" w:fill="FFFFFF"/>
                      <w:vertAlign w:val="baseline"/>
                      <w:lang w:val="en-US" w:eastAsia="zh-CN"/>
                    </w:rPr>
                  </w:pPr>
                  <w:r>
                    <w:rPr>
                      <w:rFonts w:hint="eastAsia" w:cs="Times New Roman"/>
                      <w:i w:val="0"/>
                      <w:iCs w:val="0"/>
                      <w:caps w:val="0"/>
                      <w:color w:val="333333"/>
                      <w:spacing w:val="0"/>
                      <w:sz w:val="21"/>
                      <w:szCs w:val="21"/>
                      <w:shd w:val="clear" w:color="auto" w:fill="FFFFFF"/>
                      <w:vertAlign w:val="baseline"/>
                      <w:lang w:val="en-US" w:eastAsia="zh-CN"/>
                    </w:rPr>
                    <w:t>86.3</w:t>
                  </w:r>
                </w:p>
              </w:tc>
              <w:tc>
                <w:tcPr>
                  <w:tcW w:w="1210" w:type="dxa"/>
                  <w:noWrap w:val="0"/>
                  <w:vAlign w:val="center"/>
                </w:tcPr>
                <w:p>
                  <w:pPr>
                    <w:adjustRightInd w:val="0"/>
                    <w:snapToGrid w:val="0"/>
                    <w:spacing w:line="240" w:lineRule="auto"/>
                    <w:jc w:val="center"/>
                    <w:rPr>
                      <w:rFonts w:hint="eastAsia" w:ascii="宋体" w:hAnsi="宋体" w:eastAsia="宋体" w:cs="宋体"/>
                      <w:i w:val="0"/>
                      <w:iCs w:val="0"/>
                      <w:caps w:val="0"/>
                      <w:color w:val="333333"/>
                      <w:spacing w:val="0"/>
                      <w:sz w:val="21"/>
                      <w:szCs w:val="21"/>
                      <w:shd w:val="clear" w:color="auto" w:fill="FFFFFF"/>
                      <w:vertAlign w:val="baseline"/>
                      <w:lang w:val="en-US" w:eastAsia="zh-CN"/>
                    </w:rPr>
                  </w:pPr>
                  <w:r>
                    <w:rPr>
                      <w:rFonts w:hint="eastAsia" w:ascii="宋体" w:hAnsi="宋体" w:eastAsia="宋体" w:cs="宋体"/>
                      <w:i w:val="0"/>
                      <w:iCs w:val="0"/>
                      <w:caps w:val="0"/>
                      <w:color w:val="333333"/>
                      <w:spacing w:val="0"/>
                      <w:sz w:val="21"/>
                      <w:szCs w:val="21"/>
                      <w:shd w:val="clear" w:color="auto" w:fill="FFFFFF"/>
                      <w:vertAlign w:val="baseline"/>
                      <w:lang w:val="en-US" w:eastAsia="zh-CN"/>
                    </w:rPr>
                    <w:t>达标</w:t>
                  </w:r>
                </w:p>
              </w:tc>
            </w:tr>
          </w:tbl>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i w:val="0"/>
                <w:iCs w:val="0"/>
                <w:caps w:val="0"/>
                <w:color w:val="333333"/>
                <w:spacing w:val="0"/>
                <w:sz w:val="24"/>
                <w:szCs w:val="24"/>
                <w:shd w:val="clear" w:color="auto" w:fill="FFFFFF"/>
                <w:lang w:val="en-US" w:eastAsia="zh-CN"/>
              </w:rPr>
              <w:t>项目区域为</w:t>
            </w:r>
            <w:r>
              <w:rPr>
                <w:rFonts w:hint="eastAsia" w:ascii="宋体" w:hAnsi="宋体" w:cs="宋体"/>
                <w:i w:val="0"/>
                <w:iCs w:val="0"/>
                <w:caps w:val="0"/>
                <w:color w:val="333333"/>
                <w:spacing w:val="0"/>
                <w:sz w:val="24"/>
                <w:szCs w:val="24"/>
                <w:shd w:val="clear" w:color="auto" w:fill="FFFFFF"/>
                <w:lang w:val="en-US" w:eastAsia="zh-CN"/>
              </w:rPr>
              <w:t>未</w:t>
            </w:r>
            <w:r>
              <w:rPr>
                <w:rFonts w:hint="eastAsia" w:ascii="宋体" w:hAnsi="宋体" w:eastAsia="宋体" w:cs="宋体"/>
                <w:i w:val="0"/>
                <w:iCs w:val="0"/>
                <w:caps w:val="0"/>
                <w:color w:val="333333"/>
                <w:spacing w:val="0"/>
                <w:sz w:val="24"/>
                <w:szCs w:val="24"/>
                <w:shd w:val="clear" w:color="auto" w:fill="FFFFFF"/>
                <w:lang w:val="en-US" w:eastAsia="zh-CN"/>
              </w:rPr>
              <w:t>达标区。</w:t>
            </w:r>
            <w:r>
              <w:rPr>
                <w:rFonts w:hint="eastAsia" w:ascii="宋体" w:hAnsi="宋体" w:eastAsia="宋体" w:cs="宋体"/>
                <w:color w:val="000000"/>
                <w:kern w:val="0"/>
                <w:sz w:val="24"/>
                <w:szCs w:val="24"/>
                <w:lang w:val="en-US" w:eastAsia="zh-CN" w:bidi="ar"/>
              </w:rPr>
              <w:t>不达标污染物为</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24"/>
                <w:szCs w:val="24"/>
                <w:vertAlign w:val="subscript"/>
                <w:lang w:val="en-US" w:eastAsia="zh-CN" w:bidi="ar"/>
              </w:rPr>
              <w:t>2.5</w:t>
            </w:r>
            <w:r>
              <w:rPr>
                <w:rFonts w:hint="eastAsia" w:ascii="宋体" w:hAnsi="宋体" w:eastAsia="宋体" w:cs="宋体"/>
                <w:color w:val="000000"/>
                <w:kern w:val="0"/>
                <w:sz w:val="24"/>
                <w:szCs w:val="24"/>
                <w:lang w:val="en-US" w:eastAsia="zh-CN" w:bidi="ar"/>
              </w:rPr>
              <w:t>，乐山市制定了乐山市大气环境质量限期达标规划（</w:t>
            </w:r>
            <w:r>
              <w:rPr>
                <w:rFonts w:hint="default" w:ascii="Times New Roman" w:hAnsi="Times New Roman" w:eastAsia="宋体" w:cs="Times New Roman"/>
                <w:color w:val="000000"/>
                <w:kern w:val="0"/>
                <w:sz w:val="24"/>
                <w:szCs w:val="24"/>
                <w:lang w:val="en-US" w:eastAsia="zh-CN" w:bidi="ar"/>
              </w:rPr>
              <w:t>2016</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年），明确大气污染防治措施，力争在</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年底前实现空气质量全面达标。</w:t>
            </w:r>
          </w:p>
          <w:p>
            <w:pPr>
              <w:adjustRightInd w:val="0"/>
              <w:snapToGrid w:val="0"/>
              <w:spacing w:line="360" w:lineRule="auto"/>
              <w:ind w:firstLine="482" w:firstLineChars="200"/>
              <w:jc w:val="left"/>
              <w:rPr>
                <w:rFonts w:hint="default" w:ascii="宋体" w:hAnsi="宋体" w:eastAsia="宋体" w:cs="宋体"/>
                <w:b/>
                <w:bCs/>
                <w:i w:val="0"/>
                <w:iCs w:val="0"/>
                <w:caps w:val="0"/>
                <w:color w:val="333333"/>
                <w:spacing w:val="0"/>
                <w:sz w:val="24"/>
                <w:szCs w:val="24"/>
                <w:shd w:val="clear" w:color="auto" w:fill="FFFFFF"/>
                <w:lang w:val="en-US" w:eastAsia="zh-CN"/>
              </w:rPr>
            </w:pPr>
            <w:r>
              <w:rPr>
                <w:rFonts w:hint="default" w:ascii="Times New Roman" w:hAnsi="Times New Roman" w:eastAsia="宋体" w:cs="Times New Roman"/>
                <w:b/>
                <w:bCs/>
                <w:i w:val="0"/>
                <w:iCs w:val="0"/>
                <w:caps w:val="0"/>
                <w:color w:val="333333"/>
                <w:spacing w:val="0"/>
                <w:sz w:val="24"/>
                <w:szCs w:val="24"/>
                <w:shd w:val="clear" w:color="auto" w:fill="FFFFFF"/>
                <w:lang w:val="en-US" w:eastAsia="zh-CN"/>
              </w:rPr>
              <w:t>2.</w:t>
            </w:r>
            <w:r>
              <w:rPr>
                <w:rFonts w:hint="eastAsia" w:ascii="宋体" w:hAnsi="宋体" w:eastAsia="宋体" w:cs="宋体"/>
                <w:b/>
                <w:bCs/>
                <w:i w:val="0"/>
                <w:iCs w:val="0"/>
                <w:caps w:val="0"/>
                <w:color w:val="333333"/>
                <w:spacing w:val="0"/>
                <w:sz w:val="24"/>
                <w:szCs w:val="24"/>
                <w:shd w:val="clear" w:color="auto" w:fill="FFFFFF"/>
                <w:lang w:val="en-US" w:eastAsia="zh-CN"/>
              </w:rPr>
              <w:t>大气污染防治措施与行动</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乐山市制定了乐山市大气环境质量限期达标规划（</w:t>
            </w:r>
            <w:r>
              <w:rPr>
                <w:rFonts w:hint="default" w:ascii="Times New Roman" w:hAnsi="Times New Roman" w:eastAsia="宋体" w:cs="Times New Roman"/>
                <w:color w:val="000000"/>
                <w:kern w:val="0"/>
                <w:sz w:val="24"/>
                <w:szCs w:val="24"/>
                <w:lang w:val="en-US" w:eastAsia="zh-CN" w:bidi="ar"/>
              </w:rPr>
              <w:t>2016</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年），明确大气污染防治措施，力争在</w:t>
            </w:r>
            <w:r>
              <w:rPr>
                <w:rFonts w:hint="default" w:ascii="Times New Roman" w:hAnsi="Times New Roman" w:eastAsia="宋体" w:cs="Times New Roman"/>
                <w:color w:val="000000"/>
                <w:kern w:val="0"/>
                <w:sz w:val="24"/>
                <w:szCs w:val="24"/>
                <w:lang w:val="en-US" w:eastAsia="zh-CN" w:bidi="ar"/>
              </w:rPr>
              <w:t>2025</w:t>
            </w:r>
            <w:r>
              <w:rPr>
                <w:rFonts w:hint="eastAsia" w:ascii="宋体" w:hAnsi="宋体" w:eastAsia="宋体" w:cs="宋体"/>
                <w:color w:val="000000"/>
                <w:kern w:val="0"/>
                <w:sz w:val="24"/>
                <w:szCs w:val="24"/>
                <w:lang w:val="en-US" w:eastAsia="zh-CN" w:bidi="ar"/>
              </w:rPr>
              <w:t>年底前实现空气质量全面达标。</w:t>
            </w:r>
          </w:p>
          <w:p>
            <w:pPr>
              <w:keepNext w:val="0"/>
              <w:keepLines w:val="0"/>
              <w:widowControl/>
              <w:suppressLineNumbers w:val="0"/>
              <w:spacing w:line="360" w:lineRule="auto"/>
              <w:ind w:firstLine="482" w:firstLineChars="200"/>
              <w:jc w:val="left"/>
              <w:rPr>
                <w:b/>
                <w:bCs/>
                <w:sz w:val="24"/>
                <w:szCs w:val="24"/>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）近期（</w:t>
            </w:r>
            <w:r>
              <w:rPr>
                <w:rFonts w:hint="default" w:ascii="Times New Roman" w:hAnsi="Times New Roman" w:eastAsia="宋体" w:cs="Times New Roman"/>
                <w:b/>
                <w:bCs/>
                <w:color w:val="000000"/>
                <w:kern w:val="0"/>
                <w:sz w:val="24"/>
                <w:szCs w:val="24"/>
                <w:lang w:val="en-US" w:eastAsia="zh-CN" w:bidi="ar"/>
              </w:rPr>
              <w:t>2017-2020</w:t>
            </w: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以减排促改善</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十三五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期间，通过控煤、控车、控尘以及调工业布局、调产业结构、调能源结构和成都平原经济区、各县（市、区）、市级部门联动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三控三调三联动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集中攻坚削减大气污染物排放总量。严格执行大气污染物排放限值标准，强力实施产业和能源结构调整、工业污染整治、燃煤和餐饮油烟整治、城市和道路扬尘整治、机动车污染整治、露天焚烧污染整治等六大专项行动，努力解决灰霾问题。针对当前乐山市产业以二产为主，末端治理水平有待提升的特点，近期乐山市空气质量达标措施以落后产能淘汰、重点行业企业末端治理为重要抓手，实现多污染物减排。大力实施煤改电、煤改气；以重点企业末端治理为抓手，提升水泥、钢铁、陶瓷、化工等重点行业污染物治理效率；通过淘汰黄标车、油品升级、机动车排放标准升级等综合管理措施，提升机动车综合管理水平。</w:t>
            </w:r>
          </w:p>
          <w:p>
            <w:pPr>
              <w:keepNext w:val="0"/>
              <w:keepLines w:val="0"/>
              <w:widowControl/>
              <w:suppressLineNumbers w:val="0"/>
              <w:spacing w:line="360" w:lineRule="auto"/>
              <w:ind w:firstLine="480" w:firstLineChars="200"/>
              <w:jc w:val="left"/>
              <w:rPr>
                <w:rFonts w:hint="eastAsia"/>
                <w:sz w:val="24"/>
                <w:szCs w:val="24"/>
                <w:lang w:val="en-US" w:eastAsia="zh-CN"/>
              </w:rPr>
            </w:pPr>
            <w:r>
              <w:rPr>
                <w:rFonts w:hint="eastAsia" w:ascii="宋体" w:hAnsi="宋体" w:eastAsia="宋体" w:cs="宋体"/>
                <w:color w:val="000000"/>
                <w:kern w:val="0"/>
                <w:sz w:val="24"/>
                <w:szCs w:val="24"/>
                <w:lang w:val="en-US" w:eastAsia="zh-CN" w:bidi="ar"/>
              </w:rPr>
              <w:t>通过控制扬尘污染、控制秸秆露天焚烧、控制餐饮污染等手段深化面源治理。综合上述措施切实有效减少多种污染物排放量，初步实现环境空气质量改善</w:t>
            </w:r>
          </w:p>
          <w:p>
            <w:pPr>
              <w:keepNext w:val="0"/>
              <w:keepLines w:val="0"/>
              <w:widowControl/>
              <w:suppressLineNumbers w:val="0"/>
              <w:spacing w:line="360" w:lineRule="auto"/>
              <w:ind w:firstLine="482" w:firstLineChars="200"/>
              <w:jc w:val="left"/>
              <w:rPr>
                <w:rFonts w:hint="eastAsia" w:ascii="宋体" w:hAnsi="宋体" w:eastAsia="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w:t>
            </w:r>
            <w:r>
              <w:rPr>
                <w:rFonts w:hint="default" w:ascii="Times New Roman" w:hAnsi="Times New Roman" w:cs="Times New Roman"/>
                <w:b/>
                <w:bCs/>
                <w:color w:val="000000"/>
                <w:kern w:val="0"/>
                <w:sz w:val="24"/>
                <w:szCs w:val="24"/>
                <w:lang w:val="en-US" w:eastAsia="zh-CN" w:bidi="ar"/>
              </w:rPr>
              <w:t>2</w:t>
            </w:r>
            <w:r>
              <w:rPr>
                <w:rFonts w:hint="eastAsia" w:ascii="宋体" w:hAnsi="宋体" w:cs="宋体"/>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中长期（</w:t>
            </w:r>
            <w:r>
              <w:rPr>
                <w:rFonts w:hint="default" w:ascii="Times New Roman" w:hAnsi="Times New Roman" w:eastAsia="宋体" w:cs="Times New Roman"/>
                <w:b/>
                <w:bCs/>
                <w:color w:val="000000"/>
                <w:kern w:val="0"/>
                <w:sz w:val="24"/>
                <w:szCs w:val="24"/>
                <w:lang w:val="en-US" w:eastAsia="zh-CN" w:bidi="ar"/>
              </w:rPr>
              <w:t>2021</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2025</w:t>
            </w: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调结构促转变、强化源头控制，实现战略转型</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逐步调整产业结构，以大气环境达标倒逼产业转型，逐步实现大气污染控制从末端治理到源头控制过渡，加快工业发展绿色化进程。这一时期大气污染排放量控制的重点将是强化源头的全控制过程。以空间格局及产业布局优化为切入点，通过严格环境准入、企业搬迁、产能淘汰等差异化的空间管理要求，引导经济发展格局有序发展；通过提高环境准入门槛、淘汰落后产能等方式倒逼能源结构和产业结构的优化升级。综合通过资源能源消费总量控制、调整产业结构、空间布局优化等手段从源头控制污染物排放。</w:t>
            </w:r>
          </w:p>
          <w:p>
            <w:pPr>
              <w:keepNext w:val="0"/>
              <w:keepLines w:val="0"/>
              <w:widowControl/>
              <w:suppressLineNumbers w:val="0"/>
              <w:spacing w:line="360" w:lineRule="auto"/>
              <w:ind w:firstLine="482" w:firstLineChars="200"/>
              <w:jc w:val="left"/>
              <w:rPr>
                <w:rFonts w:hint="default" w:ascii="宋体" w:hAnsi="宋体" w:eastAsia="宋体" w:cs="宋体"/>
                <w:b/>
                <w:bCs/>
                <w:i w:val="0"/>
                <w:iCs w:val="0"/>
                <w:caps w:val="0"/>
                <w:color w:val="auto"/>
                <w:spacing w:val="0"/>
                <w:sz w:val="24"/>
                <w:szCs w:val="24"/>
                <w:shd w:val="clear" w:color="auto" w:fill="FFFFFF"/>
                <w:lang w:val="en-US" w:eastAsia="zh-CN"/>
              </w:rPr>
            </w:pPr>
            <w:r>
              <w:rPr>
                <w:rFonts w:hint="default" w:ascii="Times New Roman" w:hAnsi="Times New Roman" w:eastAsia="宋体" w:cs="Times New Roman"/>
                <w:b/>
                <w:bCs/>
                <w:i w:val="0"/>
                <w:iCs w:val="0"/>
                <w:caps w:val="0"/>
                <w:color w:val="auto"/>
                <w:spacing w:val="0"/>
                <w:sz w:val="24"/>
                <w:szCs w:val="24"/>
                <w:shd w:val="clear" w:color="auto" w:fill="FFFFFF"/>
                <w:lang w:val="en-US" w:eastAsia="zh-CN"/>
              </w:rPr>
              <w:t>3.</w:t>
            </w:r>
            <w:r>
              <w:rPr>
                <w:rFonts w:hint="eastAsia" w:ascii="宋体" w:hAnsi="宋体" w:eastAsia="宋体" w:cs="宋体"/>
                <w:b/>
                <w:bCs/>
                <w:i w:val="0"/>
                <w:iCs w:val="0"/>
                <w:caps w:val="0"/>
                <w:color w:val="auto"/>
                <w:spacing w:val="0"/>
                <w:sz w:val="24"/>
                <w:szCs w:val="24"/>
                <w:shd w:val="clear" w:color="auto" w:fill="FFFFFF"/>
                <w:lang w:val="en-US" w:eastAsia="zh-CN"/>
              </w:rPr>
              <w:t>其他污染物</w:t>
            </w:r>
          </w:p>
          <w:p>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本项目主要污染物为颗粒物，颗粒物环境质量现状引用</w:t>
            </w:r>
            <w:r>
              <w:rPr>
                <w:rFonts w:hint="eastAsia"/>
                <w:color w:val="auto"/>
                <w:kern w:val="0"/>
                <w:sz w:val="24"/>
              </w:rPr>
              <w:t>四川锡水金山环保科技有限公司于</w:t>
            </w:r>
            <w:r>
              <w:rPr>
                <w:color w:val="auto"/>
                <w:sz w:val="24"/>
              </w:rPr>
              <w:t>202</w:t>
            </w:r>
            <w:r>
              <w:rPr>
                <w:rFonts w:hint="eastAsia"/>
                <w:color w:val="auto"/>
                <w:sz w:val="24"/>
              </w:rPr>
              <w:t>1</w:t>
            </w:r>
            <w:r>
              <w:rPr>
                <w:color w:val="auto"/>
                <w:sz w:val="24"/>
              </w:rPr>
              <w:t>年</w:t>
            </w:r>
            <w:r>
              <w:rPr>
                <w:rFonts w:hint="eastAsia"/>
                <w:color w:val="auto"/>
                <w:sz w:val="24"/>
              </w:rPr>
              <w:t>6</w:t>
            </w:r>
            <w:r>
              <w:rPr>
                <w:color w:val="auto"/>
                <w:sz w:val="24"/>
              </w:rPr>
              <w:t>月</w:t>
            </w:r>
            <w:r>
              <w:rPr>
                <w:rFonts w:hint="eastAsia"/>
                <w:color w:val="auto"/>
                <w:sz w:val="24"/>
              </w:rPr>
              <w:t>21</w:t>
            </w:r>
            <w:r>
              <w:rPr>
                <w:color w:val="auto"/>
                <w:sz w:val="24"/>
              </w:rPr>
              <w:t>日~</w:t>
            </w:r>
            <w:r>
              <w:rPr>
                <w:rFonts w:hint="eastAsia"/>
                <w:color w:val="auto"/>
                <w:sz w:val="24"/>
              </w:rPr>
              <w:t>23</w:t>
            </w:r>
            <w:r>
              <w:rPr>
                <w:color w:val="auto"/>
                <w:sz w:val="24"/>
              </w:rPr>
              <w:t>日</w:t>
            </w:r>
            <w:r>
              <w:rPr>
                <w:rFonts w:hint="eastAsia" w:ascii="宋体" w:hAnsi="宋体" w:eastAsia="宋体" w:cs="宋体"/>
                <w:color w:val="auto"/>
                <w:kern w:val="0"/>
                <w:sz w:val="24"/>
                <w:szCs w:val="24"/>
                <w:lang w:val="en-US" w:eastAsia="zh-CN" w:bidi="ar"/>
              </w:rPr>
              <w:t>对《</w:t>
            </w:r>
            <w:r>
              <w:rPr>
                <w:rFonts w:hint="eastAsia"/>
                <w:color w:val="auto"/>
                <w:sz w:val="24"/>
              </w:rPr>
              <w:t>年产100万立方米预拌砂浆及商品混凝土项目</w:t>
            </w:r>
            <w:r>
              <w:rPr>
                <w:rFonts w:hint="eastAsia" w:ascii="宋体" w:hAnsi="宋体" w:eastAsia="宋体" w:cs="宋体"/>
                <w:color w:val="auto"/>
                <w:kern w:val="0"/>
                <w:sz w:val="24"/>
                <w:szCs w:val="24"/>
                <w:lang w:val="en-US" w:eastAsia="zh-CN" w:bidi="ar"/>
              </w:rPr>
              <w:t>》现场监测数据，</w:t>
            </w:r>
            <w:r>
              <w:rPr>
                <w:rFonts w:hint="eastAsia" w:ascii="宋体" w:hAnsi="宋体" w:eastAsia="宋体" w:cs="宋体"/>
                <w:b/>
                <w:bCs/>
                <w:color w:val="auto"/>
                <w:kern w:val="0"/>
                <w:sz w:val="24"/>
                <w:szCs w:val="24"/>
                <w:lang w:val="en-US" w:eastAsia="zh-CN" w:bidi="ar"/>
              </w:rPr>
              <w:t>该项目位于本项目西侧</w:t>
            </w:r>
            <w:r>
              <w:rPr>
                <w:rFonts w:hint="default" w:ascii="Times New Roman" w:hAnsi="Times New Roman" w:eastAsia="宋体" w:cs="Times New Roman"/>
                <w:b/>
                <w:bCs/>
                <w:color w:val="auto"/>
                <w:kern w:val="0"/>
                <w:sz w:val="24"/>
                <w:szCs w:val="24"/>
                <w:lang w:val="en-US" w:eastAsia="zh-CN" w:bidi="ar"/>
              </w:rPr>
              <w:t>2</w:t>
            </w:r>
            <w:r>
              <w:rPr>
                <w:rFonts w:hint="eastAsia" w:ascii="Times New Roman" w:hAnsi="Times New Roman" w:eastAsia="宋体"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0m</w:t>
            </w:r>
            <w:r>
              <w:rPr>
                <w:rFonts w:hint="eastAsia" w:ascii="宋体" w:hAnsi="宋体" w:eastAsia="宋体" w:cs="宋体"/>
                <w:color w:val="auto"/>
                <w:kern w:val="0"/>
                <w:sz w:val="24"/>
                <w:szCs w:val="24"/>
                <w:lang w:val="en-US" w:eastAsia="zh-CN" w:bidi="ar"/>
              </w:rPr>
              <w:t>，引用数据有效，根据监测报告，大气环境质量现状如下：</w:t>
            </w:r>
          </w:p>
          <w:p>
            <w:pPr>
              <w:adjustRightInd w:val="0"/>
              <w:snapToGrid w:val="0"/>
              <w:spacing w:line="240" w:lineRule="auto"/>
              <w:jc w:val="center"/>
              <w:rPr>
                <w:rFonts w:hint="eastAsia"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表3-2  环境空气质量现状监测点</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123"/>
              <w:gridCol w:w="2381"/>
              <w:gridCol w:w="168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8" w:type="dxa"/>
                  <w:noWrap w:val="0"/>
                  <w:vAlign w:val="center"/>
                </w:tcPr>
                <w:p>
                  <w:pPr>
                    <w:spacing w:line="280" w:lineRule="exact"/>
                    <w:jc w:val="center"/>
                    <w:rPr>
                      <w:b/>
                      <w:bCs/>
                      <w:color w:val="auto"/>
                      <w:szCs w:val="21"/>
                    </w:rPr>
                  </w:pPr>
                  <w:r>
                    <w:rPr>
                      <w:b/>
                      <w:bCs/>
                      <w:color w:val="auto"/>
                      <w:szCs w:val="21"/>
                    </w:rPr>
                    <w:t>监测点名称</w:t>
                  </w:r>
                </w:p>
              </w:tc>
              <w:tc>
                <w:tcPr>
                  <w:tcW w:w="1134" w:type="dxa"/>
                  <w:noWrap w:val="0"/>
                  <w:vAlign w:val="center"/>
                </w:tcPr>
                <w:p>
                  <w:pPr>
                    <w:spacing w:line="280" w:lineRule="exact"/>
                    <w:jc w:val="center"/>
                    <w:rPr>
                      <w:b/>
                      <w:bCs/>
                      <w:color w:val="auto"/>
                      <w:szCs w:val="21"/>
                    </w:rPr>
                  </w:pPr>
                  <w:r>
                    <w:rPr>
                      <w:b/>
                      <w:bCs/>
                      <w:color w:val="auto"/>
                      <w:szCs w:val="21"/>
                    </w:rPr>
                    <w:t>监测因子</w:t>
                  </w:r>
                </w:p>
              </w:tc>
              <w:tc>
                <w:tcPr>
                  <w:tcW w:w="2410" w:type="dxa"/>
                  <w:noWrap w:val="0"/>
                  <w:vAlign w:val="center"/>
                </w:tcPr>
                <w:p>
                  <w:pPr>
                    <w:spacing w:line="280" w:lineRule="exact"/>
                    <w:jc w:val="center"/>
                    <w:rPr>
                      <w:b/>
                      <w:bCs/>
                      <w:color w:val="auto"/>
                      <w:szCs w:val="21"/>
                    </w:rPr>
                  </w:pPr>
                  <w:r>
                    <w:rPr>
                      <w:b/>
                      <w:bCs/>
                      <w:color w:val="auto"/>
                      <w:szCs w:val="21"/>
                    </w:rPr>
                    <w:t>监测时间</w:t>
                  </w:r>
                </w:p>
              </w:tc>
              <w:tc>
                <w:tcPr>
                  <w:tcW w:w="1701" w:type="dxa"/>
                  <w:noWrap w:val="0"/>
                  <w:vAlign w:val="center"/>
                </w:tcPr>
                <w:p>
                  <w:pPr>
                    <w:spacing w:line="280" w:lineRule="exact"/>
                    <w:jc w:val="center"/>
                    <w:rPr>
                      <w:b/>
                      <w:bCs/>
                      <w:color w:val="auto"/>
                      <w:szCs w:val="21"/>
                    </w:rPr>
                  </w:pPr>
                  <w:r>
                    <w:rPr>
                      <w:b/>
                      <w:bCs/>
                      <w:color w:val="auto"/>
                      <w:szCs w:val="21"/>
                    </w:rPr>
                    <w:t>相对项目方位</w:t>
                  </w:r>
                </w:p>
              </w:tc>
              <w:tc>
                <w:tcPr>
                  <w:tcW w:w="1852" w:type="dxa"/>
                  <w:noWrap w:val="0"/>
                  <w:vAlign w:val="center"/>
                </w:tcPr>
                <w:p>
                  <w:pPr>
                    <w:spacing w:line="280" w:lineRule="exact"/>
                    <w:jc w:val="center"/>
                    <w:rPr>
                      <w:b/>
                      <w:bCs/>
                      <w:color w:val="auto"/>
                      <w:szCs w:val="21"/>
                    </w:rPr>
                  </w:pPr>
                  <w:r>
                    <w:rPr>
                      <w:b/>
                      <w:bCs/>
                      <w:color w:val="auto"/>
                      <w:szCs w:val="21"/>
                    </w:rPr>
                    <w:t>相对项目距离/m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398" w:type="dxa"/>
                  <w:noWrap w:val="0"/>
                  <w:vAlign w:val="center"/>
                </w:tcPr>
                <w:p>
                  <w:pPr>
                    <w:spacing w:line="280" w:lineRule="exact"/>
                    <w:jc w:val="center"/>
                    <w:rPr>
                      <w:bCs/>
                      <w:color w:val="auto"/>
                      <w:szCs w:val="21"/>
                    </w:rPr>
                  </w:pPr>
                  <w:r>
                    <w:rPr>
                      <w:bCs/>
                      <w:color w:val="auto"/>
                      <w:szCs w:val="21"/>
                    </w:rPr>
                    <w:t xml:space="preserve">1# </w:t>
                  </w:r>
                </w:p>
              </w:tc>
              <w:tc>
                <w:tcPr>
                  <w:tcW w:w="1134" w:type="dxa"/>
                  <w:noWrap w:val="0"/>
                  <w:vAlign w:val="center"/>
                </w:tcPr>
                <w:p>
                  <w:pPr>
                    <w:spacing w:line="280" w:lineRule="exact"/>
                    <w:jc w:val="center"/>
                    <w:rPr>
                      <w:bCs/>
                      <w:color w:val="auto"/>
                      <w:szCs w:val="21"/>
                    </w:rPr>
                  </w:pPr>
                  <w:r>
                    <w:rPr>
                      <w:rFonts w:hint="eastAsia"/>
                      <w:bCs/>
                      <w:color w:val="auto"/>
                      <w:szCs w:val="21"/>
                    </w:rPr>
                    <w:t>总悬浮颗粒物</w:t>
                  </w:r>
                </w:p>
              </w:tc>
              <w:tc>
                <w:tcPr>
                  <w:tcW w:w="2410" w:type="dxa"/>
                  <w:noWrap w:val="0"/>
                  <w:vAlign w:val="center"/>
                </w:tcPr>
                <w:p>
                  <w:pPr>
                    <w:spacing w:line="280" w:lineRule="exact"/>
                    <w:jc w:val="center"/>
                    <w:rPr>
                      <w:bCs/>
                      <w:color w:val="auto"/>
                      <w:szCs w:val="21"/>
                    </w:rPr>
                  </w:pPr>
                  <w:r>
                    <w:rPr>
                      <w:bCs/>
                      <w:color w:val="auto"/>
                      <w:szCs w:val="21"/>
                    </w:rPr>
                    <w:t>202</w:t>
                  </w:r>
                  <w:r>
                    <w:rPr>
                      <w:rFonts w:hint="eastAsia"/>
                      <w:bCs/>
                      <w:color w:val="auto"/>
                      <w:szCs w:val="21"/>
                    </w:rPr>
                    <w:t>1</w:t>
                  </w:r>
                  <w:r>
                    <w:rPr>
                      <w:bCs/>
                      <w:color w:val="auto"/>
                      <w:szCs w:val="21"/>
                    </w:rPr>
                    <w:t>年</w:t>
                  </w:r>
                  <w:r>
                    <w:rPr>
                      <w:rFonts w:hint="eastAsia"/>
                      <w:bCs/>
                      <w:color w:val="auto"/>
                      <w:szCs w:val="21"/>
                    </w:rPr>
                    <w:t>6</w:t>
                  </w:r>
                  <w:r>
                    <w:rPr>
                      <w:bCs/>
                      <w:color w:val="auto"/>
                      <w:szCs w:val="21"/>
                    </w:rPr>
                    <w:t>月</w:t>
                  </w:r>
                  <w:r>
                    <w:rPr>
                      <w:rFonts w:hint="eastAsia"/>
                      <w:bCs/>
                      <w:color w:val="auto"/>
                      <w:szCs w:val="21"/>
                    </w:rPr>
                    <w:t>21</w:t>
                  </w:r>
                  <w:r>
                    <w:rPr>
                      <w:bCs/>
                      <w:color w:val="auto"/>
                      <w:szCs w:val="21"/>
                    </w:rPr>
                    <w:t>日~</w:t>
                  </w:r>
                  <w:r>
                    <w:rPr>
                      <w:rFonts w:hint="eastAsia"/>
                      <w:bCs/>
                      <w:color w:val="auto"/>
                      <w:szCs w:val="21"/>
                    </w:rPr>
                    <w:t>23</w:t>
                  </w:r>
                  <w:r>
                    <w:rPr>
                      <w:bCs/>
                      <w:color w:val="auto"/>
                      <w:szCs w:val="21"/>
                    </w:rPr>
                    <w:t>日</w:t>
                  </w:r>
                </w:p>
              </w:tc>
              <w:tc>
                <w:tcPr>
                  <w:tcW w:w="1701" w:type="dxa"/>
                  <w:noWrap w:val="0"/>
                  <w:vAlign w:val="center"/>
                </w:tcPr>
                <w:p>
                  <w:pPr>
                    <w:spacing w:line="280" w:lineRule="exact"/>
                    <w:jc w:val="center"/>
                    <w:rPr>
                      <w:bCs/>
                      <w:color w:val="auto"/>
                      <w:szCs w:val="21"/>
                    </w:rPr>
                  </w:pPr>
                  <w:r>
                    <w:rPr>
                      <w:rFonts w:hint="eastAsia"/>
                      <w:bCs/>
                      <w:color w:val="auto"/>
                      <w:szCs w:val="21"/>
                    </w:rPr>
                    <w:t>东</w:t>
                  </w:r>
                  <w:r>
                    <w:rPr>
                      <w:bCs/>
                      <w:color w:val="auto"/>
                      <w:szCs w:val="21"/>
                    </w:rPr>
                    <w:t>南面</w:t>
                  </w:r>
                  <w:r>
                    <w:rPr>
                      <w:rFonts w:hint="eastAsia"/>
                      <w:bCs/>
                      <w:color w:val="auto"/>
                      <w:szCs w:val="21"/>
                    </w:rPr>
                    <w:t>，白玉村</w:t>
                  </w:r>
                </w:p>
              </w:tc>
              <w:tc>
                <w:tcPr>
                  <w:tcW w:w="1852" w:type="dxa"/>
                  <w:noWrap w:val="0"/>
                  <w:vAlign w:val="center"/>
                </w:tcPr>
                <w:p>
                  <w:pPr>
                    <w:spacing w:line="280" w:lineRule="exact"/>
                    <w:jc w:val="center"/>
                    <w:rPr>
                      <w:bCs/>
                      <w:color w:val="auto"/>
                      <w:szCs w:val="21"/>
                    </w:rPr>
                  </w:pPr>
                  <w:r>
                    <w:rPr>
                      <w:rFonts w:hint="eastAsia"/>
                      <w:bCs/>
                      <w:color w:val="auto"/>
                      <w:szCs w:val="21"/>
                    </w:rPr>
                    <w:t>400</w:t>
                  </w:r>
                </w:p>
              </w:tc>
            </w:tr>
          </w:tbl>
          <w:p>
            <w:pPr>
              <w:pStyle w:val="161"/>
              <w:keepNext w:val="0"/>
              <w:keepLines w:val="0"/>
              <w:pageBreakBefore w:val="0"/>
              <w:widowControl w:val="0"/>
              <w:kinsoku/>
              <w:wordWrap/>
              <w:overflowPunct/>
              <w:topLinePunct w:val="0"/>
              <w:autoSpaceDE/>
              <w:autoSpaceDN/>
              <w:bidi w:val="0"/>
              <w:adjustRightInd w:val="0"/>
              <w:snapToGrid/>
              <w:spacing w:before="157" w:beforeLines="50"/>
              <w:jc w:val="left"/>
              <w:textAlignment w:val="auto"/>
              <w:rPr>
                <w:color w:val="auto"/>
                <w:szCs w:val="22"/>
              </w:rPr>
            </w:pPr>
            <w:r>
              <w:rPr>
                <w:color w:val="auto"/>
                <w:szCs w:val="22"/>
              </w:rPr>
              <w:t>（1）监测方法</w:t>
            </w:r>
          </w:p>
          <w:p>
            <w:pPr>
              <w:adjustRightInd w:val="0"/>
              <w:snapToGrid w:val="0"/>
              <w:spacing w:line="240" w:lineRule="auto"/>
              <w:jc w:val="center"/>
              <w:rPr>
                <w:rFonts w:hint="eastAsia"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表3-3  环境空气分析方法及来源、检出限</w:t>
            </w:r>
          </w:p>
          <w:tbl>
            <w:tblPr>
              <w:tblStyle w:val="38"/>
              <w:tblW w:w="86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484"/>
              <w:gridCol w:w="1088"/>
              <w:gridCol w:w="1923"/>
              <w:gridCol w:w="199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42" w:type="dxa"/>
                  <w:noWrap w:val="0"/>
                  <w:vAlign w:val="center"/>
                </w:tcPr>
                <w:p>
                  <w:pPr>
                    <w:spacing w:line="280" w:lineRule="exact"/>
                    <w:jc w:val="center"/>
                    <w:rPr>
                      <w:b/>
                      <w:bCs/>
                      <w:color w:val="auto"/>
                      <w:szCs w:val="21"/>
                    </w:rPr>
                  </w:pPr>
                  <w:r>
                    <w:rPr>
                      <w:b/>
                      <w:bCs/>
                      <w:color w:val="auto"/>
                      <w:szCs w:val="21"/>
                    </w:rPr>
                    <w:t>序号</w:t>
                  </w:r>
                </w:p>
              </w:tc>
              <w:tc>
                <w:tcPr>
                  <w:tcW w:w="1559" w:type="dxa"/>
                  <w:noWrap w:val="0"/>
                  <w:vAlign w:val="center"/>
                </w:tcPr>
                <w:p>
                  <w:pPr>
                    <w:spacing w:line="280" w:lineRule="exact"/>
                    <w:jc w:val="center"/>
                    <w:rPr>
                      <w:b/>
                      <w:bCs/>
                      <w:color w:val="auto"/>
                      <w:szCs w:val="21"/>
                    </w:rPr>
                  </w:pPr>
                  <w:r>
                    <w:rPr>
                      <w:b/>
                      <w:bCs/>
                      <w:color w:val="auto"/>
                      <w:szCs w:val="21"/>
                    </w:rPr>
                    <w:t>监测项目</w:t>
                  </w:r>
                </w:p>
              </w:tc>
              <w:tc>
                <w:tcPr>
                  <w:tcW w:w="1134" w:type="dxa"/>
                  <w:noWrap w:val="0"/>
                  <w:vAlign w:val="center"/>
                </w:tcPr>
                <w:p>
                  <w:pPr>
                    <w:spacing w:line="280" w:lineRule="exact"/>
                    <w:jc w:val="center"/>
                    <w:rPr>
                      <w:b/>
                      <w:bCs/>
                      <w:color w:val="auto"/>
                      <w:szCs w:val="21"/>
                    </w:rPr>
                  </w:pPr>
                  <w:r>
                    <w:rPr>
                      <w:b/>
                      <w:bCs/>
                      <w:color w:val="auto"/>
                      <w:szCs w:val="21"/>
                    </w:rPr>
                    <w:t>分析方法</w:t>
                  </w:r>
                </w:p>
              </w:tc>
              <w:tc>
                <w:tcPr>
                  <w:tcW w:w="1843" w:type="dxa"/>
                  <w:noWrap w:val="0"/>
                  <w:vAlign w:val="center"/>
                </w:tcPr>
                <w:p>
                  <w:pPr>
                    <w:spacing w:line="280" w:lineRule="exact"/>
                    <w:jc w:val="center"/>
                    <w:rPr>
                      <w:b/>
                      <w:bCs/>
                      <w:color w:val="auto"/>
                      <w:szCs w:val="21"/>
                    </w:rPr>
                  </w:pPr>
                  <w:r>
                    <w:rPr>
                      <w:b/>
                      <w:bCs/>
                      <w:color w:val="auto"/>
                      <w:szCs w:val="21"/>
                    </w:rPr>
                    <w:t>方法来源</w:t>
                  </w:r>
                </w:p>
              </w:tc>
              <w:tc>
                <w:tcPr>
                  <w:tcW w:w="1985" w:type="dxa"/>
                  <w:noWrap w:val="0"/>
                  <w:vAlign w:val="center"/>
                </w:tcPr>
                <w:p>
                  <w:pPr>
                    <w:spacing w:line="280" w:lineRule="exact"/>
                    <w:jc w:val="center"/>
                    <w:rPr>
                      <w:b/>
                      <w:bCs/>
                      <w:color w:val="auto"/>
                      <w:szCs w:val="21"/>
                    </w:rPr>
                  </w:pPr>
                  <w:r>
                    <w:rPr>
                      <w:b/>
                      <w:bCs/>
                      <w:color w:val="auto"/>
                      <w:szCs w:val="21"/>
                    </w:rPr>
                    <w:t>使用仪器</w:t>
                  </w:r>
                </w:p>
              </w:tc>
              <w:tc>
                <w:tcPr>
                  <w:tcW w:w="1338" w:type="dxa"/>
                  <w:noWrap w:val="0"/>
                  <w:vAlign w:val="center"/>
                </w:tcPr>
                <w:p>
                  <w:pPr>
                    <w:spacing w:line="280" w:lineRule="exact"/>
                    <w:jc w:val="center"/>
                    <w:rPr>
                      <w:b/>
                      <w:bCs/>
                      <w:color w:val="auto"/>
                      <w:szCs w:val="21"/>
                    </w:rPr>
                  </w:pPr>
                  <w:r>
                    <w:rPr>
                      <w:b/>
                      <w:bCs/>
                      <w:color w:val="auto"/>
                      <w:szCs w:val="21"/>
                    </w:rPr>
                    <w:t>检出限mg/m</w:t>
                  </w:r>
                  <w:r>
                    <w:rPr>
                      <w:b/>
                      <w:bCs/>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42" w:type="dxa"/>
                  <w:noWrap w:val="0"/>
                  <w:vAlign w:val="center"/>
                </w:tcPr>
                <w:p>
                  <w:pPr>
                    <w:spacing w:line="280" w:lineRule="exact"/>
                    <w:jc w:val="center"/>
                    <w:rPr>
                      <w:bCs/>
                      <w:color w:val="auto"/>
                      <w:szCs w:val="21"/>
                    </w:rPr>
                  </w:pPr>
                  <w:r>
                    <w:rPr>
                      <w:bCs/>
                      <w:color w:val="auto"/>
                      <w:szCs w:val="21"/>
                    </w:rPr>
                    <w:t>1</w:t>
                  </w:r>
                </w:p>
              </w:tc>
              <w:tc>
                <w:tcPr>
                  <w:tcW w:w="1559" w:type="dxa"/>
                  <w:noWrap w:val="0"/>
                  <w:vAlign w:val="center"/>
                </w:tcPr>
                <w:p>
                  <w:pPr>
                    <w:spacing w:line="280" w:lineRule="exact"/>
                    <w:jc w:val="center"/>
                    <w:rPr>
                      <w:bCs/>
                      <w:color w:val="auto"/>
                      <w:szCs w:val="21"/>
                    </w:rPr>
                  </w:pPr>
                  <w:r>
                    <w:rPr>
                      <w:rFonts w:hint="eastAsia"/>
                      <w:bCs/>
                      <w:color w:val="auto"/>
                      <w:szCs w:val="21"/>
                    </w:rPr>
                    <w:t>总悬浮颗粒物</w:t>
                  </w:r>
                </w:p>
              </w:tc>
              <w:tc>
                <w:tcPr>
                  <w:tcW w:w="1134" w:type="dxa"/>
                  <w:noWrap w:val="0"/>
                  <w:vAlign w:val="center"/>
                </w:tcPr>
                <w:p>
                  <w:pPr>
                    <w:spacing w:line="280" w:lineRule="exact"/>
                    <w:jc w:val="center"/>
                    <w:rPr>
                      <w:bCs/>
                      <w:color w:val="auto"/>
                      <w:szCs w:val="21"/>
                    </w:rPr>
                  </w:pPr>
                  <w:r>
                    <w:rPr>
                      <w:bCs/>
                      <w:color w:val="auto"/>
                      <w:szCs w:val="21"/>
                    </w:rPr>
                    <w:t>重量法</w:t>
                  </w:r>
                </w:p>
              </w:tc>
              <w:tc>
                <w:tcPr>
                  <w:tcW w:w="1843" w:type="dxa"/>
                  <w:noWrap w:val="0"/>
                  <w:vAlign w:val="center"/>
                </w:tcPr>
                <w:p>
                  <w:pPr>
                    <w:spacing w:line="280" w:lineRule="exact"/>
                    <w:jc w:val="center"/>
                    <w:rPr>
                      <w:bCs/>
                      <w:color w:val="auto"/>
                      <w:szCs w:val="21"/>
                    </w:rPr>
                  </w:pPr>
                  <w:r>
                    <w:rPr>
                      <w:bCs/>
                      <w:color w:val="auto"/>
                      <w:szCs w:val="21"/>
                    </w:rPr>
                    <w:t>GB/T15432-1995</w:t>
                  </w:r>
                </w:p>
              </w:tc>
              <w:tc>
                <w:tcPr>
                  <w:tcW w:w="1985" w:type="dxa"/>
                  <w:noWrap w:val="0"/>
                  <w:vAlign w:val="center"/>
                </w:tcPr>
                <w:p>
                  <w:pPr>
                    <w:spacing w:line="280" w:lineRule="exact"/>
                    <w:jc w:val="center"/>
                    <w:rPr>
                      <w:rFonts w:hint="eastAsia"/>
                      <w:bCs/>
                      <w:color w:val="auto"/>
                      <w:szCs w:val="21"/>
                    </w:rPr>
                  </w:pPr>
                  <w:r>
                    <w:rPr>
                      <w:rFonts w:hint="eastAsia"/>
                      <w:bCs/>
                      <w:color w:val="auto"/>
                      <w:szCs w:val="21"/>
                    </w:rPr>
                    <w:t>QUINTIX35-1CN</w:t>
                  </w:r>
                </w:p>
                <w:p>
                  <w:pPr>
                    <w:spacing w:line="280" w:lineRule="exact"/>
                    <w:jc w:val="center"/>
                    <w:rPr>
                      <w:rFonts w:hint="eastAsia"/>
                      <w:bCs/>
                      <w:color w:val="auto"/>
                      <w:szCs w:val="21"/>
                    </w:rPr>
                  </w:pPr>
                  <w:r>
                    <w:rPr>
                      <w:rFonts w:hint="eastAsia"/>
                      <w:bCs/>
                      <w:color w:val="auto"/>
                      <w:szCs w:val="21"/>
                    </w:rPr>
                    <w:t>型十万分之一天平</w:t>
                  </w:r>
                </w:p>
              </w:tc>
              <w:tc>
                <w:tcPr>
                  <w:tcW w:w="1338" w:type="dxa"/>
                  <w:noWrap w:val="0"/>
                  <w:vAlign w:val="center"/>
                </w:tcPr>
                <w:p>
                  <w:pPr>
                    <w:spacing w:line="280" w:lineRule="exact"/>
                    <w:jc w:val="center"/>
                    <w:rPr>
                      <w:bCs/>
                      <w:color w:val="auto"/>
                      <w:szCs w:val="21"/>
                    </w:rPr>
                  </w:pPr>
                  <w:r>
                    <w:rPr>
                      <w:bCs/>
                      <w:color w:val="auto"/>
                      <w:szCs w:val="21"/>
                    </w:rPr>
                    <w:t>0.001mg/m</w:t>
                  </w:r>
                  <w:r>
                    <w:rPr>
                      <w:bCs/>
                      <w:color w:val="auto"/>
                      <w:szCs w:val="21"/>
                      <w:vertAlign w:val="superscript"/>
                    </w:rPr>
                    <w:t>3</w:t>
                  </w:r>
                </w:p>
              </w:tc>
            </w:tr>
          </w:tbl>
          <w:p>
            <w:pPr>
              <w:pStyle w:val="161"/>
              <w:keepNext w:val="0"/>
              <w:keepLines w:val="0"/>
              <w:pageBreakBefore w:val="0"/>
              <w:widowControl w:val="0"/>
              <w:kinsoku/>
              <w:wordWrap/>
              <w:overflowPunct/>
              <w:topLinePunct w:val="0"/>
              <w:autoSpaceDE/>
              <w:autoSpaceDN/>
              <w:bidi w:val="0"/>
              <w:adjustRightInd w:val="0"/>
              <w:snapToGrid/>
              <w:spacing w:before="157" w:beforeLines="50"/>
              <w:jc w:val="left"/>
              <w:textAlignment w:val="auto"/>
              <w:rPr>
                <w:b/>
                <w:bCs/>
                <w:color w:val="auto"/>
                <w:sz w:val="21"/>
                <w:szCs w:val="21"/>
              </w:rPr>
            </w:pPr>
            <w:r>
              <w:rPr>
                <w:color w:val="auto"/>
                <w:szCs w:val="22"/>
              </w:rPr>
              <w:t>（2）监测结果与统计</w:t>
            </w:r>
          </w:p>
          <w:p>
            <w:pPr>
              <w:pStyle w:val="161"/>
              <w:wordWrap w:val="0"/>
              <w:spacing w:line="240" w:lineRule="auto"/>
              <w:ind w:firstLine="0" w:firstLineChars="0"/>
              <w:jc w:val="right"/>
              <w:rPr>
                <w:b/>
                <w:bCs/>
                <w:color w:val="auto"/>
                <w:sz w:val="24"/>
                <w:szCs w:val="24"/>
              </w:rPr>
            </w:pPr>
            <w:r>
              <w:rPr>
                <w:b/>
                <w:bCs/>
                <w:color w:val="auto"/>
                <w:sz w:val="24"/>
                <w:szCs w:val="24"/>
              </w:rPr>
              <w:t>表3-</w:t>
            </w:r>
            <w:r>
              <w:rPr>
                <w:rFonts w:hint="eastAsia"/>
                <w:b/>
                <w:bCs/>
                <w:color w:val="auto"/>
                <w:sz w:val="24"/>
                <w:szCs w:val="24"/>
              </w:rPr>
              <w:t>5</w:t>
            </w:r>
            <w:r>
              <w:rPr>
                <w:b/>
                <w:bCs/>
                <w:color w:val="auto"/>
                <w:sz w:val="24"/>
                <w:szCs w:val="24"/>
              </w:rPr>
              <w:t xml:space="preserve"> 环境空气检测结果  </w:t>
            </w:r>
            <w:r>
              <w:rPr>
                <w:rFonts w:hint="eastAsia"/>
                <w:b/>
                <w:bCs/>
                <w:color w:val="auto"/>
                <w:sz w:val="24"/>
                <w:szCs w:val="24"/>
              </w:rPr>
              <w:t xml:space="preserve">                </w:t>
            </w:r>
            <w:r>
              <w:rPr>
                <w:b/>
                <w:bCs/>
                <w:color w:val="auto"/>
                <w:sz w:val="24"/>
                <w:szCs w:val="24"/>
              </w:rPr>
              <w:t>单位：mg/m</w:t>
            </w:r>
            <w:r>
              <w:rPr>
                <w:b/>
                <w:bCs/>
                <w:color w:val="auto"/>
                <w:sz w:val="24"/>
                <w:szCs w:val="24"/>
                <w:vertAlign w:val="superscript"/>
              </w:rPr>
              <w:t>3</w:t>
            </w:r>
          </w:p>
          <w:tbl>
            <w:tblPr>
              <w:tblStyle w:val="38"/>
              <w:tblW w:w="84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2557"/>
              <w:gridCol w:w="4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trPr>
              <w:tc>
                <w:tcPr>
                  <w:tcW w:w="4470" w:type="dxa"/>
                  <w:gridSpan w:val="2"/>
                  <w:tcBorders>
                    <w:tl2br w:val="single" w:color="auto" w:sz="4" w:space="0"/>
                  </w:tcBorders>
                  <w:noWrap w:val="0"/>
                  <w:vAlign w:val="center"/>
                </w:tcPr>
                <w:p>
                  <w:pPr>
                    <w:spacing w:line="280" w:lineRule="exact"/>
                    <w:jc w:val="center"/>
                    <w:rPr>
                      <w:bCs/>
                      <w:color w:val="auto"/>
                      <w:szCs w:val="21"/>
                    </w:rPr>
                  </w:pPr>
                  <w:r>
                    <w:rPr>
                      <w:bCs/>
                      <w:color w:val="auto"/>
                      <w:szCs w:val="21"/>
                    </w:rPr>
                    <w:t>点位</w:t>
                  </w:r>
                </w:p>
                <w:p>
                  <w:pPr>
                    <w:spacing w:line="280" w:lineRule="exact"/>
                    <w:rPr>
                      <w:bCs/>
                      <w:color w:val="auto"/>
                      <w:szCs w:val="21"/>
                    </w:rPr>
                  </w:pPr>
                  <w:r>
                    <w:rPr>
                      <w:bCs/>
                      <w:color w:val="auto"/>
                      <w:szCs w:val="21"/>
                    </w:rPr>
                    <w:t>项目</w:t>
                  </w:r>
                </w:p>
              </w:tc>
              <w:tc>
                <w:tcPr>
                  <w:tcW w:w="4008" w:type="dxa"/>
                  <w:noWrap w:val="0"/>
                  <w:vAlign w:val="center"/>
                </w:tcPr>
                <w:p>
                  <w:pPr>
                    <w:spacing w:line="280" w:lineRule="exact"/>
                    <w:jc w:val="center"/>
                    <w:rPr>
                      <w:bCs/>
                      <w:color w:val="auto"/>
                      <w:szCs w:val="21"/>
                    </w:rPr>
                  </w:pPr>
                  <w:r>
                    <w:rPr>
                      <w:bCs/>
                      <w:color w:val="auto"/>
                      <w:kern w:val="0"/>
                      <w:szCs w:val="21"/>
                    </w:rPr>
                    <w:t>1#项目</w:t>
                  </w:r>
                  <w:r>
                    <w:rPr>
                      <w:rFonts w:hint="eastAsia"/>
                      <w:bCs/>
                      <w:color w:val="auto"/>
                      <w:kern w:val="0"/>
                      <w:szCs w:val="21"/>
                    </w:rPr>
                    <w:t>东</w:t>
                  </w:r>
                  <w:r>
                    <w:rPr>
                      <w:bCs/>
                      <w:color w:val="auto"/>
                      <w:kern w:val="0"/>
                      <w:szCs w:val="21"/>
                    </w:rPr>
                    <w:t>南面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913" w:type="dxa"/>
                  <w:vMerge w:val="restart"/>
                  <w:noWrap w:val="0"/>
                  <w:vAlign w:val="center"/>
                </w:tcPr>
                <w:p>
                  <w:pPr>
                    <w:spacing w:line="280" w:lineRule="exact"/>
                    <w:jc w:val="center"/>
                    <w:rPr>
                      <w:bCs/>
                      <w:color w:val="auto"/>
                      <w:szCs w:val="21"/>
                    </w:rPr>
                  </w:pPr>
                  <w:r>
                    <w:rPr>
                      <w:rFonts w:hint="eastAsia"/>
                      <w:bCs/>
                      <w:color w:val="auto"/>
                      <w:szCs w:val="21"/>
                    </w:rPr>
                    <w:t>总悬浮颗粒物</w:t>
                  </w:r>
                </w:p>
              </w:tc>
              <w:tc>
                <w:tcPr>
                  <w:tcW w:w="2557" w:type="dxa"/>
                  <w:noWrap w:val="0"/>
                  <w:vAlign w:val="center"/>
                </w:tcPr>
                <w:p>
                  <w:pPr>
                    <w:spacing w:line="280" w:lineRule="exact"/>
                    <w:jc w:val="center"/>
                    <w:rPr>
                      <w:bCs/>
                      <w:color w:val="auto"/>
                      <w:szCs w:val="21"/>
                    </w:rPr>
                  </w:pPr>
                  <w:r>
                    <w:rPr>
                      <w:bCs/>
                      <w:color w:val="auto"/>
                      <w:szCs w:val="21"/>
                    </w:rPr>
                    <w:t>202</w:t>
                  </w:r>
                  <w:r>
                    <w:rPr>
                      <w:rFonts w:hint="eastAsia"/>
                      <w:bCs/>
                      <w:color w:val="auto"/>
                      <w:szCs w:val="21"/>
                    </w:rPr>
                    <w:t>1</w:t>
                  </w:r>
                  <w:r>
                    <w:rPr>
                      <w:bCs/>
                      <w:color w:val="auto"/>
                      <w:szCs w:val="21"/>
                    </w:rPr>
                    <w:t>年</w:t>
                  </w:r>
                  <w:r>
                    <w:rPr>
                      <w:rFonts w:hint="eastAsia"/>
                      <w:bCs/>
                      <w:color w:val="auto"/>
                      <w:szCs w:val="21"/>
                    </w:rPr>
                    <w:t>6</w:t>
                  </w:r>
                  <w:r>
                    <w:rPr>
                      <w:bCs/>
                      <w:color w:val="auto"/>
                      <w:szCs w:val="21"/>
                    </w:rPr>
                    <w:t>月</w:t>
                  </w:r>
                  <w:r>
                    <w:rPr>
                      <w:rFonts w:hint="eastAsia"/>
                      <w:bCs/>
                      <w:color w:val="auto"/>
                      <w:szCs w:val="21"/>
                    </w:rPr>
                    <w:t>21</w:t>
                  </w:r>
                  <w:r>
                    <w:rPr>
                      <w:bCs/>
                      <w:color w:val="auto"/>
                      <w:szCs w:val="21"/>
                    </w:rPr>
                    <w:t>日</w:t>
                  </w:r>
                </w:p>
              </w:tc>
              <w:tc>
                <w:tcPr>
                  <w:tcW w:w="4008" w:type="dxa"/>
                  <w:noWrap w:val="0"/>
                  <w:vAlign w:val="center"/>
                </w:tcPr>
                <w:p>
                  <w:pPr>
                    <w:spacing w:line="280" w:lineRule="exact"/>
                    <w:jc w:val="center"/>
                    <w:rPr>
                      <w:bCs/>
                      <w:color w:val="auto"/>
                      <w:szCs w:val="21"/>
                    </w:rPr>
                  </w:pPr>
                  <w:r>
                    <w:rPr>
                      <w:rFonts w:hint="eastAsia"/>
                      <w:bCs/>
                      <w:color w:val="auto"/>
                      <w:szCs w:val="21"/>
                    </w:rPr>
                    <w:t>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913" w:type="dxa"/>
                  <w:vMerge w:val="continue"/>
                  <w:noWrap w:val="0"/>
                  <w:vAlign w:val="center"/>
                </w:tcPr>
                <w:p>
                  <w:pPr>
                    <w:spacing w:line="280" w:lineRule="exact"/>
                    <w:jc w:val="center"/>
                    <w:rPr>
                      <w:bCs/>
                      <w:color w:val="auto"/>
                      <w:szCs w:val="21"/>
                    </w:rPr>
                  </w:pPr>
                </w:p>
              </w:tc>
              <w:tc>
                <w:tcPr>
                  <w:tcW w:w="2557" w:type="dxa"/>
                  <w:noWrap w:val="0"/>
                  <w:vAlign w:val="top"/>
                </w:tcPr>
                <w:p>
                  <w:pPr>
                    <w:spacing w:line="280" w:lineRule="exact"/>
                    <w:jc w:val="center"/>
                    <w:rPr>
                      <w:bCs/>
                      <w:color w:val="auto"/>
                      <w:szCs w:val="21"/>
                    </w:rPr>
                  </w:pPr>
                  <w:r>
                    <w:rPr>
                      <w:bCs/>
                      <w:color w:val="auto"/>
                      <w:szCs w:val="21"/>
                    </w:rPr>
                    <w:t>202</w:t>
                  </w:r>
                  <w:r>
                    <w:rPr>
                      <w:rFonts w:hint="eastAsia"/>
                      <w:bCs/>
                      <w:color w:val="auto"/>
                      <w:szCs w:val="21"/>
                    </w:rPr>
                    <w:t>1</w:t>
                  </w:r>
                  <w:r>
                    <w:rPr>
                      <w:bCs/>
                      <w:color w:val="auto"/>
                      <w:szCs w:val="21"/>
                    </w:rPr>
                    <w:t>年</w:t>
                  </w:r>
                  <w:r>
                    <w:rPr>
                      <w:rFonts w:hint="eastAsia"/>
                      <w:bCs/>
                      <w:color w:val="auto"/>
                      <w:szCs w:val="21"/>
                    </w:rPr>
                    <w:t>6</w:t>
                  </w:r>
                  <w:r>
                    <w:rPr>
                      <w:bCs/>
                      <w:color w:val="auto"/>
                      <w:szCs w:val="21"/>
                    </w:rPr>
                    <w:t>月</w:t>
                  </w:r>
                  <w:r>
                    <w:rPr>
                      <w:rFonts w:hint="eastAsia"/>
                      <w:bCs/>
                      <w:color w:val="auto"/>
                      <w:szCs w:val="21"/>
                    </w:rPr>
                    <w:t>22</w:t>
                  </w:r>
                  <w:r>
                    <w:rPr>
                      <w:bCs/>
                      <w:color w:val="auto"/>
                      <w:szCs w:val="21"/>
                    </w:rPr>
                    <w:t>日</w:t>
                  </w:r>
                </w:p>
              </w:tc>
              <w:tc>
                <w:tcPr>
                  <w:tcW w:w="4008" w:type="dxa"/>
                  <w:noWrap w:val="0"/>
                  <w:vAlign w:val="center"/>
                </w:tcPr>
                <w:p>
                  <w:pPr>
                    <w:spacing w:line="280" w:lineRule="exact"/>
                    <w:jc w:val="center"/>
                    <w:rPr>
                      <w:bCs/>
                      <w:color w:val="auto"/>
                      <w:szCs w:val="21"/>
                    </w:rPr>
                  </w:pPr>
                  <w:r>
                    <w:rPr>
                      <w:rFonts w:hint="eastAsia"/>
                      <w:bCs/>
                      <w:color w:val="auto"/>
                      <w:szCs w:val="21"/>
                    </w:rPr>
                    <w:t>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913" w:type="dxa"/>
                  <w:vMerge w:val="continue"/>
                  <w:noWrap w:val="0"/>
                  <w:vAlign w:val="center"/>
                </w:tcPr>
                <w:p>
                  <w:pPr>
                    <w:spacing w:line="280" w:lineRule="exact"/>
                    <w:jc w:val="center"/>
                    <w:rPr>
                      <w:bCs/>
                      <w:color w:val="auto"/>
                      <w:szCs w:val="21"/>
                    </w:rPr>
                  </w:pPr>
                </w:p>
              </w:tc>
              <w:tc>
                <w:tcPr>
                  <w:tcW w:w="2557" w:type="dxa"/>
                  <w:noWrap w:val="0"/>
                  <w:vAlign w:val="top"/>
                </w:tcPr>
                <w:p>
                  <w:pPr>
                    <w:spacing w:line="280" w:lineRule="exact"/>
                    <w:jc w:val="center"/>
                    <w:rPr>
                      <w:bCs/>
                      <w:color w:val="auto"/>
                      <w:szCs w:val="21"/>
                    </w:rPr>
                  </w:pPr>
                  <w:r>
                    <w:rPr>
                      <w:bCs/>
                      <w:color w:val="auto"/>
                      <w:szCs w:val="21"/>
                    </w:rPr>
                    <w:t>202</w:t>
                  </w:r>
                  <w:r>
                    <w:rPr>
                      <w:rFonts w:hint="eastAsia"/>
                      <w:bCs/>
                      <w:color w:val="auto"/>
                      <w:szCs w:val="21"/>
                    </w:rPr>
                    <w:t>1</w:t>
                  </w:r>
                  <w:r>
                    <w:rPr>
                      <w:bCs/>
                      <w:color w:val="auto"/>
                      <w:szCs w:val="21"/>
                    </w:rPr>
                    <w:t>年</w:t>
                  </w:r>
                  <w:r>
                    <w:rPr>
                      <w:rFonts w:hint="eastAsia"/>
                      <w:bCs/>
                      <w:color w:val="auto"/>
                      <w:szCs w:val="21"/>
                    </w:rPr>
                    <w:t>6</w:t>
                  </w:r>
                  <w:r>
                    <w:rPr>
                      <w:bCs/>
                      <w:color w:val="auto"/>
                      <w:szCs w:val="21"/>
                    </w:rPr>
                    <w:t>月</w:t>
                  </w:r>
                  <w:r>
                    <w:rPr>
                      <w:rFonts w:hint="eastAsia"/>
                      <w:bCs/>
                      <w:color w:val="auto"/>
                      <w:szCs w:val="21"/>
                    </w:rPr>
                    <w:t>23</w:t>
                  </w:r>
                  <w:r>
                    <w:rPr>
                      <w:bCs/>
                      <w:color w:val="auto"/>
                      <w:szCs w:val="21"/>
                    </w:rPr>
                    <w:t>日</w:t>
                  </w:r>
                </w:p>
              </w:tc>
              <w:tc>
                <w:tcPr>
                  <w:tcW w:w="4008" w:type="dxa"/>
                  <w:noWrap w:val="0"/>
                  <w:vAlign w:val="center"/>
                </w:tcPr>
                <w:p>
                  <w:pPr>
                    <w:spacing w:line="280" w:lineRule="exact"/>
                    <w:jc w:val="center"/>
                    <w:rPr>
                      <w:bCs/>
                      <w:color w:val="auto"/>
                      <w:szCs w:val="21"/>
                    </w:rPr>
                  </w:pPr>
                  <w:r>
                    <w:rPr>
                      <w:rFonts w:hint="eastAsia"/>
                      <w:bCs/>
                      <w:color w:val="auto"/>
                      <w:szCs w:val="21"/>
                    </w:rPr>
                    <w:t>0.102</w:t>
                  </w:r>
                </w:p>
              </w:tc>
            </w:tr>
          </w:tbl>
          <w:p>
            <w:pPr>
              <w:pStyle w:val="161"/>
              <w:keepNext w:val="0"/>
              <w:keepLines w:val="0"/>
              <w:pageBreakBefore w:val="0"/>
              <w:widowControl w:val="0"/>
              <w:kinsoku/>
              <w:wordWrap/>
              <w:overflowPunct/>
              <w:topLinePunct w:val="0"/>
              <w:autoSpaceDE/>
              <w:autoSpaceDN/>
              <w:bidi w:val="0"/>
              <w:adjustRightInd w:val="0"/>
              <w:snapToGrid/>
              <w:spacing w:before="157" w:beforeLines="50"/>
              <w:textAlignment w:val="auto"/>
              <w:rPr>
                <w:color w:val="auto"/>
                <w:szCs w:val="22"/>
              </w:rPr>
            </w:pPr>
            <w:r>
              <w:rPr>
                <w:color w:val="auto"/>
                <w:szCs w:val="22"/>
              </w:rPr>
              <w:t>（</w:t>
            </w:r>
            <w:r>
              <w:rPr>
                <w:rFonts w:hint="eastAsia"/>
                <w:color w:val="auto"/>
                <w:szCs w:val="22"/>
              </w:rPr>
              <w:t>3</w:t>
            </w:r>
            <w:r>
              <w:rPr>
                <w:color w:val="auto"/>
                <w:szCs w:val="22"/>
              </w:rPr>
              <w:t>）评价标准</w:t>
            </w:r>
          </w:p>
          <w:p>
            <w:pPr>
              <w:pStyle w:val="161"/>
              <w:rPr>
                <w:color w:val="auto"/>
                <w:szCs w:val="22"/>
              </w:rPr>
            </w:pPr>
            <w:r>
              <w:rPr>
                <w:color w:val="auto"/>
                <w:szCs w:val="22"/>
              </w:rPr>
              <w:t>评价标准执行《环境空气质量标准》（GB3095-2012）</w:t>
            </w:r>
            <w:r>
              <w:rPr>
                <w:rFonts w:hint="eastAsia"/>
                <w:color w:val="auto"/>
                <w:szCs w:val="22"/>
              </w:rPr>
              <w:t>表2</w:t>
            </w:r>
            <w:r>
              <w:rPr>
                <w:color w:val="auto"/>
                <w:szCs w:val="22"/>
              </w:rPr>
              <w:t>中的二级标准。</w:t>
            </w:r>
          </w:p>
          <w:p>
            <w:pPr>
              <w:pStyle w:val="161"/>
              <w:rPr>
                <w:color w:val="auto"/>
                <w:szCs w:val="22"/>
              </w:rPr>
            </w:pPr>
            <w:r>
              <w:rPr>
                <w:color w:val="auto"/>
                <w:szCs w:val="22"/>
              </w:rPr>
              <w:t>（</w:t>
            </w:r>
            <w:r>
              <w:rPr>
                <w:rFonts w:hint="eastAsia"/>
                <w:color w:val="auto"/>
                <w:szCs w:val="22"/>
              </w:rPr>
              <w:t>4</w:t>
            </w:r>
            <w:r>
              <w:rPr>
                <w:color w:val="auto"/>
                <w:szCs w:val="22"/>
              </w:rPr>
              <w:t>）评价方法</w:t>
            </w:r>
          </w:p>
          <w:p>
            <w:pPr>
              <w:pStyle w:val="161"/>
              <w:rPr>
                <w:color w:val="auto"/>
                <w:szCs w:val="22"/>
              </w:rPr>
            </w:pPr>
            <w:r>
              <w:rPr>
                <w:color w:val="auto"/>
                <w:szCs w:val="22"/>
              </w:rPr>
              <w:t>根据导则，监测因子监测值占相应标准的占标率，其公式为：</w:t>
            </w:r>
          </w:p>
          <w:p>
            <w:pPr>
              <w:pStyle w:val="161"/>
              <w:ind w:firstLine="0" w:firstLineChars="0"/>
              <w:jc w:val="center"/>
              <w:rPr>
                <w:color w:val="auto"/>
                <w:szCs w:val="22"/>
              </w:rPr>
            </w:pPr>
            <w:r>
              <w:rPr>
                <w:color w:val="auto"/>
                <w:position w:val="-12"/>
                <w:szCs w:val="22"/>
              </w:rPr>
              <w:object>
                <v:shape id="_x0000_i1033" o:spt="75" type="#_x0000_t75" style="height:18.4pt;width:95.75pt;" o:ole="t" filled="f" o:preferrelative="t" stroked="f" coordsize="21600,21600">
                  <v:path/>
                  <v:fill on="f" focussize="0,0"/>
                  <v:stroke on="f"/>
                  <v:imagedata r:id="rId20" o:title=""/>
                  <o:lock v:ext="edit" aspectratio="t"/>
                  <w10:wrap type="none"/>
                  <w10:anchorlock/>
                </v:shape>
                <o:OLEObject Type="Embed" ProgID="Equation.3" ShapeID="_x0000_i1033" DrawAspect="Content" ObjectID="_1468075727" r:id="rId19">
                  <o:LockedField>false</o:LockedField>
                </o:OLEObject>
              </w:object>
            </w:r>
          </w:p>
          <w:p>
            <w:pPr>
              <w:pStyle w:val="161"/>
              <w:rPr>
                <w:color w:val="auto"/>
                <w:szCs w:val="22"/>
              </w:rPr>
            </w:pPr>
            <w:r>
              <w:rPr>
                <w:color w:val="auto"/>
                <w:szCs w:val="22"/>
              </w:rPr>
              <w:t>式中：P</w:t>
            </w:r>
            <w:r>
              <w:rPr>
                <w:color w:val="auto"/>
                <w:szCs w:val="22"/>
                <w:vertAlign w:val="subscript"/>
              </w:rPr>
              <w:t>i</w:t>
            </w:r>
            <w:r>
              <w:rPr>
                <w:color w:val="auto"/>
                <w:szCs w:val="22"/>
              </w:rPr>
              <w:t>——第i种污染物的最大地面浓度占标率；</w:t>
            </w:r>
          </w:p>
          <w:p>
            <w:pPr>
              <w:pStyle w:val="161"/>
              <w:ind w:firstLine="1200" w:firstLineChars="500"/>
              <w:rPr>
                <w:color w:val="auto"/>
                <w:szCs w:val="22"/>
              </w:rPr>
            </w:pPr>
            <w:r>
              <w:rPr>
                <w:color w:val="auto"/>
                <w:szCs w:val="22"/>
              </w:rPr>
              <w:t>C</w:t>
            </w:r>
            <w:r>
              <w:rPr>
                <w:color w:val="auto"/>
                <w:szCs w:val="22"/>
                <w:vertAlign w:val="subscript"/>
              </w:rPr>
              <w:t>i</w:t>
            </w:r>
            <w:r>
              <w:rPr>
                <w:color w:val="auto"/>
                <w:szCs w:val="22"/>
              </w:rPr>
              <w:t>——第i种污染物的最大地面浓度，mg/m</w:t>
            </w:r>
            <w:r>
              <w:rPr>
                <w:color w:val="auto"/>
                <w:szCs w:val="22"/>
                <w:vertAlign w:val="superscript"/>
              </w:rPr>
              <w:t>3</w:t>
            </w:r>
            <w:r>
              <w:rPr>
                <w:color w:val="auto"/>
                <w:szCs w:val="22"/>
              </w:rPr>
              <w:t>；</w:t>
            </w:r>
          </w:p>
          <w:p>
            <w:pPr>
              <w:pStyle w:val="161"/>
              <w:ind w:firstLine="1200" w:firstLineChars="500"/>
              <w:rPr>
                <w:color w:val="auto"/>
                <w:szCs w:val="22"/>
              </w:rPr>
            </w:pPr>
            <w:r>
              <w:rPr>
                <w:color w:val="auto"/>
                <w:szCs w:val="22"/>
              </w:rPr>
              <w:t>C</w:t>
            </w:r>
            <w:r>
              <w:rPr>
                <w:color w:val="auto"/>
                <w:szCs w:val="22"/>
                <w:vertAlign w:val="subscript"/>
              </w:rPr>
              <w:t>Oi</w:t>
            </w:r>
            <w:r>
              <w:rPr>
                <w:color w:val="auto"/>
                <w:szCs w:val="22"/>
              </w:rPr>
              <w:t>——第i种污染物的环境空气质量标准，mg/m</w:t>
            </w:r>
            <w:r>
              <w:rPr>
                <w:color w:val="auto"/>
                <w:szCs w:val="22"/>
                <w:vertAlign w:val="superscript"/>
              </w:rPr>
              <w:t>3</w:t>
            </w:r>
            <w:r>
              <w:rPr>
                <w:color w:val="auto"/>
                <w:szCs w:val="22"/>
              </w:rPr>
              <w:t>。</w:t>
            </w:r>
          </w:p>
          <w:p>
            <w:pPr>
              <w:pStyle w:val="161"/>
              <w:rPr>
                <w:color w:val="auto"/>
                <w:szCs w:val="22"/>
              </w:rPr>
            </w:pPr>
            <w:r>
              <w:rPr>
                <w:color w:val="auto"/>
                <w:szCs w:val="22"/>
              </w:rPr>
              <w:t>（</w:t>
            </w:r>
            <w:r>
              <w:rPr>
                <w:rFonts w:hint="eastAsia"/>
                <w:color w:val="auto"/>
                <w:szCs w:val="22"/>
              </w:rPr>
              <w:t>5</w:t>
            </w:r>
            <w:r>
              <w:rPr>
                <w:color w:val="auto"/>
                <w:szCs w:val="22"/>
              </w:rPr>
              <w:t>）评价结果</w:t>
            </w:r>
          </w:p>
          <w:p>
            <w:pPr>
              <w:pStyle w:val="161"/>
              <w:rPr>
                <w:color w:val="auto"/>
                <w:szCs w:val="22"/>
              </w:rPr>
            </w:pPr>
            <w:r>
              <w:rPr>
                <w:color w:val="auto"/>
                <w:szCs w:val="22"/>
              </w:rPr>
              <w:t>环境空气质量现状评价结果见下表。</w:t>
            </w:r>
          </w:p>
          <w:p>
            <w:pPr>
              <w:adjustRightInd w:val="0"/>
              <w:snapToGrid w:val="0"/>
              <w:spacing w:line="240" w:lineRule="auto"/>
              <w:jc w:val="center"/>
              <w:rPr>
                <w:rFonts w:hint="eastAsia"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表3-6  TSP环境质量现状（监测结果）表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26"/>
              <w:gridCol w:w="802"/>
              <w:gridCol w:w="1296"/>
              <w:gridCol w:w="1493"/>
              <w:gridCol w:w="1247"/>
              <w:gridCol w:w="825"/>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0" w:type="dxa"/>
                  <w:vMerge w:val="restart"/>
                  <w:noWrap w:val="0"/>
                  <w:vAlign w:val="center"/>
                </w:tcPr>
                <w:p>
                  <w:pPr>
                    <w:adjustRightInd w:val="0"/>
                    <w:snapToGrid w:val="0"/>
                    <w:jc w:val="center"/>
                    <w:rPr>
                      <w:b/>
                      <w:bCs/>
                      <w:color w:val="auto"/>
                      <w:szCs w:val="21"/>
                    </w:rPr>
                  </w:pPr>
                  <w:r>
                    <w:rPr>
                      <w:b/>
                      <w:bCs/>
                      <w:color w:val="auto"/>
                      <w:szCs w:val="21"/>
                    </w:rPr>
                    <w:t>监测点位</w:t>
                  </w:r>
                </w:p>
              </w:tc>
              <w:tc>
                <w:tcPr>
                  <w:tcW w:w="1126" w:type="dxa"/>
                  <w:vMerge w:val="restart"/>
                  <w:noWrap w:val="0"/>
                  <w:vAlign w:val="center"/>
                </w:tcPr>
                <w:p>
                  <w:pPr>
                    <w:adjustRightInd w:val="0"/>
                    <w:snapToGrid w:val="0"/>
                    <w:jc w:val="center"/>
                    <w:rPr>
                      <w:b/>
                      <w:bCs/>
                      <w:color w:val="auto"/>
                      <w:szCs w:val="21"/>
                    </w:rPr>
                  </w:pPr>
                  <w:r>
                    <w:rPr>
                      <w:b/>
                      <w:bCs/>
                      <w:color w:val="auto"/>
                      <w:szCs w:val="21"/>
                    </w:rPr>
                    <w:t>污染物</w:t>
                  </w:r>
                </w:p>
              </w:tc>
              <w:tc>
                <w:tcPr>
                  <w:tcW w:w="802" w:type="dxa"/>
                  <w:vMerge w:val="restart"/>
                  <w:noWrap w:val="0"/>
                  <w:vAlign w:val="center"/>
                </w:tcPr>
                <w:p>
                  <w:pPr>
                    <w:adjustRightInd w:val="0"/>
                    <w:snapToGrid w:val="0"/>
                    <w:jc w:val="center"/>
                    <w:rPr>
                      <w:b/>
                      <w:bCs/>
                      <w:color w:val="auto"/>
                      <w:szCs w:val="21"/>
                    </w:rPr>
                  </w:pPr>
                  <w:r>
                    <w:rPr>
                      <w:b/>
                      <w:bCs/>
                      <w:color w:val="auto"/>
                      <w:szCs w:val="21"/>
                    </w:rPr>
                    <w:t>平均时间</w:t>
                  </w:r>
                </w:p>
              </w:tc>
              <w:tc>
                <w:tcPr>
                  <w:tcW w:w="1278" w:type="dxa"/>
                  <w:vMerge w:val="restart"/>
                  <w:noWrap w:val="0"/>
                  <w:vAlign w:val="center"/>
                </w:tcPr>
                <w:p>
                  <w:pPr>
                    <w:adjustRightInd w:val="0"/>
                    <w:snapToGrid w:val="0"/>
                    <w:jc w:val="center"/>
                    <w:rPr>
                      <w:b/>
                      <w:bCs/>
                      <w:color w:val="auto"/>
                      <w:szCs w:val="21"/>
                    </w:rPr>
                  </w:pPr>
                  <w:r>
                    <w:rPr>
                      <w:b/>
                      <w:bCs/>
                      <w:color w:val="auto"/>
                      <w:szCs w:val="21"/>
                    </w:rPr>
                    <w:t>评价标准（ug/m</w:t>
                  </w:r>
                  <w:r>
                    <w:rPr>
                      <w:b/>
                      <w:bCs/>
                      <w:color w:val="auto"/>
                      <w:szCs w:val="21"/>
                      <w:vertAlign w:val="superscript"/>
                    </w:rPr>
                    <w:t>3</w:t>
                  </w:r>
                  <w:r>
                    <w:rPr>
                      <w:b/>
                      <w:bCs/>
                      <w:color w:val="auto"/>
                      <w:szCs w:val="21"/>
                    </w:rPr>
                    <w:t>）</w:t>
                  </w:r>
                </w:p>
              </w:tc>
              <w:tc>
                <w:tcPr>
                  <w:tcW w:w="1493" w:type="dxa"/>
                  <w:vMerge w:val="restart"/>
                  <w:noWrap w:val="0"/>
                  <w:vAlign w:val="center"/>
                </w:tcPr>
                <w:p>
                  <w:pPr>
                    <w:adjustRightInd w:val="0"/>
                    <w:snapToGrid w:val="0"/>
                    <w:jc w:val="center"/>
                    <w:rPr>
                      <w:b/>
                      <w:bCs/>
                      <w:color w:val="auto"/>
                      <w:szCs w:val="21"/>
                    </w:rPr>
                  </w:pPr>
                  <w:r>
                    <w:rPr>
                      <w:b/>
                      <w:bCs/>
                      <w:color w:val="auto"/>
                      <w:szCs w:val="21"/>
                    </w:rPr>
                    <w:t>监测浓度范围（ug/m</w:t>
                  </w:r>
                  <w:r>
                    <w:rPr>
                      <w:b/>
                      <w:bCs/>
                      <w:color w:val="auto"/>
                      <w:szCs w:val="21"/>
                      <w:vertAlign w:val="superscript"/>
                    </w:rPr>
                    <w:t>3</w:t>
                  </w:r>
                  <w:r>
                    <w:rPr>
                      <w:b/>
                      <w:bCs/>
                      <w:color w:val="auto"/>
                      <w:szCs w:val="21"/>
                    </w:rPr>
                    <w:t>）</w:t>
                  </w:r>
                </w:p>
              </w:tc>
              <w:tc>
                <w:tcPr>
                  <w:tcW w:w="1247" w:type="dxa"/>
                  <w:vMerge w:val="restart"/>
                  <w:noWrap w:val="0"/>
                  <w:vAlign w:val="center"/>
                </w:tcPr>
                <w:p>
                  <w:pPr>
                    <w:adjustRightInd w:val="0"/>
                    <w:snapToGrid w:val="0"/>
                    <w:jc w:val="center"/>
                    <w:rPr>
                      <w:b/>
                      <w:bCs/>
                      <w:color w:val="auto"/>
                      <w:szCs w:val="21"/>
                    </w:rPr>
                  </w:pPr>
                  <w:r>
                    <w:rPr>
                      <w:b/>
                      <w:bCs/>
                      <w:color w:val="auto"/>
                      <w:szCs w:val="21"/>
                    </w:rPr>
                    <w:t>最大浓度占标率%</w:t>
                  </w:r>
                </w:p>
              </w:tc>
              <w:tc>
                <w:tcPr>
                  <w:tcW w:w="825" w:type="dxa"/>
                  <w:vMerge w:val="restart"/>
                  <w:noWrap w:val="0"/>
                  <w:vAlign w:val="center"/>
                </w:tcPr>
                <w:p>
                  <w:pPr>
                    <w:adjustRightInd w:val="0"/>
                    <w:snapToGrid w:val="0"/>
                    <w:jc w:val="center"/>
                    <w:rPr>
                      <w:b/>
                      <w:bCs/>
                      <w:color w:val="auto"/>
                      <w:szCs w:val="21"/>
                    </w:rPr>
                  </w:pPr>
                  <w:r>
                    <w:rPr>
                      <w:rFonts w:hint="eastAsia"/>
                      <w:b/>
                      <w:bCs/>
                      <w:color w:val="auto"/>
                      <w:szCs w:val="21"/>
                    </w:rPr>
                    <w:t>达</w:t>
                  </w:r>
                  <w:r>
                    <w:rPr>
                      <w:b/>
                      <w:bCs/>
                      <w:color w:val="auto"/>
                      <w:szCs w:val="21"/>
                    </w:rPr>
                    <w:t>标率%</w:t>
                  </w:r>
                </w:p>
              </w:tc>
              <w:tc>
                <w:tcPr>
                  <w:tcW w:w="773" w:type="dxa"/>
                  <w:vMerge w:val="restart"/>
                  <w:noWrap w:val="0"/>
                  <w:vAlign w:val="center"/>
                </w:tcPr>
                <w:p>
                  <w:pPr>
                    <w:adjustRightInd w:val="0"/>
                    <w:snapToGrid w:val="0"/>
                    <w:jc w:val="center"/>
                    <w:rPr>
                      <w:b/>
                      <w:bCs/>
                      <w:color w:val="auto"/>
                      <w:szCs w:val="21"/>
                    </w:rPr>
                  </w:pPr>
                  <w:r>
                    <w:rPr>
                      <w:b/>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0" w:type="dxa"/>
                  <w:vMerge w:val="continue"/>
                  <w:noWrap w:val="0"/>
                  <w:vAlign w:val="center"/>
                </w:tcPr>
                <w:p>
                  <w:pPr>
                    <w:jc w:val="center"/>
                    <w:rPr>
                      <w:bCs/>
                      <w:color w:val="auto"/>
                      <w:szCs w:val="21"/>
                    </w:rPr>
                  </w:pPr>
                </w:p>
              </w:tc>
              <w:tc>
                <w:tcPr>
                  <w:tcW w:w="1126" w:type="dxa"/>
                  <w:vMerge w:val="continue"/>
                  <w:noWrap w:val="0"/>
                  <w:vAlign w:val="center"/>
                </w:tcPr>
                <w:p>
                  <w:pPr>
                    <w:jc w:val="center"/>
                    <w:rPr>
                      <w:bCs/>
                      <w:color w:val="auto"/>
                      <w:szCs w:val="21"/>
                    </w:rPr>
                  </w:pPr>
                </w:p>
              </w:tc>
              <w:tc>
                <w:tcPr>
                  <w:tcW w:w="802" w:type="dxa"/>
                  <w:vMerge w:val="continue"/>
                  <w:noWrap w:val="0"/>
                  <w:vAlign w:val="center"/>
                </w:tcPr>
                <w:p>
                  <w:pPr>
                    <w:jc w:val="center"/>
                    <w:rPr>
                      <w:bCs/>
                      <w:color w:val="auto"/>
                      <w:szCs w:val="21"/>
                    </w:rPr>
                  </w:pPr>
                </w:p>
              </w:tc>
              <w:tc>
                <w:tcPr>
                  <w:tcW w:w="1278" w:type="dxa"/>
                  <w:vMerge w:val="continue"/>
                  <w:noWrap w:val="0"/>
                  <w:vAlign w:val="center"/>
                </w:tcPr>
                <w:p>
                  <w:pPr>
                    <w:jc w:val="center"/>
                    <w:rPr>
                      <w:bCs/>
                      <w:color w:val="auto"/>
                      <w:szCs w:val="21"/>
                    </w:rPr>
                  </w:pPr>
                </w:p>
              </w:tc>
              <w:tc>
                <w:tcPr>
                  <w:tcW w:w="1493" w:type="dxa"/>
                  <w:vMerge w:val="continue"/>
                  <w:noWrap w:val="0"/>
                  <w:vAlign w:val="center"/>
                </w:tcPr>
                <w:p>
                  <w:pPr>
                    <w:jc w:val="center"/>
                    <w:rPr>
                      <w:bCs/>
                      <w:color w:val="auto"/>
                      <w:szCs w:val="21"/>
                    </w:rPr>
                  </w:pPr>
                </w:p>
              </w:tc>
              <w:tc>
                <w:tcPr>
                  <w:tcW w:w="1247" w:type="dxa"/>
                  <w:vMerge w:val="continue"/>
                  <w:noWrap w:val="0"/>
                  <w:vAlign w:val="center"/>
                </w:tcPr>
                <w:p>
                  <w:pPr>
                    <w:jc w:val="center"/>
                    <w:rPr>
                      <w:bCs/>
                      <w:color w:val="auto"/>
                      <w:szCs w:val="21"/>
                    </w:rPr>
                  </w:pPr>
                </w:p>
              </w:tc>
              <w:tc>
                <w:tcPr>
                  <w:tcW w:w="825" w:type="dxa"/>
                  <w:vMerge w:val="continue"/>
                  <w:noWrap w:val="0"/>
                  <w:vAlign w:val="center"/>
                </w:tcPr>
                <w:p>
                  <w:pPr>
                    <w:jc w:val="center"/>
                    <w:rPr>
                      <w:bCs/>
                      <w:color w:val="auto"/>
                      <w:szCs w:val="21"/>
                    </w:rPr>
                  </w:pPr>
                </w:p>
              </w:tc>
              <w:tc>
                <w:tcPr>
                  <w:tcW w:w="773" w:type="dxa"/>
                  <w:vMerge w:val="continue"/>
                  <w:noWrap w:val="0"/>
                  <w:vAlign w:val="center"/>
                </w:tcPr>
                <w:p>
                  <w:pPr>
                    <w:jc w:val="center"/>
                    <w:rPr>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10" w:type="dxa"/>
                  <w:noWrap w:val="0"/>
                  <w:vAlign w:val="center"/>
                </w:tcPr>
                <w:p>
                  <w:pPr>
                    <w:jc w:val="center"/>
                    <w:rPr>
                      <w:bCs/>
                      <w:color w:val="auto"/>
                      <w:szCs w:val="21"/>
                    </w:rPr>
                  </w:pPr>
                  <w:r>
                    <w:rPr>
                      <w:bCs/>
                      <w:color w:val="auto"/>
                      <w:szCs w:val="21"/>
                    </w:rPr>
                    <w:t>1#</w:t>
                  </w:r>
                </w:p>
              </w:tc>
              <w:tc>
                <w:tcPr>
                  <w:tcW w:w="1126" w:type="dxa"/>
                  <w:noWrap w:val="0"/>
                  <w:vAlign w:val="center"/>
                </w:tcPr>
                <w:p>
                  <w:pPr>
                    <w:jc w:val="center"/>
                    <w:rPr>
                      <w:bCs/>
                      <w:color w:val="auto"/>
                      <w:szCs w:val="21"/>
                    </w:rPr>
                  </w:pPr>
                  <w:r>
                    <w:rPr>
                      <w:rFonts w:hint="eastAsia"/>
                      <w:bCs/>
                      <w:color w:val="auto"/>
                      <w:szCs w:val="21"/>
                    </w:rPr>
                    <w:t>总悬浮颗粒物</w:t>
                  </w:r>
                </w:p>
              </w:tc>
              <w:tc>
                <w:tcPr>
                  <w:tcW w:w="802" w:type="dxa"/>
                  <w:noWrap w:val="0"/>
                  <w:vAlign w:val="center"/>
                </w:tcPr>
                <w:p>
                  <w:pPr>
                    <w:jc w:val="center"/>
                    <w:rPr>
                      <w:bCs/>
                      <w:color w:val="auto"/>
                      <w:szCs w:val="21"/>
                    </w:rPr>
                  </w:pPr>
                  <w:r>
                    <w:rPr>
                      <w:bCs/>
                      <w:color w:val="auto"/>
                      <w:szCs w:val="21"/>
                    </w:rPr>
                    <w:t>24h</w:t>
                  </w:r>
                </w:p>
              </w:tc>
              <w:tc>
                <w:tcPr>
                  <w:tcW w:w="1278" w:type="dxa"/>
                  <w:noWrap w:val="0"/>
                  <w:vAlign w:val="center"/>
                </w:tcPr>
                <w:p>
                  <w:pPr>
                    <w:jc w:val="center"/>
                    <w:rPr>
                      <w:bCs/>
                      <w:color w:val="auto"/>
                      <w:szCs w:val="21"/>
                    </w:rPr>
                  </w:pPr>
                  <w:r>
                    <w:rPr>
                      <w:bCs/>
                      <w:color w:val="auto"/>
                      <w:szCs w:val="21"/>
                    </w:rPr>
                    <w:t>300</w:t>
                  </w:r>
                </w:p>
              </w:tc>
              <w:tc>
                <w:tcPr>
                  <w:tcW w:w="1493" w:type="dxa"/>
                  <w:noWrap w:val="0"/>
                  <w:vAlign w:val="center"/>
                </w:tcPr>
                <w:p>
                  <w:pPr>
                    <w:jc w:val="center"/>
                    <w:rPr>
                      <w:bCs/>
                      <w:color w:val="auto"/>
                      <w:szCs w:val="21"/>
                    </w:rPr>
                  </w:pPr>
                  <w:r>
                    <w:rPr>
                      <w:rFonts w:hint="eastAsia"/>
                      <w:bCs/>
                      <w:color w:val="auto"/>
                      <w:szCs w:val="21"/>
                    </w:rPr>
                    <w:t>99</w:t>
                  </w:r>
                  <w:r>
                    <w:rPr>
                      <w:bCs/>
                      <w:color w:val="auto"/>
                      <w:szCs w:val="21"/>
                    </w:rPr>
                    <w:t>-</w:t>
                  </w:r>
                  <w:r>
                    <w:rPr>
                      <w:rFonts w:hint="eastAsia"/>
                      <w:bCs/>
                      <w:color w:val="auto"/>
                      <w:szCs w:val="21"/>
                    </w:rPr>
                    <w:t>104</w:t>
                  </w:r>
                </w:p>
              </w:tc>
              <w:tc>
                <w:tcPr>
                  <w:tcW w:w="1247" w:type="dxa"/>
                  <w:noWrap w:val="0"/>
                  <w:vAlign w:val="center"/>
                </w:tcPr>
                <w:p>
                  <w:pPr>
                    <w:jc w:val="center"/>
                    <w:rPr>
                      <w:bCs/>
                      <w:color w:val="auto"/>
                      <w:szCs w:val="21"/>
                    </w:rPr>
                  </w:pPr>
                  <w:r>
                    <w:rPr>
                      <w:rFonts w:hint="eastAsia"/>
                      <w:bCs/>
                      <w:color w:val="auto"/>
                      <w:szCs w:val="21"/>
                    </w:rPr>
                    <w:t>34.7</w:t>
                  </w:r>
                </w:p>
              </w:tc>
              <w:tc>
                <w:tcPr>
                  <w:tcW w:w="825" w:type="dxa"/>
                  <w:noWrap w:val="0"/>
                  <w:vAlign w:val="center"/>
                </w:tcPr>
                <w:p>
                  <w:pPr>
                    <w:jc w:val="center"/>
                    <w:rPr>
                      <w:bCs/>
                      <w:color w:val="auto"/>
                      <w:szCs w:val="21"/>
                    </w:rPr>
                  </w:pPr>
                  <w:r>
                    <w:rPr>
                      <w:bCs/>
                      <w:color w:val="auto"/>
                      <w:szCs w:val="21"/>
                    </w:rPr>
                    <w:t>100</w:t>
                  </w:r>
                </w:p>
              </w:tc>
              <w:tc>
                <w:tcPr>
                  <w:tcW w:w="773" w:type="dxa"/>
                  <w:noWrap w:val="0"/>
                  <w:vAlign w:val="center"/>
                </w:tcPr>
                <w:p>
                  <w:pPr>
                    <w:jc w:val="center"/>
                    <w:rPr>
                      <w:bCs/>
                      <w:color w:val="auto"/>
                      <w:szCs w:val="21"/>
                    </w:rPr>
                  </w:pPr>
                  <w:r>
                    <w:rPr>
                      <w:bCs/>
                      <w:color w:val="auto"/>
                      <w:szCs w:val="21"/>
                    </w:rPr>
                    <w:t>达标</w:t>
                  </w:r>
                </w:p>
              </w:tc>
            </w:tr>
          </w:tbl>
          <w:p>
            <w:pPr>
              <w:autoSpaceDE w:val="0"/>
              <w:autoSpaceDN w:val="0"/>
              <w:adjustRightInd w:val="0"/>
              <w:spacing w:line="360" w:lineRule="auto"/>
              <w:ind w:firstLine="480" w:firstLineChars="200"/>
              <w:jc w:val="left"/>
              <w:rPr>
                <w:color w:val="auto"/>
                <w:kern w:val="0"/>
                <w:sz w:val="24"/>
              </w:rPr>
            </w:pPr>
            <w:r>
              <w:rPr>
                <w:color w:val="auto"/>
                <w:sz w:val="24"/>
                <w:szCs w:val="22"/>
              </w:rPr>
              <w:t>由上表可知，评价区域内</w:t>
            </w:r>
            <w:r>
              <w:rPr>
                <w:rFonts w:hint="eastAsia"/>
                <w:color w:val="auto"/>
                <w:sz w:val="24"/>
                <w:szCs w:val="22"/>
              </w:rPr>
              <w:t>总悬浮颗粒物</w:t>
            </w:r>
            <w:r>
              <w:rPr>
                <w:color w:val="auto"/>
                <w:sz w:val="24"/>
                <w:szCs w:val="22"/>
              </w:rPr>
              <w:t>满足《环境空气质量标准》（GB3095-2012）二级标准要求。</w:t>
            </w:r>
          </w:p>
          <w:p>
            <w:pPr>
              <w:numPr>
                <w:ilvl w:val="0"/>
                <w:numId w:val="0"/>
              </w:numPr>
              <w:adjustRightInd w:val="0"/>
              <w:snapToGrid w:val="0"/>
              <w:spacing w:line="360" w:lineRule="auto"/>
              <w:jc w:val="left"/>
              <w:rPr>
                <w:rFonts w:hint="eastAsia" w:ascii="宋体" w:hAnsi="宋体" w:eastAsia="宋体" w:cs="宋体"/>
                <w:b/>
                <w:bCs/>
                <w:i w:val="0"/>
                <w:iCs w:val="0"/>
                <w:caps w:val="0"/>
                <w:color w:val="333333"/>
                <w:spacing w:val="0"/>
                <w:sz w:val="24"/>
                <w:szCs w:val="24"/>
                <w:shd w:val="clear" w:color="auto" w:fill="FFFFFF"/>
                <w:lang w:val="en-US" w:eastAsia="zh-CN"/>
              </w:rPr>
            </w:pPr>
            <w:r>
              <w:rPr>
                <w:rFonts w:hint="eastAsia" w:ascii="宋体" w:hAnsi="宋体" w:cs="宋体"/>
                <w:b/>
                <w:bCs/>
                <w:i w:val="0"/>
                <w:iCs w:val="0"/>
                <w:caps w:val="0"/>
                <w:color w:val="333333"/>
                <w:spacing w:val="0"/>
                <w:sz w:val="24"/>
                <w:szCs w:val="24"/>
                <w:shd w:val="clear" w:color="auto" w:fill="FFFFFF"/>
                <w:lang w:val="en-US" w:eastAsia="zh-CN"/>
              </w:rPr>
              <w:t>二、</w:t>
            </w:r>
            <w:r>
              <w:rPr>
                <w:rFonts w:hint="eastAsia" w:ascii="宋体" w:hAnsi="宋体" w:eastAsia="宋体" w:cs="宋体"/>
                <w:b/>
                <w:bCs/>
                <w:i w:val="0"/>
                <w:iCs w:val="0"/>
                <w:caps w:val="0"/>
                <w:color w:val="333333"/>
                <w:spacing w:val="0"/>
                <w:sz w:val="24"/>
                <w:szCs w:val="24"/>
                <w:shd w:val="clear" w:color="auto" w:fill="FFFFFF"/>
                <w:lang w:val="en-US" w:eastAsia="zh-CN"/>
              </w:rPr>
              <w:t>地表水环境</w:t>
            </w:r>
          </w:p>
          <w:p>
            <w:pPr>
              <w:keepNext w:val="0"/>
              <w:keepLines w:val="0"/>
              <w:widowControl/>
              <w:suppressLineNumbers w:val="0"/>
              <w:spacing w:line="360" w:lineRule="auto"/>
              <w:ind w:firstLine="480" w:firstLineChars="200"/>
              <w:jc w:val="left"/>
              <w:rPr>
                <w:rFonts w:hint="eastAsia" w:ascii="宋体" w:hAnsi="宋体" w:cs="宋体"/>
                <w:i w:val="0"/>
                <w:iCs w:val="0"/>
                <w:caps w:val="0"/>
                <w:color w:val="auto"/>
                <w:spacing w:val="0"/>
                <w:sz w:val="24"/>
                <w:szCs w:val="24"/>
                <w:shd w:val="clear" w:color="auto" w:fill="FFFFFF"/>
                <w:lang w:val="en-US" w:eastAsia="zh-CN"/>
              </w:rPr>
            </w:pPr>
            <w:r>
              <w:rPr>
                <w:rFonts w:hint="eastAsia" w:ascii="宋体" w:hAnsi="宋体" w:eastAsia="宋体" w:cs="宋体"/>
                <w:color w:val="000000"/>
                <w:kern w:val="0"/>
                <w:sz w:val="24"/>
                <w:szCs w:val="24"/>
                <w:lang w:val="en-US" w:eastAsia="zh-CN" w:bidi="ar"/>
              </w:rPr>
              <w:t>根据《环境影响评价技术导则</w:t>
            </w:r>
            <w:r>
              <w:rPr>
                <w:rFonts w:hint="eastAsia" w:ascii="宋体" w:hAnsi="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地表水环境》（</w:t>
            </w:r>
            <w:r>
              <w:rPr>
                <w:rFonts w:hint="default" w:ascii="Times New Roman" w:hAnsi="Times New Roman" w:eastAsia="宋体" w:cs="Times New Roman"/>
                <w:color w:val="000000"/>
                <w:kern w:val="0"/>
                <w:sz w:val="24"/>
                <w:szCs w:val="24"/>
                <w:lang w:val="en-US" w:eastAsia="zh-CN" w:bidi="ar"/>
              </w:rPr>
              <w:t>HJ2.3—2018</w:t>
            </w:r>
            <w:r>
              <w:rPr>
                <w:rFonts w:hint="eastAsia" w:ascii="宋体" w:hAnsi="宋体" w:eastAsia="宋体" w:cs="宋体"/>
                <w:color w:val="000000"/>
                <w:kern w:val="0"/>
                <w:sz w:val="24"/>
                <w:szCs w:val="24"/>
                <w:lang w:val="en-US" w:eastAsia="zh-CN" w:bidi="ar"/>
              </w:rPr>
              <w:t>），水环境质量现状调查应优先采用生态环境保护主管部门统一发布的水环境质量状况信息。本项目运营期生活污水属于间接排放，判定评价等级为三级</w:t>
            </w: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，三级</w:t>
            </w: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评价不考虑评价时期，亦不考虑水环境质量现状调查时期。因此本次地表水环境质量引用乐山市生态环境局公布的《</w:t>
            </w:r>
            <w:r>
              <w:rPr>
                <w:rFonts w:hint="eastAsia" w:ascii="宋体" w:hAnsi="宋体" w:eastAsia="宋体" w:cs="宋体"/>
                <w:i w:val="0"/>
                <w:iCs w:val="0"/>
                <w:caps w:val="0"/>
                <w:color w:val="auto"/>
                <w:spacing w:val="0"/>
                <w:sz w:val="24"/>
                <w:szCs w:val="24"/>
                <w:shd w:val="clear" w:color="auto" w:fill="FFFFFF"/>
              </w:rPr>
              <w:t>乐山市地表水水质质量月报（</w:t>
            </w:r>
            <w:r>
              <w:rPr>
                <w:rFonts w:hint="default" w:ascii="Times New Roman" w:hAnsi="Times New Roman" w:eastAsia="宋体" w:cs="Times New Roman"/>
                <w:i w:val="0"/>
                <w:iCs w:val="0"/>
                <w:caps w:val="0"/>
                <w:color w:val="auto"/>
                <w:spacing w:val="0"/>
                <w:sz w:val="24"/>
                <w:szCs w:val="24"/>
                <w:shd w:val="clear" w:color="auto" w:fill="FFFFFF"/>
              </w:rPr>
              <w:t>2021</w:t>
            </w:r>
            <w:r>
              <w:rPr>
                <w:rFonts w:hint="eastAsia" w:ascii="宋体" w:hAnsi="宋体" w:eastAsia="宋体" w:cs="宋体"/>
                <w:i w:val="0"/>
                <w:iCs w:val="0"/>
                <w:caps w:val="0"/>
                <w:color w:val="auto"/>
                <w:spacing w:val="0"/>
                <w:sz w:val="24"/>
                <w:szCs w:val="24"/>
                <w:shd w:val="clear" w:color="auto" w:fill="FFFFFF"/>
              </w:rPr>
              <w:t>年</w:t>
            </w:r>
            <w:r>
              <w:rPr>
                <w:rFonts w:hint="default" w:ascii="Times New Roman" w:hAnsi="Times New Roman" w:eastAsia="宋体" w:cs="Times New Roman"/>
                <w:i w:val="0"/>
                <w:iCs w:val="0"/>
                <w:caps w:val="0"/>
                <w:color w:val="auto"/>
                <w:spacing w:val="0"/>
                <w:sz w:val="24"/>
                <w:szCs w:val="24"/>
                <w:shd w:val="clear" w:color="auto" w:fill="FFFFFF"/>
              </w:rPr>
              <w:t>12</w:t>
            </w:r>
            <w:r>
              <w:rPr>
                <w:rFonts w:hint="eastAsia" w:ascii="宋体" w:hAnsi="宋体" w:eastAsia="宋体" w:cs="宋体"/>
                <w:i w:val="0"/>
                <w:iCs w:val="0"/>
                <w:caps w:val="0"/>
                <w:color w:val="auto"/>
                <w:spacing w:val="0"/>
                <w:sz w:val="24"/>
                <w:szCs w:val="24"/>
                <w:shd w:val="clear" w:color="auto" w:fill="FFFFFF"/>
              </w:rPr>
              <w:t>月）</w:t>
            </w:r>
            <w:r>
              <w:rPr>
                <w:rFonts w:hint="eastAsia" w:ascii="宋体" w:hAnsi="宋体" w:eastAsia="宋体" w:cs="宋体"/>
                <w:i w:val="0"/>
                <w:iCs w:val="0"/>
                <w:caps w:val="0"/>
                <w:color w:val="auto"/>
                <w:spacing w:val="0"/>
                <w:sz w:val="24"/>
                <w:szCs w:val="24"/>
                <w:shd w:val="clear" w:color="auto" w:fill="FFFFFF"/>
                <w:lang w:eastAsia="zh-CN"/>
              </w:rPr>
              <w:t>》地表水监测数据，水质状况如</w:t>
            </w:r>
            <w:r>
              <w:rPr>
                <w:rFonts w:hint="eastAsia" w:ascii="宋体" w:hAnsi="宋体" w:cs="宋体"/>
                <w:i w:val="0"/>
                <w:iCs w:val="0"/>
                <w:caps w:val="0"/>
                <w:color w:val="auto"/>
                <w:spacing w:val="0"/>
                <w:sz w:val="24"/>
                <w:szCs w:val="24"/>
                <w:shd w:val="clear" w:color="auto" w:fill="FFFFFF"/>
                <w:lang w:eastAsia="zh-CN"/>
              </w:rPr>
              <w:t>图</w:t>
            </w:r>
            <w:r>
              <w:rPr>
                <w:rFonts w:hint="eastAsia" w:ascii="宋体" w:hAnsi="宋体" w:eastAsia="宋体" w:cs="宋体"/>
                <w:i w:val="0"/>
                <w:iCs w:val="0"/>
                <w:caps w:val="0"/>
                <w:color w:val="auto"/>
                <w:spacing w:val="0"/>
                <w:sz w:val="24"/>
                <w:szCs w:val="24"/>
                <w:shd w:val="clear" w:color="auto" w:fill="FFFFFF"/>
                <w:lang w:val="en-US" w:eastAsia="zh-CN"/>
              </w:rPr>
              <w:t>所示</w:t>
            </w:r>
            <w:r>
              <w:rPr>
                <w:rFonts w:hint="eastAsia" w:ascii="宋体" w:hAnsi="宋体" w:cs="宋体"/>
                <w:i w:val="0"/>
                <w:iCs w:val="0"/>
                <w:caps w:val="0"/>
                <w:color w:val="auto"/>
                <w:spacing w:val="0"/>
                <w:sz w:val="24"/>
                <w:szCs w:val="24"/>
                <w:shd w:val="clear" w:color="auto" w:fill="FFFFFF"/>
                <w:lang w:val="en-US" w:eastAsia="zh-CN"/>
              </w:rPr>
              <w:t>。</w:t>
            </w:r>
          </w:p>
          <w:p>
            <w:pPr>
              <w:pStyle w:val="2"/>
              <w:rPr>
                <w:rFonts w:hint="eastAsia" w:ascii="宋体" w:hAnsi="宋体" w:cs="宋体"/>
                <w:i w:val="0"/>
                <w:iCs w:val="0"/>
                <w:caps w:val="0"/>
                <w:color w:val="auto"/>
                <w:spacing w:val="0"/>
                <w:sz w:val="24"/>
                <w:szCs w:val="24"/>
                <w:shd w:val="clear" w:color="auto" w:fill="FFFFFF"/>
                <w:lang w:val="en-US" w:eastAsia="zh-CN"/>
              </w:rPr>
            </w:pPr>
          </w:p>
          <w:p>
            <w:pPr>
              <w:rPr>
                <w:rFonts w:hint="eastAsia" w:ascii="宋体" w:hAnsi="宋体" w:cs="宋体"/>
                <w:i w:val="0"/>
                <w:iCs w:val="0"/>
                <w:caps w:val="0"/>
                <w:color w:val="auto"/>
                <w:spacing w:val="0"/>
                <w:sz w:val="24"/>
                <w:szCs w:val="24"/>
                <w:shd w:val="clear" w:color="auto" w:fill="FFFFFF"/>
                <w:lang w:val="en-US" w:eastAsia="zh-CN"/>
              </w:rPr>
            </w:pPr>
          </w:p>
          <w:p>
            <w:pPr>
              <w:pStyle w:val="2"/>
              <w:rPr>
                <w:rFonts w:hint="eastAsia" w:ascii="宋体" w:hAnsi="宋体" w:cs="宋体"/>
                <w:i w:val="0"/>
                <w:iCs w:val="0"/>
                <w:caps w:val="0"/>
                <w:color w:val="auto"/>
                <w:spacing w:val="0"/>
                <w:sz w:val="24"/>
                <w:szCs w:val="24"/>
                <w:shd w:val="clear" w:color="auto" w:fill="FFFFFF"/>
                <w:lang w:val="en-US" w:eastAsia="zh-CN"/>
              </w:rPr>
            </w:pPr>
          </w:p>
          <w:p>
            <w:pPr>
              <w:rPr>
                <w:rFonts w:hint="eastAsia" w:ascii="宋体" w:hAnsi="宋体" w:cs="宋体"/>
                <w:i w:val="0"/>
                <w:iCs w:val="0"/>
                <w:caps w:val="0"/>
                <w:color w:val="auto"/>
                <w:spacing w:val="0"/>
                <w:sz w:val="24"/>
                <w:szCs w:val="24"/>
                <w:shd w:val="clear" w:color="auto" w:fill="FFFFFF"/>
                <w:lang w:val="en-US" w:eastAsia="zh-CN"/>
              </w:rPr>
            </w:pPr>
          </w:p>
          <w:p>
            <w:pPr>
              <w:pStyle w:val="2"/>
              <w:rPr>
                <w:rFonts w:hint="eastAsia" w:ascii="宋体" w:hAnsi="宋体" w:cs="宋体"/>
                <w:i w:val="0"/>
                <w:iCs w:val="0"/>
                <w:caps w:val="0"/>
                <w:color w:val="auto"/>
                <w:spacing w:val="0"/>
                <w:sz w:val="24"/>
                <w:szCs w:val="24"/>
                <w:shd w:val="clear" w:color="auto" w:fill="FFFFFF"/>
                <w:lang w:val="en-US" w:eastAsia="zh-CN"/>
              </w:rPr>
            </w:pPr>
          </w:p>
          <w:p>
            <w:pPr>
              <w:rPr>
                <w:rFonts w:hint="eastAsia" w:ascii="宋体" w:hAnsi="宋体" w:cs="宋体"/>
                <w:i w:val="0"/>
                <w:iCs w:val="0"/>
                <w:caps w:val="0"/>
                <w:color w:val="auto"/>
                <w:spacing w:val="0"/>
                <w:sz w:val="24"/>
                <w:szCs w:val="24"/>
                <w:shd w:val="clear" w:color="auto" w:fill="FFFFFF"/>
                <w:lang w:val="en-US" w:eastAsia="zh-CN"/>
              </w:rPr>
            </w:pPr>
          </w:p>
          <w:p>
            <w:pPr>
              <w:pStyle w:val="2"/>
              <w:rPr>
                <w:rFonts w:hint="eastAsia" w:ascii="宋体" w:hAnsi="宋体" w:cs="宋体"/>
                <w:i w:val="0"/>
                <w:iCs w:val="0"/>
                <w:caps w:val="0"/>
                <w:color w:val="auto"/>
                <w:spacing w:val="0"/>
                <w:sz w:val="24"/>
                <w:szCs w:val="24"/>
                <w:shd w:val="clear" w:color="auto" w:fill="FFFFFF"/>
                <w:lang w:val="en-US" w:eastAsia="zh-CN"/>
              </w:rPr>
            </w:pPr>
          </w:p>
          <w:p>
            <w:pPr>
              <w:rPr>
                <w:rFonts w:hint="eastAsia" w:ascii="宋体" w:hAnsi="宋体" w:cs="宋体"/>
                <w:i w:val="0"/>
                <w:iCs w:val="0"/>
                <w:caps w:val="0"/>
                <w:color w:val="auto"/>
                <w:spacing w:val="0"/>
                <w:sz w:val="24"/>
                <w:szCs w:val="24"/>
                <w:shd w:val="clear" w:color="auto" w:fill="FFFFFF"/>
                <w:lang w:val="en-US" w:eastAsia="zh-CN"/>
              </w:rPr>
            </w:pPr>
          </w:p>
          <w:p>
            <w:pPr>
              <w:pStyle w:val="2"/>
              <w:rPr>
                <w:rFonts w:hint="eastAsia" w:ascii="宋体" w:hAnsi="宋体" w:cs="宋体"/>
                <w:i w:val="0"/>
                <w:iCs w:val="0"/>
                <w:caps w:val="0"/>
                <w:color w:val="auto"/>
                <w:spacing w:val="0"/>
                <w:sz w:val="24"/>
                <w:szCs w:val="24"/>
                <w:shd w:val="clear" w:color="auto" w:fill="FFFFFF"/>
                <w:lang w:val="en-US" w:eastAsia="zh-CN"/>
              </w:rPr>
            </w:pPr>
          </w:p>
          <w:p>
            <w:pPr>
              <w:rPr>
                <w:rFonts w:hint="eastAsia" w:ascii="宋体" w:hAnsi="宋体" w:cs="宋体"/>
                <w:i w:val="0"/>
                <w:iCs w:val="0"/>
                <w:caps w:val="0"/>
                <w:color w:val="auto"/>
                <w:spacing w:val="0"/>
                <w:sz w:val="24"/>
                <w:szCs w:val="24"/>
                <w:shd w:val="clear" w:color="auto" w:fill="FFFFFF"/>
                <w:lang w:val="en-US" w:eastAsia="zh-CN"/>
              </w:rPr>
            </w:pPr>
          </w:p>
          <w:p>
            <w:pPr>
              <w:pStyle w:val="2"/>
              <w:rPr>
                <w:rFonts w:hint="eastAsia" w:ascii="宋体" w:hAnsi="宋体" w:cs="宋体"/>
                <w:i w:val="0"/>
                <w:iCs w:val="0"/>
                <w:caps w:val="0"/>
                <w:color w:val="auto"/>
                <w:spacing w:val="0"/>
                <w:sz w:val="24"/>
                <w:szCs w:val="24"/>
                <w:shd w:val="clear" w:color="auto" w:fill="FFFFFF"/>
                <w:lang w:val="en-US" w:eastAsia="zh-CN"/>
              </w:rPr>
            </w:pPr>
          </w:p>
          <w:p>
            <w:pPr>
              <w:rPr>
                <w:rFonts w:hint="eastAsia" w:ascii="宋体" w:hAnsi="宋体" w:cs="宋体"/>
                <w:i w:val="0"/>
                <w:iCs w:val="0"/>
                <w:caps w:val="0"/>
                <w:color w:val="auto"/>
                <w:spacing w:val="0"/>
                <w:sz w:val="24"/>
                <w:szCs w:val="24"/>
                <w:shd w:val="clear" w:color="auto" w:fill="FFFFFF"/>
                <w:lang w:val="en-US" w:eastAsia="zh-CN"/>
              </w:rPr>
            </w:pPr>
          </w:p>
          <w:p>
            <w:pPr>
              <w:pStyle w:val="2"/>
              <w:rPr>
                <w:rFonts w:hint="eastAsia"/>
                <w:lang w:val="en-US" w:eastAsia="zh-CN"/>
              </w:rPr>
            </w:pPr>
          </w:p>
          <w:p>
            <w:pPr>
              <w:keepNext w:val="0"/>
              <w:keepLines w:val="0"/>
              <w:widowControl/>
              <w:suppressLineNumbers w:val="0"/>
              <w:spacing w:line="360" w:lineRule="auto"/>
              <w:jc w:val="both"/>
              <w:rPr>
                <w:rFonts w:hint="default" w:ascii="宋体" w:hAnsi="宋体" w:eastAsia="宋体" w:cs="宋体"/>
                <w:b w:val="0"/>
                <w:bCs w:val="0"/>
                <w:i w:val="0"/>
                <w:iCs w:val="0"/>
                <w:caps w:val="0"/>
                <w:color w:val="auto"/>
                <w:spacing w:val="0"/>
                <w:sz w:val="21"/>
                <w:szCs w:val="21"/>
                <w:shd w:val="clear" w:color="auto" w:fill="FFFFFF"/>
                <w:lang w:val="en-US" w:eastAsia="zh-CN"/>
              </w:rPr>
            </w:pPr>
            <w:r>
              <w:rPr>
                <w:rFonts w:hint="default" w:ascii="宋体" w:hAnsi="宋体" w:eastAsia="宋体" w:cs="宋体"/>
                <w:b w:val="0"/>
                <w:bCs w:val="0"/>
                <w:i w:val="0"/>
                <w:iCs w:val="0"/>
                <w:caps w:val="0"/>
                <w:color w:val="auto"/>
                <w:spacing w:val="0"/>
                <w:sz w:val="21"/>
                <w:szCs w:val="21"/>
                <w:shd w:val="clear" w:color="auto" w:fill="FFFFFF"/>
                <w:lang w:val="en-US" w:eastAsia="zh-CN"/>
              </w:rPr>
              <w:drawing>
                <wp:inline distT="0" distB="0" distL="114300" distR="114300">
                  <wp:extent cx="5057140" cy="5400675"/>
                  <wp:effectExtent l="0" t="0" r="10160" b="9525"/>
                  <wp:docPr id="8" name="图片 10" descr="水环境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水环境质量"/>
                          <pic:cNvPicPr>
                            <a:picLocks noChangeAspect="1"/>
                          </pic:cNvPicPr>
                        </pic:nvPicPr>
                        <pic:blipFill>
                          <a:blip r:embed="rId21"/>
                          <a:stretch>
                            <a:fillRect/>
                          </a:stretch>
                        </pic:blipFill>
                        <pic:spPr>
                          <a:xfrm>
                            <a:off x="0" y="0"/>
                            <a:ext cx="5057140" cy="5400675"/>
                          </a:xfrm>
                          <a:prstGeom prst="rect">
                            <a:avLst/>
                          </a:prstGeom>
                          <a:noFill/>
                          <a:ln>
                            <a:noFill/>
                          </a:ln>
                        </pic:spPr>
                      </pic:pic>
                    </a:graphicData>
                  </a:graphic>
                </wp:inline>
              </w:drawing>
            </w:r>
          </w:p>
          <w:p>
            <w:pPr>
              <w:pStyle w:val="2"/>
              <w:spacing w:line="360" w:lineRule="auto"/>
              <w:ind w:left="482" w:leftChars="0" w:hanging="482" w:hangingChars="200"/>
              <w:jc w:val="center"/>
              <w:rPr>
                <w:rFonts w:hint="eastAsia" w:ascii="Times New Roman" w:hAnsi="Times New Roman" w:cs="Times New Roman"/>
                <w:b/>
                <w:bCs/>
                <w:i w:val="0"/>
                <w:iCs w:val="0"/>
                <w:caps w:val="0"/>
                <w:color w:val="auto"/>
                <w:spacing w:val="0"/>
                <w:sz w:val="24"/>
                <w:szCs w:val="24"/>
                <w:shd w:val="clear" w:color="auto" w:fill="FFFFFF"/>
                <w:lang w:val="en-US" w:eastAsia="zh-CN"/>
              </w:rPr>
            </w:pPr>
            <w:r>
              <w:rPr>
                <w:rFonts w:hint="eastAsia" w:ascii="Times New Roman" w:hAnsi="Times New Roman" w:cs="Times New Roman"/>
                <w:b/>
                <w:bCs/>
                <w:i w:val="0"/>
                <w:iCs w:val="0"/>
                <w:caps w:val="0"/>
                <w:color w:val="auto"/>
                <w:spacing w:val="0"/>
                <w:sz w:val="24"/>
                <w:szCs w:val="24"/>
                <w:shd w:val="clear" w:color="auto" w:fill="FFFFFF"/>
                <w:lang w:eastAsia="zh-CN"/>
              </w:rPr>
              <w:t>图</w:t>
            </w:r>
            <w:r>
              <w:rPr>
                <w:rFonts w:hint="eastAsia" w:ascii="Times New Roman" w:hAnsi="Times New Roman" w:cs="Times New Roman"/>
                <w:b/>
                <w:bCs/>
                <w:i w:val="0"/>
                <w:iCs w:val="0"/>
                <w:caps w:val="0"/>
                <w:color w:val="auto"/>
                <w:spacing w:val="0"/>
                <w:sz w:val="24"/>
                <w:szCs w:val="24"/>
                <w:shd w:val="clear" w:color="auto" w:fill="FFFFFF"/>
                <w:lang w:val="en-US" w:eastAsia="zh-CN"/>
              </w:rPr>
              <w:t>3-1乐山市2021年12月地表水水质状况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i w:val="0"/>
                <w:iCs w:val="0"/>
                <w:caps w:val="0"/>
                <w:color w:val="auto"/>
                <w:spacing w:val="0"/>
                <w:sz w:val="24"/>
                <w:szCs w:val="24"/>
                <w:shd w:val="clear" w:color="auto" w:fill="FFFFFF"/>
                <w:lang w:eastAsia="zh-CN"/>
              </w:rPr>
              <w:t>（http://ssthjj.leshan.gov.cn/shbj/szzlyb/202201/984e0d32e4574dd4995d33a47f5bf60f.shtml）</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由上述引用的监测资料监测结果可知，评价河段满足《地表水环境质量标准》（</w:t>
            </w:r>
            <w:r>
              <w:rPr>
                <w:rFonts w:hint="default" w:ascii="Times New Roman" w:hAnsi="Times New Roman" w:eastAsia="宋体" w:cs="Times New Roman"/>
                <w:color w:val="000000"/>
                <w:kern w:val="0"/>
                <w:sz w:val="24"/>
                <w:szCs w:val="24"/>
                <w:lang w:val="en-US" w:eastAsia="zh-CN" w:bidi="ar"/>
              </w:rPr>
              <w:t>GB3838-2002</w:t>
            </w:r>
            <w:r>
              <w:rPr>
                <w:rFonts w:hint="eastAsia" w:ascii="宋体" w:hAnsi="宋体" w:eastAsia="宋体" w:cs="宋体"/>
                <w:color w:val="000000"/>
                <w:kern w:val="0"/>
                <w:sz w:val="24"/>
                <w:szCs w:val="24"/>
                <w:lang w:val="en-US" w:eastAsia="zh-CN" w:bidi="ar"/>
              </w:rPr>
              <w:t>）中</w:t>
            </w:r>
            <w:r>
              <w:rPr>
                <w:rFonts w:hint="default" w:ascii="Times New Roman" w:hAnsi="Times New Roman" w:eastAsia="宋体" w:cs="Times New Roman"/>
                <w:color w:val="000000"/>
                <w:kern w:val="0"/>
                <w:sz w:val="24"/>
                <w:szCs w:val="24"/>
                <w:lang w:val="en-US" w:eastAsia="zh-CN" w:bidi="ar"/>
              </w:rPr>
              <w:t>III</w:t>
            </w:r>
            <w:r>
              <w:rPr>
                <w:rFonts w:hint="eastAsia" w:ascii="宋体" w:hAnsi="宋体" w:eastAsia="宋体" w:cs="宋体"/>
                <w:color w:val="000000"/>
                <w:kern w:val="0"/>
                <w:sz w:val="24"/>
                <w:szCs w:val="24"/>
                <w:lang w:val="en-US" w:eastAsia="zh-CN" w:bidi="ar"/>
              </w:rPr>
              <w:t>类标准限值要求，区域地表水水质状况良好。</w:t>
            </w:r>
          </w:p>
          <w:p>
            <w:pPr>
              <w:keepNext w:val="0"/>
              <w:keepLines w:val="0"/>
              <w:widowControl/>
              <w:numPr>
                <w:ilvl w:val="0"/>
                <w:numId w:val="0"/>
              </w:numPr>
              <w:suppressLineNumbers w:val="0"/>
              <w:spacing w:line="360" w:lineRule="auto"/>
              <w:jc w:val="left"/>
              <w:rPr>
                <w:rFonts w:hint="eastAsia"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cs="宋体"/>
                <w:b/>
                <w:bCs/>
                <w:i w:val="0"/>
                <w:iCs w:val="0"/>
                <w:caps w:val="0"/>
                <w:color w:val="auto"/>
                <w:spacing w:val="0"/>
                <w:sz w:val="24"/>
                <w:szCs w:val="24"/>
                <w:shd w:val="clear" w:color="auto" w:fill="FFFFFF"/>
                <w:lang w:val="en-US" w:eastAsia="zh-CN"/>
              </w:rPr>
              <w:t>三、</w:t>
            </w:r>
            <w:r>
              <w:rPr>
                <w:rFonts w:hint="eastAsia" w:ascii="宋体" w:hAnsi="宋体" w:eastAsia="宋体" w:cs="宋体"/>
                <w:b/>
                <w:bCs/>
                <w:i w:val="0"/>
                <w:iCs w:val="0"/>
                <w:caps w:val="0"/>
                <w:color w:val="auto"/>
                <w:spacing w:val="0"/>
                <w:sz w:val="24"/>
                <w:szCs w:val="24"/>
                <w:shd w:val="clear" w:color="auto" w:fill="FFFFFF"/>
                <w:lang w:val="en-US" w:eastAsia="zh-CN"/>
              </w:rPr>
              <w:t>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为了解项目所在地声环境质量现状，建设单位委托</w:t>
            </w:r>
            <w:r>
              <w:rPr>
                <w:rFonts w:hint="eastAsia" w:ascii="Times New Roman" w:hAnsi="Times New Roman" w:eastAsia="宋体" w:cs="Times New Roman"/>
                <w:color w:val="auto"/>
                <w:sz w:val="24"/>
                <w:lang w:val="en-US" w:eastAsia="zh-CN"/>
              </w:rPr>
              <w:t>四川福德昌环保科技有限公司</w:t>
            </w:r>
            <w:r>
              <w:rPr>
                <w:rFonts w:hint="default" w:ascii="Times New Roman" w:hAnsi="Times New Roman" w:eastAsia="宋体" w:cs="Times New Roman"/>
                <w:color w:val="auto"/>
                <w:sz w:val="24"/>
                <w:lang w:val="en-US" w:eastAsia="zh-CN"/>
              </w:rPr>
              <w:t>202</w:t>
            </w:r>
            <w:r>
              <w:rPr>
                <w:rFonts w:hint="eastAsia" w:ascii="Times New Roman" w:hAnsi="Times New Roman" w:cs="Times New Roman"/>
                <w:color w:val="auto"/>
                <w:sz w:val="24"/>
                <w:lang w:val="en-US" w:eastAsia="zh-CN"/>
              </w:rPr>
              <w:t>2</w:t>
            </w:r>
            <w:r>
              <w:rPr>
                <w:rFonts w:hint="default" w:ascii="Times New Roman" w:hAnsi="Times New Roman" w:eastAsia="宋体" w:cs="Times New Roman"/>
                <w:color w:val="auto"/>
                <w:sz w:val="24"/>
                <w:lang w:val="zh-CN"/>
              </w:rPr>
              <w:t>年</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lang w:val="zh-CN"/>
              </w:rPr>
              <w:t>月</w:t>
            </w:r>
            <w:r>
              <w:rPr>
                <w:rFonts w:hint="eastAsia" w:ascii="Times New Roman" w:hAnsi="Times New Roman" w:cs="Times New Roman"/>
                <w:color w:val="auto"/>
                <w:sz w:val="24"/>
                <w:lang w:val="en-US" w:eastAsia="zh-CN"/>
              </w:rPr>
              <w:t>11</w:t>
            </w:r>
            <w:r>
              <w:rPr>
                <w:rFonts w:hint="default" w:ascii="Times New Roman" w:hAnsi="Times New Roman" w:eastAsia="宋体" w:cs="Times New Roman"/>
                <w:color w:val="auto"/>
                <w:sz w:val="24"/>
                <w:lang w:val="zh-CN"/>
              </w:rPr>
              <w:t>日对项目所在地布设的监测点进行</w:t>
            </w:r>
            <w:r>
              <w:rPr>
                <w:rFonts w:hint="default" w:ascii="Times New Roman" w:hAnsi="Times New Roman" w:eastAsia="宋体" w:cs="Times New Roman"/>
                <w:color w:val="auto"/>
                <w:sz w:val="24"/>
                <w:lang w:val="en-US" w:eastAsia="zh-CN"/>
              </w:rPr>
              <w:t>补充</w:t>
            </w:r>
            <w:r>
              <w:rPr>
                <w:rFonts w:hint="default" w:ascii="Times New Roman" w:hAnsi="Times New Roman" w:eastAsia="宋体" w:cs="Times New Roman"/>
                <w:color w:val="auto"/>
                <w:sz w:val="24"/>
                <w:lang w:val="zh-CN"/>
              </w:rPr>
              <w:t>监测，分析结果如下：</w:t>
            </w:r>
          </w:p>
          <w:p>
            <w:pPr>
              <w:keepNext w:val="0"/>
              <w:keepLines w:val="0"/>
              <w:widowControl/>
              <w:numPr>
                <w:ilvl w:val="0"/>
                <w:numId w:val="0"/>
              </w:numPr>
              <w:suppressLineNumbers w:val="0"/>
              <w:spacing w:line="360" w:lineRule="auto"/>
              <w:ind w:firstLine="482" w:firstLineChars="200"/>
              <w:jc w:val="left"/>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b/>
                <w:bCs/>
                <w:i w:val="0"/>
                <w:iCs w:val="0"/>
                <w:caps w:val="0"/>
                <w:color w:val="auto"/>
                <w:spacing w:val="0"/>
                <w:sz w:val="24"/>
                <w:szCs w:val="24"/>
                <w:shd w:val="clear" w:color="auto" w:fill="FFFFFF"/>
                <w:lang w:val="en-US" w:eastAsia="zh-CN"/>
              </w:rPr>
              <w:t>1.监测项目：</w:t>
            </w:r>
          </w:p>
          <w:p>
            <w:pPr>
              <w:pStyle w:val="2"/>
              <w:spacing w:line="360" w:lineRule="auto"/>
              <w:ind w:left="0" w:leftChars="0" w:firstLine="482" w:firstLineChars="200"/>
              <w:rPr>
                <w:rFonts w:hint="default" w:ascii="Times New Roman" w:hAnsi="Times New Roman" w:cs="Times New Roman"/>
                <w:color w:val="auto"/>
                <w:sz w:val="24"/>
                <w:lang w:val="en-US" w:eastAsia="zh-CN"/>
              </w:rPr>
            </w:pPr>
            <w:r>
              <w:rPr>
                <w:rFonts w:hint="eastAsia" w:ascii="Times New Roman" w:hAnsi="Times New Roman" w:cs="Times New Roman"/>
                <w:b/>
                <w:bCs/>
                <w:color w:val="auto"/>
                <w:sz w:val="24"/>
                <w:lang w:eastAsia="zh-CN"/>
              </w:rPr>
              <w:t>监测点设置：</w:t>
            </w:r>
            <w:r>
              <w:rPr>
                <w:kern w:val="0"/>
                <w:sz w:val="24"/>
              </w:rPr>
              <w:t>1#项目场界</w:t>
            </w:r>
            <w:r>
              <w:rPr>
                <w:rFonts w:hint="eastAsia"/>
                <w:kern w:val="0"/>
                <w:sz w:val="24"/>
              </w:rPr>
              <w:t>东</w:t>
            </w:r>
            <w:r>
              <w:rPr>
                <w:kern w:val="0"/>
                <w:sz w:val="24"/>
              </w:rPr>
              <w:t>侧，2#项目场界</w:t>
            </w:r>
            <w:r>
              <w:rPr>
                <w:rFonts w:hint="eastAsia"/>
                <w:kern w:val="0"/>
                <w:sz w:val="24"/>
              </w:rPr>
              <w:t>南</w:t>
            </w:r>
            <w:r>
              <w:rPr>
                <w:kern w:val="0"/>
                <w:sz w:val="24"/>
              </w:rPr>
              <w:t>侧，3#项目场界</w:t>
            </w:r>
            <w:r>
              <w:rPr>
                <w:rFonts w:hint="eastAsia"/>
                <w:kern w:val="0"/>
                <w:sz w:val="24"/>
              </w:rPr>
              <w:t>西</w:t>
            </w:r>
            <w:r>
              <w:rPr>
                <w:kern w:val="0"/>
                <w:sz w:val="24"/>
              </w:rPr>
              <w:t>侧，4#项目场界</w:t>
            </w:r>
            <w:r>
              <w:rPr>
                <w:rFonts w:hint="eastAsia"/>
                <w:kern w:val="0"/>
                <w:sz w:val="24"/>
              </w:rPr>
              <w:t>北</w:t>
            </w:r>
            <w:r>
              <w:rPr>
                <w:kern w:val="0"/>
                <w:sz w:val="24"/>
              </w:rPr>
              <w:t>侧</w:t>
            </w:r>
            <w:r>
              <w:rPr>
                <w:rFonts w:hint="eastAsia"/>
                <w:kern w:val="0"/>
                <w:sz w:val="24"/>
              </w:rPr>
              <w:t>，5#项目南面</w:t>
            </w:r>
            <w:r>
              <w:rPr>
                <w:rFonts w:hint="eastAsia"/>
                <w:kern w:val="0"/>
                <w:sz w:val="24"/>
                <w:lang w:val="en-US" w:eastAsia="zh-CN"/>
              </w:rPr>
              <w:t>4</w:t>
            </w:r>
            <w:r>
              <w:rPr>
                <w:rFonts w:hint="eastAsia"/>
                <w:kern w:val="0"/>
                <w:sz w:val="24"/>
              </w:rPr>
              <w:t>0m</w:t>
            </w:r>
            <w:r>
              <w:rPr>
                <w:rFonts w:hint="eastAsia"/>
                <w:kern w:val="0"/>
                <w:sz w:val="24"/>
                <w:lang w:val="en-US" w:eastAsia="zh-CN"/>
              </w:rPr>
              <w:t>居民</w:t>
            </w:r>
            <w:r>
              <w:rPr>
                <w:rFonts w:hint="eastAsia"/>
                <w:kern w:val="0"/>
                <w:sz w:val="24"/>
              </w:rPr>
              <w:t>处。</w:t>
            </w:r>
            <w:r>
              <w:rPr>
                <w:rFonts w:hint="default" w:ascii="Times New Roman" w:hAnsi="Times New Roman" w:eastAsia="宋体" w:cs="Times New Roman"/>
                <w:color w:val="auto"/>
                <w:sz w:val="24"/>
              </w:rPr>
              <w:t>监测等效声级</w:t>
            </w:r>
            <w:r>
              <w:rPr>
                <w:rFonts w:hint="default" w:ascii="Times New Roman" w:hAnsi="Times New Roman" w:eastAsia="TimesNewRomanPSMT" w:cs="Times New Roman"/>
                <w:color w:val="auto"/>
                <w:sz w:val="24"/>
              </w:rPr>
              <w:t>LeqdB(A)</w:t>
            </w:r>
            <w:r>
              <w:rPr>
                <w:rFonts w:hint="default" w:ascii="Times New Roman" w:hAnsi="Times New Roman" w:eastAsia="宋体" w:cs="Times New Roman"/>
                <w:color w:val="auto"/>
                <w:sz w:val="24"/>
              </w:rPr>
              <w:t>。具体位置见表</w:t>
            </w:r>
            <w:r>
              <w:rPr>
                <w:rFonts w:hint="eastAsia" w:ascii="Times New Roman" w:hAnsi="Times New Roman" w:cs="Times New Roman"/>
                <w:color w:val="auto"/>
                <w:sz w:val="24"/>
                <w:lang w:val="en-US" w:eastAsia="zh-CN"/>
              </w:rPr>
              <w:t>3-4。</w:t>
            </w:r>
          </w:p>
          <w:p>
            <w:pPr>
              <w:spacing w:line="360" w:lineRule="auto"/>
              <w:ind w:firstLine="482" w:firstLineChars="200"/>
              <w:rPr>
                <w:rFonts w:hint="eastAsia" w:ascii="Times New Roman" w:hAnsi="Times New Roman" w:cs="Times New Roman"/>
                <w:color w:val="auto"/>
                <w:sz w:val="24"/>
                <w:szCs w:val="24"/>
                <w:lang w:eastAsia="zh-CN"/>
              </w:rPr>
            </w:pPr>
            <w:r>
              <w:rPr>
                <w:rFonts w:hint="eastAsia" w:ascii="Times New Roman" w:hAnsi="Times New Roman" w:cs="Times New Roman"/>
                <w:b/>
                <w:bCs/>
                <w:color w:val="auto"/>
                <w:sz w:val="24"/>
                <w:szCs w:val="24"/>
                <w:lang w:val="en-US" w:eastAsia="zh-CN"/>
              </w:rPr>
              <w:t>监测方法：</w:t>
            </w:r>
            <w:r>
              <w:rPr>
                <w:rFonts w:hint="default" w:ascii="Times New Roman" w:hAnsi="Times New Roman" w:eastAsia="宋体" w:cs="Times New Roman"/>
                <w:color w:val="auto"/>
                <w:sz w:val="24"/>
              </w:rPr>
              <w:t>根据《声环境质量标准》（</w:t>
            </w:r>
            <w:r>
              <w:rPr>
                <w:rFonts w:hint="default" w:ascii="Times New Roman" w:hAnsi="Times New Roman" w:eastAsia="TimesNewRomanPSMT" w:cs="Times New Roman"/>
                <w:color w:val="auto"/>
                <w:sz w:val="24"/>
              </w:rPr>
              <w:t>GB3096-2008</w:t>
            </w:r>
            <w:r>
              <w:rPr>
                <w:rFonts w:hint="default" w:ascii="Times New Roman" w:hAnsi="Times New Roman" w:eastAsia="宋体" w:cs="Times New Roman"/>
                <w:color w:val="auto"/>
                <w:sz w:val="24"/>
              </w:rPr>
              <w:t>）及《环境影响评</w:t>
            </w:r>
            <w:r>
              <w:rPr>
                <w:rFonts w:hint="default" w:ascii="Times New Roman" w:hAnsi="Times New Roman" w:eastAsia="宋体" w:cs="Times New Roman"/>
                <w:color w:val="auto"/>
                <w:sz w:val="24"/>
                <w:szCs w:val="24"/>
              </w:rPr>
              <w:t>价技术导则</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声环境》（</w:t>
            </w:r>
            <w:r>
              <w:rPr>
                <w:rFonts w:hint="default" w:ascii="Times New Roman" w:hAnsi="Times New Roman" w:eastAsia="TimesNewRomanPSMT" w:cs="Times New Roman"/>
                <w:color w:val="auto"/>
                <w:sz w:val="24"/>
                <w:szCs w:val="24"/>
              </w:rPr>
              <w:t>HJ2.4-2009</w:t>
            </w:r>
            <w:r>
              <w:rPr>
                <w:rFonts w:hint="default" w:ascii="Times New Roman" w:hAnsi="Times New Roman" w:eastAsia="宋体" w:cs="Times New Roman"/>
                <w:color w:val="auto"/>
                <w:sz w:val="24"/>
                <w:szCs w:val="24"/>
              </w:rPr>
              <w:t>）的规定进行测试</w:t>
            </w:r>
            <w:r>
              <w:rPr>
                <w:rFonts w:hint="eastAsia" w:ascii="Times New Roman" w:hAnsi="Times New Roman" w:cs="Times New Roman"/>
                <w:color w:val="auto"/>
                <w:sz w:val="24"/>
                <w:szCs w:val="24"/>
                <w:lang w:eastAsia="zh-CN"/>
              </w:rPr>
              <w:t>。</w:t>
            </w:r>
          </w:p>
          <w:p>
            <w:pPr>
              <w:spacing w:line="360" w:lineRule="auto"/>
              <w:ind w:firstLine="482" w:firstLineChars="200"/>
              <w:rPr>
                <w:rFonts w:hint="eastAsia"/>
                <w:b/>
                <w:bCs/>
                <w:sz w:val="24"/>
                <w:szCs w:val="24"/>
                <w:lang w:val="en-US" w:eastAsia="zh-CN"/>
              </w:rPr>
            </w:pPr>
            <w:r>
              <w:rPr>
                <w:rFonts w:hint="eastAsia"/>
                <w:b/>
                <w:bCs/>
                <w:sz w:val="24"/>
                <w:szCs w:val="24"/>
                <w:lang w:val="en-US" w:eastAsia="zh-CN"/>
              </w:rPr>
              <w:t>监测频次：</w:t>
            </w:r>
            <w:r>
              <w:rPr>
                <w:rFonts w:hint="default" w:ascii="Times New Roman" w:hAnsi="Times New Roman" w:eastAsia="宋体" w:cs="Times New Roman"/>
                <w:color w:val="auto"/>
                <w:sz w:val="24"/>
              </w:rPr>
              <w:t>对评价区内进行</w:t>
            </w:r>
            <w:r>
              <w:rPr>
                <w:rFonts w:hint="eastAsia" w:ascii="Times New Roman" w:hAnsi="Times New Roman" w:cs="Times New Roman"/>
                <w:color w:val="auto"/>
                <w:sz w:val="24"/>
                <w:lang w:val="en-US" w:eastAsia="zh-CN"/>
              </w:rPr>
              <w:t>1</w:t>
            </w:r>
            <w:r>
              <w:rPr>
                <w:rFonts w:hint="eastAsia" w:ascii="Times New Roman" w:hAnsi="Times New Roman" w:cs="Times New Roman"/>
                <w:color w:val="auto"/>
                <w:sz w:val="24"/>
                <w:lang w:eastAsia="zh-CN"/>
              </w:rPr>
              <w:t>天</w:t>
            </w:r>
            <w:r>
              <w:rPr>
                <w:rFonts w:hint="default" w:ascii="Times New Roman" w:hAnsi="Times New Roman" w:eastAsia="宋体" w:cs="Times New Roman"/>
                <w:color w:val="auto"/>
                <w:sz w:val="24"/>
              </w:rPr>
              <w:t>声环境质量监测。昼间（</w:t>
            </w:r>
            <w:r>
              <w:rPr>
                <w:rFonts w:hint="default" w:ascii="Times New Roman" w:hAnsi="Times New Roman" w:eastAsia="TimesNewRomanPSMT" w:cs="Times New Roman"/>
                <w:color w:val="auto"/>
                <w:sz w:val="24"/>
              </w:rPr>
              <w:t>06</w:t>
            </w:r>
            <w:r>
              <w:rPr>
                <w:rFonts w:hint="default" w:ascii="Times New Roman" w:hAnsi="Times New Roman" w:eastAsia="宋体" w:cs="Times New Roman"/>
                <w:color w:val="auto"/>
                <w:sz w:val="24"/>
              </w:rPr>
              <w:t>：</w:t>
            </w:r>
            <w:r>
              <w:rPr>
                <w:rFonts w:hint="default" w:ascii="Times New Roman" w:hAnsi="Times New Roman" w:eastAsia="TimesNewRomanPSMT" w:cs="Times New Roman"/>
                <w:color w:val="auto"/>
                <w:sz w:val="24"/>
              </w:rPr>
              <w:t>00-22</w:t>
            </w:r>
            <w:r>
              <w:rPr>
                <w:rFonts w:hint="default" w:ascii="Times New Roman" w:hAnsi="Times New Roman" w:eastAsia="宋体" w:cs="Times New Roman"/>
                <w:color w:val="auto"/>
                <w:sz w:val="24"/>
              </w:rPr>
              <w:t>：</w:t>
            </w:r>
            <w:r>
              <w:rPr>
                <w:rFonts w:hint="default" w:ascii="Times New Roman" w:hAnsi="Times New Roman" w:eastAsia="TimesNewRomanPSMT" w:cs="Times New Roman"/>
                <w:color w:val="auto"/>
                <w:sz w:val="24"/>
              </w:rPr>
              <w:t>00</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1</w:t>
            </w:r>
            <w:r>
              <w:rPr>
                <w:rFonts w:hint="default" w:ascii="Times New Roman" w:hAnsi="Times New Roman" w:eastAsia="宋体" w:cs="Times New Roman"/>
                <w:color w:val="auto"/>
                <w:sz w:val="24"/>
              </w:rPr>
              <w:t>次。用噪声统计分析仪测试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每次</w:t>
            </w:r>
            <w:r>
              <w:rPr>
                <w:rFonts w:hint="default" w:ascii="Times New Roman" w:hAnsi="Times New Roman" w:eastAsia="宋体" w:cs="Times New Roman"/>
                <w:color w:val="auto"/>
                <w:sz w:val="24"/>
                <w:lang w:val="en-US" w:eastAsia="zh-CN"/>
              </w:rPr>
              <w:t>10</w:t>
            </w:r>
            <w:r>
              <w:rPr>
                <w:rFonts w:hint="default" w:ascii="Times New Roman" w:hAnsi="Times New Roman" w:eastAsia="TimesNewRomanPSMT" w:cs="Times New Roman"/>
                <w:color w:val="auto"/>
                <w:sz w:val="24"/>
              </w:rPr>
              <w:t>min</w:t>
            </w:r>
            <w:r>
              <w:rPr>
                <w:rFonts w:hint="default" w:ascii="Times New Roman" w:hAnsi="Times New Roman" w:eastAsia="宋体" w:cs="Times New Roman"/>
                <w:color w:val="auto"/>
                <w:sz w:val="24"/>
              </w:rPr>
              <w:t>。</w:t>
            </w:r>
          </w:p>
          <w:p>
            <w:pPr>
              <w:spacing w:line="360" w:lineRule="auto"/>
              <w:ind w:firstLine="482" w:firstLineChars="200"/>
              <w:rPr>
                <w:rFonts w:hint="default" w:ascii="Times New Roman" w:hAnsi="Times New Roman" w:eastAsia="宋体" w:cs="Times New Roman"/>
                <w:color w:val="auto"/>
                <w:sz w:val="24"/>
              </w:rPr>
            </w:pPr>
            <w:r>
              <w:rPr>
                <w:rFonts w:hint="eastAsia"/>
                <w:b/>
                <w:bCs/>
                <w:sz w:val="24"/>
                <w:szCs w:val="24"/>
                <w:lang w:val="en-US" w:eastAsia="zh-CN"/>
              </w:rPr>
              <w:t>评价方法：</w:t>
            </w:r>
            <w:r>
              <w:rPr>
                <w:rFonts w:hint="default" w:ascii="Times New Roman" w:hAnsi="Times New Roman" w:eastAsia="宋体" w:cs="Times New Roman"/>
                <w:color w:val="auto"/>
                <w:sz w:val="24"/>
              </w:rPr>
              <w:t>采用实测值（</w:t>
            </w:r>
            <w:r>
              <w:rPr>
                <w:rFonts w:hint="default" w:ascii="Times New Roman" w:hAnsi="Times New Roman" w:eastAsia="TimesNewRomanPSMT" w:cs="Times New Roman"/>
                <w:color w:val="auto"/>
                <w:sz w:val="24"/>
              </w:rPr>
              <w:t>L</w:t>
            </w:r>
            <w:r>
              <w:rPr>
                <w:rFonts w:hint="default" w:ascii="Times New Roman" w:hAnsi="Times New Roman" w:eastAsia="TimesNewRomanPSMT" w:cs="Times New Roman"/>
                <w:color w:val="auto"/>
                <w:sz w:val="16"/>
              </w:rPr>
              <w:t>Aeq</w:t>
            </w:r>
            <w:r>
              <w:rPr>
                <w:rFonts w:hint="default" w:ascii="Times New Roman" w:hAnsi="Times New Roman" w:eastAsia="宋体" w:cs="Times New Roman"/>
                <w:color w:val="auto"/>
                <w:sz w:val="24"/>
              </w:rPr>
              <w:t>）与标准值比较的方法进行评价。</w:t>
            </w:r>
          </w:p>
          <w:p>
            <w:pPr>
              <w:pStyle w:val="2"/>
              <w:spacing w:line="360" w:lineRule="auto"/>
              <w:ind w:left="0" w:leftChars="0"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eastAsia="zh-CN"/>
              </w:rPr>
              <w:t>详细信息见表</w:t>
            </w:r>
            <w:r>
              <w:rPr>
                <w:rFonts w:hint="eastAsia" w:ascii="Times New Roman" w:hAnsi="Times New Roman" w:cs="Times New Roman"/>
                <w:color w:val="auto"/>
                <w:sz w:val="24"/>
                <w:lang w:val="en-US" w:eastAsia="zh-CN"/>
              </w:rPr>
              <w:t>3-7。</w:t>
            </w:r>
          </w:p>
          <w:p>
            <w:pPr>
              <w:spacing w:line="240" w:lineRule="auto"/>
              <w:jc w:val="center"/>
              <w:rPr>
                <w:rFonts w:hint="default"/>
                <w:b/>
                <w:bCs/>
                <w:lang w:val="en-US" w:eastAsia="zh-CN"/>
              </w:rPr>
            </w:pPr>
            <w:r>
              <w:rPr>
                <w:rFonts w:hint="eastAsia" w:ascii="Times New Roman" w:hAnsi="Times New Roman" w:cs="Times New Roman"/>
                <w:b/>
                <w:bCs/>
                <w:color w:val="auto"/>
                <w:sz w:val="24"/>
                <w:lang w:val="en-US" w:eastAsia="zh-CN"/>
              </w:rPr>
              <w:t>表3-7检测点位、项目及频次信息</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150"/>
              <w:gridCol w:w="3330"/>
              <w:gridCol w:w="123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检测类别</w:t>
                  </w:r>
                </w:p>
              </w:tc>
              <w:tc>
                <w:tcPr>
                  <w:tcW w:w="1150" w:type="dxa"/>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点位编号</w:t>
                  </w:r>
                </w:p>
              </w:tc>
              <w:tc>
                <w:tcPr>
                  <w:tcW w:w="3330" w:type="dxa"/>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点位名称</w:t>
                  </w:r>
                </w:p>
              </w:tc>
              <w:tc>
                <w:tcPr>
                  <w:tcW w:w="1230" w:type="dxa"/>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检测项目</w:t>
                  </w:r>
                </w:p>
              </w:tc>
              <w:tc>
                <w:tcPr>
                  <w:tcW w:w="1194" w:type="dxa"/>
                  <w:noWrap w:val="0"/>
                  <w:vAlign w:val="center"/>
                </w:tcPr>
                <w:p>
                  <w:pPr>
                    <w:spacing w:line="240" w:lineRule="auto"/>
                    <w:jc w:val="center"/>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vMerge w:val="restart"/>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噪声</w:t>
                  </w:r>
                </w:p>
              </w:tc>
              <w:tc>
                <w:tcPr>
                  <w:tcW w:w="115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333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项目场界东侧外1m，处</w:t>
                  </w:r>
                </w:p>
              </w:tc>
              <w:tc>
                <w:tcPr>
                  <w:tcW w:w="1230" w:type="dxa"/>
                  <w:vMerge w:val="restart"/>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环境噪声（等效连续A声级L</w:t>
                  </w:r>
                  <w:r>
                    <w:rPr>
                      <w:rFonts w:hint="default" w:ascii="Times New Roman" w:hAnsi="Times New Roman" w:cs="Times New Roman"/>
                      <w:sz w:val="21"/>
                      <w:szCs w:val="21"/>
                      <w:vertAlign w:val="subscript"/>
                      <w:lang w:val="en-US" w:eastAsia="zh-CN"/>
                    </w:rPr>
                    <w:t>eq</w:t>
                  </w:r>
                  <w:r>
                    <w:rPr>
                      <w:rFonts w:hint="default" w:ascii="Times New Roman" w:hAnsi="Times New Roman" w:cs="Times New Roman"/>
                      <w:sz w:val="21"/>
                      <w:szCs w:val="21"/>
                      <w:vertAlign w:val="baseline"/>
                      <w:lang w:val="en-US" w:eastAsia="zh-CN"/>
                    </w:rPr>
                    <w:t>）</w:t>
                  </w:r>
                </w:p>
              </w:tc>
              <w:tc>
                <w:tcPr>
                  <w:tcW w:w="1194" w:type="dxa"/>
                  <w:vMerge w:val="restart"/>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检测一天，昼间一次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5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333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项目场界南侧1m，处</w:t>
                  </w:r>
                </w:p>
              </w:tc>
              <w:tc>
                <w:tcPr>
                  <w:tcW w:w="123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94"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107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5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333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项目场界西侧1m，处</w:t>
                  </w:r>
                </w:p>
              </w:tc>
              <w:tc>
                <w:tcPr>
                  <w:tcW w:w="123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94"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5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333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项目场界北侧1m，处</w:t>
                  </w:r>
                </w:p>
              </w:tc>
              <w:tc>
                <w:tcPr>
                  <w:tcW w:w="123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94"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5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3330" w:type="dxa"/>
                  <w:noWrap w:val="0"/>
                  <w:vAlign w:val="center"/>
                </w:tcPr>
                <w:p>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项目场界</w:t>
                  </w:r>
                  <w:r>
                    <w:rPr>
                      <w:rFonts w:hint="eastAsia" w:ascii="Times New Roman" w:hAnsi="Times New Roman" w:cs="Times New Roman"/>
                      <w:sz w:val="21"/>
                      <w:szCs w:val="21"/>
                      <w:vertAlign w:val="baseline"/>
                      <w:lang w:val="en-US" w:eastAsia="zh-CN"/>
                    </w:rPr>
                    <w:t>南</w:t>
                  </w:r>
                  <w:r>
                    <w:rPr>
                      <w:rFonts w:hint="default" w:ascii="Times New Roman" w:hAnsi="Times New Roman" w:cs="Times New Roman"/>
                      <w:sz w:val="21"/>
                      <w:szCs w:val="21"/>
                      <w:vertAlign w:val="baseline"/>
                      <w:lang w:val="en-US" w:eastAsia="zh-CN"/>
                    </w:rPr>
                    <w:t>侧40m居民户外1</w:t>
                  </w:r>
                  <w:r>
                    <w:rPr>
                      <w:rFonts w:hint="eastAsia" w:ascii="Times New Roman" w:hAnsi="Times New Roman" w:cs="Times New Roman"/>
                      <w:sz w:val="21"/>
                      <w:szCs w:val="21"/>
                      <w:vertAlign w:val="baseline"/>
                      <w:lang w:val="en-US" w:eastAsia="zh-CN"/>
                    </w:rPr>
                    <w:t>m</w:t>
                  </w:r>
                  <w:r>
                    <w:rPr>
                      <w:rFonts w:hint="default" w:ascii="Times New Roman" w:hAnsi="Times New Roman" w:cs="Times New Roman"/>
                      <w:sz w:val="21"/>
                      <w:szCs w:val="21"/>
                      <w:vertAlign w:val="baseline"/>
                      <w:lang w:val="en-US" w:eastAsia="zh-CN"/>
                    </w:rPr>
                    <w:t>处</w:t>
                  </w:r>
                </w:p>
              </w:tc>
              <w:tc>
                <w:tcPr>
                  <w:tcW w:w="1230"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c>
                <w:tcPr>
                  <w:tcW w:w="1194" w:type="dxa"/>
                  <w:vMerge w:val="continue"/>
                  <w:noWrap w:val="0"/>
                  <w:vAlign w:val="center"/>
                </w:tcPr>
                <w:p>
                  <w:pPr>
                    <w:spacing w:line="240" w:lineRule="auto"/>
                    <w:jc w:val="center"/>
                    <w:rPr>
                      <w:rFonts w:hint="default" w:ascii="Times New Roman" w:hAnsi="Times New Roman" w:cs="Times New Roman"/>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2.监测结果及评价结果</w:t>
            </w:r>
          </w:p>
          <w:p>
            <w:pPr>
              <w:spacing w:line="240" w:lineRule="auto"/>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表3-8噪声检测结果</w:t>
            </w:r>
          </w:p>
          <w:tbl>
            <w:tblPr>
              <w:tblStyle w:val="39"/>
              <w:tblW w:w="7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91"/>
              <w:gridCol w:w="1013"/>
              <w:gridCol w:w="935"/>
              <w:gridCol w:w="847"/>
              <w:gridCol w:w="3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点位编号</w:t>
                  </w:r>
                </w:p>
              </w:tc>
              <w:tc>
                <w:tcPr>
                  <w:tcW w:w="13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点位名称</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检测时段</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检测结果</w:t>
                  </w:r>
                </w:p>
              </w:tc>
              <w:tc>
                <w:tcPr>
                  <w:tcW w:w="8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单位</w:t>
                  </w:r>
                </w:p>
              </w:tc>
              <w:tc>
                <w:tcPr>
                  <w:tcW w:w="31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6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1391" w:type="dxa"/>
                  <w:noWrap w:val="0"/>
                  <w:vAlign w:val="center"/>
                </w:tcPr>
                <w:p>
                  <w:pPr>
                    <w:spacing w:line="240" w:lineRule="auto"/>
                    <w:jc w:val="center"/>
                    <w:rPr>
                      <w:rFonts w:hint="default"/>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项目场界东侧外1m，处</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昼间</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59</w:t>
                  </w:r>
                </w:p>
              </w:tc>
              <w:tc>
                <w:tcPr>
                  <w:tcW w:w="84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dB</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A</w:t>
                  </w:r>
                  <w:r>
                    <w:rPr>
                      <w:rFonts w:hint="eastAsia" w:ascii="Times New Roman" w:hAnsi="Times New Roman" w:cs="Times New Roman"/>
                      <w:color w:val="auto"/>
                      <w:sz w:val="21"/>
                      <w:szCs w:val="21"/>
                      <w:vertAlign w:val="baseline"/>
                      <w:lang w:val="en-US" w:eastAsia="zh-CN"/>
                    </w:rPr>
                    <w:t>)</w:t>
                  </w:r>
                </w:p>
              </w:tc>
              <w:tc>
                <w:tcPr>
                  <w:tcW w:w="31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ascii="Times New Roman" w:hAnsi="Times New Roman" w:eastAsia="宋体" w:cs="Times New Roman"/>
                      <w:b w:val="0"/>
                      <w:bCs/>
                      <w:color w:val="auto"/>
                      <w:sz w:val="21"/>
                      <w:szCs w:val="21"/>
                      <w:lang w:eastAsia="zh-CN"/>
                    </w:rPr>
                    <w:t>《声环境质量标准》（GB3096-2008）</w:t>
                  </w:r>
                  <w:r>
                    <w:rPr>
                      <w:rFonts w:hint="eastAsia" w:cs="Times New Roman"/>
                      <w:b w:val="0"/>
                      <w:bCs/>
                      <w:color w:val="auto"/>
                      <w:sz w:val="21"/>
                      <w:szCs w:val="21"/>
                      <w:lang w:val="en-US" w:eastAsia="zh-CN"/>
                    </w:rPr>
                    <w:t>3</w:t>
                  </w:r>
                  <w:r>
                    <w:rPr>
                      <w:rFonts w:hint="eastAsia" w:ascii="Times New Roman" w:hAnsi="Times New Roman" w:eastAsia="宋体" w:cs="Times New Roman"/>
                      <w:b w:val="0"/>
                      <w:bCs/>
                      <w:color w:val="auto"/>
                      <w:sz w:val="21"/>
                      <w:szCs w:val="21"/>
                      <w:lang w:eastAsia="zh-CN"/>
                    </w:rPr>
                    <w:t>类标准</w:t>
                  </w:r>
                  <w:r>
                    <w:rPr>
                      <w:rFonts w:hint="eastAsia" w:ascii="Times New Roman" w:hAnsi="Times New Roman" w:cs="Times New Roman"/>
                      <w:b w:val="0"/>
                      <w:bCs/>
                      <w:color w:val="auto"/>
                      <w:sz w:val="21"/>
                      <w:szCs w:val="21"/>
                      <w:lang w:eastAsia="zh-CN"/>
                    </w:rPr>
                    <w:t>：昼间</w:t>
                  </w:r>
                  <w:r>
                    <w:rPr>
                      <w:rFonts w:hint="eastAsia" w:ascii="Times New Roman" w:hAnsi="Times New Roman" w:cs="Times New Roman"/>
                      <w:b w:val="0"/>
                      <w:bCs/>
                      <w:color w:val="auto"/>
                      <w:sz w:val="21"/>
                      <w:szCs w:val="21"/>
                      <w:lang w:val="en-US" w:eastAsia="zh-CN"/>
                    </w:rPr>
                    <w:t>65</w:t>
                  </w:r>
                  <w:r>
                    <w:rPr>
                      <w:rFonts w:hint="default" w:ascii="Times New Roman" w:hAnsi="Times New Roman" w:cs="Times New Roman"/>
                      <w:color w:val="auto"/>
                      <w:sz w:val="21"/>
                      <w:szCs w:val="21"/>
                      <w:vertAlign w:val="baseline"/>
                      <w:lang w:val="en-US" w:eastAsia="zh-CN"/>
                    </w:rPr>
                    <w:t>dB</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A</w:t>
                  </w:r>
                  <w:r>
                    <w:rPr>
                      <w:rFonts w:hint="eastAsia" w:ascii="Times New Roman" w:hAnsi="Times New Roman"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639" w:type="dxa"/>
                  <w:noWrap w:val="0"/>
                  <w:vAlign w:val="center"/>
                </w:tcPr>
                <w:p>
                  <w:pPr>
                    <w:keepNext w:val="0"/>
                    <w:keepLines w:val="0"/>
                    <w:pageBreakBefore w:val="0"/>
                    <w:widowControl w:val="0"/>
                    <w:tabs>
                      <w:tab w:val="left" w:pos="402"/>
                    </w:tabs>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391" w:type="dxa"/>
                  <w:noWrap w:val="0"/>
                  <w:vAlign w:val="center"/>
                </w:tcPr>
                <w:p>
                  <w:pPr>
                    <w:spacing w:line="240" w:lineRule="auto"/>
                    <w:jc w:val="center"/>
                    <w:rPr>
                      <w:rFonts w:hint="default"/>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项目场界南侧1m，处</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昼间</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55</w:t>
                  </w:r>
                </w:p>
              </w:tc>
              <w:tc>
                <w:tcPr>
                  <w:tcW w:w="8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c>
                <w:tcPr>
                  <w:tcW w:w="31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39" w:type="dxa"/>
                  <w:noWrap w:val="0"/>
                  <w:vAlign w:val="center"/>
                </w:tcPr>
                <w:p>
                  <w:pPr>
                    <w:keepNext w:val="0"/>
                    <w:keepLines w:val="0"/>
                    <w:pageBreakBefore w:val="0"/>
                    <w:widowControl w:val="0"/>
                    <w:tabs>
                      <w:tab w:val="left" w:pos="502"/>
                    </w:tabs>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1391" w:type="dxa"/>
                  <w:noWrap w:val="0"/>
                  <w:vAlign w:val="center"/>
                </w:tcPr>
                <w:p>
                  <w:pPr>
                    <w:spacing w:line="240" w:lineRule="auto"/>
                    <w:jc w:val="center"/>
                    <w:rPr>
                      <w:rFonts w:hint="default"/>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项目场界西侧1m，处</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昼间</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51</w:t>
                  </w:r>
                </w:p>
              </w:tc>
              <w:tc>
                <w:tcPr>
                  <w:tcW w:w="8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c>
                <w:tcPr>
                  <w:tcW w:w="31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639" w:type="dxa"/>
                  <w:noWrap w:val="0"/>
                  <w:vAlign w:val="center"/>
                </w:tcPr>
                <w:p>
                  <w:pPr>
                    <w:keepNext w:val="0"/>
                    <w:keepLines w:val="0"/>
                    <w:pageBreakBefore w:val="0"/>
                    <w:widowControl w:val="0"/>
                    <w:tabs>
                      <w:tab w:val="left" w:pos="432"/>
                    </w:tabs>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391" w:type="dxa"/>
                  <w:noWrap w:val="0"/>
                  <w:vAlign w:val="center"/>
                </w:tcPr>
                <w:p>
                  <w:pPr>
                    <w:spacing w:line="240" w:lineRule="auto"/>
                    <w:jc w:val="center"/>
                    <w:rPr>
                      <w:rFonts w:hint="default"/>
                      <w:color w:val="auto"/>
                      <w:sz w:val="21"/>
                      <w:szCs w:val="21"/>
                      <w:vertAlign w:val="baseline"/>
                      <w:lang w:val="en-US" w:eastAsia="zh-CN"/>
                    </w:rPr>
                  </w:pPr>
                  <w:r>
                    <w:rPr>
                      <w:rFonts w:hint="default" w:ascii="Times New Roman" w:hAnsi="Times New Roman" w:cs="Times New Roman"/>
                      <w:sz w:val="21"/>
                      <w:szCs w:val="21"/>
                      <w:vertAlign w:val="baseline"/>
                      <w:lang w:val="en-US" w:eastAsia="zh-CN"/>
                    </w:rPr>
                    <w:t>项目场界北侧1m，处</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昼间</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w:t>
                  </w:r>
                </w:p>
              </w:tc>
              <w:tc>
                <w:tcPr>
                  <w:tcW w:w="8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c>
                <w:tcPr>
                  <w:tcW w:w="31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39" w:type="dxa"/>
                  <w:noWrap w:val="0"/>
                  <w:vAlign w:val="center"/>
                </w:tcPr>
                <w:p>
                  <w:pPr>
                    <w:keepNext w:val="0"/>
                    <w:keepLines w:val="0"/>
                    <w:pageBreakBefore w:val="0"/>
                    <w:widowControl w:val="0"/>
                    <w:tabs>
                      <w:tab w:val="left" w:pos="562"/>
                    </w:tabs>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391" w:type="dxa"/>
                  <w:noWrap w:val="0"/>
                  <w:vAlign w:val="center"/>
                </w:tcPr>
                <w:p>
                  <w:pPr>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项目场界</w:t>
                  </w:r>
                  <w:r>
                    <w:rPr>
                      <w:rFonts w:hint="eastAsia" w:ascii="Times New Roman" w:hAnsi="Times New Roman" w:cs="Times New Roman"/>
                      <w:sz w:val="21"/>
                      <w:szCs w:val="21"/>
                      <w:vertAlign w:val="baseline"/>
                      <w:lang w:val="en-US" w:eastAsia="zh-CN"/>
                    </w:rPr>
                    <w:t>南</w:t>
                  </w:r>
                  <w:r>
                    <w:rPr>
                      <w:rFonts w:hint="default" w:ascii="Times New Roman" w:hAnsi="Times New Roman" w:cs="Times New Roman"/>
                      <w:sz w:val="21"/>
                      <w:szCs w:val="21"/>
                      <w:vertAlign w:val="baseline"/>
                      <w:lang w:val="en-US" w:eastAsia="zh-CN"/>
                    </w:rPr>
                    <w:t>侧40m居民户外1</w:t>
                  </w:r>
                  <w:r>
                    <w:rPr>
                      <w:rFonts w:hint="eastAsia" w:ascii="Times New Roman" w:hAnsi="Times New Roman" w:cs="Times New Roman"/>
                      <w:sz w:val="21"/>
                      <w:szCs w:val="21"/>
                      <w:vertAlign w:val="baseline"/>
                      <w:lang w:val="en-US" w:eastAsia="zh-CN"/>
                    </w:rPr>
                    <w:t>m</w:t>
                  </w:r>
                  <w:r>
                    <w:rPr>
                      <w:rFonts w:hint="default" w:ascii="Times New Roman" w:hAnsi="Times New Roman" w:cs="Times New Roman"/>
                      <w:sz w:val="21"/>
                      <w:szCs w:val="21"/>
                      <w:vertAlign w:val="baseline"/>
                      <w:lang w:val="en-US" w:eastAsia="zh-CN"/>
                    </w:rPr>
                    <w:t>处</w:t>
                  </w:r>
                </w:p>
              </w:tc>
              <w:tc>
                <w:tcPr>
                  <w:tcW w:w="10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昼间</w:t>
                  </w:r>
                </w:p>
              </w:tc>
              <w:tc>
                <w:tcPr>
                  <w:tcW w:w="9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49</w:t>
                  </w:r>
                </w:p>
              </w:tc>
              <w:tc>
                <w:tcPr>
                  <w:tcW w:w="84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p>
              </w:tc>
              <w:tc>
                <w:tcPr>
                  <w:tcW w:w="31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ascii="Times New Roman" w:hAnsi="Times New Roman" w:eastAsia="宋体" w:cs="Times New Roman"/>
                      <w:b w:val="0"/>
                      <w:bCs/>
                      <w:color w:val="auto"/>
                      <w:sz w:val="21"/>
                      <w:szCs w:val="21"/>
                      <w:lang w:eastAsia="zh-CN"/>
                    </w:rPr>
                    <w:t>《声环境质量标准》（GB3096-2008）2类标准</w:t>
                  </w:r>
                  <w:r>
                    <w:rPr>
                      <w:rFonts w:hint="eastAsia" w:ascii="Times New Roman" w:hAnsi="Times New Roman" w:cs="Times New Roman"/>
                      <w:b w:val="0"/>
                      <w:bCs/>
                      <w:color w:val="auto"/>
                      <w:sz w:val="21"/>
                      <w:szCs w:val="21"/>
                      <w:lang w:eastAsia="zh-CN"/>
                    </w:rPr>
                    <w:t>：昼间</w:t>
                  </w:r>
                  <w:r>
                    <w:rPr>
                      <w:rFonts w:hint="eastAsia" w:ascii="Times New Roman" w:hAnsi="Times New Roman" w:cs="Times New Roman"/>
                      <w:b w:val="0"/>
                      <w:bCs/>
                      <w:color w:val="auto"/>
                      <w:sz w:val="21"/>
                      <w:szCs w:val="21"/>
                      <w:lang w:val="en-US" w:eastAsia="zh-CN"/>
                    </w:rPr>
                    <w:t>60</w:t>
                  </w:r>
                  <w:r>
                    <w:rPr>
                      <w:rFonts w:hint="default" w:ascii="Times New Roman" w:hAnsi="Times New Roman" w:cs="Times New Roman"/>
                      <w:color w:val="auto"/>
                      <w:sz w:val="21"/>
                      <w:szCs w:val="21"/>
                      <w:vertAlign w:val="baseline"/>
                      <w:lang w:val="en-US" w:eastAsia="zh-CN"/>
                    </w:rPr>
                    <w:t>dB</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A</w:t>
                  </w:r>
                  <w:r>
                    <w:rPr>
                      <w:rFonts w:hint="eastAsia" w:ascii="Times New Roman" w:hAnsi="Times New Roman"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ascii="Times New Roman" w:hAnsi="Times New Roman" w:cs="Times New Roman"/>
                <w:color w:val="auto"/>
                <w:kern w:val="0"/>
                <w:sz w:val="24"/>
                <w:szCs w:val="24"/>
              </w:rPr>
              <w:t>由表</w:t>
            </w:r>
            <w:r>
              <w:rPr>
                <w:rFonts w:hint="eastAsia" w:ascii="Times New Roman" w:hAnsi="Times New Roman" w:cs="Times New Roman"/>
                <w:color w:val="auto"/>
                <w:kern w:val="0"/>
                <w:sz w:val="24"/>
                <w:szCs w:val="24"/>
                <w:lang w:val="en-US" w:eastAsia="zh-CN"/>
              </w:rPr>
              <w:t>3-5</w:t>
            </w:r>
            <w:r>
              <w:rPr>
                <w:rFonts w:hint="default" w:ascii="Times New Roman" w:hAnsi="Times New Roman" w:cs="Times New Roman"/>
                <w:color w:val="auto"/>
                <w:kern w:val="0"/>
                <w:sz w:val="24"/>
                <w:szCs w:val="24"/>
              </w:rPr>
              <w:t>的监测结果统计表可以看出</w:t>
            </w:r>
            <w:r>
              <w:rPr>
                <w:rFonts w:hint="default" w:ascii="Times New Roman" w:hAnsi="Times New Roman" w:cs="Times New Roman"/>
                <w:color w:val="auto"/>
                <w:kern w:val="0"/>
                <w:sz w:val="24"/>
                <w:szCs w:val="24"/>
                <w:lang w:eastAsia="zh-CN"/>
              </w:rPr>
              <w:t>，</w:t>
            </w:r>
            <w:r>
              <w:rPr>
                <w:rFonts w:hint="default" w:ascii="Times New Roman" w:hAnsi="Times New Roman" w:cs="Times New Roman"/>
                <w:color w:val="auto"/>
                <w:kern w:val="0"/>
                <w:sz w:val="24"/>
                <w:szCs w:val="24"/>
              </w:rPr>
              <w:t>项目所在</w:t>
            </w:r>
            <w:r>
              <w:rPr>
                <w:rFonts w:hint="default" w:ascii="Times New Roman" w:hAnsi="Times New Roman" w:cs="Times New Roman"/>
                <w:color w:val="auto"/>
                <w:kern w:val="0"/>
                <w:sz w:val="24"/>
                <w:szCs w:val="24"/>
                <w:lang w:val="en-US" w:eastAsia="zh-CN"/>
              </w:rPr>
              <w:t>地</w:t>
            </w:r>
            <w:r>
              <w:rPr>
                <w:rFonts w:hint="default" w:ascii="Times New Roman" w:hAnsi="Times New Roman" w:cs="Times New Roman"/>
                <w:color w:val="auto"/>
                <w:kern w:val="0"/>
                <w:sz w:val="24"/>
                <w:szCs w:val="24"/>
              </w:rPr>
              <w:t>点位噪声均能满足《声环境质量标准》（GB3096-2008）中的</w:t>
            </w:r>
            <w:r>
              <w:rPr>
                <w:rFonts w:hint="default" w:ascii="Times New Roman" w:hAnsi="Times New Roman" w:cs="Times New Roman"/>
                <w:color w:val="auto"/>
                <w:kern w:val="0"/>
                <w:sz w:val="24"/>
                <w:szCs w:val="24"/>
                <w:lang w:val="en-US" w:eastAsia="zh-CN"/>
              </w:rPr>
              <w:t>3</w:t>
            </w:r>
            <w:r>
              <w:rPr>
                <w:rFonts w:hint="default" w:ascii="Times New Roman" w:hAnsi="Times New Roman" w:cs="Times New Roman"/>
                <w:color w:val="auto"/>
                <w:kern w:val="0"/>
                <w:sz w:val="24"/>
                <w:szCs w:val="24"/>
              </w:rPr>
              <w:t>类标准限值要求</w:t>
            </w:r>
            <w:r>
              <w:rPr>
                <w:rFonts w:hint="default" w:ascii="Times New Roman" w:hAnsi="Times New Roman" w:cs="Times New Roman"/>
                <w:color w:val="auto"/>
                <w:kern w:val="0"/>
                <w:sz w:val="24"/>
                <w:szCs w:val="24"/>
                <w:lang w:eastAsia="zh-CN"/>
              </w:rPr>
              <w:t>，</w:t>
            </w:r>
            <w:r>
              <w:rPr>
                <w:rFonts w:hint="eastAsia" w:ascii="Times New Roman" w:hAnsi="Times New Roman" w:cs="Times New Roman"/>
                <w:color w:val="auto"/>
                <w:kern w:val="0"/>
                <w:sz w:val="24"/>
                <w:szCs w:val="24"/>
                <w:lang w:val="en-US" w:eastAsia="zh-CN"/>
              </w:rPr>
              <w:t>南</w:t>
            </w:r>
            <w:r>
              <w:rPr>
                <w:rFonts w:hint="default" w:ascii="Times New Roman" w:hAnsi="Times New Roman" w:cs="Times New Roman"/>
                <w:color w:val="auto"/>
                <w:kern w:val="0"/>
                <w:sz w:val="24"/>
                <w:szCs w:val="24"/>
                <w:lang w:val="en-US" w:eastAsia="zh-CN"/>
              </w:rPr>
              <w:t>侧40m居民处噪声满足</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类标准，声环境质量较好</w:t>
            </w:r>
            <w:r>
              <w:rPr>
                <w:rFonts w:hint="eastAsia" w:ascii="Times New Roman" w:hAnsi="Times New Roman" w:cs="Times New Roman"/>
                <w:color w:val="auto"/>
                <w:kern w:val="0"/>
                <w:sz w:val="24"/>
                <w:szCs w:val="24"/>
                <w:lang w:val="en-US" w:eastAsia="zh-CN"/>
              </w:rPr>
              <w:t>。</w:t>
            </w:r>
          </w:p>
          <w:p>
            <w:pPr>
              <w:keepNext w:val="0"/>
              <w:keepLines w:val="0"/>
              <w:widowControl/>
              <w:numPr>
                <w:ilvl w:val="0"/>
                <w:numId w:val="0"/>
              </w:numPr>
              <w:suppressLineNumbers w:val="0"/>
              <w:spacing w:line="360" w:lineRule="auto"/>
              <w:jc w:val="left"/>
              <w:rPr>
                <w:rFonts w:hint="default"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四、生态环境</w:t>
            </w:r>
          </w:p>
          <w:p>
            <w:pPr>
              <w:adjustRightInd w:val="0"/>
              <w:snapToGrid w:val="0"/>
              <w:spacing w:line="360" w:lineRule="auto"/>
              <w:ind w:firstLine="480" w:firstLineChars="200"/>
              <w:rPr>
                <w:b/>
                <w:kern w:val="0"/>
                <w:szCs w:val="21"/>
              </w:rPr>
            </w:pPr>
            <w:r>
              <w:rPr>
                <w:rFonts w:hint="eastAsia" w:ascii="宋体" w:hAnsi="宋体" w:eastAsia="宋体" w:cs="宋体"/>
                <w:color w:val="000000"/>
                <w:kern w:val="0"/>
                <w:sz w:val="24"/>
                <w:szCs w:val="24"/>
                <w:lang w:val="en-US" w:eastAsia="zh-CN" w:bidi="ar"/>
              </w:rPr>
              <w:t>项目所在区域人类活动频繁，本项目拟建地评价区域植被类型较为单一，已无原生植被，生物多样性及其自身调控能力较差。调查期未发现野生或栽培的珍稀植物种类和特有植物种类分布。</w:t>
            </w:r>
          </w:p>
          <w:p>
            <w:pPr>
              <w:keepNext w:val="0"/>
              <w:keepLines w:val="0"/>
              <w:widowControl/>
              <w:numPr>
                <w:ilvl w:val="0"/>
                <w:numId w:val="0"/>
              </w:numPr>
              <w:suppressLineNumbers w:val="0"/>
              <w:spacing w:line="360" w:lineRule="auto"/>
              <w:jc w:val="left"/>
              <w:rPr>
                <w:rFonts w:hint="eastAsia"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五、地下水环境质量现状</w:t>
            </w:r>
          </w:p>
          <w:p>
            <w:pPr>
              <w:adjustRightInd w:val="0"/>
              <w:snapToGrid w:val="0"/>
              <w:spacing w:line="360" w:lineRule="auto"/>
              <w:ind w:firstLine="480" w:firstLineChars="200"/>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本项目为水泥制品制造项目，根据《建设项目环境影响报告表编制技术指南 污染影响类》，原则上不开展地下水环境质量现状调查。</w:t>
            </w:r>
          </w:p>
          <w:p>
            <w:pPr>
              <w:keepNext w:val="0"/>
              <w:keepLines w:val="0"/>
              <w:widowControl/>
              <w:numPr>
                <w:ilvl w:val="0"/>
                <w:numId w:val="0"/>
              </w:numPr>
              <w:suppressLineNumbers w:val="0"/>
              <w:spacing w:line="360" w:lineRule="auto"/>
              <w:jc w:val="left"/>
              <w:rPr>
                <w:rFonts w:hint="eastAsia" w:ascii="宋体" w:hAnsi="宋体" w:eastAsia="宋体" w:cs="宋体"/>
                <w:b/>
                <w:bCs/>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六、土壤环境质量现状</w:t>
            </w:r>
          </w:p>
          <w:p>
            <w:pPr>
              <w:adjustRightInd w:val="0"/>
              <w:snapToGrid w:val="0"/>
              <w:spacing w:line="360" w:lineRule="auto"/>
              <w:ind w:firstLine="480" w:firstLineChars="200"/>
              <w:rPr>
                <w:kern w:val="0"/>
                <w:szCs w:val="21"/>
              </w:rPr>
            </w:pPr>
            <w:r>
              <w:rPr>
                <w:rFonts w:hint="eastAsia" w:ascii="宋体" w:hAnsi="宋体" w:eastAsia="宋体" w:cs="宋体"/>
                <w:color w:val="000000"/>
                <w:kern w:val="0"/>
                <w:sz w:val="24"/>
                <w:szCs w:val="24"/>
                <w:lang w:val="en-US" w:eastAsia="zh-CN" w:bidi="ar"/>
              </w:rPr>
              <w:t>本项目为水泥制品制造项目，根据《建设项目环境影响报告表编制技术指南 污染影响类》，原则上不开展土壤环境质量现状调查。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80" w:type="dxa"/>
            <w:noWrap w:val="0"/>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rPr>
                <w:kern w:val="0"/>
                <w:szCs w:val="21"/>
              </w:rPr>
            </w:pPr>
            <w:r>
              <w:rPr>
                <w:kern w:val="0"/>
                <w:szCs w:val="21"/>
              </w:rPr>
              <w:t>目标</w:t>
            </w:r>
          </w:p>
        </w:tc>
        <w:tc>
          <w:tcPr>
            <w:tcW w:w="8510" w:type="dxa"/>
            <w:noWrap w:val="0"/>
            <w:vAlign w:val="top"/>
          </w:tcPr>
          <w:p>
            <w:pPr>
              <w:numPr>
                <w:ilvl w:val="0"/>
                <w:numId w:val="0"/>
              </w:numPr>
              <w:adjustRightInd w:val="0"/>
              <w:snapToGrid w:val="0"/>
              <w:spacing w:line="360" w:lineRule="auto"/>
              <w:jc w:val="both"/>
              <w:rPr>
                <w:rFonts w:ascii="宋体" w:hAnsi="宋体" w:cs="宋体"/>
                <w:color w:val="auto"/>
                <w:kern w:val="0"/>
                <w:sz w:val="24"/>
                <w:szCs w:val="24"/>
              </w:rPr>
            </w:pPr>
            <w:r>
              <w:rPr>
                <w:rFonts w:hint="eastAsia" w:ascii="宋体" w:hAnsi="宋体" w:cs="宋体"/>
                <w:b/>
                <w:bCs/>
                <w:color w:val="auto"/>
                <w:kern w:val="0"/>
                <w:sz w:val="24"/>
                <w:szCs w:val="24"/>
                <w:lang w:eastAsia="zh-CN"/>
              </w:rPr>
              <w:t>一、项目外环境</w:t>
            </w:r>
          </w:p>
          <w:p>
            <w:pPr>
              <w:keepNext w:val="0"/>
              <w:keepLines w:val="0"/>
              <w:widowControl/>
              <w:suppressLineNumbers w:val="0"/>
              <w:spacing w:line="360" w:lineRule="auto"/>
              <w:ind w:firstLine="480" w:firstLineChars="200"/>
              <w:jc w:val="left"/>
              <w:rPr>
                <w:rFonts w:hint="eastAsia" w:ascii="宋体" w:hAnsi="宋体" w:eastAsia="宋体" w:cs="宋体"/>
                <w:color w:val="FF0000"/>
                <w:kern w:val="0"/>
                <w:sz w:val="24"/>
                <w:szCs w:val="24"/>
                <w:lang w:val="en-US" w:eastAsia="zh-CN" w:bidi="ar"/>
              </w:rPr>
            </w:pPr>
            <w:r>
              <w:rPr>
                <w:rFonts w:hint="eastAsia" w:ascii="宋体" w:hAnsi="宋体" w:eastAsia="宋体" w:cs="宋体"/>
                <w:color w:val="auto"/>
                <w:kern w:val="0"/>
                <w:sz w:val="24"/>
                <w:szCs w:val="24"/>
                <w:lang w:val="en-US" w:eastAsia="zh-CN" w:bidi="ar"/>
              </w:rPr>
              <w:t>据现场勘查：本项目北侧为义博建材有限公司；南侧紧邻园区道路；东侧紧邻庄大商混，西侧紧邻</w:t>
            </w:r>
            <w:r>
              <w:rPr>
                <w:rFonts w:hint="eastAsia" w:ascii="Times New Roman" w:hAnsi="Times New Roman" w:eastAsia="宋体" w:cs="Times New Roman"/>
                <w:color w:val="auto"/>
                <w:kern w:val="0"/>
                <w:sz w:val="24"/>
                <w:szCs w:val="24"/>
                <w:lang w:val="en-US" w:eastAsia="zh-CN" w:bidi="ar"/>
              </w:rPr>
              <w:t>乐山杭加节能新材料有限公司</w:t>
            </w:r>
            <w:r>
              <w:rPr>
                <w:rFonts w:hint="eastAsia" w:ascii="宋体" w:hAnsi="宋体" w:eastAsia="宋体" w:cs="宋体"/>
                <w:color w:val="auto"/>
                <w:kern w:val="0"/>
                <w:sz w:val="24"/>
                <w:szCs w:val="24"/>
                <w:lang w:val="en-US" w:eastAsia="zh-CN" w:bidi="ar"/>
              </w:rPr>
              <w:t>。</w:t>
            </w:r>
            <w:r>
              <w:rPr>
                <w:rFonts w:hint="eastAsia"/>
                <w:sz w:val="24"/>
              </w:rPr>
              <w:t>东面约</w:t>
            </w:r>
            <w:r>
              <w:rPr>
                <w:rFonts w:hint="eastAsia"/>
                <w:sz w:val="24"/>
                <w:lang w:val="en-US" w:eastAsia="zh-CN"/>
              </w:rPr>
              <w:t>600</w:t>
            </w:r>
            <w:r>
              <w:rPr>
                <w:rFonts w:hint="eastAsia"/>
                <w:sz w:val="24"/>
              </w:rPr>
              <w:t>m处为大渡河</w:t>
            </w:r>
          </w:p>
          <w:p>
            <w:pPr>
              <w:keepNext w:val="0"/>
              <w:keepLines w:val="0"/>
              <w:widowControl/>
              <w:suppressLineNumbers w:val="0"/>
              <w:spacing w:line="360" w:lineRule="auto"/>
              <w:ind w:firstLine="480" w:firstLineChars="200"/>
              <w:jc w:val="left"/>
              <w:rPr>
                <w:rFonts w:hint="eastAsia"/>
                <w:color w:val="auto"/>
                <w:sz w:val="24"/>
              </w:rPr>
            </w:pPr>
            <w:r>
              <w:rPr>
                <w:rFonts w:hint="eastAsia" w:ascii="宋体" w:hAnsi="宋体" w:eastAsia="宋体" w:cs="宋体"/>
                <w:color w:val="auto"/>
                <w:kern w:val="0"/>
                <w:sz w:val="24"/>
                <w:szCs w:val="24"/>
                <w:lang w:val="en-US" w:eastAsia="zh-CN" w:bidi="ar"/>
              </w:rPr>
              <w:t>敏感点情况：</w:t>
            </w:r>
            <w:r>
              <w:rPr>
                <w:rFonts w:hint="eastAsia"/>
                <w:color w:val="auto"/>
                <w:sz w:val="24"/>
              </w:rPr>
              <w:t>项目南侧</w:t>
            </w:r>
            <w:r>
              <w:rPr>
                <w:rFonts w:hint="eastAsia"/>
                <w:color w:val="auto"/>
                <w:sz w:val="24"/>
                <w:lang w:val="en-US" w:eastAsia="zh-CN"/>
              </w:rPr>
              <w:t>40</w:t>
            </w:r>
            <w:r>
              <w:rPr>
                <w:rFonts w:hint="eastAsia"/>
                <w:color w:val="auto"/>
                <w:sz w:val="24"/>
              </w:rPr>
              <w:t>~</w:t>
            </w:r>
            <w:r>
              <w:rPr>
                <w:rFonts w:hint="eastAsia"/>
                <w:color w:val="auto"/>
                <w:sz w:val="24"/>
                <w:lang w:val="en-US" w:eastAsia="zh-CN"/>
              </w:rPr>
              <w:t>2</w:t>
            </w:r>
            <w:r>
              <w:rPr>
                <w:rFonts w:hint="eastAsia"/>
                <w:color w:val="auto"/>
                <w:sz w:val="24"/>
              </w:rPr>
              <w:t>00</w:t>
            </w:r>
            <w:r>
              <w:rPr>
                <w:rFonts w:hint="eastAsia"/>
                <w:color w:val="auto"/>
                <w:sz w:val="24"/>
                <w:lang w:val="en-US" w:eastAsia="zh-CN"/>
              </w:rPr>
              <w:t>m</w:t>
            </w:r>
            <w:r>
              <w:rPr>
                <w:rFonts w:hint="eastAsia" w:ascii="宋体" w:hAnsi="宋体" w:eastAsia="宋体" w:cs="宋体"/>
                <w:color w:val="auto"/>
                <w:kern w:val="0"/>
                <w:sz w:val="24"/>
                <w:szCs w:val="24"/>
                <w:lang w:val="en-US" w:eastAsia="zh-CN" w:bidi="ar"/>
              </w:rPr>
              <w:t>外有白玉村</w:t>
            </w: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0</w:t>
            </w:r>
            <w:r>
              <w:rPr>
                <w:rFonts w:hint="eastAsia" w:ascii="宋体" w:hAnsi="宋体" w:eastAsia="宋体" w:cs="宋体"/>
                <w:color w:val="auto"/>
                <w:kern w:val="0"/>
                <w:sz w:val="24"/>
                <w:szCs w:val="24"/>
                <w:lang w:val="en-US" w:eastAsia="zh-CN" w:bidi="ar"/>
              </w:rPr>
              <w:t>户居民</w:t>
            </w:r>
            <w:r>
              <w:rPr>
                <w:rFonts w:hint="eastAsia"/>
                <w:color w:val="auto"/>
                <w:sz w:val="24"/>
              </w:rPr>
              <w:t>，</w:t>
            </w:r>
            <w:r>
              <w:rPr>
                <w:rFonts w:hint="eastAsia"/>
                <w:color w:val="auto"/>
                <w:sz w:val="24"/>
                <w:lang w:val="en-US" w:eastAsia="zh-CN"/>
              </w:rPr>
              <w:t>东</w:t>
            </w:r>
            <w:r>
              <w:rPr>
                <w:rFonts w:hint="eastAsia"/>
                <w:color w:val="auto"/>
                <w:sz w:val="24"/>
              </w:rPr>
              <w:t>侧</w:t>
            </w:r>
            <w:r>
              <w:rPr>
                <w:rFonts w:hint="eastAsia"/>
                <w:color w:val="auto"/>
                <w:sz w:val="24"/>
                <w:lang w:val="en-US" w:eastAsia="zh-CN"/>
              </w:rPr>
              <w:t>240</w:t>
            </w:r>
            <w:r>
              <w:rPr>
                <w:rFonts w:hint="eastAsia"/>
                <w:color w:val="auto"/>
                <w:sz w:val="24"/>
              </w:rPr>
              <w:t>~</w:t>
            </w:r>
            <w:r>
              <w:rPr>
                <w:rFonts w:hint="eastAsia"/>
                <w:color w:val="auto"/>
                <w:sz w:val="24"/>
                <w:lang w:val="en-US" w:eastAsia="zh-CN"/>
              </w:rPr>
              <w:t>5</w:t>
            </w:r>
            <w:r>
              <w:rPr>
                <w:rFonts w:hint="eastAsia"/>
                <w:color w:val="auto"/>
                <w:sz w:val="24"/>
              </w:rPr>
              <w:t>00</w:t>
            </w:r>
            <w:r>
              <w:rPr>
                <w:rFonts w:hint="eastAsia"/>
                <w:color w:val="auto"/>
                <w:sz w:val="24"/>
                <w:lang w:val="en-US" w:eastAsia="zh-CN"/>
              </w:rPr>
              <w:t>m</w:t>
            </w:r>
            <w:r>
              <w:rPr>
                <w:rFonts w:hint="eastAsia" w:ascii="宋体" w:hAnsi="宋体" w:eastAsia="宋体" w:cs="宋体"/>
                <w:color w:val="auto"/>
                <w:kern w:val="0"/>
                <w:sz w:val="24"/>
                <w:szCs w:val="24"/>
                <w:lang w:val="en-US" w:eastAsia="zh-CN" w:bidi="ar"/>
              </w:rPr>
              <w:t>外有黎明村</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户居民</w:t>
            </w:r>
          </w:p>
          <w:p>
            <w:pPr>
              <w:keepNext w:val="0"/>
              <w:keepLines w:val="0"/>
              <w:widowControl/>
              <w:suppressLineNumbers w:val="0"/>
              <w:spacing w:line="360" w:lineRule="auto"/>
              <w:ind w:firstLine="480" w:firstLineChars="200"/>
              <w:jc w:val="left"/>
              <w:rPr>
                <w:color w:val="auto"/>
              </w:rPr>
            </w:pPr>
            <w:r>
              <w:rPr>
                <w:rFonts w:hint="eastAsia" w:ascii="宋体" w:hAnsi="宋体" w:eastAsia="宋体" w:cs="宋体"/>
                <w:color w:val="auto"/>
                <w:kern w:val="0"/>
                <w:sz w:val="24"/>
                <w:szCs w:val="24"/>
                <w:lang w:val="en-US" w:eastAsia="zh-CN" w:bidi="ar"/>
              </w:rPr>
              <w:t>评价区域内无自然保护区、无集中式饮用水水源地保护区、未发现列入国家及地方保护名录的珍稀濒危动植物及古树名木分布。</w:t>
            </w:r>
          </w:p>
          <w:p>
            <w:pPr>
              <w:widowControl w:val="0"/>
              <w:numPr>
                <w:ilvl w:val="0"/>
                <w:numId w:val="0"/>
              </w:numPr>
              <w:adjustRightInd w:val="0"/>
              <w:snapToGrid w:val="0"/>
              <w:spacing w:line="360" w:lineRule="auto"/>
              <w:jc w:val="both"/>
              <w:rPr>
                <w:rFonts w:hint="eastAsia" w:ascii="宋体" w:hAnsi="宋体" w:cs="宋体"/>
                <w:b/>
                <w:bCs/>
                <w:color w:val="auto"/>
                <w:kern w:val="0"/>
                <w:sz w:val="24"/>
                <w:szCs w:val="24"/>
                <w:lang w:eastAsia="zh-CN"/>
              </w:rPr>
            </w:pPr>
            <w:r>
              <w:rPr>
                <w:rFonts w:hint="eastAsia" w:ascii="宋体" w:hAnsi="宋体" w:cs="宋体"/>
                <w:b/>
                <w:bCs/>
                <w:color w:val="auto"/>
                <w:kern w:val="0"/>
                <w:sz w:val="24"/>
                <w:szCs w:val="24"/>
                <w:lang w:eastAsia="zh-CN"/>
              </w:rPr>
              <w:t>二、主要环境保护目标</w:t>
            </w:r>
          </w:p>
          <w:p>
            <w:pPr>
              <w:widowControl w:val="0"/>
              <w:numPr>
                <w:ilvl w:val="0"/>
                <w:numId w:val="0"/>
              </w:numPr>
              <w:adjustRightInd w:val="0"/>
              <w:snapToGrid w:val="0"/>
              <w:spacing w:line="360" w:lineRule="auto"/>
              <w:ind w:firstLine="480" w:firstLineChars="200"/>
              <w:jc w:val="both"/>
              <w:rPr>
                <w:rFonts w:hint="default" w:ascii="宋体" w:hAnsi="宋体" w:cs="宋体"/>
                <w:color w:val="auto"/>
                <w:kern w:val="0"/>
                <w:sz w:val="24"/>
                <w:szCs w:val="24"/>
                <w:lang w:val="en-US" w:eastAsia="zh-CN"/>
              </w:rPr>
            </w:pPr>
            <w:r>
              <w:rPr>
                <w:rFonts w:hint="eastAsia" w:ascii="宋体" w:hAnsi="宋体" w:cs="宋体"/>
                <w:color w:val="auto"/>
                <w:kern w:val="0"/>
                <w:sz w:val="24"/>
                <w:szCs w:val="24"/>
                <w:lang w:eastAsia="zh-CN"/>
              </w:rPr>
              <w:t>项目周围的主要环境保护目标见表</w:t>
            </w:r>
            <w:r>
              <w:rPr>
                <w:rFonts w:hint="default" w:ascii="Times New Roman" w:hAnsi="Times New Roman" w:cs="Times New Roman"/>
                <w:color w:val="auto"/>
                <w:kern w:val="0"/>
                <w:sz w:val="24"/>
                <w:szCs w:val="24"/>
                <w:lang w:val="en-US" w:eastAsia="zh-CN"/>
              </w:rPr>
              <w:t>3-</w:t>
            </w:r>
            <w:r>
              <w:rPr>
                <w:rFonts w:hint="eastAsia" w:cs="Times New Roman"/>
                <w:color w:val="auto"/>
                <w:kern w:val="0"/>
                <w:sz w:val="24"/>
                <w:szCs w:val="24"/>
                <w:lang w:val="en-US" w:eastAsia="zh-CN"/>
              </w:rPr>
              <w:t>6</w:t>
            </w:r>
            <w:r>
              <w:rPr>
                <w:rFonts w:hint="eastAsia" w:ascii="宋体" w:hAnsi="宋体" w:cs="宋体"/>
                <w:color w:val="auto"/>
                <w:kern w:val="0"/>
                <w:sz w:val="24"/>
                <w:szCs w:val="24"/>
                <w:lang w:val="en-US" w:eastAsia="zh-CN"/>
              </w:rPr>
              <w:t>。</w:t>
            </w:r>
          </w:p>
          <w:p>
            <w:pPr>
              <w:keepNext w:val="0"/>
              <w:keepLines w:val="0"/>
              <w:widowControl/>
              <w:suppressLineNumbers w:val="0"/>
              <w:jc w:val="center"/>
              <w:rPr>
                <w:rFonts w:hint="eastAsia"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eastAsia="zh-CN"/>
              </w:rPr>
              <w:t>表</w:t>
            </w:r>
            <w:r>
              <w:rPr>
                <w:rFonts w:hint="default" w:ascii="Times New Roman" w:hAnsi="Times New Roman" w:cs="Times New Roman"/>
                <w:b/>
                <w:bCs/>
                <w:color w:val="auto"/>
                <w:kern w:val="0"/>
                <w:sz w:val="24"/>
                <w:szCs w:val="24"/>
                <w:lang w:val="en-US" w:eastAsia="zh-CN"/>
              </w:rPr>
              <w:t>3-</w:t>
            </w:r>
            <w:r>
              <w:rPr>
                <w:rFonts w:hint="eastAsia" w:cs="Times New Roman"/>
                <w:b/>
                <w:bCs/>
                <w:color w:val="auto"/>
                <w:kern w:val="0"/>
                <w:sz w:val="24"/>
                <w:szCs w:val="24"/>
                <w:lang w:val="en-US" w:eastAsia="zh-CN"/>
              </w:rPr>
              <w:t>9</w:t>
            </w:r>
            <w:r>
              <w:rPr>
                <w:rFonts w:hint="eastAsia" w:ascii="宋体" w:hAnsi="宋体" w:eastAsia="宋体" w:cs="宋体"/>
                <w:b/>
                <w:bCs/>
                <w:color w:val="auto"/>
                <w:kern w:val="0"/>
                <w:sz w:val="24"/>
                <w:szCs w:val="24"/>
                <w:lang w:val="en-US" w:eastAsia="zh-CN" w:bidi="ar"/>
              </w:rPr>
              <w:t>项目主要环境保护目标一览表</w:t>
            </w:r>
          </w:p>
          <w:tbl>
            <w:tblPr>
              <w:tblStyle w:val="38"/>
              <w:tblpPr w:leftFromText="180" w:rightFromText="180" w:vertAnchor="text" w:horzAnchor="margin" w:tblpXSpec="center"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Layout w:type="autofit"/>
              <w:tblCellMar>
                <w:top w:w="0" w:type="dxa"/>
                <w:left w:w="108" w:type="dxa"/>
                <w:bottom w:w="0" w:type="dxa"/>
                <w:right w:w="108" w:type="dxa"/>
              </w:tblCellMar>
            </w:tblPr>
            <w:tblGrid>
              <w:gridCol w:w="824"/>
              <w:gridCol w:w="1496"/>
              <w:gridCol w:w="824"/>
              <w:gridCol w:w="1253"/>
              <w:gridCol w:w="723"/>
              <w:gridCol w:w="328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trHeight w:val="253" w:hRule="atLeast"/>
              </w:trPr>
              <w:tc>
                <w:tcPr>
                  <w:tcW w:w="851" w:type="dxa"/>
                  <w:noWrap w:val="0"/>
                  <w:vAlign w:val="center"/>
                </w:tcPr>
                <w:p>
                  <w:pPr>
                    <w:adjustRightInd w:val="0"/>
                    <w:snapToGrid w:val="0"/>
                    <w:jc w:val="center"/>
                    <w:rPr>
                      <w:b/>
                      <w:szCs w:val="21"/>
                    </w:rPr>
                  </w:pPr>
                  <w:r>
                    <w:rPr>
                      <w:b/>
                      <w:szCs w:val="21"/>
                    </w:rPr>
                    <w:t>环境</w:t>
                  </w:r>
                </w:p>
                <w:p>
                  <w:pPr>
                    <w:adjustRightInd w:val="0"/>
                    <w:snapToGrid w:val="0"/>
                    <w:jc w:val="center"/>
                    <w:rPr>
                      <w:b/>
                      <w:szCs w:val="21"/>
                    </w:rPr>
                  </w:pPr>
                  <w:r>
                    <w:rPr>
                      <w:b/>
                      <w:szCs w:val="21"/>
                    </w:rPr>
                    <w:t>因子</w:t>
                  </w:r>
                </w:p>
              </w:tc>
              <w:tc>
                <w:tcPr>
                  <w:tcW w:w="1554" w:type="dxa"/>
                  <w:noWrap w:val="0"/>
                  <w:vAlign w:val="center"/>
                </w:tcPr>
                <w:p>
                  <w:pPr>
                    <w:adjustRightInd w:val="0"/>
                    <w:snapToGrid w:val="0"/>
                    <w:jc w:val="center"/>
                    <w:rPr>
                      <w:b/>
                      <w:szCs w:val="21"/>
                    </w:rPr>
                  </w:pPr>
                  <w:r>
                    <w:rPr>
                      <w:b/>
                      <w:szCs w:val="21"/>
                    </w:rPr>
                    <w:t>保护目标</w:t>
                  </w:r>
                </w:p>
              </w:tc>
              <w:tc>
                <w:tcPr>
                  <w:tcW w:w="851" w:type="dxa"/>
                  <w:noWrap w:val="0"/>
                  <w:vAlign w:val="center"/>
                </w:tcPr>
                <w:p>
                  <w:pPr>
                    <w:adjustRightInd w:val="0"/>
                    <w:snapToGrid w:val="0"/>
                    <w:jc w:val="center"/>
                    <w:rPr>
                      <w:b/>
                      <w:szCs w:val="21"/>
                    </w:rPr>
                  </w:pPr>
                  <w:r>
                    <w:rPr>
                      <w:b/>
                      <w:szCs w:val="21"/>
                    </w:rPr>
                    <w:t>方位</w:t>
                  </w:r>
                </w:p>
              </w:tc>
              <w:tc>
                <w:tcPr>
                  <w:tcW w:w="1134" w:type="dxa"/>
                  <w:noWrap w:val="0"/>
                  <w:vAlign w:val="center"/>
                </w:tcPr>
                <w:p>
                  <w:pPr>
                    <w:adjustRightInd w:val="0"/>
                    <w:snapToGrid w:val="0"/>
                    <w:jc w:val="center"/>
                    <w:rPr>
                      <w:b/>
                      <w:szCs w:val="21"/>
                    </w:rPr>
                  </w:pPr>
                  <w:r>
                    <w:rPr>
                      <w:b/>
                      <w:szCs w:val="21"/>
                    </w:rPr>
                    <w:t>距离</w:t>
                  </w:r>
                </w:p>
              </w:tc>
              <w:tc>
                <w:tcPr>
                  <w:tcW w:w="713" w:type="dxa"/>
                  <w:noWrap w:val="0"/>
                  <w:vAlign w:val="center"/>
                </w:tcPr>
                <w:p>
                  <w:pPr>
                    <w:adjustRightInd w:val="0"/>
                    <w:snapToGrid w:val="0"/>
                    <w:jc w:val="center"/>
                    <w:rPr>
                      <w:b/>
                      <w:szCs w:val="21"/>
                    </w:rPr>
                  </w:pPr>
                  <w:r>
                    <w:rPr>
                      <w:rFonts w:hint="eastAsia"/>
                      <w:b/>
                      <w:szCs w:val="21"/>
                    </w:rPr>
                    <w:t>高差</w:t>
                  </w:r>
                </w:p>
              </w:tc>
              <w:tc>
                <w:tcPr>
                  <w:tcW w:w="3402" w:type="dxa"/>
                  <w:noWrap w:val="0"/>
                  <w:vAlign w:val="center"/>
                </w:tcPr>
                <w:p>
                  <w:pPr>
                    <w:adjustRightInd w:val="0"/>
                    <w:snapToGrid w:val="0"/>
                    <w:jc w:val="center"/>
                    <w:rPr>
                      <w:b/>
                      <w:szCs w:val="21"/>
                    </w:rPr>
                  </w:pPr>
                  <w:r>
                    <w:rPr>
                      <w:b/>
                      <w:szCs w:val="21"/>
                    </w:rPr>
                    <w:t>保护级别</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280" w:hRule="atLeast"/>
              </w:trPr>
              <w:tc>
                <w:tcPr>
                  <w:tcW w:w="851" w:type="dxa"/>
                  <w:vMerge w:val="restart"/>
                  <w:noWrap w:val="0"/>
                  <w:vAlign w:val="center"/>
                </w:tcPr>
                <w:p>
                  <w:pPr>
                    <w:adjustRightInd w:val="0"/>
                    <w:snapToGrid w:val="0"/>
                    <w:jc w:val="center"/>
                    <w:rPr>
                      <w:szCs w:val="21"/>
                    </w:rPr>
                  </w:pPr>
                  <w:r>
                    <w:rPr>
                      <w:szCs w:val="21"/>
                    </w:rPr>
                    <w:t>环境</w:t>
                  </w:r>
                </w:p>
                <w:p>
                  <w:pPr>
                    <w:adjustRightInd w:val="0"/>
                    <w:snapToGrid w:val="0"/>
                    <w:jc w:val="center"/>
                    <w:rPr>
                      <w:szCs w:val="21"/>
                    </w:rPr>
                  </w:pPr>
                  <w:r>
                    <w:rPr>
                      <w:szCs w:val="21"/>
                    </w:rPr>
                    <w:t>空气</w:t>
                  </w:r>
                </w:p>
              </w:tc>
              <w:tc>
                <w:tcPr>
                  <w:tcW w:w="1554" w:type="dxa"/>
                  <w:noWrap w:val="0"/>
                  <w:vAlign w:val="center"/>
                </w:tcPr>
                <w:p>
                  <w:pPr>
                    <w:adjustRightInd w:val="0"/>
                    <w:snapToGrid w:val="0"/>
                    <w:jc w:val="center"/>
                    <w:rPr>
                      <w:color w:val="auto"/>
                      <w:szCs w:val="21"/>
                    </w:rPr>
                  </w:pPr>
                  <w:r>
                    <w:rPr>
                      <w:rFonts w:hint="default" w:ascii="Times New Roman" w:hAnsi="Times New Roman" w:cs="Times New Roman"/>
                      <w:color w:val="auto"/>
                      <w:kern w:val="0"/>
                      <w:sz w:val="21"/>
                      <w:szCs w:val="21"/>
                      <w:vertAlign w:val="baseline"/>
                      <w:lang w:eastAsia="zh-CN"/>
                    </w:rPr>
                    <w:t>白玉村居民</w:t>
                  </w:r>
                  <w:r>
                    <w:rPr>
                      <w:rFonts w:hint="eastAsia"/>
                      <w:color w:val="auto"/>
                      <w:szCs w:val="21"/>
                    </w:rPr>
                    <w:t>（农户</w:t>
                  </w:r>
                  <w:r>
                    <w:rPr>
                      <w:rFonts w:hint="eastAsia"/>
                      <w:color w:val="auto"/>
                      <w:szCs w:val="21"/>
                      <w:lang w:val="en-US" w:eastAsia="zh-CN"/>
                    </w:rPr>
                    <w:t>5</w:t>
                  </w:r>
                  <w:r>
                    <w:rPr>
                      <w:rFonts w:hint="eastAsia"/>
                      <w:color w:val="auto"/>
                      <w:szCs w:val="21"/>
                    </w:rPr>
                    <w:t>0户）</w:t>
                  </w:r>
                </w:p>
              </w:tc>
              <w:tc>
                <w:tcPr>
                  <w:tcW w:w="851" w:type="dxa"/>
                  <w:noWrap w:val="0"/>
                  <w:vAlign w:val="center"/>
                </w:tcPr>
                <w:p>
                  <w:pPr>
                    <w:adjustRightInd w:val="0"/>
                    <w:snapToGrid w:val="0"/>
                    <w:jc w:val="center"/>
                    <w:rPr>
                      <w:szCs w:val="21"/>
                    </w:rPr>
                  </w:pPr>
                  <w:r>
                    <w:rPr>
                      <w:rFonts w:hint="eastAsia"/>
                      <w:szCs w:val="21"/>
                    </w:rPr>
                    <w:t>南</w:t>
                  </w:r>
                  <w:r>
                    <w:rPr>
                      <w:szCs w:val="21"/>
                    </w:rPr>
                    <w:t>面</w:t>
                  </w:r>
                </w:p>
              </w:tc>
              <w:tc>
                <w:tcPr>
                  <w:tcW w:w="1134" w:type="dxa"/>
                  <w:noWrap w:val="0"/>
                  <w:vAlign w:val="center"/>
                </w:tcPr>
                <w:p>
                  <w:pPr>
                    <w:adjustRightInd w:val="0"/>
                    <w:snapToGrid w:val="0"/>
                    <w:jc w:val="center"/>
                    <w:rPr>
                      <w:szCs w:val="21"/>
                    </w:rPr>
                  </w:pPr>
                  <w:r>
                    <w:rPr>
                      <w:rFonts w:hint="eastAsia"/>
                      <w:szCs w:val="21"/>
                      <w:lang w:val="en-US" w:eastAsia="zh-CN"/>
                    </w:rPr>
                    <w:t>4</w:t>
                  </w:r>
                  <w:r>
                    <w:rPr>
                      <w:szCs w:val="21"/>
                    </w:rPr>
                    <w:t>0</w:t>
                  </w:r>
                  <w:r>
                    <w:rPr>
                      <w:rFonts w:hint="eastAsia"/>
                      <w:szCs w:val="21"/>
                    </w:rPr>
                    <w:t>~</w:t>
                  </w:r>
                  <w:r>
                    <w:rPr>
                      <w:rFonts w:hint="eastAsia"/>
                      <w:szCs w:val="21"/>
                      <w:lang w:val="en-US" w:eastAsia="zh-CN"/>
                    </w:rPr>
                    <w:t>2</w:t>
                  </w:r>
                  <w:r>
                    <w:rPr>
                      <w:rFonts w:hint="eastAsia"/>
                      <w:szCs w:val="21"/>
                    </w:rPr>
                    <w:t>00</w:t>
                  </w:r>
                  <w:r>
                    <w:rPr>
                      <w:szCs w:val="21"/>
                    </w:rPr>
                    <w:t>m</w:t>
                  </w:r>
                </w:p>
              </w:tc>
              <w:tc>
                <w:tcPr>
                  <w:tcW w:w="713" w:type="dxa"/>
                  <w:noWrap w:val="0"/>
                  <w:vAlign w:val="center"/>
                </w:tcPr>
                <w:p>
                  <w:pPr>
                    <w:adjustRightInd w:val="0"/>
                    <w:snapToGrid w:val="0"/>
                    <w:jc w:val="center"/>
                    <w:rPr>
                      <w:szCs w:val="21"/>
                    </w:rPr>
                  </w:pPr>
                  <w:r>
                    <w:rPr>
                      <w:rFonts w:hint="eastAsia"/>
                      <w:szCs w:val="21"/>
                    </w:rPr>
                    <w:t>0</w:t>
                  </w:r>
                </w:p>
              </w:tc>
              <w:tc>
                <w:tcPr>
                  <w:tcW w:w="3402" w:type="dxa"/>
                  <w:vMerge w:val="restart"/>
                  <w:noWrap w:val="0"/>
                  <w:vAlign w:val="center"/>
                </w:tcPr>
                <w:p>
                  <w:pPr>
                    <w:adjustRightInd w:val="0"/>
                    <w:snapToGrid w:val="0"/>
                    <w:jc w:val="center"/>
                    <w:rPr>
                      <w:rFonts w:hint="eastAsia"/>
                      <w:szCs w:val="21"/>
                    </w:rPr>
                  </w:pPr>
                  <w:r>
                    <w:rPr>
                      <w:szCs w:val="21"/>
                    </w:rPr>
                    <w:t>《环境空气质量标准》</w:t>
                  </w:r>
                </w:p>
                <w:p>
                  <w:pPr>
                    <w:adjustRightInd w:val="0"/>
                    <w:snapToGrid w:val="0"/>
                    <w:jc w:val="center"/>
                    <w:rPr>
                      <w:szCs w:val="21"/>
                    </w:rPr>
                  </w:pPr>
                  <w:r>
                    <w:rPr>
                      <w:szCs w:val="21"/>
                    </w:rPr>
                    <w:t>GB3095－2012二级标准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280" w:hRule="atLeast"/>
              </w:trPr>
              <w:tc>
                <w:tcPr>
                  <w:tcW w:w="851" w:type="dxa"/>
                  <w:vMerge w:val="continue"/>
                  <w:noWrap w:val="0"/>
                  <w:vAlign w:val="center"/>
                </w:tcPr>
                <w:p>
                  <w:pPr>
                    <w:adjustRightInd w:val="0"/>
                    <w:snapToGrid w:val="0"/>
                    <w:jc w:val="center"/>
                    <w:rPr>
                      <w:szCs w:val="21"/>
                    </w:rPr>
                  </w:pPr>
                </w:p>
              </w:tc>
              <w:tc>
                <w:tcPr>
                  <w:tcW w:w="1554" w:type="dxa"/>
                  <w:noWrap w:val="0"/>
                  <w:vAlign w:val="center"/>
                </w:tcPr>
                <w:p>
                  <w:pPr>
                    <w:adjustRightInd w:val="0"/>
                    <w:snapToGrid w:val="0"/>
                    <w:jc w:val="center"/>
                    <w:rPr>
                      <w:rFonts w:hint="eastAsia"/>
                      <w:color w:val="auto"/>
                      <w:szCs w:val="21"/>
                    </w:rPr>
                  </w:pPr>
                  <w:r>
                    <w:rPr>
                      <w:rFonts w:hint="default" w:ascii="Times New Roman" w:hAnsi="Times New Roman" w:cs="Times New Roman"/>
                      <w:color w:val="auto"/>
                      <w:kern w:val="0"/>
                      <w:sz w:val="21"/>
                      <w:szCs w:val="21"/>
                      <w:vertAlign w:val="baseline"/>
                      <w:lang w:eastAsia="zh-CN"/>
                    </w:rPr>
                    <w:t>黎明村居民</w:t>
                  </w:r>
                  <w:r>
                    <w:rPr>
                      <w:rFonts w:hint="eastAsia"/>
                      <w:color w:val="auto"/>
                      <w:szCs w:val="21"/>
                    </w:rPr>
                    <w:t>（农户</w:t>
                  </w:r>
                  <w:r>
                    <w:rPr>
                      <w:rFonts w:hint="eastAsia"/>
                      <w:color w:val="auto"/>
                      <w:szCs w:val="21"/>
                      <w:lang w:val="en-US" w:eastAsia="zh-CN"/>
                    </w:rPr>
                    <w:t>10</w:t>
                  </w:r>
                  <w:r>
                    <w:rPr>
                      <w:rFonts w:hint="eastAsia"/>
                      <w:color w:val="auto"/>
                      <w:szCs w:val="21"/>
                    </w:rPr>
                    <w:t>0户）</w:t>
                  </w:r>
                </w:p>
              </w:tc>
              <w:tc>
                <w:tcPr>
                  <w:tcW w:w="851" w:type="dxa"/>
                  <w:noWrap w:val="0"/>
                  <w:vAlign w:val="center"/>
                </w:tcPr>
                <w:p>
                  <w:pPr>
                    <w:adjustRightInd w:val="0"/>
                    <w:snapToGrid w:val="0"/>
                    <w:jc w:val="center"/>
                    <w:rPr>
                      <w:rFonts w:hint="eastAsia" w:eastAsia="宋体"/>
                      <w:szCs w:val="21"/>
                      <w:lang w:eastAsia="zh-CN"/>
                    </w:rPr>
                  </w:pPr>
                  <w:r>
                    <w:rPr>
                      <w:rFonts w:hint="eastAsia"/>
                      <w:szCs w:val="21"/>
                      <w:lang w:val="en-US" w:eastAsia="zh-CN"/>
                    </w:rPr>
                    <w:t>东面</w:t>
                  </w:r>
                </w:p>
              </w:tc>
              <w:tc>
                <w:tcPr>
                  <w:tcW w:w="1134" w:type="dxa"/>
                  <w:noWrap w:val="0"/>
                  <w:vAlign w:val="center"/>
                </w:tcPr>
                <w:p>
                  <w:pPr>
                    <w:adjustRightInd w:val="0"/>
                    <w:snapToGrid w:val="0"/>
                    <w:jc w:val="center"/>
                    <w:rPr>
                      <w:szCs w:val="21"/>
                    </w:rPr>
                  </w:pPr>
                  <w:r>
                    <w:rPr>
                      <w:rFonts w:hint="eastAsia"/>
                      <w:szCs w:val="21"/>
                    </w:rPr>
                    <w:t>2</w:t>
                  </w:r>
                  <w:r>
                    <w:rPr>
                      <w:rFonts w:hint="eastAsia"/>
                      <w:szCs w:val="21"/>
                      <w:lang w:val="en-US" w:eastAsia="zh-CN"/>
                    </w:rPr>
                    <w:t>4</w:t>
                  </w:r>
                  <w:r>
                    <w:rPr>
                      <w:rFonts w:hint="eastAsia"/>
                      <w:szCs w:val="21"/>
                    </w:rPr>
                    <w:t>0~</w:t>
                  </w:r>
                  <w:r>
                    <w:rPr>
                      <w:rFonts w:hint="eastAsia"/>
                      <w:szCs w:val="21"/>
                      <w:lang w:val="en-US" w:eastAsia="zh-CN"/>
                    </w:rPr>
                    <w:t>5</w:t>
                  </w:r>
                  <w:r>
                    <w:rPr>
                      <w:rFonts w:hint="eastAsia"/>
                      <w:szCs w:val="21"/>
                    </w:rPr>
                    <w:t>00m</w:t>
                  </w:r>
                </w:p>
              </w:tc>
              <w:tc>
                <w:tcPr>
                  <w:tcW w:w="713" w:type="dxa"/>
                  <w:noWrap w:val="0"/>
                  <w:vAlign w:val="center"/>
                </w:tcPr>
                <w:p>
                  <w:pPr>
                    <w:adjustRightInd w:val="0"/>
                    <w:snapToGrid w:val="0"/>
                    <w:jc w:val="center"/>
                    <w:rPr>
                      <w:szCs w:val="21"/>
                    </w:rPr>
                  </w:pPr>
                  <w:r>
                    <w:rPr>
                      <w:rFonts w:hint="eastAsia"/>
                      <w:szCs w:val="21"/>
                    </w:rPr>
                    <w:t>0</w:t>
                  </w:r>
                </w:p>
              </w:tc>
              <w:tc>
                <w:tcPr>
                  <w:tcW w:w="3402" w:type="dxa"/>
                  <w:vMerge w:val="continue"/>
                  <w:noWrap w:val="0"/>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130" w:hRule="atLeast"/>
              </w:trPr>
              <w:tc>
                <w:tcPr>
                  <w:tcW w:w="851" w:type="dxa"/>
                  <w:vMerge w:val="restart"/>
                  <w:noWrap w:val="0"/>
                  <w:vAlign w:val="center"/>
                </w:tcPr>
                <w:p>
                  <w:pPr>
                    <w:adjustRightInd w:val="0"/>
                    <w:snapToGrid w:val="0"/>
                    <w:jc w:val="center"/>
                    <w:rPr>
                      <w:szCs w:val="21"/>
                    </w:rPr>
                  </w:pPr>
                  <w:r>
                    <w:rPr>
                      <w:szCs w:val="21"/>
                    </w:rPr>
                    <w:t>噪声</w:t>
                  </w:r>
                </w:p>
              </w:tc>
              <w:tc>
                <w:tcPr>
                  <w:tcW w:w="1554" w:type="dxa"/>
                  <w:noWrap w:val="0"/>
                  <w:vAlign w:val="center"/>
                </w:tcPr>
                <w:p>
                  <w:pPr>
                    <w:adjustRightInd w:val="0"/>
                    <w:snapToGrid w:val="0"/>
                    <w:jc w:val="center"/>
                    <w:rPr>
                      <w:szCs w:val="21"/>
                    </w:rPr>
                  </w:pPr>
                  <w:r>
                    <w:rPr>
                      <w:rFonts w:hint="default" w:ascii="Times New Roman" w:hAnsi="Times New Roman" w:cs="Times New Roman"/>
                      <w:color w:val="auto"/>
                      <w:kern w:val="0"/>
                      <w:sz w:val="21"/>
                      <w:szCs w:val="21"/>
                      <w:vertAlign w:val="baseline"/>
                      <w:lang w:eastAsia="zh-CN"/>
                    </w:rPr>
                    <w:t>白玉村居民</w:t>
                  </w:r>
                  <w:r>
                    <w:rPr>
                      <w:rFonts w:hint="eastAsia"/>
                      <w:color w:val="auto"/>
                      <w:szCs w:val="21"/>
                    </w:rPr>
                    <w:t>（农户</w:t>
                  </w:r>
                  <w:r>
                    <w:rPr>
                      <w:rFonts w:hint="eastAsia"/>
                      <w:color w:val="auto"/>
                      <w:szCs w:val="21"/>
                      <w:lang w:val="en-US" w:eastAsia="zh-CN"/>
                    </w:rPr>
                    <w:t>5</w:t>
                  </w:r>
                  <w:r>
                    <w:rPr>
                      <w:rFonts w:hint="eastAsia"/>
                      <w:color w:val="auto"/>
                      <w:szCs w:val="21"/>
                    </w:rPr>
                    <w:t>0户）</w:t>
                  </w:r>
                </w:p>
              </w:tc>
              <w:tc>
                <w:tcPr>
                  <w:tcW w:w="851" w:type="dxa"/>
                  <w:noWrap w:val="0"/>
                  <w:vAlign w:val="center"/>
                </w:tcPr>
                <w:p>
                  <w:pPr>
                    <w:adjustRightInd w:val="0"/>
                    <w:snapToGrid w:val="0"/>
                    <w:jc w:val="center"/>
                    <w:rPr>
                      <w:szCs w:val="21"/>
                    </w:rPr>
                  </w:pPr>
                  <w:r>
                    <w:rPr>
                      <w:rFonts w:hint="eastAsia"/>
                      <w:szCs w:val="21"/>
                    </w:rPr>
                    <w:t>南</w:t>
                  </w:r>
                  <w:r>
                    <w:rPr>
                      <w:szCs w:val="21"/>
                    </w:rPr>
                    <w:t>面</w:t>
                  </w:r>
                </w:p>
              </w:tc>
              <w:tc>
                <w:tcPr>
                  <w:tcW w:w="1134" w:type="dxa"/>
                  <w:noWrap w:val="0"/>
                  <w:vAlign w:val="center"/>
                </w:tcPr>
                <w:p>
                  <w:pPr>
                    <w:adjustRightInd w:val="0"/>
                    <w:snapToGrid w:val="0"/>
                    <w:jc w:val="center"/>
                    <w:rPr>
                      <w:szCs w:val="21"/>
                    </w:rPr>
                  </w:pPr>
                  <w:r>
                    <w:rPr>
                      <w:rFonts w:hint="eastAsia"/>
                      <w:szCs w:val="21"/>
                      <w:lang w:val="en-US" w:eastAsia="zh-CN"/>
                    </w:rPr>
                    <w:t>4</w:t>
                  </w:r>
                  <w:r>
                    <w:rPr>
                      <w:szCs w:val="21"/>
                    </w:rPr>
                    <w:t>0</w:t>
                  </w:r>
                  <w:r>
                    <w:rPr>
                      <w:rFonts w:hint="eastAsia"/>
                      <w:szCs w:val="21"/>
                    </w:rPr>
                    <w:t>~</w:t>
                  </w:r>
                  <w:r>
                    <w:rPr>
                      <w:rFonts w:hint="eastAsia"/>
                      <w:szCs w:val="21"/>
                      <w:lang w:val="en-US" w:eastAsia="zh-CN"/>
                    </w:rPr>
                    <w:t>2</w:t>
                  </w:r>
                  <w:r>
                    <w:rPr>
                      <w:rFonts w:hint="eastAsia"/>
                      <w:szCs w:val="21"/>
                    </w:rPr>
                    <w:t>00</w:t>
                  </w:r>
                  <w:r>
                    <w:rPr>
                      <w:szCs w:val="21"/>
                    </w:rPr>
                    <w:t>m</w:t>
                  </w:r>
                </w:p>
              </w:tc>
              <w:tc>
                <w:tcPr>
                  <w:tcW w:w="713" w:type="dxa"/>
                  <w:noWrap w:val="0"/>
                  <w:vAlign w:val="center"/>
                </w:tcPr>
                <w:p>
                  <w:pPr>
                    <w:adjustRightInd w:val="0"/>
                    <w:snapToGrid w:val="0"/>
                    <w:jc w:val="center"/>
                    <w:rPr>
                      <w:szCs w:val="21"/>
                    </w:rPr>
                  </w:pPr>
                  <w:r>
                    <w:rPr>
                      <w:rFonts w:hint="eastAsia"/>
                      <w:szCs w:val="21"/>
                    </w:rPr>
                    <w:t>0</w:t>
                  </w:r>
                </w:p>
              </w:tc>
              <w:tc>
                <w:tcPr>
                  <w:tcW w:w="3402" w:type="dxa"/>
                  <w:vMerge w:val="restart"/>
                  <w:noWrap w:val="0"/>
                  <w:vAlign w:val="center"/>
                </w:tcPr>
                <w:p>
                  <w:pPr>
                    <w:adjustRightInd w:val="0"/>
                    <w:snapToGrid w:val="0"/>
                    <w:jc w:val="center"/>
                    <w:rPr>
                      <w:rFonts w:hint="eastAsia"/>
                      <w:szCs w:val="21"/>
                    </w:rPr>
                  </w:pPr>
                  <w:r>
                    <w:rPr>
                      <w:szCs w:val="21"/>
                    </w:rPr>
                    <w:t>《声环境质量标准》</w:t>
                  </w:r>
                </w:p>
                <w:p>
                  <w:pPr>
                    <w:adjustRightInd w:val="0"/>
                    <w:snapToGrid w:val="0"/>
                    <w:jc w:val="center"/>
                    <w:rPr>
                      <w:szCs w:val="21"/>
                    </w:rPr>
                  </w:pPr>
                  <w:r>
                    <w:rPr>
                      <w:szCs w:val="21"/>
                    </w:rPr>
                    <w:t>GB3096－2008表1中</w:t>
                  </w:r>
                  <w:r>
                    <w:rPr>
                      <w:rFonts w:hint="eastAsia"/>
                      <w:szCs w:val="21"/>
                    </w:rPr>
                    <w:t>2</w:t>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130" w:hRule="atLeast"/>
              </w:trPr>
              <w:tc>
                <w:tcPr>
                  <w:tcW w:w="851" w:type="dxa"/>
                  <w:vMerge w:val="continue"/>
                  <w:noWrap w:val="0"/>
                  <w:vAlign w:val="center"/>
                </w:tcPr>
                <w:p>
                  <w:pPr>
                    <w:adjustRightInd w:val="0"/>
                    <w:snapToGrid w:val="0"/>
                    <w:jc w:val="center"/>
                    <w:rPr>
                      <w:szCs w:val="21"/>
                    </w:rPr>
                  </w:pPr>
                </w:p>
              </w:tc>
              <w:tc>
                <w:tcPr>
                  <w:tcW w:w="1554" w:type="dxa"/>
                  <w:noWrap w:val="0"/>
                  <w:vAlign w:val="center"/>
                </w:tcPr>
                <w:p>
                  <w:pPr>
                    <w:adjustRightInd w:val="0"/>
                    <w:snapToGrid w:val="0"/>
                    <w:jc w:val="center"/>
                    <w:rPr>
                      <w:rFonts w:hint="eastAsia"/>
                      <w:szCs w:val="21"/>
                    </w:rPr>
                  </w:pPr>
                  <w:r>
                    <w:rPr>
                      <w:rFonts w:hint="default" w:ascii="Times New Roman" w:hAnsi="Times New Roman" w:cs="Times New Roman"/>
                      <w:color w:val="auto"/>
                      <w:kern w:val="0"/>
                      <w:sz w:val="21"/>
                      <w:szCs w:val="21"/>
                      <w:vertAlign w:val="baseline"/>
                      <w:lang w:eastAsia="zh-CN"/>
                    </w:rPr>
                    <w:t>黎明村居民</w:t>
                  </w:r>
                  <w:r>
                    <w:rPr>
                      <w:rFonts w:hint="eastAsia"/>
                      <w:color w:val="auto"/>
                      <w:szCs w:val="21"/>
                    </w:rPr>
                    <w:t>（农户</w:t>
                  </w:r>
                  <w:r>
                    <w:rPr>
                      <w:rFonts w:hint="eastAsia"/>
                      <w:color w:val="auto"/>
                      <w:szCs w:val="21"/>
                      <w:lang w:val="en-US" w:eastAsia="zh-CN"/>
                    </w:rPr>
                    <w:t>10</w:t>
                  </w:r>
                  <w:r>
                    <w:rPr>
                      <w:rFonts w:hint="eastAsia"/>
                      <w:color w:val="auto"/>
                      <w:szCs w:val="21"/>
                    </w:rPr>
                    <w:t>0户）</w:t>
                  </w:r>
                </w:p>
              </w:tc>
              <w:tc>
                <w:tcPr>
                  <w:tcW w:w="851" w:type="dxa"/>
                  <w:noWrap w:val="0"/>
                  <w:vAlign w:val="center"/>
                </w:tcPr>
                <w:p>
                  <w:pPr>
                    <w:adjustRightInd w:val="0"/>
                    <w:snapToGrid w:val="0"/>
                    <w:jc w:val="center"/>
                    <w:rPr>
                      <w:szCs w:val="21"/>
                    </w:rPr>
                  </w:pPr>
                  <w:r>
                    <w:rPr>
                      <w:rFonts w:hint="eastAsia"/>
                      <w:szCs w:val="21"/>
                      <w:lang w:val="en-US" w:eastAsia="zh-CN"/>
                    </w:rPr>
                    <w:t>东面</w:t>
                  </w:r>
                </w:p>
              </w:tc>
              <w:tc>
                <w:tcPr>
                  <w:tcW w:w="1134" w:type="dxa"/>
                  <w:noWrap w:val="0"/>
                  <w:vAlign w:val="center"/>
                </w:tcPr>
                <w:p>
                  <w:pPr>
                    <w:adjustRightInd w:val="0"/>
                    <w:snapToGrid w:val="0"/>
                    <w:jc w:val="center"/>
                    <w:rPr>
                      <w:szCs w:val="21"/>
                    </w:rPr>
                  </w:pPr>
                  <w:r>
                    <w:rPr>
                      <w:rFonts w:hint="eastAsia"/>
                      <w:szCs w:val="21"/>
                    </w:rPr>
                    <w:t>2</w:t>
                  </w:r>
                  <w:r>
                    <w:rPr>
                      <w:rFonts w:hint="eastAsia"/>
                      <w:szCs w:val="21"/>
                      <w:lang w:val="en-US" w:eastAsia="zh-CN"/>
                    </w:rPr>
                    <w:t>4</w:t>
                  </w:r>
                  <w:r>
                    <w:rPr>
                      <w:rFonts w:hint="eastAsia"/>
                      <w:szCs w:val="21"/>
                    </w:rPr>
                    <w:t>0~</w:t>
                  </w:r>
                  <w:r>
                    <w:rPr>
                      <w:rFonts w:hint="eastAsia"/>
                      <w:szCs w:val="21"/>
                      <w:lang w:val="en-US" w:eastAsia="zh-CN"/>
                    </w:rPr>
                    <w:t>5</w:t>
                  </w:r>
                  <w:r>
                    <w:rPr>
                      <w:rFonts w:hint="eastAsia"/>
                      <w:szCs w:val="21"/>
                    </w:rPr>
                    <w:t>00m</w:t>
                  </w:r>
                </w:p>
              </w:tc>
              <w:tc>
                <w:tcPr>
                  <w:tcW w:w="713" w:type="dxa"/>
                  <w:noWrap w:val="0"/>
                  <w:vAlign w:val="center"/>
                </w:tcPr>
                <w:p>
                  <w:pPr>
                    <w:adjustRightInd w:val="0"/>
                    <w:snapToGrid w:val="0"/>
                    <w:jc w:val="center"/>
                    <w:rPr>
                      <w:szCs w:val="21"/>
                    </w:rPr>
                  </w:pPr>
                  <w:r>
                    <w:rPr>
                      <w:rFonts w:hint="eastAsia"/>
                      <w:szCs w:val="21"/>
                    </w:rPr>
                    <w:t>0</w:t>
                  </w:r>
                </w:p>
              </w:tc>
              <w:tc>
                <w:tcPr>
                  <w:tcW w:w="3402" w:type="dxa"/>
                  <w:vMerge w:val="continue"/>
                  <w:noWrap w:val="0"/>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4" w:space="0"/>
                </w:tblBorders>
                <w:tblCellMar>
                  <w:top w:w="0" w:type="dxa"/>
                  <w:left w:w="108" w:type="dxa"/>
                  <w:bottom w:w="0" w:type="dxa"/>
                  <w:right w:w="108" w:type="dxa"/>
                </w:tblCellMar>
              </w:tblPrEx>
              <w:trPr>
                <w:cantSplit/>
                <w:trHeight w:val="61" w:hRule="atLeast"/>
              </w:trPr>
              <w:tc>
                <w:tcPr>
                  <w:tcW w:w="851" w:type="dxa"/>
                  <w:noWrap w:val="0"/>
                  <w:vAlign w:val="center"/>
                </w:tcPr>
                <w:p>
                  <w:pPr>
                    <w:adjustRightInd w:val="0"/>
                    <w:snapToGrid w:val="0"/>
                    <w:jc w:val="center"/>
                    <w:rPr>
                      <w:szCs w:val="21"/>
                    </w:rPr>
                  </w:pPr>
                  <w:r>
                    <w:rPr>
                      <w:szCs w:val="21"/>
                    </w:rPr>
                    <w:t>水环境</w:t>
                  </w:r>
                </w:p>
              </w:tc>
              <w:tc>
                <w:tcPr>
                  <w:tcW w:w="1554" w:type="dxa"/>
                  <w:noWrap w:val="0"/>
                  <w:vAlign w:val="center"/>
                </w:tcPr>
                <w:p>
                  <w:pPr>
                    <w:adjustRightInd w:val="0"/>
                    <w:snapToGrid w:val="0"/>
                    <w:jc w:val="center"/>
                    <w:rPr>
                      <w:szCs w:val="21"/>
                    </w:rPr>
                  </w:pPr>
                  <w:r>
                    <w:rPr>
                      <w:rFonts w:hint="eastAsia"/>
                      <w:szCs w:val="21"/>
                    </w:rPr>
                    <w:t>大渡河</w:t>
                  </w:r>
                </w:p>
              </w:tc>
              <w:tc>
                <w:tcPr>
                  <w:tcW w:w="851" w:type="dxa"/>
                  <w:noWrap w:val="0"/>
                  <w:vAlign w:val="center"/>
                </w:tcPr>
                <w:p>
                  <w:pPr>
                    <w:adjustRightInd w:val="0"/>
                    <w:snapToGrid w:val="0"/>
                    <w:jc w:val="center"/>
                    <w:rPr>
                      <w:szCs w:val="21"/>
                    </w:rPr>
                  </w:pPr>
                  <w:r>
                    <w:rPr>
                      <w:rFonts w:hint="eastAsia"/>
                      <w:szCs w:val="21"/>
                    </w:rPr>
                    <w:t>东</w:t>
                  </w:r>
                  <w:r>
                    <w:rPr>
                      <w:szCs w:val="21"/>
                    </w:rPr>
                    <w:t>面</w:t>
                  </w:r>
                </w:p>
              </w:tc>
              <w:tc>
                <w:tcPr>
                  <w:tcW w:w="1134" w:type="dxa"/>
                  <w:noWrap w:val="0"/>
                  <w:vAlign w:val="center"/>
                </w:tcPr>
                <w:p>
                  <w:pPr>
                    <w:adjustRightInd w:val="0"/>
                    <w:snapToGrid w:val="0"/>
                    <w:jc w:val="center"/>
                    <w:rPr>
                      <w:szCs w:val="21"/>
                    </w:rPr>
                  </w:pPr>
                  <w:r>
                    <w:rPr>
                      <w:rFonts w:hint="eastAsia"/>
                      <w:szCs w:val="21"/>
                      <w:lang w:val="en-US" w:eastAsia="zh-CN"/>
                    </w:rPr>
                    <w:t>600</w:t>
                  </w:r>
                  <w:r>
                    <w:rPr>
                      <w:szCs w:val="21"/>
                    </w:rPr>
                    <w:t>m</w:t>
                  </w:r>
                </w:p>
              </w:tc>
              <w:tc>
                <w:tcPr>
                  <w:tcW w:w="713" w:type="dxa"/>
                  <w:noWrap w:val="0"/>
                  <w:vAlign w:val="center"/>
                </w:tcPr>
                <w:p>
                  <w:pPr>
                    <w:adjustRightInd w:val="0"/>
                    <w:snapToGrid w:val="0"/>
                    <w:jc w:val="center"/>
                    <w:rPr>
                      <w:szCs w:val="21"/>
                    </w:rPr>
                  </w:pPr>
                  <w:r>
                    <w:rPr>
                      <w:rFonts w:hint="eastAsia"/>
                      <w:szCs w:val="21"/>
                    </w:rPr>
                    <w:t>-10m</w:t>
                  </w:r>
                </w:p>
              </w:tc>
              <w:tc>
                <w:tcPr>
                  <w:tcW w:w="3402" w:type="dxa"/>
                  <w:noWrap w:val="0"/>
                  <w:vAlign w:val="center"/>
                </w:tcPr>
                <w:p>
                  <w:pPr>
                    <w:adjustRightInd w:val="0"/>
                    <w:snapToGrid w:val="0"/>
                    <w:jc w:val="center"/>
                    <w:rPr>
                      <w:szCs w:val="21"/>
                    </w:rPr>
                  </w:pPr>
                  <w:r>
                    <w:rPr>
                      <w:szCs w:val="21"/>
                    </w:rPr>
                    <w:t>《地表水环境质量标准》GB3838-2002</w:t>
                  </w:r>
                  <w:r>
                    <w:rPr>
                      <w:rFonts w:hint="eastAsia"/>
                      <w:szCs w:val="21"/>
                    </w:rPr>
                    <w:t xml:space="preserve">  </w:t>
                  </w:r>
                  <w:r>
                    <w:rPr>
                      <w:szCs w:val="21"/>
                    </w:rPr>
                    <w:t>Ⅲ类标准</w:t>
                  </w:r>
                </w:p>
              </w:tc>
            </w:tr>
          </w:tbl>
          <w:p>
            <w:pPr>
              <w:rPr>
                <w:rFonts w:hint="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80" w:type="dxa"/>
            <w:noWrap w:val="0"/>
            <w:tcMar>
              <w:left w:w="28"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510" w:type="dxa"/>
            <w:noWrap w:val="0"/>
            <w:vAlign w:val="top"/>
          </w:tcPr>
          <w:p>
            <w:pPr>
              <w:spacing w:line="480" w:lineRule="exact"/>
              <w:rPr>
                <w:b/>
                <w:sz w:val="24"/>
              </w:rPr>
            </w:pPr>
            <w:r>
              <w:rPr>
                <w:b/>
                <w:sz w:val="24"/>
              </w:rPr>
              <w:t>一、废气排放标准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施工期扬尘排放放执行《四川省施工场地扬尘排放标准》（</w:t>
            </w:r>
            <w:r>
              <w:rPr>
                <w:rFonts w:hint="default" w:ascii="Times New Roman" w:hAnsi="Times New Roman" w:eastAsia="宋体" w:cs="Times New Roman"/>
                <w:color w:val="000000"/>
                <w:kern w:val="0"/>
                <w:sz w:val="24"/>
                <w:szCs w:val="24"/>
                <w:lang w:val="en-US" w:eastAsia="zh-CN" w:bidi="ar"/>
              </w:rPr>
              <w:t>DB51/2682-2020</w:t>
            </w:r>
            <w:r>
              <w:rPr>
                <w:rFonts w:hint="eastAsia" w:ascii="宋体" w:hAnsi="宋体" w:eastAsia="宋体" w:cs="宋体"/>
                <w:color w:val="000000"/>
                <w:kern w:val="0"/>
                <w:sz w:val="24"/>
                <w:szCs w:val="24"/>
                <w:lang w:val="en-US" w:eastAsia="zh-CN" w:bidi="ar"/>
              </w:rPr>
              <w:t>），详见表</w:t>
            </w:r>
            <w:r>
              <w:rPr>
                <w:rFonts w:hint="default" w:ascii="Times New Roman" w:hAnsi="Times New Roman" w:cs="Times New Roman"/>
                <w:color w:val="000000"/>
                <w:kern w:val="0"/>
                <w:sz w:val="24"/>
                <w:szCs w:val="24"/>
                <w:lang w:val="en-US" w:eastAsia="zh-CN" w:bidi="ar"/>
              </w:rPr>
              <w:t>3-</w:t>
            </w:r>
            <w:r>
              <w:rPr>
                <w:rFonts w:hint="eastAsia" w:cs="Times New Roman"/>
                <w:color w:val="000000"/>
                <w:kern w:val="0"/>
                <w:sz w:val="24"/>
                <w:szCs w:val="24"/>
                <w:lang w:val="en-US" w:eastAsia="zh-CN" w:bidi="ar"/>
              </w:rPr>
              <w:t>10</w:t>
            </w:r>
            <w:r>
              <w:rPr>
                <w:rFonts w:hint="eastAsia" w:ascii="Times New Roman" w:hAnsi="Times New Roman" w:cs="Times New Roman"/>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10</w:t>
            </w:r>
            <w:r>
              <w:rPr>
                <w:rFonts w:hint="eastAsia" w:ascii="宋体" w:hAnsi="宋体" w:eastAsia="宋体" w:cs="宋体"/>
                <w:b/>
                <w:bCs/>
                <w:color w:val="000000"/>
                <w:kern w:val="0"/>
                <w:sz w:val="24"/>
                <w:szCs w:val="24"/>
                <w:lang w:val="en-US" w:eastAsia="zh-CN" w:bidi="ar"/>
              </w:rPr>
              <w:t>四川省施工场地扬尘排放限值（乐山市）</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1993"/>
              <w:gridCol w:w="1994"/>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93" w:type="dxa"/>
                  <w:noWrap w:val="0"/>
                  <w:vAlign w:val="center"/>
                </w:tcPr>
                <w:p>
                  <w:pPr>
                    <w:widowControl w:val="0"/>
                    <w:numPr>
                      <w:ilvl w:val="0"/>
                      <w:numId w:val="0"/>
                    </w:numPr>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监测项目</w:t>
                  </w:r>
                </w:p>
              </w:tc>
              <w:tc>
                <w:tcPr>
                  <w:tcW w:w="1993" w:type="dxa"/>
                  <w:noWrap w:val="0"/>
                  <w:vAlign w:val="center"/>
                </w:tcPr>
                <w:p>
                  <w:pPr>
                    <w:widowControl w:val="0"/>
                    <w:numPr>
                      <w:ilvl w:val="0"/>
                      <w:numId w:val="0"/>
                    </w:numPr>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施工阶段</w:t>
                  </w:r>
                </w:p>
              </w:tc>
              <w:tc>
                <w:tcPr>
                  <w:tcW w:w="1994" w:type="dxa"/>
                  <w:noWrap w:val="0"/>
                  <w:vAlign w:val="center"/>
                </w:tcPr>
                <w:p>
                  <w:pPr>
                    <w:keepNext w:val="0"/>
                    <w:keepLines w:val="0"/>
                    <w:widowControl/>
                    <w:suppressLineNumbers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监测点排放限值</w:t>
                  </w:r>
                  <w:r>
                    <w:rPr>
                      <w:rFonts w:hint="eastAsia" w:ascii="宋体" w:hAnsi="宋体" w:eastAsia="宋体" w:cs="宋体"/>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μg/m</w:t>
                  </w:r>
                  <w:r>
                    <w:rPr>
                      <w:rFonts w:hint="default" w:ascii="Times New Roman" w:hAnsi="Times New Roman" w:eastAsia="宋体" w:cs="Times New Roman"/>
                      <w:b/>
                      <w:bCs/>
                      <w:color w:val="000000"/>
                      <w:kern w:val="0"/>
                      <w:sz w:val="21"/>
                      <w:szCs w:val="21"/>
                      <w:vertAlign w:val="superscript"/>
                      <w:lang w:val="en-US" w:eastAsia="zh-CN" w:bidi="ar"/>
                    </w:rPr>
                    <w:t>3</w:t>
                  </w:r>
                  <w:r>
                    <w:rPr>
                      <w:rFonts w:hint="eastAsia" w:ascii="宋体" w:hAnsi="宋体" w:eastAsia="宋体" w:cs="宋体"/>
                      <w:b/>
                      <w:bCs/>
                      <w:color w:val="000000"/>
                      <w:kern w:val="0"/>
                      <w:sz w:val="21"/>
                      <w:szCs w:val="21"/>
                      <w:lang w:val="en-US" w:eastAsia="zh-CN" w:bidi="ar"/>
                    </w:rPr>
                    <w:t>）</w:t>
                  </w:r>
                </w:p>
              </w:tc>
              <w:tc>
                <w:tcPr>
                  <w:tcW w:w="1994" w:type="dxa"/>
                  <w:noWrap w:val="0"/>
                  <w:vAlign w:val="center"/>
                </w:tcPr>
                <w:p>
                  <w:pPr>
                    <w:widowControl w:val="0"/>
                    <w:numPr>
                      <w:ilvl w:val="0"/>
                      <w:numId w:val="0"/>
                    </w:numPr>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vMerge w:val="restart"/>
                  <w:noWrap w:val="0"/>
                  <w:vAlign w:val="center"/>
                </w:tcPr>
                <w:p>
                  <w:pPr>
                    <w:widowControl w:val="0"/>
                    <w:numPr>
                      <w:ilvl w:val="0"/>
                      <w:numId w:val="0"/>
                    </w:numPr>
                    <w:adjustRightInd w:val="0"/>
                    <w:snapToGrid w:val="0"/>
                    <w:spacing w:line="240" w:lineRule="auto"/>
                    <w:jc w:val="center"/>
                    <w:rPr>
                      <w:rFonts w:hint="eastAsia" w:ascii="宋体" w:hAnsi="宋体" w:cs="宋体"/>
                      <w:kern w:val="0"/>
                      <w:sz w:val="21"/>
                      <w:szCs w:val="21"/>
                      <w:vertAlign w:val="baseline"/>
                      <w:lang w:eastAsia="zh-CN"/>
                    </w:rPr>
                  </w:pPr>
                  <w:r>
                    <w:rPr>
                      <w:rFonts w:hint="eastAsia" w:ascii="宋体" w:hAnsi="宋体" w:cs="宋体"/>
                      <w:kern w:val="0"/>
                      <w:sz w:val="21"/>
                      <w:szCs w:val="21"/>
                      <w:vertAlign w:val="baseline"/>
                      <w:lang w:eastAsia="zh-CN"/>
                    </w:rPr>
                    <w:t>总悬浮颗粒物（</w:t>
                  </w:r>
                  <w:r>
                    <w:rPr>
                      <w:rFonts w:hint="default" w:ascii="Times New Roman" w:hAnsi="Times New Roman" w:cs="Times New Roman"/>
                      <w:kern w:val="0"/>
                      <w:sz w:val="21"/>
                      <w:szCs w:val="21"/>
                      <w:vertAlign w:val="baseline"/>
                      <w:lang w:val="en-US" w:eastAsia="zh-CN"/>
                    </w:rPr>
                    <w:t>TSP</w:t>
                  </w:r>
                  <w:r>
                    <w:rPr>
                      <w:rFonts w:hint="eastAsia" w:ascii="宋体" w:hAnsi="宋体" w:cs="宋体"/>
                      <w:kern w:val="0"/>
                      <w:sz w:val="21"/>
                      <w:szCs w:val="21"/>
                      <w:vertAlign w:val="baseline"/>
                      <w:lang w:eastAsia="zh-CN"/>
                    </w:rPr>
                    <w:t>）</w:t>
                  </w:r>
                </w:p>
              </w:tc>
              <w:tc>
                <w:tcPr>
                  <w:tcW w:w="1993" w:type="dxa"/>
                  <w:noWrap w:val="0"/>
                  <w:vAlign w:val="center"/>
                </w:tcPr>
                <w:p>
                  <w:pPr>
                    <w:keepNext w:val="0"/>
                    <w:keepLines w:val="0"/>
                    <w:widowControl/>
                    <w:suppressLineNumbers w:val="0"/>
                    <w:spacing w:line="240" w:lineRule="auto"/>
                    <w:jc w:val="center"/>
                    <w:rPr>
                      <w:rFonts w:hint="eastAsia" w:ascii="宋体" w:hAnsi="宋体" w:cs="宋体"/>
                      <w:kern w:val="0"/>
                      <w:sz w:val="21"/>
                      <w:szCs w:val="21"/>
                      <w:vertAlign w:val="baseline"/>
                      <w:lang w:eastAsia="zh-CN"/>
                    </w:rPr>
                  </w:pPr>
                  <w:r>
                    <w:rPr>
                      <w:rFonts w:hint="eastAsia" w:ascii="宋体" w:hAnsi="宋体" w:eastAsia="宋体" w:cs="宋体"/>
                      <w:color w:val="000000"/>
                      <w:kern w:val="0"/>
                      <w:sz w:val="21"/>
                      <w:szCs w:val="21"/>
                      <w:lang w:val="en-US" w:eastAsia="zh-CN" w:bidi="ar"/>
                    </w:rPr>
                    <w:t>拆除工程</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土方开挖</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土方回填阶段</w:t>
                  </w:r>
                </w:p>
              </w:tc>
              <w:tc>
                <w:tcPr>
                  <w:tcW w:w="1994" w:type="dxa"/>
                  <w:noWrap w:val="0"/>
                  <w:vAlign w:val="center"/>
                </w:tcPr>
                <w:p>
                  <w:pPr>
                    <w:widowControl w:val="0"/>
                    <w:numPr>
                      <w:ilvl w:val="0"/>
                      <w:numId w:val="0"/>
                    </w:numPr>
                    <w:adjustRightInd w:val="0"/>
                    <w:snapToGrid w:val="0"/>
                    <w:spacing w:line="240" w:lineRule="auto"/>
                    <w:jc w:val="center"/>
                    <w:rPr>
                      <w:rFonts w:hint="default" w:ascii="宋体" w:hAnsi="宋体" w:cs="宋体"/>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600</w:t>
                  </w:r>
                </w:p>
              </w:tc>
              <w:tc>
                <w:tcPr>
                  <w:tcW w:w="1994" w:type="dxa"/>
                  <w:vMerge w:val="restart"/>
                  <w:noWrap w:val="0"/>
                  <w:vAlign w:val="center"/>
                </w:tcPr>
                <w:p>
                  <w:pPr>
                    <w:widowControl w:val="0"/>
                    <w:numPr>
                      <w:ilvl w:val="0"/>
                      <w:numId w:val="0"/>
                    </w:numPr>
                    <w:adjustRightInd w:val="0"/>
                    <w:snapToGrid w:val="0"/>
                    <w:spacing w:line="240" w:lineRule="auto"/>
                    <w:jc w:val="center"/>
                    <w:rPr>
                      <w:rFonts w:hint="default" w:ascii="宋体" w:hAnsi="宋体" w:cs="宋体"/>
                      <w:kern w:val="0"/>
                      <w:sz w:val="21"/>
                      <w:szCs w:val="21"/>
                      <w:vertAlign w:val="baseline"/>
                      <w:lang w:val="en-US" w:eastAsia="zh-CN"/>
                    </w:rPr>
                  </w:pPr>
                  <w:r>
                    <w:rPr>
                      <w:rFonts w:hint="eastAsia" w:ascii="宋体" w:hAnsi="宋体" w:cs="宋体"/>
                      <w:kern w:val="0"/>
                      <w:sz w:val="21"/>
                      <w:szCs w:val="21"/>
                      <w:vertAlign w:val="baseline"/>
                      <w:lang w:eastAsia="zh-CN"/>
                    </w:rPr>
                    <w:t>自监测起持续</w:t>
                  </w:r>
                  <w:r>
                    <w:rPr>
                      <w:rFonts w:hint="default" w:ascii="Times New Roman" w:hAnsi="Times New Roman" w:cs="Times New Roman"/>
                      <w:kern w:val="0"/>
                      <w:sz w:val="21"/>
                      <w:szCs w:val="21"/>
                      <w:vertAlign w:val="baseline"/>
                      <w:lang w:val="en-US" w:eastAsia="zh-CN"/>
                    </w:rPr>
                    <w:t>15</w:t>
                  </w:r>
                  <w:r>
                    <w:rPr>
                      <w:rFonts w:hint="eastAsia" w:ascii="宋体" w:hAnsi="宋体" w:cs="宋体"/>
                      <w:kern w:val="0"/>
                      <w:sz w:val="21"/>
                      <w:szCs w:val="21"/>
                      <w:vertAlign w:val="baseline"/>
                      <w:lang w:val="en-US"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vMerge w:val="continue"/>
                  <w:noWrap w:val="0"/>
                  <w:vAlign w:val="center"/>
                </w:tcPr>
                <w:p>
                  <w:pPr>
                    <w:widowControl w:val="0"/>
                    <w:numPr>
                      <w:ilvl w:val="0"/>
                      <w:numId w:val="0"/>
                    </w:numPr>
                    <w:adjustRightInd w:val="0"/>
                    <w:snapToGrid w:val="0"/>
                    <w:spacing w:line="240" w:lineRule="auto"/>
                    <w:jc w:val="center"/>
                    <w:rPr>
                      <w:rFonts w:hint="eastAsia" w:ascii="宋体" w:hAnsi="宋体" w:cs="宋体"/>
                      <w:kern w:val="0"/>
                      <w:sz w:val="21"/>
                      <w:szCs w:val="21"/>
                      <w:vertAlign w:val="baseline"/>
                      <w:lang w:eastAsia="zh-CN"/>
                    </w:rPr>
                  </w:pPr>
                </w:p>
              </w:tc>
              <w:tc>
                <w:tcPr>
                  <w:tcW w:w="1993" w:type="dxa"/>
                  <w:noWrap w:val="0"/>
                  <w:vAlign w:val="center"/>
                </w:tcPr>
                <w:p>
                  <w:pPr>
                    <w:keepNext w:val="0"/>
                    <w:keepLines w:val="0"/>
                    <w:widowControl/>
                    <w:suppressLineNumbers w:val="0"/>
                    <w:spacing w:line="240" w:lineRule="auto"/>
                    <w:jc w:val="center"/>
                    <w:rPr>
                      <w:rFonts w:hint="eastAsia" w:ascii="宋体" w:hAnsi="宋体" w:cs="宋体"/>
                      <w:kern w:val="0"/>
                      <w:sz w:val="21"/>
                      <w:szCs w:val="21"/>
                      <w:vertAlign w:val="baseline"/>
                      <w:lang w:eastAsia="zh-CN"/>
                    </w:rPr>
                  </w:pPr>
                  <w:r>
                    <w:rPr>
                      <w:rFonts w:hint="eastAsia" w:ascii="宋体" w:hAnsi="宋体" w:eastAsia="宋体" w:cs="宋体"/>
                      <w:color w:val="000000"/>
                      <w:kern w:val="0"/>
                      <w:sz w:val="21"/>
                      <w:szCs w:val="21"/>
                      <w:lang w:val="en-US" w:eastAsia="zh-CN" w:bidi="ar"/>
                    </w:rPr>
                    <w:t>其他工程阶段</w:t>
                  </w:r>
                </w:p>
              </w:tc>
              <w:tc>
                <w:tcPr>
                  <w:tcW w:w="1994" w:type="dxa"/>
                  <w:noWrap w:val="0"/>
                  <w:vAlign w:val="center"/>
                </w:tcPr>
                <w:p>
                  <w:pPr>
                    <w:widowControl w:val="0"/>
                    <w:numPr>
                      <w:ilvl w:val="0"/>
                      <w:numId w:val="0"/>
                    </w:numPr>
                    <w:adjustRightInd w:val="0"/>
                    <w:snapToGrid w:val="0"/>
                    <w:spacing w:line="240" w:lineRule="auto"/>
                    <w:jc w:val="center"/>
                    <w:rPr>
                      <w:rFonts w:hint="default" w:ascii="宋体" w:hAnsi="宋体" w:cs="宋体"/>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250</w:t>
                  </w:r>
                </w:p>
              </w:tc>
              <w:tc>
                <w:tcPr>
                  <w:tcW w:w="1994" w:type="dxa"/>
                  <w:vMerge w:val="continue"/>
                  <w:noWrap w:val="0"/>
                  <w:vAlign w:val="center"/>
                </w:tcPr>
                <w:p>
                  <w:pPr>
                    <w:widowControl w:val="0"/>
                    <w:numPr>
                      <w:ilvl w:val="0"/>
                      <w:numId w:val="0"/>
                    </w:numPr>
                    <w:adjustRightInd w:val="0"/>
                    <w:snapToGrid w:val="0"/>
                    <w:spacing w:line="240" w:lineRule="auto"/>
                    <w:jc w:val="center"/>
                    <w:rPr>
                      <w:rFonts w:hint="eastAsia" w:ascii="宋体" w:hAnsi="宋体" w:cs="宋体"/>
                      <w:kern w:val="0"/>
                      <w:sz w:val="21"/>
                      <w:szCs w:val="21"/>
                      <w:vertAlign w:val="baseline"/>
                      <w:lang w:eastAsia="zh-CN"/>
                    </w:rPr>
                  </w:pPr>
                </w:p>
              </w:tc>
            </w:tr>
          </w:tbl>
          <w:p>
            <w:pPr>
              <w:keepNext w:val="0"/>
              <w:keepLines w:val="0"/>
              <w:widowControl/>
              <w:suppressLineNumbers w:val="0"/>
              <w:spacing w:line="360" w:lineRule="auto"/>
              <w:ind w:firstLine="480" w:firstLineChars="20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w:t>
            </w:r>
            <w:r>
              <w:rPr>
                <w:rFonts w:hint="eastAsia" w:ascii="宋体" w:hAnsi="宋体" w:cs="宋体"/>
                <w:color w:val="000000"/>
                <w:kern w:val="0"/>
                <w:sz w:val="24"/>
                <w:szCs w:val="24"/>
                <w:lang w:val="en-US" w:eastAsia="zh-CN" w:bidi="ar"/>
              </w:rPr>
              <w:t>运营</w:t>
            </w:r>
            <w:r>
              <w:rPr>
                <w:rFonts w:hint="eastAsia" w:ascii="宋体" w:hAnsi="宋体" w:eastAsia="宋体" w:cs="宋体"/>
                <w:color w:val="000000"/>
                <w:kern w:val="0"/>
                <w:sz w:val="24"/>
                <w:szCs w:val="24"/>
                <w:lang w:val="en-US" w:eastAsia="zh-CN" w:bidi="ar"/>
              </w:rPr>
              <w:t>期颗粒物</w:t>
            </w:r>
            <w:r>
              <w:rPr>
                <w:rFonts w:hint="eastAsia" w:ascii="宋体" w:hAnsi="宋体" w:cs="宋体"/>
                <w:color w:val="000000"/>
                <w:kern w:val="0"/>
                <w:sz w:val="24"/>
                <w:szCs w:val="24"/>
                <w:lang w:val="en-US" w:eastAsia="zh-CN" w:bidi="ar"/>
              </w:rPr>
              <w:t>排放标准</w:t>
            </w:r>
            <w:r>
              <w:rPr>
                <w:rFonts w:hint="eastAsia" w:ascii="宋体" w:hAnsi="宋体" w:eastAsia="宋体" w:cs="宋体"/>
                <w:color w:val="000000"/>
                <w:kern w:val="0"/>
                <w:sz w:val="24"/>
                <w:szCs w:val="24"/>
                <w:lang w:val="en-US" w:eastAsia="zh-CN" w:bidi="ar"/>
              </w:rPr>
              <w:t>应执行《四川省水泥工业大气污染物排放标准》（</w:t>
            </w:r>
            <w:r>
              <w:rPr>
                <w:rFonts w:hint="default" w:ascii="Times New Roman" w:hAnsi="Times New Roman" w:eastAsia="宋体" w:cs="Times New Roman"/>
                <w:color w:val="000000"/>
                <w:kern w:val="0"/>
                <w:sz w:val="24"/>
                <w:szCs w:val="24"/>
                <w:lang w:val="en-US" w:eastAsia="zh-CN" w:bidi="ar"/>
              </w:rPr>
              <w:t>DB51/2</w:t>
            </w:r>
            <w:r>
              <w:rPr>
                <w:rFonts w:hint="eastAsia" w:ascii="Times New Roman" w:hAnsi="Times New Roman" w:eastAsia="宋体" w:cs="Times New Roman"/>
                <w:color w:val="000000"/>
                <w:kern w:val="0"/>
                <w:sz w:val="24"/>
                <w:szCs w:val="24"/>
                <w:lang w:val="en-US" w:eastAsia="zh-CN" w:bidi="ar"/>
              </w:rPr>
              <w:t>864</w:t>
            </w:r>
            <w:r>
              <w:rPr>
                <w:rFonts w:hint="default" w:ascii="Times New Roman" w:hAnsi="Times New Roman" w:eastAsia="宋体" w:cs="Times New Roman"/>
                <w:color w:val="000000"/>
                <w:kern w:val="0"/>
                <w:sz w:val="24"/>
                <w:szCs w:val="24"/>
                <w:lang w:val="en-US" w:eastAsia="zh-CN" w:bidi="ar"/>
              </w:rPr>
              <w:t>-202</w:t>
            </w: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）标准要求，其标准值见下表</w:t>
            </w:r>
            <w:r>
              <w:rPr>
                <w:rFonts w:hint="default" w:ascii="Times New Roman" w:hAnsi="Times New Roman" w:eastAsia="宋体" w:cs="Times New Roman"/>
                <w:color w:val="000000"/>
                <w:kern w:val="0"/>
                <w:sz w:val="24"/>
                <w:szCs w:val="24"/>
                <w:lang w:val="en-US" w:eastAsia="zh-CN" w:bidi="ar"/>
              </w:rPr>
              <w:t>3-</w:t>
            </w:r>
            <w:r>
              <w:rPr>
                <w:rFonts w:hint="eastAsia" w:cs="Times New Roman"/>
                <w:color w:val="000000"/>
                <w:kern w:val="0"/>
                <w:sz w:val="24"/>
                <w:szCs w:val="24"/>
                <w:lang w:val="en-US" w:eastAsia="zh-CN" w:bidi="ar"/>
              </w:rPr>
              <w:t>11、3-12</w:t>
            </w:r>
            <w:r>
              <w:rPr>
                <w:rFonts w:hint="eastAsia" w:ascii="宋体" w:hAnsi="宋体" w:cs="宋体"/>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表3-11《四川省水泥工业大气污染物排放标准（有组织）     单位：mg/m</w:t>
            </w:r>
            <w:r>
              <w:rPr>
                <w:rFonts w:hint="eastAsia" w:ascii="宋体" w:hAnsi="宋体" w:eastAsia="宋体" w:cs="宋体"/>
                <w:b/>
                <w:bCs/>
                <w:color w:val="000000"/>
                <w:kern w:val="0"/>
                <w:sz w:val="24"/>
                <w:szCs w:val="24"/>
                <w:vertAlign w:val="superscript"/>
                <w:lang w:val="en-US" w:eastAsia="zh-CN" w:bidi="ar"/>
              </w:rPr>
              <w:t>3</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5"/>
              <w:gridCol w:w="2895"/>
              <w:gridCol w:w="1268"/>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765" w:type="pct"/>
                  <w:noWrap w:val="0"/>
                  <w:vAlign w:val="center"/>
                </w:tcPr>
                <w:p>
                  <w:pPr>
                    <w:jc w:val="center"/>
                    <w:rPr>
                      <w:b/>
                      <w:bCs/>
                      <w:sz w:val="21"/>
                      <w:szCs w:val="21"/>
                    </w:rPr>
                  </w:pPr>
                  <w:r>
                    <w:rPr>
                      <w:b/>
                      <w:bCs/>
                      <w:sz w:val="21"/>
                      <w:szCs w:val="21"/>
                    </w:rPr>
                    <w:t>生产过程</w:t>
                  </w:r>
                </w:p>
              </w:tc>
              <w:tc>
                <w:tcPr>
                  <w:tcW w:w="1723" w:type="pct"/>
                  <w:noWrap w:val="0"/>
                  <w:vAlign w:val="center"/>
                </w:tcPr>
                <w:p>
                  <w:pPr>
                    <w:jc w:val="center"/>
                    <w:rPr>
                      <w:b/>
                      <w:bCs/>
                      <w:sz w:val="21"/>
                      <w:szCs w:val="21"/>
                    </w:rPr>
                  </w:pPr>
                  <w:r>
                    <w:rPr>
                      <w:b/>
                      <w:bCs/>
                      <w:sz w:val="21"/>
                      <w:szCs w:val="21"/>
                    </w:rPr>
                    <w:t>生产设备</w:t>
                  </w:r>
                </w:p>
              </w:tc>
              <w:tc>
                <w:tcPr>
                  <w:tcW w:w="755" w:type="pct"/>
                  <w:noWrap w:val="0"/>
                  <w:vAlign w:val="center"/>
                </w:tcPr>
                <w:p>
                  <w:pPr>
                    <w:jc w:val="center"/>
                    <w:rPr>
                      <w:rFonts w:hint="eastAsia" w:eastAsia="宋体"/>
                      <w:b/>
                      <w:bCs/>
                      <w:sz w:val="21"/>
                      <w:szCs w:val="21"/>
                      <w:lang w:val="en-US" w:eastAsia="zh-CN"/>
                    </w:rPr>
                  </w:pPr>
                  <w:r>
                    <w:rPr>
                      <w:rFonts w:hint="eastAsia"/>
                      <w:b/>
                      <w:bCs/>
                      <w:sz w:val="21"/>
                      <w:szCs w:val="21"/>
                      <w:lang w:val="en-US" w:eastAsia="zh-CN"/>
                    </w:rPr>
                    <w:t>区域</w:t>
                  </w:r>
                </w:p>
              </w:tc>
              <w:tc>
                <w:tcPr>
                  <w:tcW w:w="755" w:type="pct"/>
                  <w:noWrap w:val="0"/>
                  <w:vAlign w:val="center"/>
                </w:tcPr>
                <w:p>
                  <w:pPr>
                    <w:jc w:val="center"/>
                    <w:rPr>
                      <w:b/>
                      <w:bCs/>
                      <w:sz w:val="21"/>
                      <w:szCs w:val="21"/>
                    </w:rPr>
                  </w:pPr>
                  <w:r>
                    <w:rPr>
                      <w:b/>
                      <w:bCs/>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65" w:type="pct"/>
                  <w:noWrap w:val="0"/>
                  <w:vAlign w:val="center"/>
                </w:tcPr>
                <w:p>
                  <w:pPr>
                    <w:jc w:val="center"/>
                    <w:rPr>
                      <w:sz w:val="21"/>
                      <w:szCs w:val="21"/>
                    </w:rPr>
                  </w:pPr>
                  <w:r>
                    <w:rPr>
                      <w:sz w:val="21"/>
                      <w:szCs w:val="21"/>
                    </w:rPr>
                    <w:t>散装水</w:t>
                  </w:r>
                  <w:r>
                    <w:rPr>
                      <w:rFonts w:hint="eastAsia"/>
                      <w:sz w:val="21"/>
                      <w:szCs w:val="21"/>
                    </w:rPr>
                    <w:t>泥</w:t>
                  </w:r>
                  <w:r>
                    <w:rPr>
                      <w:sz w:val="21"/>
                      <w:szCs w:val="21"/>
                    </w:rPr>
                    <w:t>中转站及水泥制品生产</w:t>
                  </w:r>
                </w:p>
              </w:tc>
              <w:tc>
                <w:tcPr>
                  <w:tcW w:w="1723" w:type="pct"/>
                  <w:noWrap w:val="0"/>
                  <w:vAlign w:val="center"/>
                </w:tcPr>
                <w:p>
                  <w:pPr>
                    <w:jc w:val="center"/>
                    <w:rPr>
                      <w:sz w:val="21"/>
                      <w:szCs w:val="21"/>
                    </w:rPr>
                  </w:pPr>
                  <w:r>
                    <w:rPr>
                      <w:sz w:val="21"/>
                      <w:szCs w:val="21"/>
                    </w:rPr>
                    <w:t>水</w:t>
                  </w:r>
                  <w:r>
                    <w:rPr>
                      <w:rFonts w:hint="eastAsia"/>
                      <w:sz w:val="21"/>
                      <w:szCs w:val="21"/>
                    </w:rPr>
                    <w:t>泥</w:t>
                  </w:r>
                  <w:r>
                    <w:rPr>
                      <w:sz w:val="21"/>
                      <w:szCs w:val="21"/>
                    </w:rPr>
                    <w:t>仓及其他通风生产设备</w:t>
                  </w:r>
                </w:p>
              </w:tc>
              <w:tc>
                <w:tcPr>
                  <w:tcW w:w="755" w:type="pct"/>
                  <w:noWrap w:val="0"/>
                  <w:vAlign w:val="center"/>
                </w:tcPr>
                <w:p>
                  <w:pPr>
                    <w:jc w:val="center"/>
                    <w:rPr>
                      <w:rFonts w:hint="default" w:eastAsia="宋体"/>
                      <w:sz w:val="21"/>
                      <w:szCs w:val="21"/>
                      <w:lang w:val="en-US" w:eastAsia="zh-CN"/>
                    </w:rPr>
                  </w:pPr>
                  <w:r>
                    <w:rPr>
                      <w:rFonts w:hint="eastAsia"/>
                      <w:sz w:val="21"/>
                      <w:szCs w:val="21"/>
                      <w:lang w:val="en-US" w:eastAsia="zh-CN"/>
                    </w:rPr>
                    <w:t>四川省全域</w:t>
                  </w:r>
                </w:p>
              </w:tc>
              <w:tc>
                <w:tcPr>
                  <w:tcW w:w="755" w:type="pct"/>
                  <w:noWrap w:val="0"/>
                  <w:vAlign w:val="center"/>
                </w:tcPr>
                <w:p>
                  <w:pPr>
                    <w:jc w:val="center"/>
                    <w:rPr>
                      <w:sz w:val="21"/>
                      <w:szCs w:val="21"/>
                    </w:rPr>
                  </w:pPr>
                  <w:r>
                    <w:rPr>
                      <w:rFonts w:hint="eastAsia"/>
                      <w:sz w:val="21"/>
                      <w:szCs w:val="21"/>
                      <w:lang w:val="en-US" w:eastAsia="zh-CN"/>
                    </w:rPr>
                    <w:t>1</w:t>
                  </w:r>
                  <w:r>
                    <w:rPr>
                      <w:sz w:val="21"/>
                      <w:szCs w:val="21"/>
                    </w:rPr>
                    <w:t>0</w:t>
                  </w:r>
                </w:p>
              </w:tc>
            </w:tr>
          </w:tbl>
          <w:p>
            <w:pPr>
              <w:keepNext w:val="0"/>
              <w:keepLines w:val="0"/>
              <w:pageBreakBefore w:val="0"/>
              <w:widowControl w:val="0"/>
              <w:tabs>
                <w:tab w:val="left" w:pos="2520"/>
                <w:tab w:val="center" w:pos="4437"/>
              </w:tabs>
              <w:kinsoku/>
              <w:wordWrap/>
              <w:overflowPunct/>
              <w:topLinePunct w:val="0"/>
              <w:autoSpaceDE/>
              <w:autoSpaceDN/>
              <w:bidi w:val="0"/>
              <w:adjustRightInd w:val="0"/>
              <w:snapToGrid w:val="0"/>
              <w:spacing w:before="157" w:beforeLines="50" w:line="360" w:lineRule="auto"/>
              <w:jc w:val="center"/>
              <w:textAlignment w:val="auto"/>
            </w:pPr>
            <w:r>
              <w:rPr>
                <w:rFonts w:hint="eastAsia" w:ascii="宋体" w:hAnsi="宋体" w:eastAsia="宋体" w:cs="宋体"/>
                <w:b/>
                <w:bCs/>
                <w:color w:val="000000"/>
                <w:kern w:val="0"/>
                <w:sz w:val="24"/>
                <w:szCs w:val="24"/>
                <w:lang w:val="en-US" w:eastAsia="zh-CN" w:bidi="ar"/>
              </w:rPr>
              <w:t>表3-12《四川省水泥工业大气污染物排放标准（无组织）     单位：mg/m</w:t>
            </w:r>
            <w:r>
              <w:rPr>
                <w:rFonts w:hint="eastAsia" w:ascii="宋体" w:hAnsi="宋体" w:eastAsia="宋体" w:cs="宋体"/>
                <w:b/>
                <w:bCs/>
                <w:color w:val="000000"/>
                <w:kern w:val="0"/>
                <w:sz w:val="24"/>
                <w:szCs w:val="24"/>
                <w:vertAlign w:val="superscript"/>
                <w:lang w:val="en-US" w:eastAsia="zh-CN" w:bidi="ar"/>
              </w:rPr>
              <w:t>3</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253"/>
              <w:gridCol w:w="3059"/>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noWrap w:val="0"/>
                  <w:vAlign w:val="center"/>
                </w:tcPr>
                <w:p>
                  <w:pPr>
                    <w:adjustRightInd w:val="0"/>
                    <w:snapToGrid w:val="0"/>
                    <w:jc w:val="center"/>
                    <w:rPr>
                      <w:b/>
                      <w:bCs/>
                      <w:spacing w:val="5"/>
                      <w:sz w:val="21"/>
                      <w:szCs w:val="21"/>
                    </w:rPr>
                  </w:pPr>
                  <w:r>
                    <w:rPr>
                      <w:b/>
                      <w:bCs/>
                      <w:spacing w:val="5"/>
                      <w:sz w:val="21"/>
                      <w:szCs w:val="21"/>
                    </w:rPr>
                    <w:t>污染物</w:t>
                  </w:r>
                </w:p>
              </w:tc>
              <w:tc>
                <w:tcPr>
                  <w:tcW w:w="746" w:type="pct"/>
                  <w:noWrap w:val="0"/>
                  <w:vAlign w:val="center"/>
                </w:tcPr>
                <w:p>
                  <w:pPr>
                    <w:adjustRightInd w:val="0"/>
                    <w:snapToGrid w:val="0"/>
                    <w:jc w:val="center"/>
                    <w:rPr>
                      <w:b/>
                      <w:bCs/>
                      <w:spacing w:val="5"/>
                      <w:sz w:val="21"/>
                      <w:szCs w:val="21"/>
                    </w:rPr>
                  </w:pPr>
                  <w:r>
                    <w:rPr>
                      <w:b/>
                      <w:bCs/>
                      <w:sz w:val="21"/>
                      <w:szCs w:val="21"/>
                    </w:rPr>
                    <w:t>限值</w:t>
                  </w:r>
                </w:p>
              </w:tc>
              <w:tc>
                <w:tcPr>
                  <w:tcW w:w="1821" w:type="pct"/>
                  <w:noWrap w:val="0"/>
                  <w:vAlign w:val="center"/>
                </w:tcPr>
                <w:p>
                  <w:pPr>
                    <w:adjustRightInd w:val="0"/>
                    <w:snapToGrid w:val="0"/>
                    <w:jc w:val="center"/>
                    <w:rPr>
                      <w:b/>
                      <w:bCs/>
                      <w:spacing w:val="5"/>
                      <w:sz w:val="21"/>
                      <w:szCs w:val="21"/>
                    </w:rPr>
                  </w:pPr>
                  <w:r>
                    <w:rPr>
                      <w:b/>
                      <w:bCs/>
                      <w:sz w:val="21"/>
                      <w:szCs w:val="21"/>
                    </w:rPr>
                    <w:t>限值含义</w:t>
                  </w:r>
                </w:p>
              </w:tc>
              <w:tc>
                <w:tcPr>
                  <w:tcW w:w="1765" w:type="pct"/>
                  <w:noWrap w:val="0"/>
                  <w:vAlign w:val="center"/>
                </w:tcPr>
                <w:p>
                  <w:pPr>
                    <w:adjustRightInd w:val="0"/>
                    <w:snapToGrid w:val="0"/>
                    <w:jc w:val="center"/>
                    <w:rPr>
                      <w:b/>
                      <w:bCs/>
                      <w:sz w:val="21"/>
                      <w:szCs w:val="21"/>
                    </w:rPr>
                  </w:pPr>
                  <w:r>
                    <w:rPr>
                      <w:b/>
                      <w:bCs/>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noWrap w:val="0"/>
                  <w:vAlign w:val="center"/>
                </w:tcPr>
                <w:p>
                  <w:pPr>
                    <w:adjustRightInd w:val="0"/>
                    <w:snapToGrid w:val="0"/>
                    <w:jc w:val="center"/>
                    <w:rPr>
                      <w:spacing w:val="5"/>
                      <w:sz w:val="21"/>
                      <w:szCs w:val="21"/>
                    </w:rPr>
                  </w:pPr>
                  <w:r>
                    <w:rPr>
                      <w:spacing w:val="5"/>
                      <w:sz w:val="21"/>
                      <w:szCs w:val="21"/>
                    </w:rPr>
                    <w:t>颗粒物</w:t>
                  </w:r>
                </w:p>
              </w:tc>
              <w:tc>
                <w:tcPr>
                  <w:tcW w:w="746" w:type="pct"/>
                  <w:noWrap w:val="0"/>
                  <w:vAlign w:val="center"/>
                </w:tcPr>
                <w:p>
                  <w:pPr>
                    <w:adjustRightInd w:val="0"/>
                    <w:snapToGrid w:val="0"/>
                    <w:jc w:val="center"/>
                    <w:rPr>
                      <w:rFonts w:hint="default" w:eastAsia="宋体"/>
                      <w:spacing w:val="5"/>
                      <w:sz w:val="21"/>
                      <w:szCs w:val="21"/>
                      <w:lang w:val="en-US" w:eastAsia="zh-CN"/>
                    </w:rPr>
                  </w:pPr>
                  <w:r>
                    <w:rPr>
                      <w:rFonts w:hint="eastAsia"/>
                      <w:spacing w:val="5"/>
                      <w:sz w:val="21"/>
                      <w:szCs w:val="21"/>
                      <w:lang w:val="en-US" w:eastAsia="zh-CN"/>
                    </w:rPr>
                    <w:t>1.0</w:t>
                  </w:r>
                </w:p>
              </w:tc>
              <w:tc>
                <w:tcPr>
                  <w:tcW w:w="1821" w:type="pct"/>
                  <w:noWrap w:val="0"/>
                  <w:vAlign w:val="center"/>
                </w:tcPr>
                <w:p>
                  <w:pPr>
                    <w:adjustRightInd w:val="0"/>
                    <w:snapToGrid w:val="0"/>
                    <w:jc w:val="center"/>
                    <w:rPr>
                      <w:rFonts w:hint="default" w:eastAsia="宋体"/>
                      <w:spacing w:val="5"/>
                      <w:sz w:val="21"/>
                      <w:szCs w:val="21"/>
                      <w:lang w:val="en-US" w:eastAsia="zh-CN"/>
                    </w:rPr>
                  </w:pPr>
                  <w:r>
                    <w:rPr>
                      <w:spacing w:val="5"/>
                      <w:sz w:val="21"/>
                      <w:szCs w:val="21"/>
                    </w:rPr>
                    <w:t>监控点</w:t>
                  </w:r>
                  <w:r>
                    <w:rPr>
                      <w:rFonts w:hint="eastAsia"/>
                      <w:spacing w:val="5"/>
                      <w:sz w:val="21"/>
                      <w:szCs w:val="21"/>
                      <w:lang w:val="en-US" w:eastAsia="zh-CN"/>
                    </w:rPr>
                    <w:t>处</w:t>
                  </w:r>
                  <w:r>
                    <w:rPr>
                      <w:spacing w:val="5"/>
                      <w:sz w:val="21"/>
                      <w:szCs w:val="21"/>
                    </w:rPr>
                    <w:t>1小时</w:t>
                  </w:r>
                  <w:r>
                    <w:rPr>
                      <w:rFonts w:hint="eastAsia"/>
                      <w:spacing w:val="5"/>
                      <w:sz w:val="21"/>
                      <w:szCs w:val="21"/>
                      <w:lang w:val="en-US" w:eastAsia="zh-CN"/>
                    </w:rPr>
                    <w:t>平均浓度值</w:t>
                  </w:r>
                </w:p>
              </w:tc>
              <w:tc>
                <w:tcPr>
                  <w:tcW w:w="1765" w:type="pct"/>
                  <w:noWrap w:val="0"/>
                  <w:vAlign w:val="center"/>
                </w:tcPr>
                <w:p>
                  <w:pPr>
                    <w:adjustRightInd w:val="0"/>
                    <w:snapToGrid w:val="0"/>
                    <w:jc w:val="center"/>
                    <w:rPr>
                      <w:rFonts w:hint="default" w:eastAsia="宋体"/>
                      <w:spacing w:val="5"/>
                      <w:sz w:val="21"/>
                      <w:szCs w:val="21"/>
                      <w:lang w:val="en-US" w:eastAsia="zh-CN"/>
                    </w:rPr>
                  </w:pPr>
                  <w:r>
                    <w:rPr>
                      <w:rFonts w:hint="eastAsia"/>
                      <w:spacing w:val="5"/>
                      <w:sz w:val="21"/>
                      <w:szCs w:val="21"/>
                      <w:lang w:val="en-US" w:eastAsia="zh-CN"/>
                    </w:rPr>
                    <w:t>在厂房外设置监控点</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食堂油烟排放标准执行《饮食业油烟排放标准》（</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eastAsia="宋体" w:cs="宋体"/>
                <w:color w:val="000000"/>
                <w:kern w:val="0"/>
                <w:sz w:val="24"/>
                <w:szCs w:val="24"/>
                <w:lang w:val="en-US" w:eastAsia="zh-CN" w:bidi="ar"/>
              </w:rPr>
              <w:t>）中表</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中排放监控浓度限值，最高允许排放浓度</w:t>
            </w:r>
            <w:r>
              <w:rPr>
                <w:rFonts w:hint="default" w:ascii="Times New Roman" w:hAnsi="Times New Roman" w:eastAsia="宋体" w:cs="Times New Roman"/>
                <w:color w:val="000000"/>
                <w:kern w:val="0"/>
                <w:sz w:val="24"/>
                <w:szCs w:val="24"/>
                <w:lang w:val="en-US" w:eastAsia="zh-CN" w:bidi="ar"/>
              </w:rPr>
              <w:t>≤2.0mg/m</w:t>
            </w:r>
            <w:r>
              <w:rPr>
                <w:rFonts w:hint="eastAsia"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240" w:lineRule="auto"/>
              <w:ind w:firstLine="482" w:firstLineChars="200"/>
              <w:jc w:val="center"/>
              <w:rPr>
                <w:rFonts w:hint="default"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eastAsia="宋体"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13</w:t>
            </w:r>
            <w:r>
              <w:rPr>
                <w:rFonts w:hint="eastAsia" w:ascii="宋体" w:hAnsi="宋体" w:eastAsia="宋体" w:cs="宋体"/>
                <w:b/>
                <w:bCs/>
                <w:color w:val="000000"/>
                <w:kern w:val="0"/>
                <w:sz w:val="24"/>
                <w:szCs w:val="24"/>
                <w:lang w:val="en-US" w:eastAsia="zh-CN" w:bidi="ar"/>
              </w:rPr>
              <w:t>饮食业单位的油烟最高允许排放浓度</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0"/>
              <w:gridCol w:w="1607"/>
              <w:gridCol w:w="1671"/>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0" w:type="dxa"/>
                  <w:noWrap w:val="0"/>
                  <w:vAlign w:val="center"/>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规模</w:t>
                  </w:r>
                </w:p>
              </w:tc>
              <w:tc>
                <w:tcPr>
                  <w:tcW w:w="1607" w:type="dxa"/>
                  <w:noWrap w:val="0"/>
                  <w:vAlign w:val="center"/>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小型</w:t>
                  </w:r>
                </w:p>
              </w:tc>
              <w:tc>
                <w:tcPr>
                  <w:tcW w:w="1671" w:type="dxa"/>
                  <w:noWrap w:val="0"/>
                  <w:vAlign w:val="center"/>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中型</w:t>
                  </w:r>
                </w:p>
              </w:tc>
              <w:tc>
                <w:tcPr>
                  <w:tcW w:w="1586" w:type="dxa"/>
                  <w:noWrap w:val="0"/>
                  <w:vAlign w:val="center"/>
                </w:tcPr>
                <w:p>
                  <w:pPr>
                    <w:keepNext w:val="0"/>
                    <w:keepLines w:val="0"/>
                    <w:widowControl/>
                    <w:suppressLineNumbers w:val="0"/>
                    <w:spacing w:line="240" w:lineRule="auto"/>
                    <w:jc w:val="center"/>
                    <w:rPr>
                      <w:rFonts w:hint="eastAsia" w:ascii="宋体" w:hAnsi="宋体" w:eastAsia="宋体" w:cs="宋体"/>
                      <w:b/>
                      <w:bCs/>
                      <w:color w:val="000000"/>
                      <w:kern w:val="0"/>
                      <w:sz w:val="21"/>
                      <w:szCs w:val="21"/>
                      <w:vertAlign w:val="baseline"/>
                      <w:lang w:val="en-US" w:eastAsia="zh-CN" w:bidi="ar"/>
                    </w:rPr>
                  </w:pPr>
                  <w:r>
                    <w:rPr>
                      <w:rFonts w:hint="eastAsia" w:ascii="宋体" w:hAnsi="宋体" w:eastAsia="宋体" w:cs="宋体"/>
                      <w:b/>
                      <w:bCs/>
                      <w:color w:val="000000"/>
                      <w:kern w:val="0"/>
                      <w:sz w:val="21"/>
                      <w:szCs w:val="21"/>
                      <w:vertAlign w:val="baseline"/>
                      <w:lang w:val="en-US" w:eastAsia="zh-CN" w:bidi="ar"/>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0" w:type="dxa"/>
                  <w:noWrap w:val="0"/>
                  <w:vAlign w:val="center"/>
                </w:tcPr>
                <w:p>
                  <w:pPr>
                    <w:keepNext w:val="0"/>
                    <w:keepLines w:val="0"/>
                    <w:widowControl/>
                    <w:suppressLineNumbers w:val="0"/>
                    <w:spacing w:line="240" w:lineRule="auto"/>
                    <w:jc w:val="center"/>
                    <w:rPr>
                      <w:rFonts w:hint="eastAsia" w:ascii="宋体" w:hAnsi="宋体" w:eastAsia="宋体" w:cs="宋体"/>
                      <w:color w:val="000000"/>
                      <w:kern w:val="0"/>
                      <w:sz w:val="21"/>
                      <w:szCs w:val="21"/>
                      <w:vertAlign w:val="baseline"/>
                      <w:lang w:val="en-US" w:eastAsia="zh-CN" w:bidi="ar"/>
                    </w:rPr>
                  </w:pPr>
                  <w:r>
                    <w:rPr>
                      <w:rFonts w:hint="eastAsia" w:ascii="宋体" w:hAnsi="宋体" w:eastAsia="宋体" w:cs="宋体"/>
                      <w:color w:val="000000"/>
                      <w:kern w:val="0"/>
                      <w:sz w:val="21"/>
                      <w:szCs w:val="21"/>
                      <w:vertAlign w:val="baseline"/>
                      <w:lang w:val="en-US" w:eastAsia="zh-CN" w:bidi="ar"/>
                    </w:rPr>
                    <w:t>最高允许排放浓度（</w:t>
                  </w:r>
                  <w:r>
                    <w:rPr>
                      <w:rFonts w:hint="default" w:ascii="Times New Roman" w:hAnsi="Times New Roman" w:eastAsia="宋体" w:cs="Times New Roman"/>
                      <w:color w:val="000000"/>
                      <w:kern w:val="0"/>
                      <w:sz w:val="21"/>
                      <w:szCs w:val="21"/>
                      <w:vertAlign w:val="baseline"/>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r>
                    <w:rPr>
                      <w:rFonts w:hint="eastAsia" w:ascii="宋体" w:hAnsi="宋体" w:eastAsia="宋体" w:cs="宋体"/>
                      <w:color w:val="000000"/>
                      <w:kern w:val="0"/>
                      <w:sz w:val="21"/>
                      <w:szCs w:val="21"/>
                      <w:vertAlign w:val="baseline"/>
                      <w:lang w:val="en-US" w:eastAsia="zh-CN" w:bidi="ar"/>
                    </w:rPr>
                    <w:t>）</w:t>
                  </w:r>
                </w:p>
              </w:tc>
              <w:tc>
                <w:tcPr>
                  <w:tcW w:w="4864" w:type="dxa"/>
                  <w:gridSpan w:val="3"/>
                  <w:noWrap w:val="0"/>
                  <w:vAlign w:val="center"/>
                </w:tcPr>
                <w:p>
                  <w:pPr>
                    <w:keepNext w:val="0"/>
                    <w:keepLines w:val="0"/>
                    <w:widowControl/>
                    <w:suppressLineNumbers w:val="0"/>
                    <w:spacing w:line="240" w:lineRule="auto"/>
                    <w:jc w:val="center"/>
                    <w:rPr>
                      <w:rFonts w:hint="default" w:ascii="宋体" w:hAnsi="宋体" w:eastAsia="宋体" w:cs="宋体"/>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2</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jc w:val="left"/>
              <w:textAlignment w:val="auto"/>
              <w:rPr>
                <w:rFonts w:hint="eastAsia" w:ascii="宋体" w:hAnsi="宋体" w:cs="宋体"/>
                <w:b/>
                <w:bCs/>
                <w:kern w:val="0"/>
                <w:sz w:val="24"/>
                <w:szCs w:val="24"/>
                <w:lang w:eastAsia="zh-CN"/>
              </w:rPr>
            </w:pPr>
            <w:r>
              <w:rPr>
                <w:rFonts w:hint="eastAsia" w:ascii="宋体" w:hAnsi="宋体" w:cs="宋体"/>
                <w:b/>
                <w:bCs/>
                <w:kern w:val="0"/>
                <w:sz w:val="24"/>
                <w:szCs w:val="24"/>
                <w:lang w:eastAsia="zh-CN"/>
              </w:rPr>
              <w:t>二、废水排放标准</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本项目不涉及生产废水排放。生活污水经污水预处理池处理后（食堂废水增加隔油池）进入园区污水管网，执行《污水综合排放标准》（</w:t>
            </w:r>
            <w:r>
              <w:rPr>
                <w:rFonts w:hint="default" w:ascii="Times New Roman" w:hAnsi="Times New Roman" w:eastAsia="宋体" w:cs="Times New Roman"/>
                <w:color w:val="000000"/>
                <w:kern w:val="0"/>
                <w:sz w:val="24"/>
                <w:szCs w:val="24"/>
                <w:lang w:val="en-US" w:eastAsia="zh-CN" w:bidi="ar"/>
              </w:rPr>
              <w:t>GB8978-1996</w:t>
            </w:r>
            <w:r>
              <w:rPr>
                <w:rFonts w:hint="eastAsia" w:ascii="宋体" w:hAnsi="宋体" w:eastAsia="宋体" w:cs="宋体"/>
                <w:color w:val="000000"/>
                <w:kern w:val="0"/>
                <w:sz w:val="24"/>
                <w:szCs w:val="24"/>
                <w:lang w:val="en-US" w:eastAsia="zh-CN" w:bidi="ar"/>
              </w:rPr>
              <w:t>）中三级标准，其标准值见下表。</w:t>
            </w:r>
          </w:p>
          <w:p>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cs="Times New Roman"/>
                <w:b/>
                <w:bCs/>
                <w:color w:val="000000"/>
                <w:kern w:val="0"/>
                <w:sz w:val="24"/>
                <w:szCs w:val="24"/>
                <w:lang w:val="en-US" w:eastAsia="zh-CN" w:bidi="ar"/>
              </w:rPr>
              <w:t>3-</w:t>
            </w:r>
            <w:r>
              <w:rPr>
                <w:rFonts w:hint="eastAsia" w:cs="Times New Roman"/>
                <w:b/>
                <w:bCs/>
                <w:color w:val="000000"/>
                <w:kern w:val="0"/>
                <w:sz w:val="24"/>
                <w:szCs w:val="24"/>
                <w:lang w:val="en-US" w:eastAsia="zh-CN" w:bidi="ar"/>
              </w:rPr>
              <w:t>14</w:t>
            </w:r>
            <w:r>
              <w:rPr>
                <w:rFonts w:hint="eastAsia" w:ascii="宋体" w:hAnsi="宋体" w:eastAsia="宋体" w:cs="宋体"/>
                <w:b/>
                <w:bCs/>
                <w:color w:val="000000"/>
                <w:kern w:val="0"/>
                <w:sz w:val="24"/>
                <w:szCs w:val="24"/>
                <w:lang w:val="en-US" w:eastAsia="zh-CN" w:bidi="ar"/>
              </w:rPr>
              <w:t>《污水综合排放标准》（</w:t>
            </w:r>
            <w:r>
              <w:rPr>
                <w:rFonts w:hint="default" w:ascii="Times New Roman" w:hAnsi="Times New Roman" w:eastAsia="宋体" w:cs="Times New Roman"/>
                <w:b/>
                <w:bCs/>
                <w:color w:val="000000"/>
                <w:kern w:val="0"/>
                <w:sz w:val="24"/>
                <w:szCs w:val="24"/>
                <w:lang w:val="en-US" w:eastAsia="zh-CN" w:bidi="ar"/>
              </w:rPr>
              <w:t>GB8978-1996</w:t>
            </w:r>
            <w:r>
              <w:rPr>
                <w:rFonts w:hint="eastAsia" w:ascii="宋体" w:hAnsi="宋体" w:eastAsia="宋体" w:cs="宋体"/>
                <w:b/>
                <w:bCs/>
                <w:color w:val="000000"/>
                <w:kern w:val="0"/>
                <w:sz w:val="24"/>
                <w:szCs w:val="24"/>
                <w:lang w:val="en-US" w:eastAsia="zh-CN" w:bidi="ar"/>
              </w:rPr>
              <w:t>）单位：</w:t>
            </w:r>
            <w:r>
              <w:rPr>
                <w:rFonts w:hint="default" w:ascii="Times New Roman" w:hAnsi="Times New Roman" w:eastAsia="宋体" w:cs="Times New Roman"/>
                <w:b/>
                <w:bCs/>
                <w:color w:val="000000"/>
                <w:kern w:val="0"/>
                <w:sz w:val="24"/>
                <w:szCs w:val="24"/>
                <w:lang w:val="en-US" w:eastAsia="zh-CN" w:bidi="ar"/>
              </w:rPr>
              <w:t>mg/L</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29"/>
              <w:gridCol w:w="1329"/>
              <w:gridCol w:w="1329"/>
              <w:gridCol w:w="132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noWrap w:val="0"/>
                  <w:vAlign w:val="center"/>
                </w:tcPr>
                <w:p>
                  <w:pPr>
                    <w:widowControl w:val="0"/>
                    <w:numPr>
                      <w:ilvl w:val="0"/>
                      <w:numId w:val="0"/>
                    </w:numPr>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污染物</w:t>
                  </w:r>
                </w:p>
              </w:tc>
              <w:tc>
                <w:tcPr>
                  <w:tcW w:w="1329" w:type="dxa"/>
                  <w:noWrap w:val="0"/>
                  <w:vAlign w:val="center"/>
                </w:tcPr>
                <w:p>
                  <w:pPr>
                    <w:widowControl w:val="0"/>
                    <w:numPr>
                      <w:ilvl w:val="0"/>
                      <w:numId w:val="0"/>
                    </w:numPr>
                    <w:adjustRightInd w:val="0"/>
                    <w:snapToGrid w:val="0"/>
                    <w:spacing w:line="240" w:lineRule="auto"/>
                    <w:jc w:val="center"/>
                    <w:rPr>
                      <w:rFonts w:hint="default" w:ascii="宋体" w:hAnsi="宋体" w:cs="宋体"/>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pH</w:t>
                  </w:r>
                </w:p>
              </w:tc>
              <w:tc>
                <w:tcPr>
                  <w:tcW w:w="1329" w:type="dxa"/>
                  <w:noWrap w:val="0"/>
                  <w:vAlign w:val="center"/>
                </w:tcPr>
                <w:p>
                  <w:pPr>
                    <w:widowControl w:val="0"/>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COD</w:t>
                  </w:r>
                </w:p>
              </w:tc>
              <w:tc>
                <w:tcPr>
                  <w:tcW w:w="1329" w:type="dxa"/>
                  <w:noWrap w:val="0"/>
                  <w:vAlign w:val="center"/>
                </w:tcPr>
                <w:p>
                  <w:pPr>
                    <w:widowControl w:val="0"/>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BOD5</w:t>
                  </w:r>
                </w:p>
              </w:tc>
              <w:tc>
                <w:tcPr>
                  <w:tcW w:w="1329" w:type="dxa"/>
                  <w:noWrap w:val="0"/>
                  <w:vAlign w:val="center"/>
                </w:tcPr>
                <w:p>
                  <w:pPr>
                    <w:widowControl w:val="0"/>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SS</w:t>
                  </w:r>
                </w:p>
              </w:tc>
              <w:tc>
                <w:tcPr>
                  <w:tcW w:w="1329" w:type="dxa"/>
                  <w:noWrap w:val="0"/>
                  <w:vAlign w:val="center"/>
                </w:tcPr>
                <w:p>
                  <w:pPr>
                    <w:widowControl w:val="0"/>
                    <w:numPr>
                      <w:ilvl w:val="0"/>
                      <w:numId w:val="0"/>
                    </w:numPr>
                    <w:adjustRightInd w:val="0"/>
                    <w:snapToGrid w:val="0"/>
                    <w:spacing w:line="240" w:lineRule="auto"/>
                    <w:jc w:val="center"/>
                    <w:rPr>
                      <w:rFonts w:hint="eastAsia" w:ascii="宋体" w:hAnsi="宋体" w:cs="宋体"/>
                      <w:b/>
                      <w:bCs/>
                      <w:kern w:val="0"/>
                      <w:sz w:val="21"/>
                      <w:szCs w:val="21"/>
                      <w:vertAlign w:val="baseline"/>
                      <w:lang w:eastAsia="zh-CN"/>
                    </w:rPr>
                  </w:pPr>
                  <w:r>
                    <w:rPr>
                      <w:rFonts w:hint="eastAsia" w:ascii="宋体" w:hAnsi="宋体" w:cs="宋体"/>
                      <w:b/>
                      <w:bCs/>
                      <w:kern w:val="0"/>
                      <w:sz w:val="21"/>
                      <w:szCs w:val="21"/>
                      <w:vertAlign w:val="baseline"/>
                      <w:lang w:eastAsia="zh-CN"/>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noWrap w:val="0"/>
                  <w:vAlign w:val="center"/>
                </w:tcPr>
                <w:p>
                  <w:pPr>
                    <w:widowControl w:val="0"/>
                    <w:numPr>
                      <w:ilvl w:val="0"/>
                      <w:numId w:val="0"/>
                    </w:numPr>
                    <w:adjustRightInd w:val="0"/>
                    <w:snapToGrid w:val="0"/>
                    <w:spacing w:line="240" w:lineRule="auto"/>
                    <w:jc w:val="center"/>
                    <w:rPr>
                      <w:rFonts w:hint="eastAsia" w:ascii="宋体" w:hAnsi="宋体" w:cs="宋体"/>
                      <w:kern w:val="0"/>
                      <w:sz w:val="21"/>
                      <w:szCs w:val="21"/>
                      <w:vertAlign w:val="baseline"/>
                      <w:lang w:eastAsia="zh-CN"/>
                    </w:rPr>
                  </w:pPr>
                  <w:r>
                    <w:rPr>
                      <w:rFonts w:hint="eastAsia" w:ascii="宋体" w:hAnsi="宋体" w:cs="宋体"/>
                      <w:kern w:val="0"/>
                      <w:sz w:val="21"/>
                      <w:szCs w:val="21"/>
                      <w:vertAlign w:val="baseline"/>
                      <w:lang w:eastAsia="zh-CN"/>
                    </w:rPr>
                    <w:t>三级标准</w:t>
                  </w:r>
                </w:p>
              </w:tc>
              <w:tc>
                <w:tcPr>
                  <w:tcW w:w="1329" w:type="dxa"/>
                  <w:noWrap w:val="0"/>
                  <w:vAlign w:val="center"/>
                </w:tcPr>
                <w:p>
                  <w:pPr>
                    <w:widowControl w:val="0"/>
                    <w:numPr>
                      <w:ilvl w:val="0"/>
                      <w:numId w:val="0"/>
                    </w:numPr>
                    <w:adjustRightInd w:val="0"/>
                    <w:snapToGrid w:val="0"/>
                    <w:spacing w:line="240" w:lineRule="auto"/>
                    <w:jc w:val="center"/>
                    <w:rPr>
                      <w:rFonts w:hint="default" w:ascii="宋体" w:hAnsi="宋体" w:cs="宋体"/>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w:t>
                  </w:r>
                  <w:r>
                    <w:rPr>
                      <w:rFonts w:hint="eastAsia" w:ascii="Times New Roman" w:hAnsi="Times New Roman" w:cs="Times New Roman"/>
                      <w:kern w:val="0"/>
                      <w:sz w:val="21"/>
                      <w:szCs w:val="21"/>
                      <w:vertAlign w:val="baseline"/>
                      <w:lang w:val="en-US" w:eastAsia="zh-CN"/>
                    </w:rPr>
                    <w:t>-</w:t>
                  </w:r>
                  <w:r>
                    <w:rPr>
                      <w:rFonts w:hint="default" w:ascii="Times New Roman" w:hAnsi="Times New Roman" w:cs="Times New Roman"/>
                      <w:kern w:val="0"/>
                      <w:sz w:val="21"/>
                      <w:szCs w:val="21"/>
                      <w:vertAlign w:val="baseline"/>
                      <w:lang w:val="en-US" w:eastAsia="zh-CN"/>
                    </w:rPr>
                    <w:t>9</w:t>
                  </w:r>
                </w:p>
              </w:tc>
              <w:tc>
                <w:tcPr>
                  <w:tcW w:w="1329" w:type="dxa"/>
                  <w:noWrap w:val="0"/>
                  <w:vAlign w:val="center"/>
                </w:tcPr>
                <w:p>
                  <w:pPr>
                    <w:widowControl w:val="0"/>
                    <w:numPr>
                      <w:ilvl w:val="0"/>
                      <w:numId w:val="0"/>
                    </w:num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500</w:t>
                  </w:r>
                </w:p>
              </w:tc>
              <w:tc>
                <w:tcPr>
                  <w:tcW w:w="1329" w:type="dxa"/>
                  <w:noWrap w:val="0"/>
                  <w:vAlign w:val="center"/>
                </w:tcPr>
                <w:p>
                  <w:pPr>
                    <w:widowControl w:val="0"/>
                    <w:numPr>
                      <w:ilvl w:val="0"/>
                      <w:numId w:val="0"/>
                    </w:numPr>
                    <w:adjustRightInd w:val="0"/>
                    <w:snapToGrid w:val="0"/>
                    <w:spacing w:line="240" w:lineRule="auto"/>
                    <w:jc w:val="center"/>
                    <w:rPr>
                      <w:rFonts w:hint="default" w:ascii="Times New Roman" w:hAnsi="Times New Roman"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300</w:t>
                  </w:r>
                </w:p>
              </w:tc>
              <w:tc>
                <w:tcPr>
                  <w:tcW w:w="1329" w:type="dxa"/>
                  <w:noWrap w:val="0"/>
                  <w:vAlign w:val="center"/>
                </w:tcPr>
                <w:p>
                  <w:pPr>
                    <w:widowControl w:val="0"/>
                    <w:numPr>
                      <w:ilvl w:val="0"/>
                      <w:numId w:val="0"/>
                    </w:numPr>
                    <w:adjustRightInd w:val="0"/>
                    <w:snapToGrid w:val="0"/>
                    <w:spacing w:line="240" w:lineRule="auto"/>
                    <w:jc w:val="center"/>
                    <w:rPr>
                      <w:rFonts w:hint="default" w:ascii="宋体" w:hAnsi="宋体" w:cs="宋体"/>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400</w:t>
                  </w:r>
                </w:p>
              </w:tc>
              <w:tc>
                <w:tcPr>
                  <w:tcW w:w="1329" w:type="dxa"/>
                  <w:noWrap w:val="0"/>
                  <w:vAlign w:val="center"/>
                </w:tcPr>
                <w:p>
                  <w:pPr>
                    <w:widowControl w:val="0"/>
                    <w:numPr>
                      <w:ilvl w:val="0"/>
                      <w:numId w:val="0"/>
                    </w:numPr>
                    <w:adjustRightInd w:val="0"/>
                    <w:snapToGrid w:val="0"/>
                    <w:spacing w:line="240" w:lineRule="auto"/>
                    <w:jc w:val="center"/>
                    <w:rPr>
                      <w:rFonts w:hint="default" w:ascii="宋体" w:hAnsi="宋体" w:cs="宋体"/>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9" w:type="dxa"/>
                  <w:noWrap w:val="0"/>
                  <w:vAlign w:val="center"/>
                </w:tcPr>
                <w:p>
                  <w:pPr>
                    <w:widowControl w:val="0"/>
                    <w:numPr>
                      <w:ilvl w:val="0"/>
                      <w:numId w:val="0"/>
                    </w:numPr>
                    <w:adjustRightInd w:val="0"/>
                    <w:snapToGrid w:val="0"/>
                    <w:spacing w:line="240" w:lineRule="auto"/>
                    <w:jc w:val="center"/>
                    <w:rPr>
                      <w:rFonts w:hint="eastAsia" w:ascii="宋体" w:hAnsi="宋体" w:cs="宋体"/>
                      <w:kern w:val="0"/>
                      <w:sz w:val="21"/>
                      <w:szCs w:val="21"/>
                      <w:vertAlign w:val="baseline"/>
                      <w:lang w:eastAsia="zh-CN"/>
                    </w:rPr>
                  </w:pPr>
                  <w:r>
                    <w:rPr>
                      <w:rFonts w:hint="eastAsia" w:ascii="宋体" w:hAnsi="宋体" w:cs="宋体"/>
                      <w:kern w:val="0"/>
                      <w:sz w:val="21"/>
                      <w:szCs w:val="21"/>
                      <w:vertAlign w:val="baseline"/>
                      <w:lang w:eastAsia="zh-CN"/>
                    </w:rPr>
                    <w:t>备注</w:t>
                  </w:r>
                </w:p>
              </w:tc>
              <w:tc>
                <w:tcPr>
                  <w:tcW w:w="6645" w:type="dxa"/>
                  <w:gridSpan w:val="5"/>
                  <w:noWrap w:val="0"/>
                  <w:vAlign w:val="center"/>
                </w:tcPr>
                <w:p>
                  <w:pPr>
                    <w:keepNext w:val="0"/>
                    <w:keepLines w:val="0"/>
                    <w:widowControl/>
                    <w:suppressLineNumbers w:val="0"/>
                    <w:spacing w:line="240" w:lineRule="auto"/>
                    <w:jc w:val="center"/>
                    <w:rPr>
                      <w:rFonts w:hint="eastAsia" w:ascii="宋体" w:hAnsi="宋体" w:cs="宋体"/>
                      <w:kern w:val="0"/>
                      <w:sz w:val="21"/>
                      <w:szCs w:val="21"/>
                      <w:vertAlign w:val="baseline"/>
                      <w:lang w:eastAsia="zh-CN"/>
                    </w:rPr>
                  </w:pPr>
                  <w:r>
                    <w:rPr>
                      <w:rFonts w:hint="eastAsia" w:ascii="宋体" w:hAnsi="宋体" w:eastAsia="宋体" w:cs="宋体"/>
                      <w:color w:val="000000"/>
                      <w:kern w:val="0"/>
                      <w:sz w:val="21"/>
                      <w:szCs w:val="21"/>
                      <w:lang w:val="en-US" w:eastAsia="zh-CN" w:bidi="ar"/>
                    </w:rPr>
                    <w:t>《污水综合排放标准》</w:t>
                  </w:r>
                  <w:r>
                    <w:rPr>
                      <w:rFonts w:hint="default" w:ascii="Times New Roman" w:hAnsi="Times New Roman" w:eastAsia="宋体" w:cs="Times New Roman"/>
                      <w:color w:val="000000"/>
                      <w:kern w:val="0"/>
                      <w:sz w:val="21"/>
                      <w:szCs w:val="21"/>
                      <w:lang w:val="en-US" w:eastAsia="zh-CN" w:bidi="ar"/>
                    </w:rPr>
                    <w:t>(GB8978-1996)</w:t>
                  </w:r>
                  <w:r>
                    <w:rPr>
                      <w:rFonts w:hint="eastAsia" w:ascii="宋体" w:hAnsi="宋体" w:eastAsia="宋体" w:cs="宋体"/>
                      <w:color w:val="000000"/>
                      <w:kern w:val="0"/>
                      <w:sz w:val="21"/>
                      <w:szCs w:val="21"/>
                      <w:lang w:val="en-US" w:eastAsia="zh-CN" w:bidi="ar"/>
                    </w:rPr>
                    <w:t>三级标准，氨氮执行《污水排入城镇下水道水质标准（</w:t>
                  </w:r>
                  <w:r>
                    <w:rPr>
                      <w:rFonts w:hint="default" w:ascii="Times New Roman" w:hAnsi="Times New Roman" w:eastAsia="宋体" w:cs="Times New Roman"/>
                      <w:color w:val="000000"/>
                      <w:kern w:val="0"/>
                      <w:sz w:val="21"/>
                      <w:szCs w:val="21"/>
                      <w:lang w:val="en-US" w:eastAsia="zh-CN" w:bidi="ar"/>
                    </w:rPr>
                    <w:t>GB/T31962-2015</w:t>
                  </w:r>
                  <w:r>
                    <w:rPr>
                      <w:rFonts w:hint="eastAsia" w:ascii="宋体" w:hAnsi="宋体" w:eastAsia="宋体" w:cs="宋体"/>
                      <w:color w:val="000000"/>
                      <w:kern w:val="0"/>
                      <w:sz w:val="21"/>
                      <w:szCs w:val="21"/>
                      <w:lang w:val="en-US" w:eastAsia="zh-CN" w:bidi="ar"/>
                    </w:rPr>
                    <w:t>）》中的相关标准</w:t>
                  </w:r>
                </w:p>
              </w:tc>
            </w:tr>
          </w:tbl>
          <w:p>
            <w:pPr>
              <w:widowControl w:val="0"/>
              <w:numPr>
                <w:ilvl w:val="0"/>
                <w:numId w:val="0"/>
              </w:numPr>
              <w:adjustRightInd w:val="0"/>
              <w:snapToGrid w:val="0"/>
              <w:jc w:val="left"/>
              <w:rPr>
                <w:rFonts w:hint="eastAsia" w:ascii="宋体" w:hAnsi="宋体" w:cs="宋体"/>
                <w:kern w:val="0"/>
                <w:szCs w:val="21"/>
                <w:lang w:eastAsia="zh-CN"/>
              </w:rPr>
            </w:pPr>
          </w:p>
          <w:p>
            <w:pPr>
              <w:widowControl w:val="0"/>
              <w:numPr>
                <w:ilvl w:val="0"/>
                <w:numId w:val="0"/>
              </w:numPr>
              <w:adjustRightInd w:val="0"/>
              <w:snapToGrid w:val="0"/>
              <w:spacing w:line="360" w:lineRule="auto"/>
              <w:jc w:val="left"/>
              <w:rPr>
                <w:rFonts w:hint="eastAsia" w:ascii="宋体" w:hAnsi="宋体" w:cs="宋体"/>
                <w:b/>
                <w:bCs/>
                <w:kern w:val="0"/>
                <w:sz w:val="24"/>
                <w:szCs w:val="24"/>
                <w:lang w:eastAsia="zh-CN"/>
              </w:rPr>
            </w:pPr>
            <w:r>
              <w:rPr>
                <w:rFonts w:hint="eastAsia" w:ascii="宋体" w:hAnsi="宋体" w:cs="宋体"/>
                <w:b/>
                <w:bCs/>
                <w:kern w:val="0"/>
                <w:sz w:val="24"/>
                <w:szCs w:val="24"/>
                <w:lang w:eastAsia="zh-CN"/>
              </w:rPr>
              <w:t>三、噪声执行标准</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施工期</w:t>
            </w:r>
            <w:r>
              <w:rPr>
                <w:rFonts w:hint="eastAsia" w:ascii="宋体" w:hAnsi="宋体" w:cs="宋体"/>
                <w:color w:val="000000"/>
                <w:kern w:val="0"/>
                <w:sz w:val="24"/>
                <w:szCs w:val="24"/>
                <w:lang w:val="en-US" w:eastAsia="zh-CN" w:bidi="ar"/>
              </w:rPr>
              <w:t>噪声</w:t>
            </w:r>
            <w:r>
              <w:rPr>
                <w:rFonts w:hint="eastAsia" w:ascii="宋体" w:hAnsi="宋体" w:eastAsia="宋体" w:cs="宋体"/>
                <w:color w:val="000000"/>
                <w:kern w:val="0"/>
                <w:sz w:val="24"/>
                <w:szCs w:val="24"/>
                <w:lang w:val="en-US" w:eastAsia="zh-CN" w:bidi="ar"/>
              </w:rPr>
              <w:t>执行《建筑施工场界环境噪声排放标准》（</w:t>
            </w:r>
            <w:r>
              <w:rPr>
                <w:rFonts w:hint="default" w:ascii="Times New Roman" w:hAnsi="Times New Roman" w:eastAsia="宋体" w:cs="Times New Roman"/>
                <w:color w:val="000000"/>
                <w:kern w:val="0"/>
                <w:sz w:val="24"/>
                <w:szCs w:val="24"/>
                <w:lang w:val="en-US" w:eastAsia="zh-CN" w:bidi="ar"/>
              </w:rPr>
              <w:t>GB12523-2011</w:t>
            </w:r>
            <w:r>
              <w:rPr>
                <w:rFonts w:hint="eastAsia" w:ascii="宋体" w:hAnsi="宋体" w:eastAsia="宋体" w:cs="宋体"/>
                <w:color w:val="000000"/>
                <w:kern w:val="0"/>
                <w:sz w:val="24"/>
                <w:szCs w:val="24"/>
                <w:lang w:val="en-US" w:eastAsia="zh-CN" w:bidi="ar"/>
              </w:rPr>
              <w:t>）标准。</w:t>
            </w:r>
          </w:p>
          <w:p>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cs="Times New Roman"/>
                <w:b/>
                <w:bCs/>
                <w:color w:val="000000"/>
                <w:kern w:val="0"/>
                <w:sz w:val="24"/>
                <w:szCs w:val="24"/>
                <w:lang w:val="en-US" w:eastAsia="zh-CN" w:bidi="ar"/>
              </w:rPr>
              <w:t>3-1</w:t>
            </w:r>
            <w:r>
              <w:rPr>
                <w:rFonts w:hint="eastAsia"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《建筑施工场界环境噪声排放标准》</w:t>
            </w:r>
            <w:r>
              <w:rPr>
                <w:rFonts w:hint="eastAsia" w:ascii="黑体" w:hAnsi="宋体" w:eastAsia="黑体" w:cs="黑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GB12523-2011</w:t>
            </w:r>
            <w:r>
              <w:rPr>
                <w:rFonts w:hint="eastAsia" w:ascii="黑体" w:hAnsi="宋体" w:eastAsia="黑体" w:cs="黑体"/>
                <w:b/>
                <w:bCs/>
                <w:color w:val="000000"/>
                <w:kern w:val="0"/>
                <w:sz w:val="24"/>
                <w:szCs w:val="24"/>
                <w:lang w:val="en-US" w:eastAsia="zh-CN" w:bidi="ar"/>
              </w:rPr>
              <w:t>）</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265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center"/>
                </w:tcPr>
                <w:p>
                  <w:pPr>
                    <w:widowControl w:val="0"/>
                    <w:numPr>
                      <w:ilvl w:val="0"/>
                      <w:numId w:val="0"/>
                    </w:numPr>
                    <w:adjustRightInd w:val="0"/>
                    <w:snapToGrid w:val="0"/>
                    <w:jc w:val="center"/>
                    <w:rPr>
                      <w:rFonts w:hint="default" w:ascii="宋体" w:hAnsi="宋体" w:cs="宋体"/>
                      <w:b/>
                      <w:bCs/>
                      <w:kern w:val="0"/>
                      <w:szCs w:val="21"/>
                      <w:vertAlign w:val="baseline"/>
                      <w:lang w:val="en-US" w:eastAsia="zh-CN"/>
                    </w:rPr>
                  </w:pPr>
                  <w:r>
                    <w:rPr>
                      <w:rFonts w:hint="eastAsia" w:ascii="宋体" w:hAnsi="宋体" w:cs="宋体"/>
                      <w:b/>
                      <w:bCs/>
                      <w:kern w:val="0"/>
                      <w:szCs w:val="21"/>
                      <w:vertAlign w:val="baseline"/>
                      <w:lang w:eastAsia="zh-CN"/>
                    </w:rPr>
                    <w:t>环境噪声标准值</w:t>
                  </w:r>
                  <w:r>
                    <w:rPr>
                      <w:rFonts w:hint="default" w:ascii="Times New Roman" w:hAnsi="Times New Roman" w:cs="Times New Roman"/>
                      <w:b/>
                      <w:bCs/>
                      <w:kern w:val="0"/>
                      <w:szCs w:val="21"/>
                      <w:vertAlign w:val="baseline"/>
                      <w:lang w:val="en-US" w:eastAsia="zh-CN"/>
                    </w:rPr>
                    <w:t>dB（A）</w:t>
                  </w:r>
                </w:p>
              </w:tc>
              <w:tc>
                <w:tcPr>
                  <w:tcW w:w="2658" w:type="dxa"/>
                  <w:noWrap w:val="0"/>
                  <w:vAlign w:val="center"/>
                </w:tcPr>
                <w:p>
                  <w:pPr>
                    <w:widowControl w:val="0"/>
                    <w:numPr>
                      <w:ilvl w:val="0"/>
                      <w:numId w:val="0"/>
                    </w:numPr>
                    <w:adjustRightInd w:val="0"/>
                    <w:snapToGrid w:val="0"/>
                    <w:jc w:val="center"/>
                    <w:rPr>
                      <w:rFonts w:hint="eastAsia" w:ascii="宋体" w:hAnsi="宋体" w:cs="宋体"/>
                      <w:b/>
                      <w:bCs/>
                      <w:kern w:val="0"/>
                      <w:szCs w:val="21"/>
                      <w:vertAlign w:val="baseline"/>
                      <w:lang w:eastAsia="zh-CN"/>
                    </w:rPr>
                  </w:pPr>
                  <w:r>
                    <w:rPr>
                      <w:rFonts w:hint="eastAsia" w:ascii="宋体" w:hAnsi="宋体" w:cs="宋体"/>
                      <w:b/>
                      <w:bCs/>
                      <w:kern w:val="0"/>
                      <w:szCs w:val="21"/>
                      <w:vertAlign w:val="baseline"/>
                      <w:lang w:eastAsia="zh-CN"/>
                    </w:rPr>
                    <w:t>昼间</w:t>
                  </w:r>
                </w:p>
              </w:tc>
              <w:tc>
                <w:tcPr>
                  <w:tcW w:w="2658" w:type="dxa"/>
                  <w:noWrap w:val="0"/>
                  <w:vAlign w:val="center"/>
                </w:tcPr>
                <w:p>
                  <w:pPr>
                    <w:widowControl w:val="0"/>
                    <w:numPr>
                      <w:ilvl w:val="0"/>
                      <w:numId w:val="0"/>
                    </w:numPr>
                    <w:adjustRightInd w:val="0"/>
                    <w:snapToGrid w:val="0"/>
                    <w:jc w:val="center"/>
                    <w:rPr>
                      <w:rFonts w:hint="eastAsia" w:ascii="宋体" w:hAnsi="宋体" w:cs="宋体"/>
                      <w:b/>
                      <w:bCs/>
                      <w:kern w:val="0"/>
                      <w:szCs w:val="21"/>
                      <w:vertAlign w:val="baseline"/>
                      <w:lang w:eastAsia="zh-CN"/>
                    </w:rPr>
                  </w:pPr>
                  <w:r>
                    <w:rPr>
                      <w:rFonts w:hint="eastAsia" w:ascii="宋体" w:hAnsi="宋体" w:cs="宋体"/>
                      <w:b/>
                      <w:bCs/>
                      <w:kern w:val="0"/>
                      <w:szCs w:val="21"/>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center"/>
                </w:tcPr>
                <w:p>
                  <w:pPr>
                    <w:widowControl w:val="0"/>
                    <w:numPr>
                      <w:ilvl w:val="0"/>
                      <w:numId w:val="0"/>
                    </w:numPr>
                    <w:adjustRightInd w:val="0"/>
                    <w:snapToGrid w:val="0"/>
                    <w:jc w:val="center"/>
                    <w:rPr>
                      <w:rFonts w:hint="eastAsia" w:ascii="宋体" w:hAnsi="宋体" w:cs="宋体"/>
                      <w:kern w:val="0"/>
                      <w:szCs w:val="21"/>
                      <w:vertAlign w:val="baseline"/>
                      <w:lang w:eastAsia="zh-CN"/>
                    </w:rPr>
                  </w:pPr>
                  <w:r>
                    <w:rPr>
                      <w:rFonts w:hint="eastAsia" w:ascii="宋体" w:hAnsi="宋体" w:cs="宋体"/>
                      <w:kern w:val="0"/>
                      <w:szCs w:val="21"/>
                      <w:vertAlign w:val="baseline"/>
                      <w:lang w:eastAsia="zh-CN"/>
                    </w:rPr>
                    <w:t>限值</w:t>
                  </w:r>
                </w:p>
              </w:tc>
              <w:tc>
                <w:tcPr>
                  <w:tcW w:w="2658" w:type="dxa"/>
                  <w:noWrap w:val="0"/>
                  <w:vAlign w:val="center"/>
                </w:tcPr>
                <w:p>
                  <w:pPr>
                    <w:widowControl w:val="0"/>
                    <w:numPr>
                      <w:ilvl w:val="0"/>
                      <w:numId w:val="0"/>
                    </w:numPr>
                    <w:adjustRightInd w:val="0"/>
                    <w:snapToGrid w:val="0"/>
                    <w:jc w:val="center"/>
                    <w:rPr>
                      <w:rFonts w:hint="default" w:ascii="宋体" w:hAnsi="宋体" w:cs="宋体"/>
                      <w:kern w:val="0"/>
                      <w:szCs w:val="21"/>
                      <w:vertAlign w:val="baseline"/>
                      <w:lang w:val="en-US" w:eastAsia="zh-CN"/>
                    </w:rPr>
                  </w:pPr>
                  <w:r>
                    <w:rPr>
                      <w:rFonts w:hint="default" w:ascii="Times New Roman" w:hAnsi="Times New Roman" w:cs="Times New Roman"/>
                      <w:kern w:val="0"/>
                      <w:szCs w:val="21"/>
                      <w:vertAlign w:val="baseline"/>
                      <w:lang w:val="en-US" w:eastAsia="zh-CN"/>
                    </w:rPr>
                    <w:t>70</w:t>
                  </w:r>
                </w:p>
              </w:tc>
              <w:tc>
                <w:tcPr>
                  <w:tcW w:w="2658" w:type="dxa"/>
                  <w:noWrap w:val="0"/>
                  <w:vAlign w:val="center"/>
                </w:tcPr>
                <w:p>
                  <w:pPr>
                    <w:widowControl w:val="0"/>
                    <w:numPr>
                      <w:ilvl w:val="0"/>
                      <w:numId w:val="0"/>
                    </w:numPr>
                    <w:adjustRightInd w:val="0"/>
                    <w:snapToGrid w:val="0"/>
                    <w:jc w:val="center"/>
                    <w:rPr>
                      <w:rFonts w:hint="default" w:ascii="宋体" w:hAnsi="宋体" w:cs="宋体"/>
                      <w:kern w:val="0"/>
                      <w:szCs w:val="21"/>
                      <w:vertAlign w:val="baseline"/>
                      <w:lang w:val="en-US" w:eastAsia="zh-CN"/>
                    </w:rPr>
                  </w:pPr>
                  <w:r>
                    <w:rPr>
                      <w:rFonts w:hint="default" w:ascii="Times New Roman" w:hAnsi="Times New Roman" w:cs="Times New Roman"/>
                      <w:kern w:val="0"/>
                      <w:szCs w:val="21"/>
                      <w:vertAlign w:val="baseline"/>
                      <w:lang w:val="en-US" w:eastAsia="zh-CN"/>
                    </w:rPr>
                    <w:t>55</w:t>
                  </w:r>
                </w:p>
              </w:tc>
            </w:tr>
          </w:tbl>
          <w:p>
            <w:pPr>
              <w:widowControl w:val="0"/>
              <w:numPr>
                <w:ilvl w:val="0"/>
                <w:numId w:val="0"/>
              </w:numPr>
              <w:adjustRightInd w:val="0"/>
              <w:snapToGrid w:val="0"/>
              <w:jc w:val="left"/>
              <w:rPr>
                <w:rFonts w:hint="eastAsia" w:ascii="宋体" w:hAnsi="宋体" w:cs="宋体"/>
                <w:kern w:val="0"/>
                <w:szCs w:val="21"/>
                <w:lang w:eastAsia="zh-CN"/>
              </w:rPr>
            </w:pPr>
          </w:p>
          <w:p>
            <w:pPr>
              <w:keepNext w:val="0"/>
              <w:keepLines w:val="0"/>
              <w:widowControl/>
              <w:suppressLineNumbers w:val="0"/>
              <w:spacing w:line="360" w:lineRule="auto"/>
              <w:ind w:firstLine="480" w:firstLineChars="200"/>
              <w:jc w:val="left"/>
              <w:rPr>
                <w:rFonts w:hint="eastAsia" w:ascii="宋体" w:hAnsi="宋体" w:cs="宋体"/>
                <w:kern w:val="0"/>
                <w:szCs w:val="21"/>
                <w:lang w:eastAsia="zh-CN"/>
              </w:rPr>
            </w:pPr>
            <w:r>
              <w:rPr>
                <w:rFonts w:hint="eastAsia" w:ascii="宋体" w:hAnsi="宋体" w:eastAsia="宋体" w:cs="宋体"/>
                <w:color w:val="000000"/>
                <w:kern w:val="0"/>
                <w:sz w:val="24"/>
                <w:szCs w:val="24"/>
                <w:lang w:val="en-US" w:eastAsia="zh-CN" w:bidi="ar"/>
              </w:rPr>
              <w:t>营运期厂界噪声执行《工业企业厂界环境噪声排放标准》（</w:t>
            </w:r>
            <w:r>
              <w:rPr>
                <w:rFonts w:hint="default" w:ascii="Times New Roman" w:hAnsi="Times New Roman" w:eastAsia="宋体" w:cs="Times New Roman"/>
                <w:color w:val="000000"/>
                <w:kern w:val="0"/>
                <w:sz w:val="24"/>
                <w:szCs w:val="24"/>
                <w:lang w:val="en-US" w:eastAsia="zh-CN" w:bidi="ar"/>
              </w:rPr>
              <w:t>GB12348-2008</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类标准。</w:t>
            </w:r>
          </w:p>
          <w:p>
            <w:pPr>
              <w:keepNext w:val="0"/>
              <w:keepLines w:val="0"/>
              <w:widowControl/>
              <w:suppressLineNumbers w:val="0"/>
              <w:jc w:val="center"/>
              <w:rPr>
                <w:rFonts w:hint="eastAsia" w:ascii="宋体" w:hAnsi="宋体" w:cs="宋体"/>
                <w:b w:val="0"/>
                <w:bCs w:val="0"/>
                <w:kern w:val="0"/>
                <w:sz w:val="21"/>
                <w:szCs w:val="21"/>
                <w:lang w:eastAsia="zh-CN"/>
              </w:rPr>
            </w:pPr>
            <w:r>
              <w:rPr>
                <w:rFonts w:hint="eastAsia" w:ascii="宋体" w:hAnsi="宋体" w:eastAsia="宋体" w:cs="宋体"/>
                <w:b/>
                <w:bCs/>
                <w:color w:val="000000"/>
                <w:kern w:val="0"/>
                <w:sz w:val="24"/>
                <w:szCs w:val="24"/>
                <w:lang w:val="en-US" w:eastAsia="zh-CN" w:bidi="ar"/>
              </w:rPr>
              <w:t>表</w:t>
            </w:r>
            <w:r>
              <w:rPr>
                <w:rFonts w:hint="eastAsia"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-1</w:t>
            </w:r>
            <w:r>
              <w:rPr>
                <w:rFonts w:hint="eastAsia" w:cs="Times New Roman"/>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《工业企业厂界环境噪声排放标准》</w:t>
            </w:r>
            <w:r>
              <w:rPr>
                <w:rFonts w:hint="eastAsia" w:ascii="黑体" w:hAnsi="宋体" w:eastAsia="黑体" w:cs="黑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GB12348-2008</w:t>
            </w:r>
            <w:r>
              <w:rPr>
                <w:rFonts w:hint="eastAsia" w:ascii="黑体" w:hAnsi="宋体" w:eastAsia="黑体" w:cs="黑体"/>
                <w:b/>
                <w:bCs/>
                <w:color w:val="000000"/>
                <w:kern w:val="0"/>
                <w:sz w:val="24"/>
                <w:szCs w:val="24"/>
                <w:lang w:val="en-US" w:eastAsia="zh-CN" w:bidi="ar"/>
              </w:rPr>
              <w:t>）</w:t>
            </w:r>
          </w:p>
          <w:tbl>
            <w:tblPr>
              <w:tblStyle w:val="39"/>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8"/>
              <w:gridCol w:w="2658"/>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center"/>
                </w:tcPr>
                <w:p>
                  <w:pPr>
                    <w:widowControl w:val="0"/>
                    <w:numPr>
                      <w:ilvl w:val="0"/>
                      <w:numId w:val="0"/>
                    </w:numPr>
                    <w:adjustRightInd w:val="0"/>
                    <w:snapToGrid w:val="0"/>
                    <w:jc w:val="center"/>
                    <w:rPr>
                      <w:rFonts w:hint="default" w:ascii="宋体" w:hAnsi="宋体" w:cs="宋体"/>
                      <w:b/>
                      <w:bCs/>
                      <w:kern w:val="0"/>
                      <w:szCs w:val="21"/>
                      <w:vertAlign w:val="baseline"/>
                      <w:lang w:val="en-US" w:eastAsia="zh-CN"/>
                    </w:rPr>
                  </w:pPr>
                  <w:r>
                    <w:rPr>
                      <w:rFonts w:hint="eastAsia" w:ascii="宋体" w:hAnsi="宋体" w:cs="宋体"/>
                      <w:b/>
                      <w:bCs/>
                      <w:kern w:val="0"/>
                      <w:szCs w:val="21"/>
                      <w:vertAlign w:val="baseline"/>
                      <w:lang w:eastAsia="zh-CN"/>
                    </w:rPr>
                    <w:t>环境噪声标准值</w:t>
                  </w:r>
                  <w:r>
                    <w:rPr>
                      <w:rFonts w:hint="default" w:ascii="Times New Roman" w:hAnsi="Times New Roman" w:cs="Times New Roman"/>
                      <w:b/>
                      <w:bCs/>
                      <w:kern w:val="0"/>
                      <w:szCs w:val="21"/>
                      <w:vertAlign w:val="baseline"/>
                      <w:lang w:val="en-US" w:eastAsia="zh-CN"/>
                    </w:rPr>
                    <w:t>dB（A）</w:t>
                  </w:r>
                </w:p>
              </w:tc>
              <w:tc>
                <w:tcPr>
                  <w:tcW w:w="2658" w:type="dxa"/>
                  <w:noWrap w:val="0"/>
                  <w:vAlign w:val="center"/>
                </w:tcPr>
                <w:p>
                  <w:pPr>
                    <w:widowControl w:val="0"/>
                    <w:numPr>
                      <w:ilvl w:val="0"/>
                      <w:numId w:val="0"/>
                    </w:numPr>
                    <w:adjustRightInd w:val="0"/>
                    <w:snapToGrid w:val="0"/>
                    <w:jc w:val="center"/>
                    <w:rPr>
                      <w:rFonts w:hint="eastAsia" w:ascii="宋体" w:hAnsi="宋体" w:cs="宋体"/>
                      <w:b/>
                      <w:bCs/>
                      <w:kern w:val="0"/>
                      <w:szCs w:val="21"/>
                      <w:vertAlign w:val="baseline"/>
                      <w:lang w:eastAsia="zh-CN"/>
                    </w:rPr>
                  </w:pPr>
                  <w:r>
                    <w:rPr>
                      <w:rFonts w:hint="eastAsia" w:ascii="宋体" w:hAnsi="宋体" w:cs="宋体"/>
                      <w:b/>
                      <w:bCs/>
                      <w:kern w:val="0"/>
                      <w:szCs w:val="21"/>
                      <w:vertAlign w:val="baseline"/>
                      <w:lang w:eastAsia="zh-CN"/>
                    </w:rPr>
                    <w:t>昼间</w:t>
                  </w:r>
                </w:p>
              </w:tc>
              <w:tc>
                <w:tcPr>
                  <w:tcW w:w="2658" w:type="dxa"/>
                  <w:noWrap w:val="0"/>
                  <w:vAlign w:val="center"/>
                </w:tcPr>
                <w:p>
                  <w:pPr>
                    <w:widowControl w:val="0"/>
                    <w:numPr>
                      <w:ilvl w:val="0"/>
                      <w:numId w:val="0"/>
                    </w:numPr>
                    <w:adjustRightInd w:val="0"/>
                    <w:snapToGrid w:val="0"/>
                    <w:jc w:val="center"/>
                    <w:rPr>
                      <w:rFonts w:hint="eastAsia" w:ascii="宋体" w:hAnsi="宋体" w:cs="宋体"/>
                      <w:b/>
                      <w:bCs/>
                      <w:kern w:val="0"/>
                      <w:szCs w:val="21"/>
                      <w:vertAlign w:val="baseline"/>
                      <w:lang w:eastAsia="zh-CN"/>
                    </w:rPr>
                  </w:pPr>
                  <w:r>
                    <w:rPr>
                      <w:rFonts w:hint="eastAsia" w:ascii="宋体" w:hAnsi="宋体" w:cs="宋体"/>
                      <w:b/>
                      <w:bCs/>
                      <w:kern w:val="0"/>
                      <w:szCs w:val="21"/>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noWrap w:val="0"/>
                  <w:vAlign w:val="center"/>
                </w:tcPr>
                <w:p>
                  <w:pPr>
                    <w:widowControl w:val="0"/>
                    <w:numPr>
                      <w:ilvl w:val="0"/>
                      <w:numId w:val="0"/>
                    </w:numPr>
                    <w:adjustRightInd w:val="0"/>
                    <w:snapToGrid w:val="0"/>
                    <w:jc w:val="center"/>
                    <w:rPr>
                      <w:rFonts w:hint="eastAsia" w:ascii="宋体" w:hAnsi="宋体" w:cs="宋体"/>
                      <w:kern w:val="0"/>
                      <w:szCs w:val="21"/>
                      <w:vertAlign w:val="baseline"/>
                      <w:lang w:eastAsia="zh-CN"/>
                    </w:rPr>
                  </w:pPr>
                  <w:r>
                    <w:rPr>
                      <w:rFonts w:hint="eastAsia" w:ascii="宋体" w:hAnsi="宋体" w:cs="宋体"/>
                      <w:kern w:val="0"/>
                      <w:szCs w:val="21"/>
                      <w:vertAlign w:val="baseline"/>
                      <w:lang w:eastAsia="zh-CN"/>
                    </w:rPr>
                    <w:t>限值</w:t>
                  </w:r>
                </w:p>
              </w:tc>
              <w:tc>
                <w:tcPr>
                  <w:tcW w:w="2658" w:type="dxa"/>
                  <w:noWrap w:val="0"/>
                  <w:vAlign w:val="center"/>
                </w:tcPr>
                <w:p>
                  <w:pPr>
                    <w:widowControl w:val="0"/>
                    <w:numPr>
                      <w:ilvl w:val="0"/>
                      <w:numId w:val="0"/>
                    </w:numPr>
                    <w:adjustRightInd w:val="0"/>
                    <w:snapToGrid w:val="0"/>
                    <w:jc w:val="center"/>
                    <w:rPr>
                      <w:rFonts w:hint="default" w:ascii="Times New Roman" w:hAnsi="Times New Roman" w:cs="Times New Roman"/>
                      <w:kern w:val="0"/>
                      <w:szCs w:val="21"/>
                      <w:vertAlign w:val="baseline"/>
                      <w:lang w:val="en-US" w:eastAsia="zh-CN"/>
                    </w:rPr>
                  </w:pPr>
                  <w:r>
                    <w:rPr>
                      <w:rFonts w:hint="default" w:ascii="Times New Roman" w:hAnsi="Times New Roman" w:cs="Times New Roman"/>
                      <w:kern w:val="0"/>
                      <w:szCs w:val="21"/>
                      <w:vertAlign w:val="baseline"/>
                      <w:lang w:val="en-US" w:eastAsia="zh-CN"/>
                    </w:rPr>
                    <w:t>65</w:t>
                  </w:r>
                </w:p>
              </w:tc>
              <w:tc>
                <w:tcPr>
                  <w:tcW w:w="2658" w:type="dxa"/>
                  <w:noWrap w:val="0"/>
                  <w:vAlign w:val="center"/>
                </w:tcPr>
                <w:p>
                  <w:pPr>
                    <w:widowControl w:val="0"/>
                    <w:numPr>
                      <w:ilvl w:val="0"/>
                      <w:numId w:val="0"/>
                    </w:numPr>
                    <w:adjustRightInd w:val="0"/>
                    <w:snapToGrid w:val="0"/>
                    <w:jc w:val="center"/>
                    <w:rPr>
                      <w:rFonts w:hint="default" w:ascii="宋体" w:hAnsi="宋体" w:cs="宋体"/>
                      <w:kern w:val="0"/>
                      <w:szCs w:val="21"/>
                      <w:vertAlign w:val="baseline"/>
                      <w:lang w:val="en-US" w:eastAsia="zh-CN"/>
                    </w:rPr>
                  </w:pPr>
                  <w:r>
                    <w:rPr>
                      <w:rFonts w:hint="default" w:ascii="Times New Roman" w:hAnsi="Times New Roman" w:cs="Times New Roman"/>
                      <w:kern w:val="0"/>
                      <w:szCs w:val="21"/>
                      <w:vertAlign w:val="baseline"/>
                      <w:lang w:val="en-US" w:eastAsia="zh-CN"/>
                    </w:rPr>
                    <w:t>55</w:t>
                  </w:r>
                </w:p>
              </w:tc>
            </w:tr>
          </w:tbl>
          <w:p>
            <w:pPr>
              <w:widowControl w:val="0"/>
              <w:numPr>
                <w:ilvl w:val="0"/>
                <w:numId w:val="0"/>
              </w:numPr>
              <w:adjustRightInd w:val="0"/>
              <w:snapToGrid w:val="0"/>
              <w:jc w:val="left"/>
              <w:rPr>
                <w:rFonts w:hint="eastAsia" w:ascii="宋体" w:hAnsi="宋体" w:cs="宋体"/>
                <w:kern w:val="0"/>
                <w:szCs w:val="21"/>
                <w:lang w:eastAsia="zh-CN"/>
              </w:rPr>
            </w:pPr>
          </w:p>
          <w:p>
            <w:pPr>
              <w:numPr>
                <w:ilvl w:val="0"/>
                <w:numId w:val="0"/>
              </w:numPr>
              <w:adjustRightInd w:val="0"/>
              <w:snapToGrid w:val="0"/>
              <w:spacing w:line="360" w:lineRule="auto"/>
              <w:ind w:leftChars="0"/>
              <w:jc w:val="left"/>
              <w:rPr>
                <w:rFonts w:hint="eastAsia" w:ascii="宋体" w:hAnsi="宋体" w:cs="宋体"/>
                <w:b/>
                <w:bCs/>
                <w:kern w:val="0"/>
                <w:sz w:val="24"/>
                <w:szCs w:val="24"/>
                <w:lang w:eastAsia="zh-CN"/>
              </w:rPr>
            </w:pPr>
            <w:r>
              <w:rPr>
                <w:rFonts w:hint="eastAsia" w:ascii="宋体" w:hAnsi="宋体" w:cs="宋体"/>
                <w:b/>
                <w:bCs/>
                <w:kern w:val="0"/>
                <w:sz w:val="24"/>
                <w:szCs w:val="24"/>
                <w:lang w:eastAsia="zh-CN"/>
              </w:rPr>
              <w:t>四、固废</w:t>
            </w:r>
          </w:p>
          <w:p>
            <w:pPr>
              <w:adjustRightInd w:val="0"/>
              <w:snapToGrid w:val="0"/>
              <w:spacing w:line="360" w:lineRule="auto"/>
              <w:rPr>
                <w:kern w:val="0"/>
                <w:szCs w:val="21"/>
              </w:rPr>
            </w:pPr>
            <w:r>
              <w:rPr>
                <w:rFonts w:hint="eastAsia" w:ascii="宋体" w:hAnsi="宋体" w:eastAsia="宋体" w:cs="宋体"/>
                <w:color w:val="000000"/>
                <w:kern w:val="0"/>
                <w:sz w:val="24"/>
                <w:szCs w:val="24"/>
                <w:lang w:val="en-US" w:eastAsia="zh-CN" w:bidi="ar"/>
              </w:rPr>
              <w:t>一般固废执行《</w:t>
            </w:r>
            <w:r>
              <w:rPr>
                <w:sz w:val="24"/>
                <w:szCs w:val="24"/>
              </w:rPr>
              <w:t>一般工业固体废物贮存和填埋污染控制标准</w:t>
            </w:r>
            <w:r>
              <w:rPr>
                <w:rFonts w:hint="eastAsia" w:ascii="宋体" w:hAnsi="宋体" w:eastAsia="宋体" w:cs="宋体"/>
                <w:color w:val="000000"/>
                <w:kern w:val="0"/>
                <w:sz w:val="24"/>
                <w:szCs w:val="24"/>
                <w:lang w:val="en-US" w:eastAsia="zh-CN" w:bidi="ar"/>
              </w:rPr>
              <w:t>》</w:t>
            </w:r>
            <w:r>
              <w:rPr>
                <w:rFonts w:hint="eastAsia" w:ascii="宋体" w:hAnsi="宋体" w:cs="宋体"/>
                <w:color w:val="000000"/>
                <w:kern w:val="0"/>
                <w:sz w:val="24"/>
                <w:szCs w:val="24"/>
                <w:lang w:val="en-US" w:eastAsia="zh-CN" w:bidi="ar"/>
              </w:rPr>
              <w:t>（</w:t>
            </w:r>
            <w:r>
              <w:rPr>
                <w:sz w:val="24"/>
                <w:szCs w:val="24"/>
              </w:rPr>
              <w:t>GB18599-2020</w:t>
            </w:r>
            <w:r>
              <w:rPr>
                <w:rFonts w:hint="eastAsia"/>
                <w:sz w:val="24"/>
                <w:szCs w:val="24"/>
                <w:lang w:eastAsia="zh-CN"/>
              </w:rPr>
              <w:t>）</w:t>
            </w:r>
            <w:r>
              <w:rPr>
                <w:rFonts w:hint="eastAsia" w:ascii="宋体" w:hAnsi="宋体" w:eastAsia="宋体" w:cs="宋体"/>
                <w:color w:val="000000"/>
                <w:kern w:val="0"/>
                <w:sz w:val="24"/>
                <w:szCs w:val="24"/>
                <w:lang w:val="en-US" w:eastAsia="zh-CN" w:bidi="ar"/>
              </w:rPr>
              <w:t>及其修改清单，危险固废执行《危险废物贮存污染控制标准》（</w:t>
            </w:r>
            <w:r>
              <w:rPr>
                <w:rFonts w:hint="default" w:ascii="Times New Roman" w:hAnsi="Times New Roman" w:eastAsia="宋体" w:cs="Times New Roman"/>
                <w:color w:val="000000"/>
                <w:kern w:val="0"/>
                <w:sz w:val="24"/>
                <w:szCs w:val="24"/>
                <w:lang w:val="en-US" w:eastAsia="zh-CN" w:bidi="ar"/>
              </w:rPr>
              <w:t>GB18597-2001</w:t>
            </w:r>
            <w:r>
              <w:rPr>
                <w:rFonts w:hint="eastAsia" w:ascii="宋体" w:hAnsi="宋体" w:eastAsia="宋体" w:cs="宋体"/>
                <w:color w:val="000000"/>
                <w:kern w:val="0"/>
                <w:sz w:val="24"/>
                <w:szCs w:val="24"/>
                <w:lang w:val="en-US" w:eastAsia="zh-CN" w:bidi="ar"/>
              </w:rPr>
              <w:t>）及其修改清单。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480" w:type="dxa"/>
            <w:noWrap w:val="0"/>
            <w:vAlign w:val="center"/>
          </w:tcPr>
          <w:p>
            <w:pPr>
              <w:adjustRightInd w:val="0"/>
              <w:snapToGrid w:val="0"/>
              <w:jc w:val="both"/>
              <w:rPr>
                <w:color w:val="auto"/>
                <w:kern w:val="0"/>
                <w:sz w:val="24"/>
                <w:szCs w:val="24"/>
              </w:rPr>
            </w:pPr>
            <w:r>
              <w:rPr>
                <w:color w:val="auto"/>
                <w:kern w:val="0"/>
                <w:sz w:val="24"/>
                <w:szCs w:val="24"/>
              </w:rPr>
              <w:t>总量</w:t>
            </w:r>
          </w:p>
          <w:p>
            <w:pPr>
              <w:adjustRightInd w:val="0"/>
              <w:snapToGrid w:val="0"/>
              <w:jc w:val="center"/>
              <w:rPr>
                <w:color w:val="auto"/>
                <w:kern w:val="0"/>
                <w:sz w:val="24"/>
                <w:szCs w:val="24"/>
              </w:rPr>
            </w:pPr>
            <w:r>
              <w:rPr>
                <w:color w:val="auto"/>
                <w:kern w:val="0"/>
                <w:sz w:val="24"/>
                <w:szCs w:val="24"/>
              </w:rPr>
              <w:t>控制</w:t>
            </w:r>
          </w:p>
          <w:p>
            <w:pPr>
              <w:adjustRightInd w:val="0"/>
              <w:snapToGrid w:val="0"/>
              <w:jc w:val="center"/>
              <w:rPr>
                <w:color w:val="auto"/>
                <w:kern w:val="0"/>
                <w:szCs w:val="21"/>
              </w:rPr>
            </w:pPr>
            <w:r>
              <w:rPr>
                <w:color w:val="auto"/>
                <w:kern w:val="0"/>
                <w:sz w:val="24"/>
                <w:szCs w:val="24"/>
              </w:rPr>
              <w:t>指标</w:t>
            </w:r>
          </w:p>
        </w:tc>
        <w:tc>
          <w:tcPr>
            <w:tcW w:w="8510" w:type="dxa"/>
            <w:noWrap w:val="0"/>
            <w:vAlign w:val="top"/>
          </w:tcPr>
          <w:p>
            <w:pPr>
              <w:spacing w:line="360" w:lineRule="auto"/>
              <w:ind w:firstLine="240" w:firstLineChars="100"/>
              <w:rPr>
                <w:rFonts w:hint="eastAsia"/>
                <w:color w:val="auto"/>
                <w:kern w:val="0"/>
                <w:szCs w:val="21"/>
              </w:rPr>
            </w:pPr>
            <w:r>
              <w:rPr>
                <w:rFonts w:hint="eastAsia"/>
                <w:color w:val="auto"/>
                <w:kern w:val="0"/>
                <w:sz w:val="24"/>
                <w:szCs w:val="24"/>
                <w:lang w:val="en-GB"/>
              </w:rPr>
              <w:t>无</w:t>
            </w:r>
          </w:p>
        </w:tc>
      </w:tr>
    </w:tbl>
    <w:p>
      <w:pPr>
        <w:pStyle w:val="34"/>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eastAsia="黑体"/>
          <w:snapToGrid w:val="0"/>
          <w:sz w:val="30"/>
          <w:szCs w:val="30"/>
        </w:rPr>
        <w:t>四、主要环境影响和保护措施</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46" w:type="dxa"/>
            <w:noWrap w:val="0"/>
            <w:tcMar>
              <w:left w:w="28" w:type="dxa"/>
              <w:right w:w="28" w:type="dxa"/>
            </w:tcMar>
            <w:vAlign w:val="center"/>
          </w:tcPr>
          <w:p>
            <w:pPr>
              <w:pStyle w:val="34"/>
              <w:adjustRightInd w:val="0"/>
              <w:snapToGrid w:val="0"/>
              <w:spacing w:before="0" w:beforeAutospacing="0" w:after="0" w:afterAutospacing="0"/>
              <w:jc w:val="center"/>
              <w:rPr>
                <w:rFonts w:ascii="Times New Roman" w:hAnsi="Times New Roman"/>
                <w:kern w:val="2"/>
                <w:sz w:val="24"/>
                <w:szCs w:val="24"/>
              </w:rPr>
            </w:pPr>
            <w:r>
              <w:rPr>
                <w:rFonts w:ascii="Times New Roman" w:hAnsi="Times New Roman"/>
                <w:kern w:val="2"/>
                <w:sz w:val="24"/>
                <w:szCs w:val="24"/>
              </w:rPr>
              <w:t>施工</w:t>
            </w:r>
          </w:p>
          <w:p>
            <w:pPr>
              <w:pStyle w:val="34"/>
              <w:adjustRightInd w:val="0"/>
              <w:snapToGrid w:val="0"/>
              <w:spacing w:before="0" w:beforeAutospacing="0" w:after="0" w:afterAutospacing="0"/>
              <w:jc w:val="center"/>
              <w:rPr>
                <w:rFonts w:ascii="Times New Roman" w:hAnsi="Times New Roman"/>
                <w:kern w:val="2"/>
                <w:sz w:val="24"/>
                <w:szCs w:val="24"/>
              </w:rPr>
            </w:pPr>
            <w:r>
              <w:rPr>
                <w:rFonts w:ascii="Times New Roman" w:hAnsi="Times New Roman"/>
                <w:kern w:val="2"/>
                <w:sz w:val="24"/>
                <w:szCs w:val="24"/>
              </w:rPr>
              <w:t>期环</w:t>
            </w:r>
          </w:p>
          <w:p>
            <w:pPr>
              <w:pStyle w:val="34"/>
              <w:adjustRightInd w:val="0"/>
              <w:snapToGrid w:val="0"/>
              <w:spacing w:before="0" w:beforeAutospacing="0" w:after="0" w:afterAutospacing="0"/>
              <w:jc w:val="center"/>
              <w:rPr>
                <w:rFonts w:ascii="Times New Roman" w:hAnsi="Times New Roman"/>
                <w:kern w:val="2"/>
                <w:sz w:val="24"/>
                <w:szCs w:val="24"/>
              </w:rPr>
            </w:pPr>
            <w:r>
              <w:rPr>
                <w:rFonts w:ascii="Times New Roman" w:hAnsi="Times New Roman"/>
                <w:kern w:val="2"/>
                <w:sz w:val="24"/>
                <w:szCs w:val="24"/>
              </w:rPr>
              <w:t>境保</w:t>
            </w:r>
          </w:p>
          <w:p>
            <w:pPr>
              <w:pStyle w:val="34"/>
              <w:adjustRightInd w:val="0"/>
              <w:snapToGrid w:val="0"/>
              <w:spacing w:before="0" w:beforeAutospacing="0" w:after="0" w:afterAutospacing="0"/>
              <w:jc w:val="center"/>
              <w:rPr>
                <w:rFonts w:ascii="Times New Roman" w:hAnsi="Times New Roman"/>
                <w:kern w:val="2"/>
                <w:sz w:val="24"/>
                <w:szCs w:val="24"/>
              </w:rPr>
            </w:pPr>
            <w:r>
              <w:rPr>
                <w:rFonts w:ascii="Times New Roman" w:hAnsi="Times New Roman"/>
                <w:kern w:val="2"/>
                <w:sz w:val="24"/>
                <w:szCs w:val="24"/>
              </w:rPr>
              <w:t>护措</w:t>
            </w:r>
          </w:p>
          <w:p>
            <w:pPr>
              <w:pStyle w:val="34"/>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4"/>
                <w:szCs w:val="24"/>
              </w:rPr>
              <w:t>施</w:t>
            </w:r>
          </w:p>
        </w:tc>
        <w:tc>
          <w:tcPr>
            <w:tcW w:w="8162" w:type="dxa"/>
            <w:noWrap w:val="0"/>
            <w:vAlign w:val="top"/>
          </w:tcPr>
          <w:p>
            <w:pPr>
              <w:spacing w:line="360" w:lineRule="auto"/>
              <w:ind w:firstLine="480" w:firstLineChars="200"/>
              <w:rPr>
                <w:rFonts w:hint="eastAsia"/>
                <w:sz w:val="24"/>
              </w:rPr>
            </w:pPr>
            <w:r>
              <w:rPr>
                <w:rFonts w:hint="eastAsia"/>
                <w:sz w:val="24"/>
              </w:rPr>
              <w:t>本项目位于乐山市工业集中区水口组团内，项目建设前当地政府已经完成了土地收储、住户拆迁和基本的场地平整工作后，净地出让给项目建设单位。</w:t>
            </w:r>
          </w:p>
          <w:p>
            <w:pPr>
              <w:spacing w:line="360" w:lineRule="auto"/>
              <w:ind w:firstLine="480" w:firstLineChars="200"/>
              <w:rPr>
                <w:rFonts w:hint="eastAsia"/>
                <w:sz w:val="24"/>
              </w:rPr>
            </w:pPr>
            <w:r>
              <w:rPr>
                <w:rFonts w:hint="eastAsia"/>
                <w:sz w:val="24"/>
              </w:rPr>
              <w:t>根据本项目建设内容，结合厂址周围环境状况，总的来说，本项目施工活动对周围环境影响不大，但仍会产生施工噪声、施工废水、施工弃渣和施工扬尘等环境影响问题，评价简要分析如下：</w:t>
            </w:r>
          </w:p>
          <w:p>
            <w:pPr>
              <w:numPr>
                <w:ilvl w:val="0"/>
                <w:numId w:val="0"/>
              </w:numPr>
              <w:adjustRightInd w:val="0"/>
              <w:snapToGrid w:val="0"/>
              <w:spacing w:line="360" w:lineRule="auto"/>
              <w:rPr>
                <w:rFonts w:hint="eastAsia" w:ascii="宋体" w:hAnsi="宋体" w:cs="宋体"/>
                <w:b/>
                <w:bCs w:val="0"/>
                <w:spacing w:val="-10"/>
                <w:sz w:val="24"/>
                <w:szCs w:val="24"/>
                <w:lang w:eastAsia="zh-CN"/>
              </w:rPr>
            </w:pPr>
            <w:r>
              <w:rPr>
                <w:rFonts w:hint="eastAsia" w:ascii="宋体" w:hAnsi="宋体" w:cs="宋体"/>
                <w:b/>
                <w:bCs w:val="0"/>
                <w:spacing w:val="-10"/>
                <w:sz w:val="24"/>
                <w:szCs w:val="24"/>
                <w:lang w:eastAsia="zh-CN"/>
              </w:rPr>
              <w:t>一、施工期废气产生情况及治理措施</w:t>
            </w:r>
          </w:p>
          <w:p>
            <w:pPr>
              <w:keepNext w:val="0"/>
              <w:keepLines w:val="0"/>
              <w:widowControl/>
              <w:suppressLineNumbers w:val="0"/>
              <w:spacing w:line="360" w:lineRule="auto"/>
              <w:ind w:firstLine="442" w:firstLineChars="200"/>
              <w:jc w:val="left"/>
            </w:pPr>
            <w:r>
              <w:rPr>
                <w:rFonts w:hint="default" w:ascii="Times New Roman" w:hAnsi="Times New Roman" w:cs="Times New Roman"/>
                <w:b/>
                <w:bCs w:val="0"/>
                <w:spacing w:val="-10"/>
                <w:sz w:val="24"/>
                <w:szCs w:val="24"/>
                <w:lang w:val="en-US" w:eastAsia="zh-CN"/>
              </w:rPr>
              <w:t>1.</w:t>
            </w:r>
            <w:r>
              <w:rPr>
                <w:rFonts w:hint="eastAsia" w:ascii="宋体" w:hAnsi="宋体" w:cs="宋体"/>
                <w:b/>
                <w:bCs w:val="0"/>
                <w:spacing w:val="-10"/>
                <w:sz w:val="24"/>
                <w:szCs w:val="24"/>
                <w:lang w:eastAsia="zh-CN"/>
              </w:rPr>
              <w:t>扬尘：</w:t>
            </w:r>
            <w:r>
              <w:rPr>
                <w:rFonts w:hint="eastAsia" w:ascii="宋体" w:hAnsi="宋体" w:eastAsia="宋体" w:cs="宋体"/>
                <w:color w:val="000000"/>
                <w:kern w:val="0"/>
                <w:sz w:val="24"/>
                <w:szCs w:val="24"/>
                <w:lang w:val="en-US" w:eastAsia="zh-CN" w:bidi="ar"/>
              </w:rPr>
              <w:t>建设单位应要求工程施工单位制定施工期环境管理计划，加强管理，按进度、有计划地进行文明施工，必须严格按国务院印发的《打赢蓝天保卫战三年行动计划的通知》（国发</w:t>
            </w:r>
            <w:r>
              <w:rPr>
                <w:rFonts w:hint="default" w:ascii="Times New Roman" w:hAnsi="Times New Roman" w:eastAsia="宋体" w:cs="Times New Roman"/>
                <w:color w:val="000000"/>
                <w:kern w:val="0"/>
                <w:sz w:val="24"/>
                <w:szCs w:val="24"/>
                <w:lang w:val="en-US" w:eastAsia="zh-CN" w:bidi="ar"/>
              </w:rPr>
              <w:t>[2018]22</w:t>
            </w:r>
            <w:r>
              <w:rPr>
                <w:rFonts w:hint="eastAsia" w:ascii="宋体" w:hAnsi="宋体" w:eastAsia="宋体" w:cs="宋体"/>
                <w:color w:val="000000"/>
                <w:kern w:val="0"/>
                <w:sz w:val="24"/>
                <w:szCs w:val="24"/>
                <w:lang w:val="en-US" w:eastAsia="zh-CN" w:bidi="ar"/>
              </w:rPr>
              <w:t>号）、四川省人民政府办公厅发布的《关于加强灰霾污染防治的通知》、《乐山市打赢蓝天保卫战实施方案》等进行扬尘防治。</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工程建设单位应按照《中华人民共和国环境影响评价法》和《建设项目环境保护管理条例》的相关规定，向当地环境保护行政主管部门提供施工扬尘防治实施方案，并提请排污申报。工程建设单位根据施工工序编制施工期内扬尘污染防治任务书，实施扬尘防治全过程管理，责任到每个施工工序。</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施工单位应根据《建设工程施工现场管理规定》的规定设置现场平面布置图、工程概况牌、安全生产牌、消防保卫牌、文明施工牌、环境保护牌、管理人员名单及监督电话牌等。</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根据《打赢蓝天保卫战三年行动计划的通知》（国发</w:t>
            </w:r>
            <w:r>
              <w:rPr>
                <w:rFonts w:hint="default" w:ascii="Times New Roman" w:hAnsi="Times New Roman" w:eastAsia="宋体" w:cs="Times New Roman"/>
                <w:color w:val="000000"/>
                <w:kern w:val="0"/>
                <w:sz w:val="24"/>
                <w:szCs w:val="24"/>
                <w:lang w:val="en-US" w:eastAsia="zh-CN" w:bidi="ar"/>
              </w:rPr>
              <w:t>[2018]22</w:t>
            </w:r>
            <w:r>
              <w:rPr>
                <w:rFonts w:hint="eastAsia" w:ascii="宋体" w:hAnsi="宋体" w:eastAsia="宋体" w:cs="宋体"/>
                <w:color w:val="000000"/>
                <w:kern w:val="0"/>
                <w:sz w:val="24"/>
                <w:szCs w:val="24"/>
                <w:lang w:val="en-US" w:eastAsia="zh-CN" w:bidi="ar"/>
              </w:rPr>
              <w:t>号），施工工地要做到工地周边围挡、物料堆放覆盖、土方开挖湿法作业、路面硬化、出入车辆清洗、渣土车辆密闭运输</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六个百分之百</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施工现场架设</w:t>
            </w:r>
            <w:r>
              <w:rPr>
                <w:rFonts w:hint="default" w:ascii="Times New Roman" w:hAnsi="Times New Roman" w:eastAsia="宋体" w:cs="Times New Roman"/>
                <w:color w:val="000000"/>
                <w:kern w:val="0"/>
                <w:sz w:val="24"/>
                <w:szCs w:val="24"/>
                <w:lang w:val="en-US" w:eastAsia="zh-CN" w:bidi="ar"/>
              </w:rPr>
              <w:t>2.5m~3m</w:t>
            </w:r>
            <w:r>
              <w:rPr>
                <w:rFonts w:hint="eastAsia" w:ascii="宋体" w:hAnsi="宋体" w:eastAsia="宋体" w:cs="宋体"/>
                <w:color w:val="000000"/>
                <w:kern w:val="0"/>
                <w:sz w:val="24"/>
                <w:szCs w:val="24"/>
                <w:lang w:val="en-US" w:eastAsia="zh-CN" w:bidi="ar"/>
              </w:rPr>
              <w:t>高墙，封闭施工现场，采用密目安全网，以减少建筑结构和装修过程中的粉尘飞扬现象，降低粉尘向大气中的排放</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要求施工单位文明施工，定期对地面及施工道路洒水，每天定时洒水达到有效防尘</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（6）</w:t>
            </w:r>
            <w:r>
              <w:rPr>
                <w:rFonts w:hint="eastAsia" w:ascii="宋体" w:hAnsi="宋体" w:eastAsia="宋体" w:cs="宋体"/>
                <w:color w:val="000000"/>
                <w:kern w:val="0"/>
                <w:sz w:val="24"/>
                <w:szCs w:val="24"/>
                <w:lang w:val="en-US" w:eastAsia="zh-CN" w:bidi="ar"/>
              </w:rPr>
              <w:t>施工运送弃土车辆，车厢应严密清洁，尽量减少渣土运输时洒落在地面上，并对撒落在路面的渣土及时清除，清理时做到先洒水后清扫，避免产生扬尘对周边居民正常生活造成影响</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由于道路和扬尘量与车辆的行驶速度有关，速度越快，扬尘量越大，因此，在施工场地对施工车辆必须实施限速行驶</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在施工场地出口放置防尘垫，设置车辆冲洗系统设施，对运输车辆现场设置洗车场，用水清洗车体和轮胎</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（9）</w:t>
            </w:r>
            <w:r>
              <w:rPr>
                <w:rFonts w:hint="eastAsia" w:ascii="宋体" w:hAnsi="宋体" w:eastAsia="宋体" w:cs="宋体"/>
                <w:color w:val="000000"/>
                <w:kern w:val="0"/>
                <w:sz w:val="24"/>
                <w:szCs w:val="24"/>
                <w:lang w:val="en-US" w:eastAsia="zh-CN" w:bidi="ar"/>
              </w:rPr>
              <w:t>建材堆放地点要相对集中，应堆放在项目施工场地上设置的材料堆放间处，减少建材的露天堆放时间，对建材使用毡布覆盖</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（10）</w:t>
            </w:r>
            <w:r>
              <w:rPr>
                <w:rFonts w:hint="eastAsia" w:ascii="宋体" w:hAnsi="宋体" w:eastAsia="宋体" w:cs="宋体"/>
                <w:color w:val="000000"/>
                <w:kern w:val="0"/>
                <w:sz w:val="24"/>
                <w:szCs w:val="24"/>
                <w:lang w:val="en-US" w:eastAsia="zh-CN" w:bidi="ar"/>
              </w:rPr>
              <w:t>自卸车、垃圾运输车、拉土车等运输车辆不允许超载，选择对周围环境影响较小的运输路线，定时对运输路线进行清扫，运输车辆出场时必须封闭，避免在运输过程中的抛洒现象</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（11）</w:t>
            </w:r>
            <w:r>
              <w:rPr>
                <w:rFonts w:hint="eastAsia" w:ascii="宋体" w:hAnsi="宋体" w:eastAsia="宋体" w:cs="宋体"/>
                <w:color w:val="000000"/>
                <w:kern w:val="0"/>
                <w:sz w:val="24"/>
                <w:szCs w:val="24"/>
                <w:lang w:val="en-US" w:eastAsia="zh-CN" w:bidi="ar"/>
              </w:rPr>
              <w:t>施工过程中，施工产生的建筑渣土，不许在楼上向下倾倒，须运送地面</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禁止在大风天进行渣土堆放作业，土石方堆场采用塑料篷布遮盖，覆盖率需达</w:t>
            </w:r>
            <w:r>
              <w:rPr>
                <w:rFonts w:hint="default" w:ascii="Times New Roman" w:hAnsi="Times New Roman" w:eastAsia="宋体" w:cs="Times New Roman"/>
                <w:color w:val="000000"/>
                <w:kern w:val="0"/>
                <w:sz w:val="24"/>
                <w:szCs w:val="24"/>
                <w:lang w:val="en-US" w:eastAsia="zh-CN" w:bidi="ar"/>
              </w:rPr>
              <w:t>100%</w:t>
            </w:r>
            <w:r>
              <w:rPr>
                <w:rFonts w:hint="eastAsia" w:cs="Times New Roman"/>
                <w:color w:val="000000"/>
                <w:kern w:val="0"/>
                <w:sz w:val="24"/>
                <w:szCs w:val="24"/>
                <w:lang w:val="en-US" w:eastAsia="zh-CN" w:bidi="ar"/>
              </w:rPr>
              <w:t>。</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（13）</w:t>
            </w:r>
            <w:r>
              <w:rPr>
                <w:rFonts w:hint="eastAsia" w:ascii="宋体" w:hAnsi="宋体" w:eastAsia="宋体" w:cs="宋体"/>
                <w:color w:val="000000"/>
                <w:kern w:val="0"/>
                <w:sz w:val="24"/>
                <w:szCs w:val="24"/>
                <w:lang w:val="en-US" w:eastAsia="zh-CN" w:bidi="ar"/>
              </w:rPr>
              <w:t>运输车等运输车辆不允许超载，选择对周围环境影响较小的运输路线，定时对运输路线进行清扫，运输车辆出场时必须封闭，避免在运输过程中的抛洒现象。</w:t>
            </w:r>
          </w:p>
          <w:p>
            <w:pPr>
              <w:keepNext w:val="0"/>
              <w:keepLines w:val="0"/>
              <w:widowControl/>
              <w:suppressLineNumbers w:val="0"/>
              <w:spacing w:line="360" w:lineRule="auto"/>
              <w:ind w:firstLine="480" w:firstLineChars="200"/>
              <w:jc w:val="left"/>
            </w:pPr>
            <w:r>
              <w:rPr>
                <w:rFonts w:hint="default" w:ascii="Times New Roman" w:hAnsi="Times New Roman" w:cs="Times New Roman"/>
                <w:color w:val="000000"/>
                <w:kern w:val="0"/>
                <w:sz w:val="24"/>
                <w:szCs w:val="24"/>
                <w:lang w:val="en-US" w:eastAsia="zh-CN" w:bidi="ar"/>
              </w:rPr>
              <w:t>（14）</w:t>
            </w:r>
            <w:r>
              <w:rPr>
                <w:rFonts w:hint="eastAsia" w:ascii="宋体" w:hAnsi="宋体" w:eastAsia="宋体" w:cs="宋体"/>
                <w:color w:val="000000"/>
                <w:kern w:val="0"/>
                <w:sz w:val="24"/>
                <w:szCs w:val="24"/>
                <w:lang w:val="en-US" w:eastAsia="zh-CN" w:bidi="ar"/>
              </w:rPr>
              <w:t>为了减少扬尘的产生，施工时使用商品混凝土，不设置混凝土搅拌站。</w:t>
            </w:r>
          </w:p>
          <w:p>
            <w:pPr>
              <w:keepNext w:val="0"/>
              <w:keepLines w:val="0"/>
              <w:widowControl/>
              <w:suppressLineNumbers w:val="0"/>
              <w:spacing w:line="360" w:lineRule="auto"/>
              <w:ind w:firstLine="480" w:firstLineChars="200"/>
              <w:jc w:val="left"/>
            </w:pPr>
            <w:r>
              <w:rPr>
                <w:rFonts w:hint="eastAsia" w:ascii="宋体" w:hAnsi="宋体" w:cs="宋体"/>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15</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各区的施工管理由专人负责，并设定专门负责人定期对该区的施工扬尘污染防治措施以及环保管理进行检查和核实，严格按城市扬尘污染管理的有关规定和规范进行治理，尽量减少扬尘对环境的影响程度。</w:t>
            </w:r>
          </w:p>
          <w:p>
            <w:pPr>
              <w:keepNext w:val="0"/>
              <w:keepLines w:val="0"/>
              <w:widowControl/>
              <w:suppressLineNumbers w:val="0"/>
              <w:spacing w:line="360" w:lineRule="auto"/>
              <w:ind w:firstLine="442" w:firstLineChars="200"/>
              <w:jc w:val="left"/>
              <w:rPr>
                <w:sz w:val="24"/>
                <w:szCs w:val="24"/>
              </w:rPr>
            </w:pPr>
            <w:r>
              <w:rPr>
                <w:rFonts w:hint="default" w:ascii="Times New Roman" w:hAnsi="Times New Roman" w:cs="Times New Roman"/>
                <w:b/>
                <w:bCs w:val="0"/>
                <w:spacing w:val="-10"/>
                <w:sz w:val="24"/>
                <w:szCs w:val="24"/>
                <w:lang w:val="en-US" w:eastAsia="zh-CN"/>
              </w:rPr>
              <w:t>2.</w:t>
            </w:r>
            <w:r>
              <w:rPr>
                <w:rFonts w:hint="eastAsia" w:ascii="宋体" w:hAnsi="宋体" w:cs="宋体"/>
                <w:b/>
                <w:bCs w:val="0"/>
                <w:spacing w:val="-10"/>
                <w:sz w:val="24"/>
                <w:szCs w:val="24"/>
                <w:lang w:eastAsia="zh-CN"/>
              </w:rPr>
              <w:t>施工机械废气</w:t>
            </w:r>
            <w:r>
              <w:rPr>
                <w:rFonts w:hint="eastAsia" w:ascii="宋体" w:hAnsi="宋体" w:cs="宋体"/>
                <w:bCs/>
                <w:spacing w:val="-10"/>
                <w:sz w:val="24"/>
                <w:szCs w:val="24"/>
                <w:lang w:eastAsia="zh-CN"/>
              </w:rPr>
              <w:t>：</w:t>
            </w:r>
            <w:r>
              <w:rPr>
                <w:rFonts w:hint="eastAsia" w:ascii="宋体" w:hAnsi="宋体" w:eastAsia="宋体" w:cs="宋体"/>
                <w:color w:val="000000"/>
                <w:kern w:val="0"/>
                <w:sz w:val="24"/>
                <w:szCs w:val="24"/>
                <w:lang w:val="en-US" w:eastAsia="zh-CN" w:bidi="ar"/>
              </w:rPr>
              <w:t>施工期间，使用机动车运送原材料、设备和建筑机械设备的运转，均会排放一定量的</w:t>
            </w:r>
            <w:r>
              <w:rPr>
                <w:rFonts w:hint="default" w:ascii="Times New Roman" w:hAnsi="Times New Roman" w:eastAsia="宋体" w:cs="Times New Roman"/>
                <w:color w:val="000000"/>
                <w:kern w:val="0"/>
                <w:sz w:val="24"/>
                <w:szCs w:val="24"/>
                <w:lang w:val="en-US" w:eastAsia="zh-CN" w:bidi="ar"/>
              </w:rPr>
              <w:t>CO</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NOx</w:t>
            </w:r>
            <w:r>
              <w:rPr>
                <w:rFonts w:hint="eastAsia" w:ascii="宋体" w:hAnsi="宋体" w:eastAsia="宋体" w:cs="宋体"/>
                <w:color w:val="000000"/>
                <w:kern w:val="0"/>
                <w:sz w:val="24"/>
                <w:szCs w:val="24"/>
                <w:lang w:val="en-US" w:eastAsia="zh-CN" w:bidi="ar"/>
              </w:rPr>
              <w:t>以及未完全燃烧的</w:t>
            </w:r>
            <w:r>
              <w:rPr>
                <w:rFonts w:hint="default" w:ascii="Times New Roman" w:hAnsi="Times New Roman" w:eastAsia="宋体" w:cs="Times New Roman"/>
                <w:color w:val="000000"/>
                <w:kern w:val="0"/>
                <w:sz w:val="24"/>
                <w:szCs w:val="24"/>
                <w:lang w:val="en-US" w:eastAsia="zh-CN" w:bidi="ar"/>
              </w:rPr>
              <w:t>THC</w:t>
            </w:r>
            <w:r>
              <w:rPr>
                <w:rFonts w:hint="eastAsia" w:ascii="宋体" w:hAnsi="宋体" w:eastAsia="宋体" w:cs="宋体"/>
                <w:color w:val="000000"/>
                <w:kern w:val="0"/>
                <w:sz w:val="24"/>
                <w:szCs w:val="24"/>
                <w:lang w:val="en-US" w:eastAsia="zh-CN" w:bidi="ar"/>
              </w:rPr>
              <w:t>等，其特点是排放量小，且属间断性无组织排放，由于其这一特点，加之施工场地开阔，扩散条件良好，因此对其不加处理也可达到相应的排放标准。在施工期内应多加注意施工设备的维护，使其能够正常的运行，提高设备原料的利用率</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ind w:firstLine="442" w:firstLineChars="200"/>
              <w:jc w:val="left"/>
              <w:rPr>
                <w:sz w:val="24"/>
                <w:szCs w:val="24"/>
              </w:rPr>
            </w:pPr>
            <w:r>
              <w:rPr>
                <w:rFonts w:hint="default" w:ascii="Times New Roman" w:hAnsi="Times New Roman" w:cs="Times New Roman"/>
                <w:b/>
                <w:bCs w:val="0"/>
                <w:spacing w:val="-10"/>
                <w:sz w:val="24"/>
                <w:szCs w:val="24"/>
                <w:lang w:val="en-US" w:eastAsia="zh-CN"/>
              </w:rPr>
              <w:t>3.</w:t>
            </w:r>
            <w:r>
              <w:rPr>
                <w:rFonts w:hint="eastAsia" w:ascii="宋体" w:hAnsi="宋体" w:cs="宋体"/>
                <w:b/>
                <w:bCs w:val="0"/>
                <w:spacing w:val="-10"/>
                <w:sz w:val="24"/>
                <w:szCs w:val="24"/>
                <w:lang w:eastAsia="zh-CN"/>
              </w:rPr>
              <w:t>汽车尾气：</w:t>
            </w:r>
            <w:r>
              <w:rPr>
                <w:rFonts w:hint="eastAsia" w:ascii="宋体" w:hAnsi="宋体" w:eastAsia="宋体" w:cs="宋体"/>
                <w:color w:val="000000"/>
                <w:kern w:val="0"/>
                <w:sz w:val="24"/>
                <w:szCs w:val="24"/>
                <w:lang w:val="en-US" w:eastAsia="zh-CN" w:bidi="ar"/>
              </w:rPr>
              <w:t>施工期间，有运输车辆尾气排放，其特点是排放量小，属于间断性排放，项目施工场地扩散条件良好，这些废气可得到有效地稀释扩散，能够达标排放。本环评要求建设方对运输车辆加强保养，选取优质燃料，禁止运输车辆超载行驶；并做好施工现场的交通组织，避免因施工造成的交通阻塞，减少运输车辆怠速产生的废气排放，进一步降低其对外界环境的影响。</w:t>
            </w:r>
          </w:p>
          <w:p>
            <w:pPr>
              <w:keepNext w:val="0"/>
              <w:keepLines w:val="0"/>
              <w:widowControl/>
              <w:suppressLineNumbers w:val="0"/>
              <w:spacing w:line="360" w:lineRule="auto"/>
              <w:ind w:firstLine="480" w:firstLineChars="200"/>
              <w:jc w:val="left"/>
              <w:rPr>
                <w:rFonts w:hint="eastAsia" w:ascii="宋体" w:hAnsi="宋体" w:cs="宋体"/>
                <w:bCs/>
                <w:spacing w:val="-10"/>
                <w:sz w:val="24"/>
                <w:szCs w:val="24"/>
                <w:lang w:eastAsia="zh-CN"/>
              </w:rPr>
            </w:pPr>
            <w:r>
              <w:rPr>
                <w:rFonts w:hint="eastAsia" w:ascii="宋体" w:hAnsi="宋体" w:eastAsia="宋体" w:cs="宋体"/>
                <w:color w:val="000000"/>
                <w:kern w:val="0"/>
                <w:sz w:val="24"/>
                <w:szCs w:val="24"/>
                <w:lang w:val="en-US" w:eastAsia="zh-CN" w:bidi="ar"/>
              </w:rPr>
              <w:t>在采取以上大气污染物防治措施后，加上项目所在场地扩散条件较好，因此本项目施工阶段产生的废气可达标排放</w:t>
            </w:r>
            <w:r>
              <w:rPr>
                <w:rFonts w:hint="eastAsia" w:ascii="宋体" w:hAnsi="宋体" w:cs="宋体"/>
                <w:color w:val="000000"/>
                <w:kern w:val="0"/>
                <w:sz w:val="24"/>
                <w:szCs w:val="24"/>
                <w:lang w:val="en-US" w:eastAsia="zh-CN" w:bidi="ar"/>
              </w:rPr>
              <w:t>。</w:t>
            </w:r>
          </w:p>
          <w:p>
            <w:pPr>
              <w:numPr>
                <w:ilvl w:val="0"/>
                <w:numId w:val="0"/>
              </w:numPr>
              <w:adjustRightInd w:val="0"/>
              <w:snapToGrid w:val="0"/>
              <w:spacing w:line="360" w:lineRule="auto"/>
              <w:rPr>
                <w:rFonts w:hint="eastAsia" w:ascii="宋体" w:hAnsi="宋体" w:cs="宋体"/>
                <w:b/>
                <w:bCs w:val="0"/>
                <w:spacing w:val="-10"/>
                <w:sz w:val="24"/>
                <w:szCs w:val="24"/>
                <w:lang w:eastAsia="zh-CN"/>
              </w:rPr>
            </w:pPr>
            <w:r>
              <w:rPr>
                <w:rFonts w:hint="eastAsia" w:ascii="宋体" w:hAnsi="宋体" w:cs="宋体"/>
                <w:b/>
                <w:bCs w:val="0"/>
                <w:spacing w:val="-10"/>
                <w:sz w:val="24"/>
                <w:szCs w:val="24"/>
                <w:lang w:eastAsia="zh-CN"/>
              </w:rPr>
              <w:t>二、施工期废水产生情况及治理措施</w:t>
            </w:r>
          </w:p>
          <w:p>
            <w:pPr>
              <w:keepNext w:val="0"/>
              <w:keepLines w:val="0"/>
              <w:widowControl/>
              <w:suppressLineNumbers w:val="0"/>
              <w:spacing w:line="360" w:lineRule="auto"/>
              <w:ind w:firstLine="442" w:firstLineChars="200"/>
              <w:jc w:val="left"/>
              <w:rPr>
                <w:rFonts w:hint="eastAsia" w:cs="Times New Roman"/>
                <w:color w:val="000000"/>
                <w:kern w:val="0"/>
                <w:sz w:val="24"/>
                <w:szCs w:val="24"/>
                <w:vertAlign w:val="baseline"/>
                <w:lang w:val="en-US" w:eastAsia="zh-CN" w:bidi="ar"/>
              </w:rPr>
            </w:pPr>
            <w:r>
              <w:rPr>
                <w:rFonts w:hint="default" w:ascii="Times New Roman" w:hAnsi="Times New Roman" w:cs="Times New Roman"/>
                <w:b/>
                <w:bCs w:val="0"/>
                <w:spacing w:val="-10"/>
                <w:sz w:val="24"/>
                <w:szCs w:val="24"/>
                <w:lang w:val="en-US" w:eastAsia="zh-CN"/>
              </w:rPr>
              <w:t>1.</w:t>
            </w:r>
            <w:r>
              <w:rPr>
                <w:rFonts w:hint="eastAsia" w:ascii="宋体" w:hAnsi="宋体" w:cs="宋体"/>
                <w:b/>
                <w:bCs w:val="0"/>
                <w:spacing w:val="-10"/>
                <w:sz w:val="24"/>
                <w:szCs w:val="24"/>
                <w:lang w:eastAsia="zh-CN"/>
              </w:rPr>
              <w:t>施工人员生活废水：</w:t>
            </w:r>
            <w:r>
              <w:rPr>
                <w:rFonts w:hint="eastAsia" w:ascii="宋体" w:hAnsi="宋体" w:eastAsia="宋体" w:cs="宋体"/>
                <w:color w:val="000000"/>
                <w:kern w:val="0"/>
                <w:sz w:val="24"/>
                <w:szCs w:val="24"/>
                <w:lang w:val="en-US" w:eastAsia="zh-CN" w:bidi="ar"/>
              </w:rPr>
              <w:t>项目拟建工期为</w:t>
            </w:r>
            <w:r>
              <w:rPr>
                <w:rFonts w:hint="eastAsia"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个月，施工期最大施工人员数量为</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人，用水量按照</w:t>
            </w:r>
            <w:r>
              <w:rPr>
                <w:rFonts w:hint="default" w:ascii="Times New Roman" w:hAnsi="Times New Roman" w:eastAsia="宋体" w:cs="Times New Roman"/>
                <w:color w:val="000000"/>
                <w:kern w:val="0"/>
                <w:sz w:val="24"/>
                <w:szCs w:val="24"/>
                <w:lang w:val="en-US" w:eastAsia="zh-CN" w:bidi="ar"/>
              </w:rPr>
              <w:t>0</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人</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计，则施工期的生活用水量约为</w:t>
            </w:r>
            <w:r>
              <w:rPr>
                <w:rFonts w:hint="eastAsia" w:ascii="Times New Roman" w:hAnsi="Times New Roman" w:eastAsia="宋体" w:cs="Times New Roman"/>
                <w:color w:val="000000"/>
                <w:kern w:val="0"/>
                <w:sz w:val="24"/>
                <w:szCs w:val="24"/>
                <w:lang w:val="en-US" w:eastAsia="zh-CN" w:bidi="ar"/>
              </w:rPr>
              <w:t>1.6</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cs="Times New Roman"/>
                <w:color w:val="000000"/>
                <w:kern w:val="0"/>
                <w:sz w:val="24"/>
                <w:szCs w:val="24"/>
                <w:vertAlign w:val="baseline"/>
                <w:lang w:val="en-US" w:eastAsia="zh-CN" w:bidi="ar"/>
              </w:rPr>
              <w:t>。生活污水污染物浓度：COD:350mg/L，BOD</w:t>
            </w:r>
            <w:r>
              <w:rPr>
                <w:rFonts w:hint="eastAsia" w:cs="Times New Roman"/>
                <w:color w:val="000000"/>
                <w:kern w:val="0"/>
                <w:sz w:val="24"/>
                <w:szCs w:val="24"/>
                <w:vertAlign w:val="subscript"/>
                <w:lang w:val="en-US" w:eastAsia="zh-CN" w:bidi="ar"/>
              </w:rPr>
              <w:t>5</w:t>
            </w:r>
            <w:r>
              <w:rPr>
                <w:rFonts w:hint="eastAsia" w:cs="Times New Roman"/>
                <w:color w:val="000000"/>
                <w:kern w:val="0"/>
                <w:sz w:val="24"/>
                <w:szCs w:val="24"/>
                <w:vertAlign w:val="baseline"/>
                <w:lang w:val="en-US" w:eastAsia="zh-CN" w:bidi="ar"/>
              </w:rPr>
              <w:t>:200mg/L，SS:200mg/L，NH</w:t>
            </w:r>
            <w:r>
              <w:rPr>
                <w:rFonts w:hint="eastAsia" w:cs="Times New Roman"/>
                <w:color w:val="000000"/>
                <w:kern w:val="0"/>
                <w:sz w:val="24"/>
                <w:szCs w:val="24"/>
                <w:vertAlign w:val="subscript"/>
                <w:lang w:val="en-US" w:eastAsia="zh-CN" w:bidi="ar"/>
              </w:rPr>
              <w:t>3</w:t>
            </w:r>
            <w:r>
              <w:rPr>
                <w:rFonts w:hint="eastAsia" w:cs="Times New Roman"/>
                <w:color w:val="000000"/>
                <w:kern w:val="0"/>
                <w:sz w:val="24"/>
                <w:szCs w:val="24"/>
                <w:vertAlign w:val="baseline"/>
                <w:lang w:val="en-US" w:eastAsia="zh-CN" w:bidi="ar"/>
              </w:rPr>
              <w:t>-N:30mg/L。</w:t>
            </w:r>
            <w:r>
              <w:rPr>
                <w:rFonts w:hint="eastAsia" w:ascii="Times New Roman" w:hAnsi="Times New Roman" w:eastAsia="宋体" w:cs="Times New Roman"/>
                <w:color w:val="000000"/>
                <w:kern w:val="0"/>
                <w:sz w:val="24"/>
                <w:szCs w:val="24"/>
                <w:lang w:val="en-US" w:eastAsia="zh-CN" w:bidi="ar"/>
              </w:rPr>
              <w:t>施工人员生活废水</w:t>
            </w:r>
            <w:r>
              <w:rPr>
                <w:rFonts w:hint="default" w:ascii="Times New Roman" w:hAnsi="Times New Roman" w:eastAsia="宋体" w:cs="Times New Roman"/>
                <w:color w:val="000000"/>
                <w:kern w:val="0"/>
                <w:sz w:val="24"/>
                <w:szCs w:val="24"/>
                <w:lang w:val="en-US" w:eastAsia="zh-CN" w:bidi="ar"/>
              </w:rPr>
              <w:t>依托周边</w:t>
            </w:r>
            <w:r>
              <w:rPr>
                <w:rFonts w:hint="eastAsia" w:ascii="Times New Roman" w:hAnsi="Times New Roman" w:eastAsia="宋体" w:cs="Times New Roman"/>
                <w:color w:val="000000"/>
                <w:kern w:val="0"/>
                <w:sz w:val="24"/>
                <w:szCs w:val="24"/>
                <w:lang w:val="en-US" w:eastAsia="zh-CN" w:bidi="ar"/>
              </w:rPr>
              <w:t>已有</w:t>
            </w:r>
            <w:r>
              <w:rPr>
                <w:rFonts w:hint="default" w:ascii="Times New Roman" w:hAnsi="Times New Roman" w:eastAsia="宋体" w:cs="Times New Roman"/>
                <w:color w:val="000000"/>
                <w:kern w:val="0"/>
                <w:sz w:val="24"/>
                <w:szCs w:val="24"/>
                <w:lang w:val="en-US" w:eastAsia="zh-CN" w:bidi="ar"/>
              </w:rPr>
              <w:t>民房已建污水处理设施处理</w:t>
            </w:r>
            <w:r>
              <w:rPr>
                <w:rFonts w:hint="eastAsia"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ind w:firstLine="482" w:firstLineChars="200"/>
              <w:jc w:val="left"/>
              <w:rPr>
                <w:rFonts w:hint="eastAsia" w:ascii="宋体" w:hAnsi="宋体" w:cs="宋体"/>
                <w:color w:val="000000"/>
                <w:kern w:val="0"/>
                <w:sz w:val="24"/>
                <w:szCs w:val="24"/>
                <w:lang w:val="en-US" w:eastAsia="zh-CN" w:bidi="ar"/>
              </w:rPr>
            </w:pPr>
            <w:r>
              <w:rPr>
                <w:rFonts w:hint="default" w:ascii="Times New Roman" w:hAnsi="Times New Roman" w:cs="Times New Roman"/>
                <w:b/>
                <w:bCs/>
                <w:color w:val="000000"/>
                <w:kern w:val="0"/>
                <w:sz w:val="24"/>
                <w:szCs w:val="24"/>
                <w:vertAlign w:val="baseline"/>
                <w:lang w:val="en-US" w:eastAsia="zh-CN" w:bidi="ar"/>
              </w:rPr>
              <w:t>2.</w:t>
            </w:r>
            <w:r>
              <w:rPr>
                <w:rFonts w:hint="eastAsia" w:cs="Times New Roman"/>
                <w:b/>
                <w:bCs/>
                <w:color w:val="000000"/>
                <w:kern w:val="0"/>
                <w:sz w:val="24"/>
                <w:szCs w:val="24"/>
                <w:vertAlign w:val="baseline"/>
                <w:lang w:val="en-US" w:eastAsia="zh-CN" w:bidi="ar"/>
              </w:rPr>
              <w:t>施工废水：</w:t>
            </w:r>
            <w:r>
              <w:rPr>
                <w:rFonts w:hint="eastAsia" w:ascii="宋体" w:hAnsi="宋体" w:eastAsia="宋体" w:cs="宋体"/>
                <w:color w:val="000000"/>
                <w:kern w:val="0"/>
                <w:sz w:val="24"/>
                <w:szCs w:val="24"/>
                <w:lang w:val="en-US" w:eastAsia="zh-CN" w:bidi="ar"/>
              </w:rPr>
              <w:t>本项目施工废水主要为车辆冲洗、施工机械冲洗、地面冲洗废水，产生量约为</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，其主要污染物为</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。环评要求施工期设置简易沉淀池，施工废水经简易沉淀池处理后，全部回用洒水降尘，不外排。因本项目颚式破碎机采用半地埋式安装，需在现有平面下挖</w:t>
            </w:r>
            <w:r>
              <w:rPr>
                <w:rFonts w:hint="default" w:ascii="Times New Roman" w:hAnsi="Times New Roman" w:eastAsia="宋体" w:cs="Times New Roman"/>
                <w:color w:val="000000"/>
                <w:kern w:val="0"/>
                <w:sz w:val="24"/>
                <w:szCs w:val="24"/>
                <w:lang w:val="en-US" w:eastAsia="zh-CN" w:bidi="ar"/>
              </w:rPr>
              <w:t>5m</w:t>
            </w:r>
            <w:r>
              <w:rPr>
                <w:rFonts w:hint="eastAsia" w:ascii="宋体" w:hAnsi="宋体" w:eastAsia="宋体" w:cs="宋体"/>
                <w:color w:val="000000"/>
                <w:kern w:val="0"/>
                <w:sz w:val="24"/>
                <w:szCs w:val="24"/>
                <w:lang w:val="en-US" w:eastAsia="zh-CN" w:bidi="ar"/>
              </w:rPr>
              <w:t>，如施工过程中产生地下涌水，需对地下涌水进行沉淀处理后再外排。本项目周边居民均使用市政供水，施工下挖不会对周边居民用水产生影响</w:t>
            </w:r>
            <w:r>
              <w:rPr>
                <w:rFonts w:hint="eastAsia" w:ascii="宋体" w:hAnsi="宋体" w:cs="宋体"/>
                <w:color w:val="000000"/>
                <w:kern w:val="0"/>
                <w:sz w:val="24"/>
                <w:szCs w:val="24"/>
                <w:lang w:val="en-US" w:eastAsia="zh-CN" w:bidi="ar"/>
              </w:rPr>
              <w:t>。</w:t>
            </w:r>
          </w:p>
          <w:p>
            <w:pPr>
              <w:keepNext w:val="0"/>
              <w:keepLines w:val="0"/>
              <w:widowControl/>
              <w:suppressLineNumbers w:val="0"/>
              <w:spacing w:line="360" w:lineRule="auto"/>
              <w:jc w:val="left"/>
              <w:rPr>
                <w:rFonts w:hint="eastAsia" w:cs="Times New Roman"/>
                <w:b/>
                <w:bCs/>
                <w:color w:val="000000"/>
                <w:kern w:val="0"/>
                <w:sz w:val="24"/>
                <w:szCs w:val="24"/>
                <w:vertAlign w:val="baseline"/>
                <w:lang w:val="en-US" w:eastAsia="zh-CN" w:bidi="ar"/>
              </w:rPr>
            </w:pPr>
            <w:r>
              <w:rPr>
                <w:rFonts w:hint="eastAsia" w:cs="Times New Roman"/>
                <w:b/>
                <w:bCs/>
                <w:color w:val="000000"/>
                <w:kern w:val="0"/>
                <w:sz w:val="24"/>
                <w:szCs w:val="24"/>
                <w:vertAlign w:val="baseline"/>
                <w:lang w:val="en-US" w:eastAsia="zh-CN" w:bidi="ar"/>
              </w:rPr>
              <w:t>三、施工期噪声产生情况及治理措施</w:t>
            </w:r>
          </w:p>
          <w:p>
            <w:pPr>
              <w:keepNext w:val="0"/>
              <w:keepLines w:val="0"/>
              <w:widowControl/>
              <w:suppressLineNumbers w:val="0"/>
              <w:spacing w:line="360" w:lineRule="auto"/>
              <w:ind w:firstLine="480" w:firstLineChars="200"/>
              <w:jc w:val="left"/>
              <w:rPr>
                <w:sz w:val="24"/>
                <w:szCs w:val="24"/>
              </w:rPr>
            </w:pPr>
            <w:r>
              <w:rPr>
                <w:rFonts w:hint="eastAsia" w:cs="Times New Roman"/>
                <w:color w:val="000000"/>
                <w:kern w:val="0"/>
                <w:sz w:val="24"/>
                <w:szCs w:val="24"/>
                <w:vertAlign w:val="baseline"/>
                <w:lang w:val="en-US" w:eastAsia="zh-CN" w:bidi="ar"/>
              </w:rPr>
              <w:t>本项目施工用机械设备主要为推土机、挖掘机、运载机、搅拌机、运输车辆等，均为强噪声源。</w:t>
            </w:r>
            <w:r>
              <w:rPr>
                <w:rFonts w:hint="eastAsia" w:ascii="宋体" w:hAnsi="宋体" w:eastAsia="宋体" w:cs="宋体"/>
                <w:color w:val="000000"/>
                <w:kern w:val="0"/>
                <w:sz w:val="24"/>
                <w:szCs w:val="24"/>
                <w:lang w:val="en-US" w:eastAsia="zh-CN" w:bidi="ar"/>
              </w:rPr>
              <w:t>施工噪声对环境的影响是非连续的，昼间由于环境噪声背景值较大，建筑施工噪声的影响不会太明显；而到了夜间，环境噪声背景值较小施工噪声的影响较明显。</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因此，建设单位及施工单位应遵守有关法规和《建筑施工场界环境噪声排放标准》（</w:t>
            </w:r>
            <w:r>
              <w:rPr>
                <w:rFonts w:hint="default" w:ascii="Times New Roman" w:hAnsi="Times New Roman" w:eastAsia="宋体" w:cs="Times New Roman"/>
                <w:color w:val="000000"/>
                <w:kern w:val="0"/>
                <w:sz w:val="24"/>
                <w:szCs w:val="24"/>
                <w:lang w:val="en-US" w:eastAsia="zh-CN" w:bidi="ar"/>
              </w:rPr>
              <w:t>GB12523-2011</w:t>
            </w:r>
            <w:r>
              <w:rPr>
                <w:rFonts w:hint="eastAsia" w:ascii="宋体" w:hAnsi="宋体" w:eastAsia="宋体" w:cs="宋体"/>
                <w:color w:val="000000"/>
                <w:kern w:val="0"/>
                <w:sz w:val="24"/>
                <w:szCs w:val="24"/>
                <w:lang w:val="en-US" w:eastAsia="zh-CN" w:bidi="ar"/>
              </w:rPr>
              <w:t>）中的标准与规定，并做到：</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①施工时采用降噪作业方式：施工机械选型时尽量选用可替代的低噪声的设备，对动力机械设备进行定期的维修、养护，避免设备因松动部件的振动或消声器的损坏而增加其工作时的声压级，设备用完后或不用时应立即关闭。</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②合理设计施工总平面图：合理布置产噪区，如将木工、钢筋加工房等设置在远期居民点一侧，减小对周围敏感点的影响。</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③合理安排施工工序，尽量缩短施工周期。</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④合理安排施工时间：将强噪声作业尽量安排在白天进行；如果工艺要求必须连续作业的强噪声施工，制订施工计划时，应尽可能避免大量高噪声设备同时施工；尽量不在夜间施工，除非有些施工工艺必须连续作业，主要有钻孔灌注桩机钻孔、清孔和灌注砼，土石方阶段挖基坑，屋面浇砼等，除这些作业外，其他情况如装修阶段的切割机、电锯、电钻、电砂轮、水磨石机、钢模板作业、禁止夜间施工；特殊需要在夜间施工的，应首先征得当地城管等行政主管部门及周边住户的同意。</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⑤最大限度地降低人为噪音：不要采取噪声较大的钢模板作业方式；在操作中尽量避免敲打砼导管；搬卸物品应轻放，施工工具不要乱扔、远扔；木工房使用前应完全封闭；运输车辆进入现场应减速、并减少鸣笛等。</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⑥严格执行中高考禁噪的要求。</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综上所述，施工期噪声经过治理后，可使施工期间的场界噪声满足《建筑施工场界环境噪声排放标准》（</w:t>
            </w:r>
            <w:r>
              <w:rPr>
                <w:rFonts w:hint="default" w:ascii="Times New Roman" w:hAnsi="Times New Roman" w:eastAsia="宋体" w:cs="Times New Roman"/>
                <w:color w:val="000000"/>
                <w:kern w:val="0"/>
                <w:sz w:val="24"/>
                <w:szCs w:val="24"/>
                <w:lang w:val="en-US" w:eastAsia="zh-CN" w:bidi="ar"/>
              </w:rPr>
              <w:t>GB12523-2011</w:t>
            </w:r>
            <w:r>
              <w:rPr>
                <w:rFonts w:hint="eastAsia" w:ascii="宋体" w:hAnsi="宋体" w:eastAsia="宋体" w:cs="宋体"/>
                <w:color w:val="000000"/>
                <w:kern w:val="0"/>
                <w:sz w:val="24"/>
                <w:szCs w:val="24"/>
                <w:lang w:val="en-US" w:eastAsia="zh-CN" w:bidi="ar"/>
              </w:rPr>
              <w:t>）标准的要求，实现达标排放。</w:t>
            </w:r>
          </w:p>
          <w:p>
            <w:pPr>
              <w:keepNext w:val="0"/>
              <w:keepLines w:val="0"/>
              <w:widowControl/>
              <w:suppressLineNumbers w:val="0"/>
              <w:spacing w:line="360" w:lineRule="auto"/>
              <w:jc w:val="left"/>
              <w:rPr>
                <w:rFonts w:hint="eastAsia" w:cs="Times New Roman"/>
                <w:b/>
                <w:bCs/>
                <w:color w:val="000000"/>
                <w:kern w:val="0"/>
                <w:sz w:val="24"/>
                <w:szCs w:val="24"/>
                <w:vertAlign w:val="baseline"/>
                <w:lang w:val="en-US" w:eastAsia="zh-CN" w:bidi="ar"/>
              </w:rPr>
            </w:pPr>
            <w:r>
              <w:rPr>
                <w:rFonts w:hint="eastAsia" w:cs="Times New Roman"/>
                <w:b/>
                <w:bCs/>
                <w:color w:val="000000"/>
                <w:kern w:val="0"/>
                <w:sz w:val="24"/>
                <w:szCs w:val="24"/>
                <w:vertAlign w:val="baseline"/>
                <w:lang w:val="en-US" w:eastAsia="zh-CN" w:bidi="ar"/>
              </w:rPr>
              <w:t>四、施工期固废产生情况及治理措施</w:t>
            </w:r>
          </w:p>
          <w:p>
            <w:pPr>
              <w:keepNext w:val="0"/>
              <w:keepLines w:val="0"/>
              <w:widowControl/>
              <w:suppressLineNumbers w:val="0"/>
              <w:spacing w:line="360" w:lineRule="auto"/>
              <w:ind w:firstLine="482" w:firstLineChars="200"/>
              <w:jc w:val="left"/>
            </w:pPr>
            <w:r>
              <w:rPr>
                <w:rFonts w:hint="eastAsia" w:cs="Times New Roman"/>
                <w:b/>
                <w:bCs/>
                <w:color w:val="000000"/>
                <w:kern w:val="0"/>
                <w:sz w:val="24"/>
                <w:szCs w:val="24"/>
                <w:vertAlign w:val="baseline"/>
                <w:lang w:val="en-US" w:eastAsia="zh-CN" w:bidi="ar"/>
              </w:rPr>
              <w:t>建筑垃圾：</w:t>
            </w:r>
            <w:r>
              <w:rPr>
                <w:rFonts w:hint="eastAsia" w:ascii="宋体" w:hAnsi="宋体" w:eastAsia="宋体" w:cs="宋体"/>
                <w:color w:val="000000"/>
                <w:kern w:val="0"/>
                <w:sz w:val="24"/>
                <w:szCs w:val="24"/>
                <w:lang w:val="en-US" w:eastAsia="zh-CN" w:bidi="ar"/>
              </w:rPr>
              <w:t>根据同类项目分析，本项目施工期产生的建筑垃圾主要指废包装袋、废板材边角料等，产生量约为</w:t>
            </w:r>
            <w:r>
              <w:rPr>
                <w:rFonts w:hint="eastAsia" w:ascii="Times New Roman" w:hAnsi="Times New Roman" w:eastAsia="宋体"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0t</w:t>
            </w:r>
            <w:r>
              <w:rPr>
                <w:rFonts w:hint="eastAsia"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建筑垃圾中能回收的部分出售给废品回收站处理，不能回收的运至政府部门指定地点进行处置</w:t>
            </w:r>
            <w:r>
              <w:rPr>
                <w:rFonts w:hint="eastAsia" w:ascii="宋体" w:hAnsi="宋体" w:cs="宋体"/>
                <w:color w:val="000000"/>
                <w:kern w:val="0"/>
                <w:sz w:val="24"/>
                <w:szCs w:val="24"/>
                <w:lang w:val="en-US" w:eastAsia="zh-CN" w:bidi="ar"/>
              </w:rPr>
              <w:t>。</w:t>
            </w:r>
          </w:p>
          <w:p>
            <w:pPr>
              <w:adjustRightInd w:val="0"/>
              <w:snapToGrid w:val="0"/>
              <w:spacing w:line="360" w:lineRule="auto"/>
              <w:ind w:firstLine="482" w:firstLineChars="200"/>
              <w:rPr>
                <w:rFonts w:hint="eastAsia"/>
                <w:b/>
                <w:bCs/>
                <w:szCs w:val="21"/>
              </w:rPr>
            </w:pPr>
            <w:r>
              <w:rPr>
                <w:rFonts w:hint="eastAsia"/>
                <w:b/>
                <w:bCs/>
                <w:sz w:val="24"/>
                <w:szCs w:val="24"/>
                <w:lang w:eastAsia="zh-CN"/>
              </w:rPr>
              <w:t>施工人员生活垃圾：</w:t>
            </w:r>
            <w:r>
              <w:rPr>
                <w:rFonts w:hint="eastAsia" w:ascii="宋体" w:hAnsi="宋体" w:eastAsia="宋体" w:cs="宋体"/>
                <w:color w:val="000000"/>
                <w:kern w:val="0"/>
                <w:sz w:val="24"/>
                <w:szCs w:val="24"/>
                <w:lang w:val="en-US" w:eastAsia="zh-CN" w:bidi="ar"/>
              </w:rPr>
              <w:t>项目施工定员</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w:t>
            </w:r>
            <w:r>
              <w:rPr>
                <w:rFonts w:hint="eastAsia" w:ascii="宋体" w:hAnsi="宋体" w:eastAsia="宋体" w:cs="宋体"/>
                <w:color w:val="000000"/>
                <w:kern w:val="0"/>
                <w:sz w:val="24"/>
                <w:szCs w:val="24"/>
                <w:lang w:val="en-US" w:eastAsia="zh-CN" w:bidi="ar"/>
              </w:rPr>
              <w:t>人，生活垃圾的产生量按照每人</w:t>
            </w:r>
            <w:r>
              <w:rPr>
                <w:rFonts w:hint="default" w:ascii="Times New Roman" w:hAnsi="Times New Roman" w:eastAsia="宋体" w:cs="Times New Roman"/>
                <w:color w:val="000000"/>
                <w:kern w:val="0"/>
                <w:sz w:val="24"/>
                <w:szCs w:val="24"/>
                <w:lang w:val="en-US" w:eastAsia="zh-CN" w:bidi="ar"/>
              </w:rPr>
              <w:t>1.0kg/d</w:t>
            </w:r>
            <w:r>
              <w:rPr>
                <w:rFonts w:hint="eastAsia" w:ascii="宋体" w:hAnsi="宋体" w:eastAsia="宋体" w:cs="宋体"/>
                <w:color w:val="000000"/>
                <w:kern w:val="0"/>
                <w:sz w:val="24"/>
                <w:szCs w:val="24"/>
                <w:lang w:val="en-US" w:eastAsia="zh-CN" w:bidi="ar"/>
              </w:rPr>
              <w:t>计，则估算出本项目施工期产生的生活垃圾约为</w:t>
            </w:r>
            <w:r>
              <w:rPr>
                <w:rFonts w:hint="eastAsia" w:ascii="Times New Roman" w:hAnsi="Times New Roman" w:eastAsia="宋体"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0kg/d</w:t>
            </w:r>
            <w:r>
              <w:rPr>
                <w:rFonts w:hint="eastAsia" w:ascii="宋体" w:hAnsi="宋体" w:eastAsia="宋体" w:cs="宋体"/>
                <w:color w:val="000000"/>
                <w:kern w:val="0"/>
                <w:sz w:val="24"/>
                <w:szCs w:val="24"/>
                <w:lang w:val="en-US" w:eastAsia="zh-CN" w:bidi="ar"/>
              </w:rPr>
              <w:t>，施工期</w:t>
            </w:r>
            <w:r>
              <w:rPr>
                <w:rFonts w:hint="eastAsia"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个月期间共产生</w:t>
            </w:r>
            <w:r>
              <w:rPr>
                <w:rFonts w:hint="eastAsia" w:ascii="Times New Roman" w:hAnsi="Times New Roman" w:eastAsia="宋体" w:cs="Times New Roman"/>
                <w:color w:val="000000"/>
                <w:kern w:val="0"/>
                <w:sz w:val="24"/>
                <w:szCs w:val="24"/>
                <w:lang w:val="en-US" w:eastAsia="zh-CN" w:bidi="ar"/>
              </w:rPr>
              <w:t>6.0</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。生活垃圾收集后由环卫部门统一清运处理</w:t>
            </w:r>
            <w:r>
              <w:rPr>
                <w:rFonts w:hint="eastAsia"/>
                <w:lang w:eastAsia="zh-CN"/>
              </w:rPr>
              <w:t>。</w:t>
            </w:r>
          </w:p>
          <w:p>
            <w:pPr>
              <w:adjustRightInd w:val="0"/>
              <w:snapToGrid w:val="0"/>
              <w:spacing w:line="360" w:lineRule="auto"/>
              <w:ind w:firstLine="480" w:firstLineChars="200"/>
              <w:rPr>
                <w:rFonts w:hint="eastAsia"/>
                <w:bCs/>
                <w:szCs w:val="21"/>
              </w:rPr>
            </w:pPr>
            <w:bookmarkStart w:id="2" w:name="OLE_LINK1"/>
            <w:bookmarkStart w:id="3" w:name="OLE_LINK6"/>
            <w:r>
              <w:rPr>
                <w:rFonts w:hint="eastAsia" w:ascii="宋体" w:hAnsi="宋体" w:eastAsia="宋体" w:cs="宋体"/>
                <w:color w:val="000000"/>
                <w:kern w:val="0"/>
                <w:sz w:val="24"/>
                <w:szCs w:val="24"/>
                <w:lang w:val="en-US" w:eastAsia="zh-CN" w:bidi="ar"/>
              </w:rPr>
              <w:t>因此，项目施工期产生的固体废物均能够有效处置，符合环境保护的要求，不会对周围环境造成二次污染。施工期结束后，上述影响均消失。</w:t>
            </w:r>
            <w:bookmarkEnd w:id="2"/>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6" w:hRule="atLeast"/>
          <w:jc w:val="center"/>
        </w:trPr>
        <w:tc>
          <w:tcPr>
            <w:tcW w:w="746" w:type="dxa"/>
            <w:noWrap w:val="0"/>
            <w:tcMar>
              <w:left w:w="28" w:type="dxa"/>
              <w:right w:w="28" w:type="dxa"/>
            </w:tcMar>
            <w:vAlign w:val="center"/>
          </w:tcPr>
          <w:p>
            <w:pPr>
              <w:adjustRightInd w:val="0"/>
              <w:snapToGrid w:val="0"/>
              <w:jc w:val="center"/>
              <w:rPr>
                <w:bCs/>
                <w:sz w:val="24"/>
                <w:szCs w:val="24"/>
              </w:rPr>
            </w:pPr>
            <w:r>
              <w:rPr>
                <w:bCs/>
                <w:sz w:val="24"/>
                <w:szCs w:val="24"/>
              </w:rPr>
              <w:t>运营</w:t>
            </w:r>
          </w:p>
          <w:p>
            <w:pPr>
              <w:adjustRightInd w:val="0"/>
              <w:snapToGrid w:val="0"/>
              <w:jc w:val="center"/>
              <w:rPr>
                <w:bCs/>
                <w:sz w:val="24"/>
                <w:szCs w:val="24"/>
              </w:rPr>
            </w:pPr>
            <w:r>
              <w:rPr>
                <w:bCs/>
                <w:sz w:val="24"/>
                <w:szCs w:val="24"/>
              </w:rPr>
              <w:t>期环</w:t>
            </w:r>
          </w:p>
          <w:p>
            <w:pPr>
              <w:adjustRightInd w:val="0"/>
              <w:snapToGrid w:val="0"/>
              <w:jc w:val="center"/>
              <w:rPr>
                <w:bCs/>
                <w:sz w:val="24"/>
                <w:szCs w:val="24"/>
              </w:rPr>
            </w:pPr>
            <w:r>
              <w:rPr>
                <w:bCs/>
                <w:sz w:val="24"/>
                <w:szCs w:val="24"/>
              </w:rPr>
              <w:t>境影</w:t>
            </w:r>
          </w:p>
          <w:p>
            <w:pPr>
              <w:adjustRightInd w:val="0"/>
              <w:snapToGrid w:val="0"/>
              <w:jc w:val="center"/>
              <w:rPr>
                <w:bCs/>
                <w:sz w:val="24"/>
                <w:szCs w:val="24"/>
              </w:rPr>
            </w:pPr>
            <w:r>
              <w:rPr>
                <w:bCs/>
                <w:sz w:val="24"/>
                <w:szCs w:val="24"/>
              </w:rPr>
              <w:t>响和</w:t>
            </w:r>
          </w:p>
          <w:p>
            <w:pPr>
              <w:adjustRightInd w:val="0"/>
              <w:snapToGrid w:val="0"/>
              <w:jc w:val="center"/>
              <w:rPr>
                <w:bCs/>
                <w:sz w:val="24"/>
                <w:szCs w:val="24"/>
              </w:rPr>
            </w:pPr>
            <w:r>
              <w:rPr>
                <w:bCs/>
                <w:sz w:val="24"/>
                <w:szCs w:val="24"/>
              </w:rPr>
              <w:t>保护</w:t>
            </w:r>
          </w:p>
          <w:p>
            <w:pPr>
              <w:adjustRightInd w:val="0"/>
              <w:snapToGrid w:val="0"/>
              <w:jc w:val="center"/>
              <w:rPr>
                <w:bCs/>
                <w:szCs w:val="21"/>
              </w:rPr>
            </w:pPr>
            <w:r>
              <w:rPr>
                <w:bCs/>
                <w:sz w:val="24"/>
                <w:szCs w:val="24"/>
              </w:rPr>
              <w:t>措施</w:t>
            </w:r>
          </w:p>
        </w:tc>
        <w:tc>
          <w:tcPr>
            <w:tcW w:w="8162"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left"/>
              <w:textAlignment w:val="auto"/>
              <w:rPr>
                <w:rFonts w:hint="eastAsia"/>
                <w:b/>
                <w:bCs/>
                <w:sz w:val="24"/>
                <w:szCs w:val="24"/>
                <w:lang w:val="en-US" w:eastAsia="zh-CN"/>
              </w:rPr>
            </w:pPr>
            <w:r>
              <w:rPr>
                <w:rFonts w:hint="eastAsia"/>
                <w:b/>
                <w:bCs/>
                <w:sz w:val="24"/>
                <w:szCs w:val="24"/>
                <w:lang w:val="en-US" w:eastAsia="zh-CN"/>
              </w:rPr>
              <w:t>一、大气环境影响及保护措施</w:t>
            </w:r>
          </w:p>
          <w:p>
            <w:pPr>
              <w:pStyle w:val="21"/>
              <w:keepNext w:val="0"/>
              <w:keepLines w:val="0"/>
              <w:pageBreakBefore w:val="0"/>
              <w:widowControl w:val="0"/>
              <w:kinsoku/>
              <w:wordWrap/>
              <w:overflowPunct/>
              <w:topLinePunct w:val="0"/>
              <w:bidi w:val="0"/>
              <w:adjustRightInd w:val="0"/>
              <w:snapToGrid/>
              <w:spacing w:line="360" w:lineRule="auto"/>
              <w:ind w:left="0" w:leftChars="0" w:firstLine="0" w:firstLineChars="0"/>
              <w:jc w:val="left"/>
              <w:textAlignment w:val="baseline"/>
              <w:rPr>
                <w:rFonts w:hint="eastAsia"/>
                <w:b/>
                <w:bCs/>
                <w:sz w:val="24"/>
                <w:szCs w:val="24"/>
                <w:lang w:eastAsia="zh-CN"/>
              </w:rPr>
            </w:pPr>
            <w:r>
              <w:rPr>
                <w:rFonts w:hint="eastAsia"/>
                <w:b/>
                <w:bCs/>
                <w:sz w:val="24"/>
                <w:szCs w:val="24"/>
                <w:lang w:eastAsia="zh-CN"/>
              </w:rPr>
              <w:t>（1）大气污染源及治理措施</w:t>
            </w:r>
          </w:p>
          <w:p>
            <w:pPr>
              <w:pStyle w:val="21"/>
              <w:keepNext w:val="0"/>
              <w:keepLines w:val="0"/>
              <w:pageBreakBefore w:val="0"/>
              <w:widowControl w:val="0"/>
              <w:kinsoku/>
              <w:wordWrap/>
              <w:overflowPunct/>
              <w:topLinePunct w:val="0"/>
              <w:bidi w:val="0"/>
              <w:adjustRightInd w:val="0"/>
              <w:snapToGrid/>
              <w:spacing w:line="360" w:lineRule="auto"/>
              <w:ind w:left="0" w:leftChars="0" w:firstLine="480" w:firstLineChars="200"/>
              <w:jc w:val="left"/>
              <w:textAlignment w:val="baseline"/>
              <w:rPr>
                <w:rFonts w:hint="eastAsia"/>
                <w:sz w:val="24"/>
                <w:szCs w:val="24"/>
              </w:rPr>
            </w:pPr>
            <w:r>
              <w:rPr>
                <w:rFonts w:hint="eastAsia"/>
                <w:sz w:val="24"/>
                <w:szCs w:val="24"/>
              </w:rPr>
              <w:t>本项目运营期废气污染物主要为粉尘和汽车尾气，粉尘主要来源于筒仓仓顶呼吸孔粉尘、搅拌主机粉尘、</w:t>
            </w:r>
            <w:r>
              <w:rPr>
                <w:rFonts w:hint="default"/>
                <w:sz w:val="24"/>
                <w:szCs w:val="24"/>
              </w:rPr>
              <w:t>砂石破碎</w:t>
            </w:r>
            <w:r>
              <w:rPr>
                <w:rFonts w:hint="default"/>
                <w:sz w:val="24"/>
                <w:szCs w:val="24"/>
                <w:lang w:eastAsia="zh-CN"/>
              </w:rPr>
              <w:t>、</w:t>
            </w:r>
            <w:r>
              <w:rPr>
                <w:rFonts w:hint="default"/>
                <w:sz w:val="24"/>
                <w:szCs w:val="24"/>
              </w:rPr>
              <w:t>筛分粉尘</w:t>
            </w:r>
            <w:r>
              <w:rPr>
                <w:rFonts w:hint="eastAsia"/>
                <w:sz w:val="24"/>
                <w:szCs w:val="24"/>
                <w:lang w:eastAsia="zh-CN"/>
              </w:rPr>
              <w:t>、</w:t>
            </w:r>
            <w:r>
              <w:rPr>
                <w:rFonts w:hint="eastAsia"/>
                <w:sz w:val="24"/>
                <w:szCs w:val="24"/>
              </w:rPr>
              <w:t>砂石原料库粉尘</w:t>
            </w:r>
            <w:r>
              <w:rPr>
                <w:rFonts w:hint="eastAsia"/>
                <w:sz w:val="24"/>
                <w:szCs w:val="24"/>
                <w:lang w:eastAsia="zh-CN"/>
              </w:rPr>
              <w:t>、</w:t>
            </w:r>
            <w:r>
              <w:rPr>
                <w:sz w:val="24"/>
                <w:szCs w:val="24"/>
              </w:rPr>
              <w:t>给料机及输送带产生的粉尘</w:t>
            </w:r>
            <w:r>
              <w:rPr>
                <w:rFonts w:hint="eastAsia"/>
                <w:sz w:val="24"/>
                <w:szCs w:val="24"/>
              </w:rPr>
              <w:t>以及运输车辆动力起尘。</w:t>
            </w:r>
          </w:p>
          <w:p>
            <w:pPr>
              <w:pStyle w:val="21"/>
              <w:keepNext w:val="0"/>
              <w:keepLines w:val="0"/>
              <w:pageBreakBefore w:val="0"/>
              <w:widowControl w:val="0"/>
              <w:kinsoku/>
              <w:wordWrap/>
              <w:overflowPunct/>
              <w:topLinePunct w:val="0"/>
              <w:bidi w:val="0"/>
              <w:adjustRightInd w:val="0"/>
              <w:snapToGrid/>
              <w:spacing w:line="360" w:lineRule="auto"/>
              <w:ind w:left="0" w:leftChars="0" w:firstLine="480" w:firstLineChars="200"/>
              <w:jc w:val="left"/>
              <w:textAlignment w:val="baseline"/>
              <w:rPr>
                <w:rFonts w:hint="eastAsia"/>
                <w:sz w:val="24"/>
                <w:szCs w:val="24"/>
              </w:rPr>
            </w:pPr>
            <w:r>
              <w:rPr>
                <w:rFonts w:hint="eastAsia"/>
                <w:sz w:val="24"/>
                <w:szCs w:val="24"/>
              </w:rPr>
              <w:t>①筒仓粉尘</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jc w:val="left"/>
              <w:rPr>
                <w:sz w:val="24"/>
                <w:szCs w:val="24"/>
              </w:rPr>
            </w:pPr>
            <w:r>
              <w:rPr>
                <w:sz w:val="24"/>
                <w:szCs w:val="24"/>
              </w:rPr>
              <w:t>本项目设置水泥筒仓</w:t>
            </w:r>
            <w:r>
              <w:rPr>
                <w:rFonts w:hint="eastAsia"/>
                <w:sz w:val="24"/>
                <w:szCs w:val="24"/>
                <w:lang w:val="en-US" w:eastAsia="zh-CN"/>
              </w:rPr>
              <w:t>4</w:t>
            </w:r>
            <w:r>
              <w:rPr>
                <w:sz w:val="24"/>
                <w:szCs w:val="24"/>
              </w:rPr>
              <w:t>个</w:t>
            </w:r>
            <w:r>
              <w:rPr>
                <w:rFonts w:hint="eastAsia"/>
                <w:sz w:val="24"/>
                <w:szCs w:val="24"/>
              </w:rPr>
              <w:t>（储量3</w:t>
            </w:r>
            <w:r>
              <w:rPr>
                <w:sz w:val="24"/>
                <w:szCs w:val="24"/>
              </w:rPr>
              <w:t>00t</w:t>
            </w:r>
            <w:r>
              <w:rPr>
                <w:rFonts w:hint="eastAsia"/>
                <w:sz w:val="24"/>
                <w:szCs w:val="24"/>
              </w:rPr>
              <w:t>）、粉煤灰筒仓</w:t>
            </w:r>
            <w:r>
              <w:rPr>
                <w:rFonts w:hint="eastAsia"/>
                <w:sz w:val="24"/>
                <w:szCs w:val="24"/>
                <w:lang w:val="en-US" w:eastAsia="zh-CN"/>
              </w:rPr>
              <w:t>4</w:t>
            </w:r>
            <w:r>
              <w:rPr>
                <w:rFonts w:hint="eastAsia"/>
                <w:sz w:val="24"/>
                <w:szCs w:val="24"/>
              </w:rPr>
              <w:t>个（储量</w:t>
            </w:r>
            <w:r>
              <w:rPr>
                <w:rFonts w:hint="eastAsia"/>
                <w:sz w:val="24"/>
                <w:szCs w:val="24"/>
                <w:lang w:val="en-US" w:eastAsia="zh-CN"/>
              </w:rPr>
              <w:t>3</w:t>
            </w:r>
            <w:r>
              <w:rPr>
                <w:sz w:val="24"/>
                <w:szCs w:val="24"/>
              </w:rPr>
              <w:t>00t</w:t>
            </w:r>
            <w:r>
              <w:rPr>
                <w:rFonts w:hint="eastAsia"/>
                <w:sz w:val="24"/>
                <w:szCs w:val="24"/>
              </w:rPr>
              <w:t>）</w:t>
            </w:r>
            <w:r>
              <w:rPr>
                <w:rFonts w:hint="eastAsia"/>
                <w:sz w:val="24"/>
                <w:szCs w:val="24"/>
                <w:lang w:eastAsia="zh-CN"/>
              </w:rPr>
              <w:t>、</w:t>
            </w:r>
            <w:r>
              <w:rPr>
                <w:rFonts w:hint="eastAsia"/>
                <w:sz w:val="24"/>
                <w:szCs w:val="24"/>
                <w:lang w:val="en-US" w:eastAsia="zh-CN"/>
              </w:rPr>
              <w:t>矿粉</w:t>
            </w:r>
            <w:r>
              <w:rPr>
                <w:rFonts w:hint="eastAsia"/>
                <w:sz w:val="24"/>
                <w:szCs w:val="24"/>
              </w:rPr>
              <w:t>筒仓</w:t>
            </w:r>
            <w:r>
              <w:rPr>
                <w:rFonts w:hint="eastAsia"/>
                <w:sz w:val="24"/>
                <w:szCs w:val="24"/>
                <w:lang w:val="en-US" w:eastAsia="zh-CN"/>
              </w:rPr>
              <w:t>2</w:t>
            </w:r>
            <w:r>
              <w:rPr>
                <w:rFonts w:hint="eastAsia"/>
                <w:sz w:val="24"/>
                <w:szCs w:val="24"/>
              </w:rPr>
              <w:t>个（储量</w:t>
            </w:r>
            <w:r>
              <w:rPr>
                <w:rFonts w:hint="eastAsia"/>
                <w:sz w:val="24"/>
                <w:szCs w:val="24"/>
                <w:lang w:val="en-US" w:eastAsia="zh-CN"/>
              </w:rPr>
              <w:t>3</w:t>
            </w:r>
            <w:r>
              <w:rPr>
                <w:sz w:val="24"/>
                <w:szCs w:val="24"/>
              </w:rPr>
              <w:t>00t</w:t>
            </w:r>
            <w:r>
              <w:rPr>
                <w:rFonts w:hint="eastAsia"/>
                <w:sz w:val="24"/>
                <w:szCs w:val="24"/>
              </w:rPr>
              <w:t>）</w:t>
            </w:r>
            <w:r>
              <w:rPr>
                <w:sz w:val="24"/>
                <w:szCs w:val="24"/>
              </w:rPr>
              <w:t>。水泥运输车利用车自带空气泵将物料送至水泥仓内时将产生部分粉尘。粉料筒仓进料时粉尘产生量参考《工业源产排污系数手册（2010修订）》中的</w:t>
            </w:r>
            <w:r>
              <w:rPr>
                <w:rFonts w:hint="eastAsia"/>
                <w:sz w:val="24"/>
                <w:szCs w:val="24"/>
              </w:rPr>
              <w:t>“</w:t>
            </w:r>
            <w:r>
              <w:rPr>
                <w:sz w:val="24"/>
                <w:szCs w:val="24"/>
              </w:rPr>
              <w:t>3121水泥制品制造业（含3122混凝土结构构件，其他水泥制品业）水泥制品制造业排污系数-物料输送、储存工序</w:t>
            </w:r>
            <w:r>
              <w:rPr>
                <w:rFonts w:hint="eastAsia"/>
                <w:sz w:val="24"/>
                <w:szCs w:val="24"/>
              </w:rPr>
              <w:t>”</w:t>
            </w:r>
            <w:r>
              <w:rPr>
                <w:sz w:val="24"/>
                <w:szCs w:val="24"/>
              </w:rPr>
              <w:t>为2.09kg/t水泥。</w:t>
            </w:r>
            <w:r>
              <w:rPr>
                <w:rFonts w:hint="eastAsia"/>
                <w:sz w:val="24"/>
                <w:szCs w:val="24"/>
              </w:rPr>
              <w:t>根据工程分析，</w:t>
            </w:r>
            <w:r>
              <w:rPr>
                <w:sz w:val="24"/>
                <w:szCs w:val="24"/>
              </w:rPr>
              <w:t>项目各类粉料年用量约</w:t>
            </w:r>
            <w:r>
              <w:rPr>
                <w:rFonts w:hint="eastAsia"/>
                <w:sz w:val="24"/>
                <w:szCs w:val="24"/>
                <w:lang w:val="en-US" w:eastAsia="zh-CN"/>
              </w:rPr>
              <w:t>22.8</w:t>
            </w:r>
            <w:r>
              <w:rPr>
                <w:rFonts w:hint="eastAsia"/>
                <w:sz w:val="24"/>
                <w:szCs w:val="24"/>
              </w:rPr>
              <w:t>万</w:t>
            </w:r>
            <w:r>
              <w:rPr>
                <w:sz w:val="24"/>
                <w:szCs w:val="24"/>
              </w:rPr>
              <w:t>t，粉尘产生量约</w:t>
            </w:r>
            <w:r>
              <w:rPr>
                <w:rFonts w:hint="eastAsia"/>
                <w:sz w:val="24"/>
                <w:szCs w:val="24"/>
                <w:lang w:val="en-US" w:eastAsia="zh-CN"/>
              </w:rPr>
              <w:t>476.52</w:t>
            </w:r>
            <w:r>
              <w:rPr>
                <w:sz w:val="24"/>
                <w:szCs w:val="24"/>
              </w:rPr>
              <w:t>t/a。</w:t>
            </w:r>
          </w:p>
          <w:p>
            <w:pPr>
              <w:keepNext w:val="0"/>
              <w:keepLines w:val="0"/>
              <w:pageBreakBefore w:val="0"/>
              <w:widowControl w:val="0"/>
              <w:kinsoku/>
              <w:wordWrap/>
              <w:overflowPunct/>
              <w:topLinePunct w:val="0"/>
              <w:bidi w:val="0"/>
              <w:snapToGrid/>
              <w:spacing w:line="360" w:lineRule="auto"/>
              <w:ind w:firstLine="482"/>
              <w:jc w:val="left"/>
              <w:rPr>
                <w:sz w:val="24"/>
                <w:szCs w:val="24"/>
              </w:rPr>
            </w:pPr>
            <w:r>
              <w:rPr>
                <w:sz w:val="24"/>
                <w:szCs w:val="24"/>
              </w:rPr>
              <w:t>拟采取治理措施：根据《预拌混凝土绿色生产及管理技术规程》（JGJ/T328-2014）、《推进预拌混凝土、预拌砂浆绿色生产的通知》（川建散水发[2017]559号）、《四川省绿色环保搅拌站建设、管理和评价标准》中对搅拌站的建设要求，整个搅拌站设置在封闭彩钢厂房中，水泥筒仓必须设置除尘器。本项目将搅拌站建设在全封闭彩钢房中，筒仓仓顶自带单独脉冲反吹收尘器，筒仓产生的粉尘在脉冲反吹收尘器处理后，再进行排放。过滤效率约99.</w:t>
            </w:r>
            <w:r>
              <w:rPr>
                <w:rFonts w:hint="eastAsia"/>
                <w:sz w:val="24"/>
                <w:szCs w:val="24"/>
              </w:rPr>
              <w:t>9</w:t>
            </w:r>
            <w:r>
              <w:rPr>
                <w:sz w:val="24"/>
                <w:szCs w:val="24"/>
              </w:rPr>
              <w:t>%，经仓顶收尘器处理后筒仓粉尘年排放量约</w:t>
            </w:r>
            <w:r>
              <w:rPr>
                <w:rFonts w:hint="eastAsia"/>
                <w:sz w:val="24"/>
                <w:szCs w:val="24"/>
                <w:lang w:val="en-US" w:eastAsia="zh-CN"/>
              </w:rPr>
              <w:t>0.48</w:t>
            </w:r>
            <w:r>
              <w:rPr>
                <w:sz w:val="24"/>
                <w:szCs w:val="24"/>
              </w:rPr>
              <w:t>t/a。</w:t>
            </w:r>
            <w:r>
              <w:rPr>
                <w:rFonts w:hint="eastAsia"/>
                <w:sz w:val="24"/>
                <w:szCs w:val="24"/>
              </w:rPr>
              <w:t>此外，项目筒仓位于密闭的厂房内，排放的粉尘大部分沉降于厂房地面，其排放入环境中的量按15%计算，则项目筒仓粉尘无组织排放入环境的量为0.</w:t>
            </w:r>
            <w:r>
              <w:rPr>
                <w:rFonts w:hint="eastAsia"/>
                <w:sz w:val="24"/>
                <w:szCs w:val="24"/>
                <w:lang w:val="en-US" w:eastAsia="zh-CN"/>
              </w:rPr>
              <w:t>07</w:t>
            </w:r>
            <w:r>
              <w:rPr>
                <w:rFonts w:hint="eastAsia"/>
                <w:sz w:val="24"/>
                <w:szCs w:val="24"/>
              </w:rPr>
              <w:t>t/a</w:t>
            </w:r>
            <w:r>
              <w:rPr>
                <w:rFonts w:hint="eastAsia"/>
                <w:sz w:val="24"/>
                <w:szCs w:val="24"/>
                <w:lang w:eastAsia="zh-CN"/>
              </w:rPr>
              <w:t>，</w:t>
            </w:r>
            <w:r>
              <w:rPr>
                <w:rFonts w:hint="eastAsia"/>
                <w:sz w:val="24"/>
                <w:szCs w:val="24"/>
                <w:lang w:val="en-US" w:eastAsia="zh-CN"/>
              </w:rPr>
              <w:t>0.029kg/h</w:t>
            </w:r>
            <w:r>
              <w:rPr>
                <w:rFonts w:hint="eastAsia"/>
                <w:sz w:val="24"/>
                <w:szCs w:val="24"/>
              </w:rPr>
              <w:t>。</w:t>
            </w:r>
          </w:p>
          <w:p>
            <w:pPr>
              <w:pStyle w:val="21"/>
              <w:keepNext w:val="0"/>
              <w:keepLines w:val="0"/>
              <w:pageBreakBefore w:val="0"/>
              <w:widowControl w:val="0"/>
              <w:kinsoku/>
              <w:wordWrap/>
              <w:overflowPunct/>
              <w:topLinePunct w:val="0"/>
              <w:bidi w:val="0"/>
              <w:adjustRightInd w:val="0"/>
              <w:snapToGrid/>
              <w:spacing w:line="360" w:lineRule="auto"/>
              <w:ind w:left="0" w:leftChars="0" w:firstLine="480" w:firstLineChars="200"/>
              <w:jc w:val="left"/>
              <w:textAlignment w:val="baseline"/>
              <w:rPr>
                <w:rFonts w:hint="eastAsia"/>
                <w:sz w:val="24"/>
                <w:szCs w:val="24"/>
              </w:rPr>
            </w:pPr>
            <w:r>
              <w:rPr>
                <w:rFonts w:hint="eastAsia"/>
                <w:sz w:val="24"/>
                <w:szCs w:val="24"/>
              </w:rPr>
              <w:t>②搅拌主机粉尘</w:t>
            </w:r>
          </w:p>
          <w:p>
            <w:pPr>
              <w:keepNext w:val="0"/>
              <w:keepLines w:val="0"/>
              <w:pageBreakBefore w:val="0"/>
              <w:widowControl w:val="0"/>
              <w:kinsoku/>
              <w:wordWrap/>
              <w:overflowPunct/>
              <w:topLinePunct w:val="0"/>
              <w:bidi w:val="0"/>
              <w:adjustRightInd w:val="0"/>
              <w:snapToGrid/>
              <w:spacing w:line="360" w:lineRule="auto"/>
              <w:ind w:firstLine="480"/>
              <w:jc w:val="left"/>
              <w:rPr>
                <w:sz w:val="24"/>
                <w:szCs w:val="24"/>
              </w:rPr>
            </w:pPr>
            <w:r>
              <w:rPr>
                <w:sz w:val="24"/>
                <w:szCs w:val="24"/>
              </w:rPr>
              <w:t>项目搅拌过程中为加水搅拌，且搅拌机处于密闭状态，因此搅拌过程中几乎无粉尘产生。水泥等散装物料自筒仓螺旋输送机输送至称量斗加料和称量完毕后卸料所形成的正压与负压将产生粉尘，即加料时需排出空气而形成正压，卸料时需吸入空气而形成负压。物料在称量完毕后向搅拌筒内卸料形成正压，由于此处的正压最大，必须采取通风降压措施，将会有粉尘随之逸散。参照《空气污染排放和控制手册》（美国生态环境局编著）中</w:t>
            </w:r>
            <w:r>
              <w:rPr>
                <w:rFonts w:hint="eastAsia"/>
                <w:sz w:val="24"/>
                <w:szCs w:val="24"/>
              </w:rPr>
              <w:t>“</w:t>
            </w:r>
            <w:r>
              <w:rPr>
                <w:sz w:val="24"/>
                <w:szCs w:val="24"/>
              </w:rPr>
              <w:t>十混凝土配料——（三）逸散物排放因子——表8-17来源于无控制混凝土配料工艺的潜在的逸散排放因子——混料机装载水泥、砂子、骨料（中心拌合厂）的颗粒物排放系数0.02kg/t。</w:t>
            </w:r>
            <w:r>
              <w:rPr>
                <w:rFonts w:hint="eastAsia"/>
                <w:sz w:val="24"/>
                <w:szCs w:val="24"/>
              </w:rPr>
              <w:t>”</w:t>
            </w:r>
            <w:r>
              <w:rPr>
                <w:sz w:val="24"/>
                <w:szCs w:val="24"/>
              </w:rPr>
              <w:t>项目粉料、骨料的总用量为</w:t>
            </w:r>
            <w:r>
              <w:rPr>
                <w:rFonts w:hint="eastAsia"/>
                <w:sz w:val="24"/>
                <w:szCs w:val="24"/>
                <w:lang w:val="en-US" w:eastAsia="zh-CN"/>
              </w:rPr>
              <w:t>133.5</w:t>
            </w:r>
            <w:r>
              <w:rPr>
                <w:rFonts w:hint="eastAsia"/>
                <w:sz w:val="24"/>
                <w:szCs w:val="24"/>
              </w:rPr>
              <w:t>万</w:t>
            </w:r>
            <w:r>
              <w:rPr>
                <w:sz w:val="24"/>
                <w:szCs w:val="24"/>
              </w:rPr>
              <w:t>t/a，则搅拌机入料粉尘的产生量为</w:t>
            </w:r>
            <w:r>
              <w:rPr>
                <w:rFonts w:hint="eastAsia"/>
                <w:sz w:val="24"/>
                <w:szCs w:val="24"/>
                <w:lang w:val="en-US" w:eastAsia="zh-CN"/>
              </w:rPr>
              <w:t>26.7</w:t>
            </w:r>
            <w:r>
              <w:rPr>
                <w:sz w:val="24"/>
                <w:szCs w:val="24"/>
              </w:rPr>
              <w:t>t/a。</w:t>
            </w:r>
          </w:p>
          <w:p>
            <w:pPr>
              <w:keepNext w:val="0"/>
              <w:keepLines w:val="0"/>
              <w:pageBreakBefore w:val="0"/>
              <w:widowControl w:val="0"/>
              <w:kinsoku/>
              <w:wordWrap/>
              <w:overflowPunct/>
              <w:topLinePunct w:val="0"/>
              <w:bidi w:val="0"/>
              <w:snapToGrid/>
              <w:spacing w:line="360" w:lineRule="auto"/>
              <w:ind w:firstLine="480"/>
              <w:jc w:val="left"/>
              <w:rPr>
                <w:rFonts w:hint="eastAsia"/>
                <w:sz w:val="24"/>
                <w:szCs w:val="24"/>
              </w:rPr>
            </w:pPr>
            <w:r>
              <w:rPr>
                <w:sz w:val="24"/>
                <w:szCs w:val="24"/>
              </w:rPr>
              <w:t>拟采取治理措施：设置脉冲反吹收尘器收集处理搅拌粉尘，除尘器装于主机楼中部，通过螺旋输送机将回收的粉尘回用于生产。同时优化物料进料顺序。采取上述处理措施后可减少搅拌机粉尘99.</w:t>
            </w:r>
            <w:r>
              <w:rPr>
                <w:rFonts w:hint="eastAsia"/>
                <w:sz w:val="24"/>
                <w:szCs w:val="24"/>
              </w:rPr>
              <w:t>9</w:t>
            </w:r>
            <w:r>
              <w:rPr>
                <w:sz w:val="24"/>
                <w:szCs w:val="24"/>
              </w:rPr>
              <w:t>%的排放量，则</w:t>
            </w:r>
            <w:r>
              <w:rPr>
                <w:rFonts w:hint="eastAsia"/>
                <w:sz w:val="24"/>
                <w:szCs w:val="24"/>
              </w:rPr>
              <w:t>无组织</w:t>
            </w:r>
            <w:r>
              <w:rPr>
                <w:sz w:val="24"/>
                <w:szCs w:val="24"/>
              </w:rPr>
              <w:t>排放的粉尘量为0.0</w:t>
            </w:r>
            <w:r>
              <w:rPr>
                <w:rFonts w:hint="eastAsia"/>
                <w:sz w:val="24"/>
                <w:szCs w:val="24"/>
                <w:lang w:val="en-US" w:eastAsia="zh-CN"/>
              </w:rPr>
              <w:t>3</w:t>
            </w:r>
            <w:r>
              <w:rPr>
                <w:sz w:val="24"/>
                <w:szCs w:val="24"/>
              </w:rPr>
              <w:t>t/a</w:t>
            </w:r>
            <w:r>
              <w:rPr>
                <w:rFonts w:hint="eastAsia"/>
                <w:sz w:val="24"/>
                <w:szCs w:val="24"/>
                <w:lang w:eastAsia="zh-CN"/>
              </w:rPr>
              <w:t>，</w:t>
            </w:r>
            <w:r>
              <w:rPr>
                <w:rFonts w:hint="eastAsia"/>
                <w:sz w:val="24"/>
                <w:szCs w:val="24"/>
                <w:lang w:val="en-US" w:eastAsia="zh-CN"/>
              </w:rPr>
              <w:t>0.013kg/h</w:t>
            </w:r>
            <w:r>
              <w:rPr>
                <w:sz w:val="24"/>
                <w:szCs w:val="24"/>
              </w:rPr>
              <w:t>。</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default"/>
                <w:sz w:val="24"/>
                <w:szCs w:val="24"/>
                <w:lang w:val="en-US" w:eastAsia="zh-CN"/>
              </w:rPr>
            </w:pPr>
            <w:r>
              <w:rPr>
                <w:rFonts w:hint="eastAsia"/>
                <w:sz w:val="24"/>
                <w:szCs w:val="24"/>
              </w:rPr>
              <w:t>③</w:t>
            </w:r>
            <w:r>
              <w:rPr>
                <w:rFonts w:hint="default"/>
                <w:sz w:val="24"/>
                <w:szCs w:val="24"/>
              </w:rPr>
              <w:t>砂石破碎</w:t>
            </w:r>
            <w:r>
              <w:rPr>
                <w:rFonts w:hint="default"/>
                <w:sz w:val="24"/>
                <w:szCs w:val="24"/>
                <w:lang w:eastAsia="zh-CN"/>
              </w:rPr>
              <w:t>、</w:t>
            </w:r>
            <w:r>
              <w:rPr>
                <w:rFonts w:hint="default"/>
                <w:sz w:val="24"/>
                <w:szCs w:val="24"/>
              </w:rPr>
              <w:t>筛分粉尘</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本项目年产</w:t>
            </w:r>
            <w:r>
              <w:rPr>
                <w:rFonts w:hint="eastAsia"/>
                <w:sz w:val="24"/>
                <w:szCs w:val="24"/>
                <w:lang w:val="en-US" w:eastAsia="zh-CN"/>
              </w:rPr>
              <w:t>60</w:t>
            </w:r>
            <w:r>
              <w:rPr>
                <w:rFonts w:hint="default"/>
                <w:sz w:val="24"/>
                <w:szCs w:val="24"/>
                <w:lang w:val="en-US" w:eastAsia="zh-CN"/>
              </w:rPr>
              <w:t>万m</w:t>
            </w:r>
            <w:r>
              <w:rPr>
                <w:rFonts w:hint="default"/>
                <w:sz w:val="24"/>
                <w:szCs w:val="24"/>
                <w:vertAlign w:val="superscript"/>
                <w:lang w:val="en-US" w:eastAsia="zh-CN"/>
              </w:rPr>
              <w:t>3</w:t>
            </w:r>
            <w:r>
              <w:rPr>
                <w:rFonts w:hint="default"/>
                <w:sz w:val="24"/>
                <w:szCs w:val="24"/>
                <w:lang w:val="en-US" w:eastAsia="zh-CN"/>
              </w:rPr>
              <w:t>商品混凝土，共需要砂子</w:t>
            </w:r>
            <w:r>
              <w:rPr>
                <w:rFonts w:hint="eastAsia"/>
                <w:sz w:val="24"/>
                <w:szCs w:val="24"/>
                <w:lang w:val="en-US" w:eastAsia="zh-CN"/>
              </w:rPr>
              <w:t>45.06</w:t>
            </w:r>
            <w:r>
              <w:rPr>
                <w:rFonts w:hint="default"/>
                <w:sz w:val="24"/>
                <w:szCs w:val="24"/>
                <w:lang w:val="en-US" w:eastAsia="zh-CN"/>
              </w:rPr>
              <w:t>万t/a，石子</w:t>
            </w:r>
            <w:r>
              <w:rPr>
                <w:rFonts w:hint="eastAsia"/>
                <w:sz w:val="24"/>
                <w:szCs w:val="24"/>
                <w:lang w:val="en-US" w:eastAsia="zh-CN"/>
              </w:rPr>
              <w:t>65.22</w:t>
            </w:r>
            <w:r>
              <w:rPr>
                <w:rFonts w:hint="default"/>
                <w:sz w:val="24"/>
                <w:szCs w:val="24"/>
                <w:lang w:val="en-US" w:eastAsia="zh-CN"/>
              </w:rPr>
              <w:t>万t/a，约需鹅卵石万</w:t>
            </w:r>
            <w:r>
              <w:rPr>
                <w:rFonts w:hint="eastAsia"/>
                <w:sz w:val="24"/>
                <w:szCs w:val="24"/>
                <w:lang w:val="en-US" w:eastAsia="zh-CN"/>
              </w:rPr>
              <w:t>110.28</w:t>
            </w:r>
            <w:r>
              <w:rPr>
                <w:rFonts w:hint="default"/>
                <w:sz w:val="24"/>
                <w:szCs w:val="24"/>
                <w:lang w:val="en-US" w:eastAsia="zh-CN"/>
              </w:rPr>
              <w:t>万t/a。</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rPr>
                <w:rFonts w:hint="eastAsia"/>
                <w:sz w:val="24"/>
                <w:szCs w:val="24"/>
              </w:rPr>
            </w:pPr>
            <w:r>
              <w:rPr>
                <w:rFonts w:hint="default"/>
                <w:sz w:val="24"/>
                <w:szCs w:val="24"/>
                <w:lang w:val="en-US" w:eastAsia="zh-CN"/>
              </w:rPr>
              <w:t>项目生产加工过程中产生的粉尘：项目在</w:t>
            </w:r>
            <w:r>
              <w:rPr>
                <w:rFonts w:hint="default"/>
                <w:sz w:val="24"/>
                <w:szCs w:val="24"/>
                <w:lang w:eastAsia="zh-CN"/>
              </w:rPr>
              <w:t>筛分机筛分过程、颚式破碎机破碎过程、制砂机制砂过程</w:t>
            </w:r>
            <w:r>
              <w:rPr>
                <w:rFonts w:hint="default"/>
                <w:sz w:val="24"/>
                <w:szCs w:val="24"/>
                <w:lang w:val="en-US" w:eastAsia="zh-CN"/>
              </w:rPr>
              <w:t>会产生粉尘，根据业主提供资料及参考碎石厂生产加工过程，项目加工过程为湿式加工，但项目在生产过程中仍有一定的粉尘产生量，参照《逸散性工业粉尘控制技术》中粒料加工厂逸散尘的排放因子表18-1，砂和砾石一级筛选和破碎粉尘产生量为0.05kg/t（破碎料），因此确定本项目筛分、破碎设备产尘系数为0.05kg/t（破碎料），因此，则项目在筛分、破碎、制砂过程中产生的粉尘量为</w:t>
            </w:r>
            <w:r>
              <w:rPr>
                <w:rFonts w:hint="eastAsia"/>
                <w:sz w:val="24"/>
                <w:szCs w:val="24"/>
                <w:lang w:val="en-US" w:eastAsia="zh-CN"/>
              </w:rPr>
              <w:t>55.14</w:t>
            </w:r>
            <w:r>
              <w:rPr>
                <w:rFonts w:hint="default"/>
                <w:sz w:val="24"/>
                <w:szCs w:val="24"/>
                <w:lang w:val="en-US" w:eastAsia="zh-CN"/>
              </w:rPr>
              <w:t>t/a，</w:t>
            </w:r>
            <w:r>
              <w:rPr>
                <w:rFonts w:hint="eastAsia"/>
                <w:sz w:val="24"/>
                <w:szCs w:val="24"/>
                <w:lang w:val="en-US" w:eastAsia="zh-CN"/>
              </w:rPr>
              <w:t>22.98</w:t>
            </w:r>
            <w:r>
              <w:rPr>
                <w:rFonts w:hint="default"/>
                <w:sz w:val="24"/>
                <w:szCs w:val="24"/>
                <w:lang w:val="en-US" w:eastAsia="zh-CN"/>
              </w:rPr>
              <w:t>kg/h。</w:t>
            </w:r>
          </w:p>
          <w:p>
            <w:pPr>
              <w:keepNext w:val="0"/>
              <w:keepLines w:val="0"/>
              <w:pageBreakBefore w:val="0"/>
              <w:widowControl w:val="0"/>
              <w:kinsoku/>
              <w:wordWrap/>
              <w:overflowPunct/>
              <w:topLinePunct w:val="0"/>
              <w:bidi w:val="0"/>
              <w:adjustRightInd w:val="0"/>
              <w:snapToGrid w:val="0"/>
              <w:spacing w:line="360" w:lineRule="auto"/>
              <w:ind w:firstLine="482"/>
              <w:textAlignment w:val="auto"/>
              <w:outlineLvl w:val="9"/>
              <w:rPr>
                <w:rFonts w:hint="default"/>
                <w:sz w:val="24"/>
                <w:szCs w:val="24"/>
              </w:rPr>
            </w:pPr>
            <w:r>
              <w:rPr>
                <w:sz w:val="24"/>
                <w:szCs w:val="24"/>
              </w:rPr>
              <w:t>拟采取治理措施：</w:t>
            </w:r>
            <w:r>
              <w:rPr>
                <w:rFonts w:hint="default"/>
                <w:sz w:val="24"/>
                <w:szCs w:val="24"/>
              </w:rPr>
              <w:t>采用</w:t>
            </w:r>
            <w:r>
              <w:rPr>
                <w:rFonts w:hint="default"/>
                <w:sz w:val="24"/>
                <w:szCs w:val="24"/>
                <w:lang w:val="en-US" w:eastAsia="zh-CN"/>
              </w:rPr>
              <w:t>全</w:t>
            </w:r>
            <w:r>
              <w:rPr>
                <w:rFonts w:hint="default"/>
                <w:sz w:val="24"/>
                <w:szCs w:val="24"/>
              </w:rPr>
              <w:t>封闭式布置生产设备，四周及顶部设置彩钢棚，分别预留原料输入口、成品运输口、车间出入口</w:t>
            </w:r>
            <w:r>
              <w:rPr>
                <w:rFonts w:hint="default"/>
                <w:sz w:val="24"/>
                <w:szCs w:val="24"/>
                <w:lang w:eastAsia="zh-CN"/>
              </w:rPr>
              <w:t>。</w:t>
            </w:r>
            <w:r>
              <w:rPr>
                <w:rFonts w:hint="default"/>
                <w:sz w:val="24"/>
                <w:szCs w:val="24"/>
              </w:rPr>
              <w:t>建设单位对</w:t>
            </w:r>
            <w:r>
              <w:rPr>
                <w:rFonts w:hint="default"/>
                <w:sz w:val="24"/>
                <w:szCs w:val="24"/>
                <w:lang w:val="en-US" w:eastAsia="zh-CN"/>
              </w:rPr>
              <w:t>颚式破碎机</w:t>
            </w:r>
            <w:r>
              <w:rPr>
                <w:rFonts w:hint="default"/>
                <w:sz w:val="24"/>
                <w:szCs w:val="24"/>
              </w:rPr>
              <w:t>、</w:t>
            </w:r>
            <w:r>
              <w:rPr>
                <w:rFonts w:hint="default"/>
                <w:sz w:val="24"/>
                <w:szCs w:val="24"/>
                <w:lang w:val="en-US" w:eastAsia="zh-CN"/>
              </w:rPr>
              <w:t>圆锥式破碎机、振动筛、制砂机、分筛机进料口与出料口</w:t>
            </w:r>
            <w:r>
              <w:rPr>
                <w:rFonts w:hint="default"/>
                <w:sz w:val="24"/>
                <w:szCs w:val="24"/>
              </w:rPr>
              <w:t>分别安装</w:t>
            </w:r>
            <w:r>
              <w:rPr>
                <w:rFonts w:hint="default"/>
                <w:sz w:val="24"/>
                <w:szCs w:val="24"/>
                <w:lang w:val="en-US" w:eastAsia="zh-CN"/>
              </w:rPr>
              <w:t>水雾喷头</w:t>
            </w:r>
            <w:r>
              <w:rPr>
                <w:rFonts w:hint="default"/>
                <w:sz w:val="24"/>
                <w:szCs w:val="24"/>
              </w:rPr>
              <w:t>，通过</w:t>
            </w:r>
            <w:r>
              <w:rPr>
                <w:rFonts w:hint="default"/>
                <w:sz w:val="24"/>
                <w:szCs w:val="24"/>
                <w:lang w:val="en-US" w:eastAsia="zh-CN"/>
              </w:rPr>
              <w:t>洒水抑尘降低粉尘产生</w:t>
            </w:r>
            <w:r>
              <w:rPr>
                <w:rFonts w:hint="default"/>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outlineLvl w:val="9"/>
              <w:rPr>
                <w:sz w:val="24"/>
                <w:szCs w:val="24"/>
              </w:rPr>
            </w:pPr>
            <w:r>
              <w:rPr>
                <w:rFonts w:hint="default"/>
                <w:sz w:val="24"/>
                <w:szCs w:val="24"/>
              </w:rPr>
              <w:t>建设单位应委托有资质的单位对项目的粉尘治理工程进行设计和施工。项目</w:t>
            </w:r>
            <w:r>
              <w:rPr>
                <w:rFonts w:hint="default"/>
                <w:sz w:val="24"/>
                <w:szCs w:val="24"/>
                <w:lang w:val="en-US" w:eastAsia="zh-CN"/>
              </w:rPr>
              <w:t>破碎</w:t>
            </w:r>
            <w:r>
              <w:rPr>
                <w:rFonts w:hint="default"/>
                <w:sz w:val="24"/>
                <w:szCs w:val="24"/>
              </w:rPr>
              <w:t>粉尘产生</w:t>
            </w:r>
            <w:r>
              <w:rPr>
                <w:rFonts w:hint="default"/>
                <w:sz w:val="24"/>
                <w:szCs w:val="24"/>
                <w:lang w:val="en-US" w:eastAsia="zh-CN"/>
              </w:rPr>
              <w:t>量为</w:t>
            </w:r>
            <w:r>
              <w:rPr>
                <w:rFonts w:hint="eastAsia"/>
                <w:sz w:val="24"/>
                <w:szCs w:val="24"/>
                <w:lang w:val="en-US" w:eastAsia="zh-CN"/>
              </w:rPr>
              <w:t>55.14</w:t>
            </w:r>
            <w:r>
              <w:rPr>
                <w:rFonts w:hint="default"/>
                <w:sz w:val="24"/>
                <w:szCs w:val="24"/>
                <w:lang w:val="en-US" w:eastAsia="zh-CN"/>
              </w:rPr>
              <w:t>t/a，</w:t>
            </w:r>
            <w:r>
              <w:rPr>
                <w:rFonts w:hint="eastAsia"/>
                <w:sz w:val="24"/>
                <w:szCs w:val="24"/>
                <w:lang w:val="en-US" w:eastAsia="zh-CN"/>
              </w:rPr>
              <w:t>22.98</w:t>
            </w:r>
            <w:r>
              <w:rPr>
                <w:rFonts w:hint="default"/>
                <w:sz w:val="24"/>
                <w:szCs w:val="24"/>
                <w:lang w:val="en-US" w:eastAsia="zh-CN"/>
              </w:rPr>
              <w:t>kg/h</w:t>
            </w:r>
            <w:r>
              <w:rPr>
                <w:rFonts w:hint="default"/>
                <w:sz w:val="24"/>
                <w:szCs w:val="24"/>
              </w:rPr>
              <w:t>。</w:t>
            </w:r>
            <w:r>
              <w:rPr>
                <w:rFonts w:hint="default"/>
                <w:sz w:val="24"/>
                <w:szCs w:val="24"/>
                <w:lang w:val="en-US" w:eastAsia="zh-CN"/>
              </w:rPr>
              <w:t>环评要求</w:t>
            </w:r>
            <w:r>
              <w:rPr>
                <w:rFonts w:hint="default"/>
                <w:sz w:val="24"/>
                <w:szCs w:val="24"/>
              </w:rPr>
              <w:t>项目设置</w:t>
            </w:r>
            <w:r>
              <w:rPr>
                <w:rFonts w:hint="default"/>
                <w:sz w:val="24"/>
                <w:szCs w:val="24"/>
                <w:lang w:val="en-US" w:eastAsia="zh-CN"/>
              </w:rPr>
              <w:t>的水雾喷头</w:t>
            </w:r>
            <w:r>
              <w:rPr>
                <w:rFonts w:hint="default"/>
                <w:sz w:val="24"/>
                <w:szCs w:val="24"/>
              </w:rPr>
              <w:t>对粉尘的</w:t>
            </w:r>
            <w:r>
              <w:rPr>
                <w:rFonts w:hint="default"/>
                <w:sz w:val="24"/>
                <w:szCs w:val="24"/>
                <w:lang w:val="en-US" w:eastAsia="zh-CN"/>
              </w:rPr>
              <w:t>处理</w:t>
            </w:r>
            <w:r>
              <w:rPr>
                <w:rFonts w:hint="default"/>
                <w:sz w:val="24"/>
                <w:szCs w:val="24"/>
              </w:rPr>
              <w:t>效率</w:t>
            </w:r>
            <w:r>
              <w:rPr>
                <w:rFonts w:hint="default"/>
                <w:sz w:val="24"/>
                <w:szCs w:val="24"/>
                <w:lang w:val="en-US" w:eastAsia="zh-CN"/>
              </w:rPr>
              <w:t>不小于95</w:t>
            </w:r>
            <w:r>
              <w:rPr>
                <w:rFonts w:hint="default"/>
                <w:sz w:val="24"/>
                <w:szCs w:val="24"/>
              </w:rPr>
              <w:t>%，</w:t>
            </w:r>
            <w:r>
              <w:rPr>
                <w:rFonts w:hint="default"/>
                <w:sz w:val="24"/>
                <w:szCs w:val="24"/>
                <w:lang w:val="en-US" w:eastAsia="zh-CN"/>
              </w:rPr>
              <w:t>经水雾除尘处理后无</w:t>
            </w:r>
            <w:r>
              <w:rPr>
                <w:rFonts w:hint="default"/>
                <w:sz w:val="24"/>
                <w:szCs w:val="24"/>
              </w:rPr>
              <w:t>组织粉尘排放量为</w:t>
            </w:r>
            <w:r>
              <w:rPr>
                <w:rFonts w:hint="eastAsia"/>
                <w:sz w:val="24"/>
                <w:szCs w:val="24"/>
                <w:lang w:val="en-US" w:eastAsia="zh-CN"/>
              </w:rPr>
              <w:t>2.76</w:t>
            </w:r>
            <w:r>
              <w:rPr>
                <w:rFonts w:hint="default"/>
                <w:sz w:val="24"/>
                <w:szCs w:val="24"/>
                <w:lang w:val="en-US" w:eastAsia="zh-CN"/>
              </w:rPr>
              <w:t>t</w:t>
            </w:r>
            <w:r>
              <w:rPr>
                <w:rFonts w:hint="default"/>
                <w:sz w:val="24"/>
                <w:szCs w:val="24"/>
              </w:rPr>
              <w:t>/</w:t>
            </w:r>
            <w:r>
              <w:rPr>
                <w:rFonts w:hint="default"/>
                <w:sz w:val="24"/>
                <w:szCs w:val="24"/>
                <w:lang w:val="en-US" w:eastAsia="zh-CN"/>
              </w:rPr>
              <w:t>a，</w:t>
            </w:r>
            <w:r>
              <w:rPr>
                <w:rFonts w:hint="eastAsia"/>
                <w:sz w:val="24"/>
                <w:szCs w:val="24"/>
                <w:lang w:val="en-US" w:eastAsia="zh-CN"/>
              </w:rPr>
              <w:t>0.35</w:t>
            </w:r>
            <w:r>
              <w:rPr>
                <w:rFonts w:hint="default"/>
                <w:sz w:val="24"/>
                <w:szCs w:val="24"/>
                <w:lang w:val="en-US" w:eastAsia="zh-CN"/>
              </w:rPr>
              <w:t>kg/h</w:t>
            </w:r>
            <w:r>
              <w:rPr>
                <w:rFonts w:hint="default"/>
                <w:sz w:val="24"/>
                <w:szCs w:val="24"/>
                <w:lang w:eastAsia="zh-CN"/>
              </w:rPr>
              <w:t>。</w:t>
            </w:r>
            <w:r>
              <w:rPr>
                <w:rFonts w:hint="default"/>
                <w:sz w:val="24"/>
                <w:szCs w:val="24"/>
                <w:lang w:val="en-US" w:eastAsia="zh-CN"/>
              </w:rPr>
              <w:t>本项目生产车间</w:t>
            </w:r>
            <w:r>
              <w:rPr>
                <w:rFonts w:hint="default"/>
                <w:sz w:val="24"/>
                <w:szCs w:val="24"/>
              </w:rPr>
              <w:t>采用</w:t>
            </w:r>
            <w:r>
              <w:rPr>
                <w:rFonts w:hint="default"/>
                <w:sz w:val="24"/>
                <w:szCs w:val="24"/>
                <w:lang w:val="en-US" w:eastAsia="zh-CN"/>
              </w:rPr>
              <w:t>全</w:t>
            </w:r>
            <w:r>
              <w:rPr>
                <w:rFonts w:hint="default"/>
                <w:sz w:val="24"/>
                <w:szCs w:val="24"/>
              </w:rPr>
              <w:t>封闭式布置生产设备，四周及顶部设置彩钢棚</w:t>
            </w:r>
            <w:r>
              <w:rPr>
                <w:rFonts w:hint="default"/>
                <w:sz w:val="24"/>
                <w:szCs w:val="24"/>
                <w:lang w:eastAsia="zh-CN"/>
              </w:rPr>
              <w:t>，</w:t>
            </w:r>
            <w:r>
              <w:rPr>
                <w:rFonts w:hint="default"/>
                <w:sz w:val="24"/>
                <w:szCs w:val="24"/>
                <w:lang w:val="en-US" w:eastAsia="zh-CN"/>
              </w:rPr>
              <w:t>产生的无组织粉尘量约90%经厂房阻挡后自然沉降至厂房内，10%外溢到大气环境中，则最终</w:t>
            </w:r>
            <w:r>
              <w:rPr>
                <w:rFonts w:hint="default"/>
                <w:sz w:val="24"/>
                <w:szCs w:val="24"/>
              </w:rPr>
              <w:t>无组织粉尘排放量为</w:t>
            </w:r>
            <w:r>
              <w:rPr>
                <w:rFonts w:hint="eastAsia"/>
                <w:sz w:val="24"/>
                <w:szCs w:val="24"/>
                <w:lang w:val="en-US" w:eastAsia="zh-CN"/>
              </w:rPr>
              <w:t>0.28</w:t>
            </w:r>
            <w:r>
              <w:rPr>
                <w:rFonts w:hint="default"/>
                <w:sz w:val="24"/>
                <w:szCs w:val="24"/>
                <w:lang w:val="en-US" w:eastAsia="zh-CN"/>
              </w:rPr>
              <w:t>t</w:t>
            </w:r>
            <w:r>
              <w:rPr>
                <w:rFonts w:hint="default"/>
                <w:sz w:val="24"/>
                <w:szCs w:val="24"/>
              </w:rPr>
              <w:t>/</w:t>
            </w:r>
            <w:r>
              <w:rPr>
                <w:rFonts w:hint="default"/>
                <w:sz w:val="24"/>
                <w:szCs w:val="24"/>
                <w:lang w:val="en-US" w:eastAsia="zh-CN"/>
              </w:rPr>
              <w:t>a，0.</w:t>
            </w:r>
            <w:r>
              <w:rPr>
                <w:rFonts w:hint="eastAsia"/>
                <w:sz w:val="24"/>
                <w:szCs w:val="24"/>
                <w:lang w:val="en-US" w:eastAsia="zh-CN"/>
              </w:rPr>
              <w:t>04</w:t>
            </w:r>
            <w:r>
              <w:rPr>
                <w:rFonts w:hint="default"/>
                <w:sz w:val="24"/>
                <w:szCs w:val="24"/>
                <w:lang w:val="en-US" w:eastAsia="zh-CN"/>
              </w:rPr>
              <w:t>kg/h</w:t>
            </w:r>
            <w:r>
              <w:rPr>
                <w:rFonts w:hint="default"/>
                <w:sz w:val="24"/>
                <w:szCs w:val="24"/>
              </w:rPr>
              <w:t>。</w:t>
            </w:r>
          </w:p>
          <w:p>
            <w:pPr>
              <w:pStyle w:val="21"/>
              <w:keepNext w:val="0"/>
              <w:keepLines w:val="0"/>
              <w:pageBreakBefore w:val="0"/>
              <w:widowControl w:val="0"/>
              <w:kinsoku/>
              <w:wordWrap/>
              <w:overflowPunct/>
              <w:topLinePunct w:val="0"/>
              <w:bidi w:val="0"/>
              <w:adjustRightInd w:val="0"/>
              <w:snapToGrid/>
              <w:spacing w:line="360" w:lineRule="auto"/>
              <w:ind w:left="0" w:leftChars="0" w:firstLine="480" w:firstLineChars="200"/>
              <w:jc w:val="left"/>
              <w:textAlignment w:val="baseline"/>
              <w:rPr>
                <w:rFonts w:hint="eastAsia"/>
                <w:sz w:val="24"/>
                <w:szCs w:val="24"/>
              </w:rPr>
            </w:pPr>
            <w:r>
              <w:rPr>
                <w:rFonts w:hint="eastAsia"/>
                <w:sz w:val="24"/>
                <w:szCs w:val="24"/>
                <w:lang w:val="en-US" w:eastAsia="zh-CN"/>
              </w:rPr>
              <w:t>④</w:t>
            </w:r>
            <w:r>
              <w:rPr>
                <w:rFonts w:hint="eastAsia"/>
                <w:sz w:val="24"/>
                <w:szCs w:val="24"/>
              </w:rPr>
              <w:t>砂石</w:t>
            </w:r>
            <w:r>
              <w:rPr>
                <w:rFonts w:hint="eastAsia"/>
                <w:sz w:val="24"/>
                <w:szCs w:val="24"/>
                <w:lang w:eastAsia="zh-CN"/>
              </w:rPr>
              <w:t>装卸</w:t>
            </w:r>
            <w:r>
              <w:rPr>
                <w:rFonts w:hint="eastAsia"/>
                <w:sz w:val="24"/>
                <w:szCs w:val="24"/>
              </w:rPr>
              <w:t>粉尘</w:t>
            </w:r>
          </w:p>
          <w:p>
            <w:pPr>
              <w:pStyle w:val="21"/>
              <w:keepNext w:val="0"/>
              <w:keepLines w:val="0"/>
              <w:pageBreakBefore w:val="0"/>
              <w:widowControl w:val="0"/>
              <w:kinsoku/>
              <w:wordWrap/>
              <w:overflowPunct/>
              <w:topLinePunct w:val="0"/>
              <w:bidi w:val="0"/>
              <w:adjustRightInd w:val="0"/>
              <w:snapToGrid/>
              <w:spacing w:line="360" w:lineRule="auto"/>
              <w:ind w:left="0" w:leftChars="0" w:firstLine="480" w:firstLineChars="200"/>
              <w:jc w:val="left"/>
              <w:textAlignment w:val="baseline"/>
              <w:rPr>
                <w:rFonts w:hint="eastAsia"/>
                <w:sz w:val="24"/>
                <w:szCs w:val="24"/>
              </w:rPr>
            </w:pPr>
            <w:r>
              <w:rPr>
                <w:rFonts w:hint="eastAsia"/>
                <w:sz w:val="24"/>
                <w:szCs w:val="24"/>
              </w:rPr>
              <w:t>本项目砂石堆存于全封闭的钢结构砂石原料库内，环评要求，原料库应严格执行“三防”措施。原料库上方设置管道洒水系统对原料库内进行洒水抑尘，能够实现对原料库内的全覆盖洒水，能够最大限度减少原料库的扬尘产生量。因此，砂石原料库粉尘主要为砂石装卸产生的粉尘。砂石料在卸车过程中会产生装卸粉尘，项目采用5t的自卸汽车进行砂石料的卸车。本次评价采用山西环保科研所、武汉水运工程学院提出的经验公式估算砂石卸料时的起尘量：</w:t>
            </w:r>
          </w:p>
          <w:p>
            <w:pPr>
              <w:pStyle w:val="21"/>
              <w:adjustRightInd w:val="0"/>
              <w:spacing w:line="360" w:lineRule="auto"/>
              <w:ind w:firstLine="482"/>
              <w:textAlignment w:val="baseline"/>
              <w:rPr>
                <w:rFonts w:hint="eastAsia"/>
              </w:rPr>
            </w:pPr>
            <w:r>
              <w:drawing>
                <wp:anchor distT="0" distB="0" distL="114300" distR="114300" simplePos="0" relativeHeight="251715584" behindDoc="0" locked="0" layoutInCell="1" allowOverlap="1">
                  <wp:simplePos x="0" y="0"/>
                  <wp:positionH relativeFrom="column">
                    <wp:posOffset>1969770</wp:posOffset>
                  </wp:positionH>
                  <wp:positionV relativeFrom="paragraph">
                    <wp:posOffset>2540</wp:posOffset>
                  </wp:positionV>
                  <wp:extent cx="1034415" cy="422275"/>
                  <wp:effectExtent l="0" t="0" r="13335" b="15875"/>
                  <wp:wrapNone/>
                  <wp:docPr id="7" name="图片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82"/>
                          <pic:cNvPicPr>
                            <a:picLocks noChangeAspect="1"/>
                          </pic:cNvPicPr>
                        </pic:nvPicPr>
                        <pic:blipFill>
                          <a:blip r:embed="rId22"/>
                          <a:stretch>
                            <a:fillRect/>
                          </a:stretch>
                        </pic:blipFill>
                        <pic:spPr>
                          <a:xfrm>
                            <a:off x="0" y="0"/>
                            <a:ext cx="1034415" cy="422275"/>
                          </a:xfrm>
                          <a:prstGeom prst="rect">
                            <a:avLst/>
                          </a:prstGeom>
                          <a:noFill/>
                          <a:ln>
                            <a:noFill/>
                          </a:ln>
                        </pic:spPr>
                      </pic:pic>
                    </a:graphicData>
                  </a:graphic>
                </wp:anchor>
              </w:drawing>
            </w:r>
          </w:p>
          <w:p>
            <w:pPr>
              <w:widowControl/>
              <w:jc w:val="left"/>
            </w:pPr>
          </w:p>
          <w:p>
            <w:pPr>
              <w:spacing w:line="360" w:lineRule="auto"/>
              <w:ind w:firstLine="480" w:firstLineChars="200"/>
              <w:rPr>
                <w:rFonts w:hint="eastAsia"/>
                <w:sz w:val="24"/>
                <w:szCs w:val="24"/>
              </w:rPr>
            </w:pPr>
            <w:r>
              <w:rPr>
                <w:rFonts w:hint="eastAsia"/>
                <w:sz w:val="24"/>
                <w:szCs w:val="24"/>
              </w:rPr>
              <w:t>式中：Q——自卸汽车卸料起尘量，g/次；</w:t>
            </w:r>
          </w:p>
          <w:p>
            <w:pPr>
              <w:spacing w:line="360" w:lineRule="auto"/>
              <w:ind w:firstLine="1200" w:firstLineChars="500"/>
              <w:rPr>
                <w:rFonts w:hint="eastAsia"/>
                <w:sz w:val="24"/>
                <w:szCs w:val="24"/>
              </w:rPr>
            </w:pPr>
            <w:r>
              <w:rPr>
                <w:rFonts w:hint="eastAsia"/>
                <w:sz w:val="24"/>
                <w:szCs w:val="24"/>
              </w:rPr>
              <w:t>u——平均风速，m/s；项目装卸地点为3面封闭的料仓，u=0.5m/s；</w:t>
            </w:r>
          </w:p>
          <w:p>
            <w:pPr>
              <w:spacing w:line="360" w:lineRule="auto"/>
              <w:ind w:firstLine="1200" w:firstLineChars="500"/>
              <w:rPr>
                <w:rFonts w:hint="eastAsia"/>
                <w:sz w:val="24"/>
                <w:szCs w:val="24"/>
              </w:rPr>
            </w:pPr>
            <w:r>
              <w:rPr>
                <w:rFonts w:hint="eastAsia"/>
                <w:sz w:val="24"/>
                <w:szCs w:val="24"/>
              </w:rPr>
              <w:t>M——汽车卸料量，t。</w:t>
            </w:r>
          </w:p>
          <w:p>
            <w:pPr>
              <w:spacing w:line="360" w:lineRule="auto"/>
              <w:ind w:firstLine="480" w:firstLineChars="200"/>
              <w:rPr>
                <w:rFonts w:hint="eastAsia"/>
                <w:sz w:val="24"/>
                <w:szCs w:val="24"/>
              </w:rPr>
            </w:pPr>
            <w:r>
              <w:rPr>
                <w:rFonts w:hint="eastAsia"/>
                <w:sz w:val="24"/>
                <w:szCs w:val="24"/>
              </w:rPr>
              <w:t>经计算，自卸汽车卸料起尘量为0.5025g/次，卸车按10s/t计，则起尘量为0.036kg/h。本项目砂石年卸料量为</w:t>
            </w:r>
            <w:r>
              <w:rPr>
                <w:rFonts w:hint="eastAsia"/>
                <w:sz w:val="24"/>
                <w:szCs w:val="24"/>
                <w:lang w:val="en-US" w:eastAsia="zh-CN"/>
              </w:rPr>
              <w:t>110.28</w:t>
            </w:r>
            <w:r>
              <w:rPr>
                <w:rFonts w:hint="eastAsia"/>
                <w:sz w:val="24"/>
                <w:szCs w:val="24"/>
              </w:rPr>
              <w:t>万t，则起尘量为0.1</w:t>
            </w:r>
            <w:r>
              <w:rPr>
                <w:rFonts w:hint="eastAsia"/>
                <w:sz w:val="24"/>
                <w:szCs w:val="24"/>
                <w:lang w:val="en-US" w:eastAsia="zh-CN"/>
              </w:rPr>
              <w:t>1</w:t>
            </w:r>
            <w:r>
              <w:rPr>
                <w:rFonts w:hint="eastAsia"/>
                <w:sz w:val="24"/>
                <w:szCs w:val="24"/>
              </w:rPr>
              <w:t>t/a。根据同类工程类比调查，洒水降尘均为普遍采取的抑尘措施，其抑尘效率可达到85%以上。且砂石在吸附水分后，增加了其自身重量，经重力沉降比例较大，多沉降在厂区范围内。在采取洒水降尘措施后，项目砂石料卸料粉尘排放量为0.0</w:t>
            </w:r>
            <w:r>
              <w:rPr>
                <w:rFonts w:hint="eastAsia"/>
                <w:sz w:val="24"/>
                <w:szCs w:val="24"/>
                <w:lang w:val="en-US" w:eastAsia="zh-CN"/>
              </w:rPr>
              <w:t>2</w:t>
            </w:r>
            <w:r>
              <w:rPr>
                <w:rFonts w:hint="eastAsia"/>
                <w:sz w:val="24"/>
                <w:szCs w:val="24"/>
              </w:rPr>
              <w:t>t/a</w:t>
            </w:r>
            <w:r>
              <w:rPr>
                <w:rFonts w:hint="eastAsia"/>
                <w:sz w:val="24"/>
                <w:szCs w:val="24"/>
                <w:lang w:eastAsia="zh-CN"/>
              </w:rPr>
              <w:t>，</w:t>
            </w:r>
            <w:r>
              <w:rPr>
                <w:rFonts w:hint="eastAsia"/>
                <w:sz w:val="24"/>
                <w:szCs w:val="24"/>
                <w:lang w:val="en-US" w:eastAsia="zh-CN"/>
              </w:rPr>
              <w:t>0.008</w:t>
            </w:r>
            <w:r>
              <w:rPr>
                <w:rFonts w:hint="default"/>
                <w:sz w:val="24"/>
                <w:szCs w:val="24"/>
                <w:lang w:val="en-US" w:eastAsia="zh-CN"/>
              </w:rPr>
              <w:t>kg/h</w:t>
            </w:r>
            <w:r>
              <w:rPr>
                <w:rFonts w:hint="eastAsia"/>
                <w:sz w:val="24"/>
                <w:szCs w:val="24"/>
              </w:rPr>
              <w:t>。</w:t>
            </w:r>
          </w:p>
          <w:p>
            <w:pPr>
              <w:spacing w:line="360" w:lineRule="auto"/>
              <w:ind w:firstLine="480" w:firstLineChars="200"/>
              <w:rPr>
                <w:rFonts w:hint="eastAsia"/>
                <w:sz w:val="24"/>
                <w:szCs w:val="24"/>
              </w:rPr>
            </w:pPr>
            <w:r>
              <w:rPr>
                <w:rFonts w:hint="eastAsia"/>
                <w:sz w:val="24"/>
                <w:szCs w:val="24"/>
                <w:lang w:val="en-US" w:eastAsia="zh-CN"/>
              </w:rPr>
              <w:t>⑤</w:t>
            </w:r>
            <w:r>
              <w:rPr>
                <w:rFonts w:hint="eastAsia"/>
                <w:sz w:val="24"/>
                <w:szCs w:val="24"/>
              </w:rPr>
              <w:t>厂内装载车辆运输粉尘</w:t>
            </w:r>
          </w:p>
          <w:p>
            <w:pPr>
              <w:spacing w:line="360" w:lineRule="auto"/>
              <w:ind w:firstLine="480" w:firstLineChars="200"/>
              <w:rPr>
                <w:rFonts w:hint="eastAsia"/>
                <w:sz w:val="24"/>
                <w:szCs w:val="24"/>
              </w:rPr>
            </w:pPr>
            <w:r>
              <w:rPr>
                <w:sz w:val="24"/>
                <w:szCs w:val="24"/>
              </w:rPr>
              <w:drawing>
                <wp:anchor distT="0" distB="0" distL="114300" distR="114300" simplePos="0" relativeHeight="251716608" behindDoc="0" locked="0" layoutInCell="1" allowOverlap="1">
                  <wp:simplePos x="0" y="0"/>
                  <wp:positionH relativeFrom="column">
                    <wp:posOffset>385445</wp:posOffset>
                  </wp:positionH>
                  <wp:positionV relativeFrom="paragraph">
                    <wp:posOffset>459105</wp:posOffset>
                  </wp:positionV>
                  <wp:extent cx="3400425" cy="601345"/>
                  <wp:effectExtent l="0" t="0" r="9525" b="8255"/>
                  <wp:wrapNone/>
                  <wp:docPr id="6" name="图片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83"/>
                          <pic:cNvPicPr>
                            <a:picLocks noChangeAspect="1"/>
                          </pic:cNvPicPr>
                        </pic:nvPicPr>
                        <pic:blipFill>
                          <a:blip r:embed="rId23"/>
                          <a:stretch>
                            <a:fillRect/>
                          </a:stretch>
                        </pic:blipFill>
                        <pic:spPr>
                          <a:xfrm>
                            <a:off x="0" y="0"/>
                            <a:ext cx="3400425" cy="601345"/>
                          </a:xfrm>
                          <a:prstGeom prst="rect">
                            <a:avLst/>
                          </a:prstGeom>
                          <a:noFill/>
                          <a:ln>
                            <a:noFill/>
                          </a:ln>
                        </pic:spPr>
                      </pic:pic>
                    </a:graphicData>
                  </a:graphic>
                </wp:anchor>
              </w:drawing>
            </w:r>
            <w:r>
              <w:rPr>
                <w:rFonts w:hint="eastAsia"/>
                <w:sz w:val="24"/>
                <w:szCs w:val="24"/>
              </w:rPr>
              <w:t>本项目运输车辆在厂区内道路上行驶时，会产生行驶扬尘，本次评价选用上海港环境保护中心和武汉水运工程学院提出的经验公式估算行驶扬尘量：</w:t>
            </w:r>
          </w:p>
          <w:p>
            <w:pPr>
              <w:spacing w:line="360" w:lineRule="auto"/>
              <w:ind w:firstLine="480" w:firstLineChars="200"/>
              <w:rPr>
                <w:rFonts w:hint="eastAsia"/>
              </w:rPr>
            </w:pPr>
          </w:p>
          <w:p>
            <w:pPr>
              <w:rPr>
                <w:rFonts w:hint="eastAsia"/>
                <w:sz w:val="24"/>
                <w:szCs w:val="24"/>
              </w:rPr>
            </w:pPr>
          </w:p>
          <w:p>
            <w:pPr>
              <w:rPr>
                <w:rFonts w:hint="eastAsia"/>
              </w:rPr>
            </w:pPr>
          </w:p>
          <w:p>
            <w:pPr>
              <w:spacing w:line="360" w:lineRule="auto"/>
              <w:ind w:firstLine="480" w:firstLineChars="200"/>
              <w:rPr>
                <w:rFonts w:hint="eastAsia"/>
                <w:sz w:val="24"/>
                <w:szCs w:val="24"/>
              </w:rPr>
            </w:pPr>
            <w:r>
              <w:rPr>
                <w:rFonts w:hint="eastAsia"/>
                <w:sz w:val="24"/>
                <w:szCs w:val="24"/>
              </w:rPr>
              <w:t>式中：Q：运输车辆行驶的扬尘，kg/辆；</w:t>
            </w:r>
          </w:p>
          <w:p>
            <w:pPr>
              <w:spacing w:line="360" w:lineRule="auto"/>
              <w:ind w:firstLine="1200" w:firstLineChars="500"/>
              <w:rPr>
                <w:rFonts w:hint="eastAsia"/>
                <w:sz w:val="24"/>
                <w:szCs w:val="24"/>
              </w:rPr>
            </w:pPr>
            <w:r>
              <w:rPr>
                <w:rFonts w:hint="eastAsia"/>
                <w:sz w:val="24"/>
                <w:szCs w:val="24"/>
              </w:rPr>
              <w:t>V：运输车辆行驶的速度，km/h，车辆在厂区内的行驶速度以 10km/h 计；</w:t>
            </w:r>
          </w:p>
          <w:p>
            <w:pPr>
              <w:spacing w:line="360" w:lineRule="auto"/>
              <w:ind w:firstLine="1200" w:firstLineChars="500"/>
              <w:rPr>
                <w:rFonts w:hint="eastAsia"/>
                <w:sz w:val="24"/>
                <w:szCs w:val="24"/>
              </w:rPr>
            </w:pPr>
            <w:r>
              <w:rPr>
                <w:rFonts w:hint="eastAsia"/>
                <w:sz w:val="24"/>
                <w:szCs w:val="24"/>
              </w:rPr>
              <w:t>M：运输车辆载重量，t，空车以 10t 计，重车以 30t 计；</w:t>
            </w:r>
          </w:p>
          <w:p>
            <w:pPr>
              <w:spacing w:line="360" w:lineRule="auto"/>
              <w:ind w:firstLine="1200" w:firstLineChars="500"/>
              <w:rPr>
                <w:rFonts w:hint="eastAsia"/>
                <w:sz w:val="24"/>
                <w:szCs w:val="24"/>
              </w:rPr>
            </w:pPr>
            <w:r>
              <w:rPr>
                <w:rFonts w:hint="eastAsia"/>
                <w:sz w:val="24"/>
                <w:szCs w:val="24"/>
              </w:rPr>
              <w:t>P：道路表面粉尘量，kg/m2，项目厂区均为水泥地面，且拟由专职人员对厂区地面进行保洁。在此种情况下，项目运输过程中道路起尘量按0.1kg/m</w:t>
            </w:r>
            <w:r>
              <w:rPr>
                <w:rFonts w:hint="eastAsia"/>
                <w:sz w:val="24"/>
                <w:szCs w:val="24"/>
                <w:vertAlign w:val="superscript"/>
              </w:rPr>
              <w:t>2</w:t>
            </w:r>
            <w:r>
              <w:rPr>
                <w:rFonts w:hint="eastAsia"/>
                <w:sz w:val="24"/>
                <w:szCs w:val="24"/>
              </w:rPr>
              <w:t>计；</w:t>
            </w:r>
          </w:p>
          <w:p>
            <w:pPr>
              <w:spacing w:line="360" w:lineRule="auto"/>
              <w:ind w:firstLine="1200" w:firstLineChars="500"/>
              <w:rPr>
                <w:rFonts w:hint="eastAsia"/>
                <w:sz w:val="24"/>
                <w:szCs w:val="24"/>
              </w:rPr>
            </w:pPr>
            <w:r>
              <w:rPr>
                <w:rFonts w:hint="eastAsia"/>
                <w:sz w:val="24"/>
                <w:szCs w:val="24"/>
              </w:rPr>
              <w:t>L：道路长度km。</w:t>
            </w:r>
          </w:p>
          <w:p>
            <w:pPr>
              <w:spacing w:line="360" w:lineRule="auto"/>
              <w:ind w:firstLine="480" w:firstLineChars="200"/>
              <w:rPr>
                <w:rFonts w:hint="eastAsia"/>
                <w:sz w:val="24"/>
                <w:szCs w:val="24"/>
              </w:rPr>
            </w:pPr>
            <w:r>
              <w:rPr>
                <w:rFonts w:hint="eastAsia"/>
                <w:sz w:val="24"/>
                <w:szCs w:val="24"/>
              </w:rPr>
              <w:t>本项目运输车辆在厂区行驶的平均距离</w:t>
            </w:r>
            <w:r>
              <w:rPr>
                <w:rFonts w:hint="eastAsia"/>
                <w:sz w:val="24"/>
                <w:szCs w:val="24"/>
                <w:lang w:val="en-US" w:eastAsia="zh-CN"/>
              </w:rPr>
              <w:t>20</w:t>
            </w:r>
            <w:r>
              <w:rPr>
                <w:rFonts w:hint="eastAsia"/>
                <w:sz w:val="24"/>
                <w:szCs w:val="24"/>
              </w:rPr>
              <w:t>0m计算，则空车和重车的行驶扬尘量分别为0.0</w:t>
            </w:r>
            <w:r>
              <w:rPr>
                <w:rFonts w:hint="eastAsia"/>
                <w:sz w:val="24"/>
                <w:szCs w:val="24"/>
                <w:lang w:val="en-US" w:eastAsia="zh-CN"/>
              </w:rPr>
              <w:t>1</w:t>
            </w:r>
            <w:r>
              <w:rPr>
                <w:rFonts w:hint="eastAsia"/>
                <w:sz w:val="24"/>
                <w:szCs w:val="24"/>
              </w:rPr>
              <w:t>kg/辆和0.0</w:t>
            </w:r>
            <w:r>
              <w:rPr>
                <w:rFonts w:hint="eastAsia"/>
                <w:sz w:val="24"/>
                <w:szCs w:val="24"/>
                <w:lang w:val="en-US" w:eastAsia="zh-CN"/>
              </w:rPr>
              <w:t>2</w:t>
            </w:r>
            <w:r>
              <w:rPr>
                <w:rFonts w:hint="eastAsia"/>
                <w:sz w:val="24"/>
                <w:szCs w:val="24"/>
              </w:rPr>
              <w:t>5kg/辆。平均每天发车量为</w:t>
            </w:r>
            <w:r>
              <w:rPr>
                <w:rFonts w:hint="eastAsia"/>
                <w:sz w:val="24"/>
                <w:szCs w:val="24"/>
                <w:lang w:val="en-US" w:eastAsia="zh-CN"/>
              </w:rPr>
              <w:t>445</w:t>
            </w:r>
            <w:r>
              <w:rPr>
                <w:rFonts w:hint="eastAsia"/>
                <w:sz w:val="24"/>
                <w:szCs w:val="24"/>
              </w:rPr>
              <w:t>辆，则每天行驶扬尘总量为</w:t>
            </w:r>
            <w:r>
              <w:rPr>
                <w:rFonts w:hint="eastAsia"/>
                <w:sz w:val="24"/>
                <w:szCs w:val="24"/>
                <w:lang w:val="en-US" w:eastAsia="zh-CN"/>
              </w:rPr>
              <w:t>7.79</w:t>
            </w:r>
            <w:r>
              <w:rPr>
                <w:rFonts w:hint="eastAsia"/>
                <w:sz w:val="24"/>
                <w:szCs w:val="24"/>
              </w:rPr>
              <w:t>kg/d（0.</w:t>
            </w:r>
            <w:r>
              <w:rPr>
                <w:rFonts w:hint="eastAsia"/>
                <w:sz w:val="24"/>
                <w:szCs w:val="24"/>
                <w:lang w:val="en-US" w:eastAsia="zh-CN"/>
              </w:rPr>
              <w:t>32</w:t>
            </w:r>
            <w:r>
              <w:rPr>
                <w:rFonts w:hint="eastAsia"/>
                <w:sz w:val="24"/>
                <w:szCs w:val="24"/>
              </w:rPr>
              <w:t>kg/</w:t>
            </w:r>
            <w:r>
              <w:rPr>
                <w:rFonts w:hint="eastAsia"/>
                <w:sz w:val="24"/>
                <w:szCs w:val="24"/>
                <w:lang w:val="en-US" w:eastAsia="zh-CN"/>
              </w:rPr>
              <w:t>h，2.34t/d</w:t>
            </w:r>
            <w:r>
              <w:rPr>
                <w:rFonts w:hint="eastAsia"/>
                <w:sz w:val="24"/>
                <w:szCs w:val="24"/>
              </w:rPr>
              <w:t>）。本环评要求，汽车进入厂区后减速慢行，砂石运输车辆进行封闭遮盖，在车辆行驶路径上洒水降尘，车辆进出厂区对车辆轮胎进行冲洗，同时，通过对场地进行硬化，并设置专人进行保洁，及时清理洒落在地面上的砂石料、粉料及混凝土落料。洒水降尘后粉尘沉降约85%，则本项目运输车辆动力起尘排放量为0.</w:t>
            </w:r>
            <w:r>
              <w:rPr>
                <w:rFonts w:hint="eastAsia"/>
                <w:sz w:val="24"/>
                <w:szCs w:val="24"/>
                <w:lang w:val="en-US" w:eastAsia="zh-CN"/>
              </w:rPr>
              <w:t>35</w:t>
            </w:r>
            <w:r>
              <w:rPr>
                <w:rFonts w:hint="eastAsia"/>
                <w:sz w:val="24"/>
                <w:szCs w:val="24"/>
              </w:rPr>
              <w:t>t/a</w:t>
            </w:r>
            <w:r>
              <w:rPr>
                <w:rFonts w:hint="eastAsia"/>
                <w:sz w:val="24"/>
                <w:szCs w:val="24"/>
                <w:lang w:eastAsia="zh-CN"/>
              </w:rPr>
              <w:t>，</w:t>
            </w:r>
            <w:r>
              <w:rPr>
                <w:rFonts w:hint="eastAsia"/>
                <w:sz w:val="24"/>
                <w:szCs w:val="24"/>
                <w:lang w:val="en-US" w:eastAsia="zh-CN"/>
              </w:rPr>
              <w:t>0.049</w:t>
            </w:r>
            <w:r>
              <w:rPr>
                <w:rFonts w:hint="eastAsia"/>
                <w:sz w:val="24"/>
                <w:szCs w:val="24"/>
              </w:rPr>
              <w:t>kg/</w:t>
            </w:r>
            <w:r>
              <w:rPr>
                <w:rFonts w:hint="eastAsia"/>
                <w:sz w:val="24"/>
                <w:szCs w:val="24"/>
                <w:lang w:val="en-US" w:eastAsia="zh-CN"/>
              </w:rPr>
              <w:t>h</w:t>
            </w:r>
            <w:r>
              <w:rPr>
                <w:rFonts w:hint="eastAsia"/>
                <w:sz w:val="24"/>
                <w:szCs w:val="24"/>
              </w:rPr>
              <w:t>。本项目运输车辆沿厂区中央行驶，厂区内较为宽阔，运输车辆产生的粉尘经过沉降和厂区绿化吸附后，对周围环境影响较小。</w:t>
            </w:r>
          </w:p>
          <w:p>
            <w:pPr>
              <w:spacing w:line="360" w:lineRule="auto"/>
              <w:ind w:firstLine="480" w:firstLineChars="200"/>
              <w:rPr>
                <w:sz w:val="24"/>
                <w:szCs w:val="24"/>
              </w:rPr>
            </w:pPr>
            <w:r>
              <w:rPr>
                <w:rFonts w:hint="eastAsia"/>
                <w:sz w:val="24"/>
                <w:szCs w:val="24"/>
                <w:lang w:val="en-US" w:eastAsia="zh-CN"/>
              </w:rPr>
              <w:t>⑥</w:t>
            </w:r>
            <w:r>
              <w:rPr>
                <w:sz w:val="24"/>
                <w:szCs w:val="24"/>
              </w:rPr>
              <w:t>给料机及输送带产生的粉尘</w:t>
            </w:r>
          </w:p>
          <w:p>
            <w:pPr>
              <w:spacing w:line="360" w:lineRule="auto"/>
              <w:ind w:firstLine="480" w:firstLineChars="200"/>
              <w:rPr>
                <w:rFonts w:hint="eastAsia"/>
                <w:sz w:val="24"/>
                <w:szCs w:val="24"/>
              </w:rPr>
            </w:pPr>
            <w:r>
              <w:rPr>
                <w:rFonts w:hint="eastAsia"/>
                <w:sz w:val="24"/>
                <w:szCs w:val="24"/>
              </w:rPr>
              <w:t>外购粉料（水泥、粉煤灰）通过罐车运输，罐车与粉料筒仓通过管道连接，并通过粉末输送专用泵泵入筒仓，全过程为封闭状态，在输送过程中不产生粉尘排放。</w:t>
            </w:r>
          </w:p>
          <w:p>
            <w:pPr>
              <w:spacing w:line="360" w:lineRule="auto"/>
              <w:ind w:firstLine="480" w:firstLineChars="200"/>
              <w:rPr>
                <w:sz w:val="24"/>
                <w:szCs w:val="24"/>
              </w:rPr>
            </w:pPr>
            <w:r>
              <w:rPr>
                <w:sz w:val="24"/>
                <w:szCs w:val="24"/>
              </w:rPr>
              <w:t>本项目</w:t>
            </w:r>
            <w:r>
              <w:rPr>
                <w:rFonts w:hint="eastAsia"/>
                <w:sz w:val="24"/>
                <w:szCs w:val="24"/>
              </w:rPr>
              <w:t>物料</w:t>
            </w:r>
            <w:r>
              <w:rPr>
                <w:sz w:val="24"/>
                <w:szCs w:val="24"/>
              </w:rPr>
              <w:t>需要采用给料机</w:t>
            </w:r>
            <w:r>
              <w:rPr>
                <w:rFonts w:hint="eastAsia"/>
                <w:sz w:val="24"/>
                <w:szCs w:val="24"/>
              </w:rPr>
              <w:t>进料</w:t>
            </w:r>
            <w:r>
              <w:rPr>
                <w:sz w:val="24"/>
                <w:szCs w:val="24"/>
              </w:rPr>
              <w:t>和输送带进行</w:t>
            </w:r>
            <w:r>
              <w:rPr>
                <w:rFonts w:hint="eastAsia"/>
                <w:sz w:val="24"/>
                <w:szCs w:val="24"/>
              </w:rPr>
              <w:t>砂石</w:t>
            </w:r>
            <w:r>
              <w:rPr>
                <w:sz w:val="24"/>
                <w:szCs w:val="24"/>
              </w:rPr>
              <w:t>物料传输，</w:t>
            </w:r>
            <w:r>
              <w:rPr>
                <w:rFonts w:hint="eastAsia"/>
                <w:sz w:val="24"/>
                <w:szCs w:val="24"/>
              </w:rPr>
              <w:t>进料和传输均会产生粉尘</w:t>
            </w:r>
            <w:r>
              <w:rPr>
                <w:sz w:val="24"/>
                <w:szCs w:val="24"/>
              </w:rPr>
              <w:t>。产尘系数</w:t>
            </w:r>
            <w:r>
              <w:rPr>
                <w:rFonts w:hint="eastAsia"/>
                <w:sz w:val="24"/>
                <w:szCs w:val="24"/>
              </w:rPr>
              <w:t>按</w:t>
            </w:r>
            <w:r>
              <w:rPr>
                <w:sz w:val="24"/>
                <w:szCs w:val="24"/>
              </w:rPr>
              <w:t>0.</w:t>
            </w:r>
            <w:r>
              <w:rPr>
                <w:rFonts w:hint="eastAsia"/>
                <w:sz w:val="24"/>
                <w:szCs w:val="24"/>
              </w:rPr>
              <w:t>02</w:t>
            </w:r>
            <w:r>
              <w:rPr>
                <w:sz w:val="24"/>
                <w:szCs w:val="24"/>
              </w:rPr>
              <w:t>kg/t</w:t>
            </w:r>
            <w:r>
              <w:rPr>
                <w:rFonts w:hint="eastAsia"/>
                <w:sz w:val="24"/>
                <w:szCs w:val="24"/>
              </w:rPr>
              <w:t>（</w:t>
            </w:r>
            <w:r>
              <w:rPr>
                <w:sz w:val="24"/>
                <w:szCs w:val="24"/>
              </w:rPr>
              <w:t>原料</w:t>
            </w:r>
            <w:r>
              <w:rPr>
                <w:rFonts w:hint="eastAsia"/>
                <w:sz w:val="24"/>
                <w:szCs w:val="24"/>
              </w:rPr>
              <w:t>）计算</w:t>
            </w:r>
            <w:r>
              <w:rPr>
                <w:sz w:val="24"/>
                <w:szCs w:val="24"/>
              </w:rPr>
              <w:t>，即粉尘的产生量为</w:t>
            </w:r>
            <w:r>
              <w:rPr>
                <w:rFonts w:hint="eastAsia"/>
                <w:sz w:val="24"/>
                <w:szCs w:val="24"/>
                <w:lang w:val="en-US" w:eastAsia="zh-CN"/>
              </w:rPr>
              <w:t>22.06</w:t>
            </w:r>
            <w:r>
              <w:rPr>
                <w:sz w:val="24"/>
                <w:szCs w:val="24"/>
              </w:rPr>
              <w:t>t/a。</w:t>
            </w:r>
          </w:p>
          <w:p>
            <w:pPr>
              <w:adjustRightInd w:val="0"/>
              <w:snapToGrid w:val="0"/>
              <w:spacing w:line="360" w:lineRule="auto"/>
              <w:ind w:firstLine="480" w:firstLineChars="200"/>
              <w:rPr>
                <w:sz w:val="24"/>
                <w:szCs w:val="24"/>
              </w:rPr>
            </w:pPr>
            <w:r>
              <w:rPr>
                <w:sz w:val="24"/>
                <w:szCs w:val="24"/>
              </w:rPr>
              <w:t>治理措施：项目采用湿法作业，</w:t>
            </w:r>
            <w:r>
              <w:rPr>
                <w:rFonts w:hint="eastAsia"/>
                <w:sz w:val="24"/>
                <w:szCs w:val="24"/>
              </w:rPr>
              <w:t>提高物料在给料和传输过程中的含水率；项目采用全封闭式输送带，输送过程为平稳输送；生产车间为全封闭环境，</w:t>
            </w:r>
            <w:r>
              <w:rPr>
                <w:sz w:val="24"/>
                <w:szCs w:val="24"/>
              </w:rPr>
              <w:t>可以减少粉尘对环境的污染。采取上述措施后，去除效率达</w:t>
            </w:r>
            <w:r>
              <w:rPr>
                <w:rFonts w:hint="eastAsia"/>
                <w:sz w:val="24"/>
                <w:szCs w:val="24"/>
              </w:rPr>
              <w:t>95</w:t>
            </w:r>
            <w:r>
              <w:rPr>
                <w:sz w:val="24"/>
                <w:szCs w:val="24"/>
              </w:rPr>
              <w:t>%以上，因此给料机及输送带传送工序粉尘的排放量为</w:t>
            </w:r>
            <w:r>
              <w:rPr>
                <w:rFonts w:hint="eastAsia"/>
                <w:sz w:val="24"/>
                <w:szCs w:val="24"/>
                <w:lang w:val="en-US" w:eastAsia="zh-CN"/>
              </w:rPr>
              <w:t>1.10</w:t>
            </w:r>
            <w:r>
              <w:rPr>
                <w:sz w:val="24"/>
                <w:szCs w:val="24"/>
              </w:rPr>
              <w:t>t/a，</w:t>
            </w:r>
            <w:r>
              <w:rPr>
                <w:rFonts w:hint="eastAsia"/>
                <w:sz w:val="24"/>
                <w:szCs w:val="24"/>
              </w:rPr>
              <w:t>0.</w:t>
            </w:r>
            <w:r>
              <w:rPr>
                <w:rFonts w:hint="eastAsia"/>
                <w:sz w:val="24"/>
                <w:szCs w:val="24"/>
                <w:lang w:val="en-US" w:eastAsia="zh-CN"/>
              </w:rPr>
              <w:t>46</w:t>
            </w:r>
            <w:r>
              <w:rPr>
                <w:sz w:val="24"/>
                <w:szCs w:val="24"/>
              </w:rPr>
              <w:t>kg/h，治理措施经济技术可行。</w:t>
            </w:r>
          </w:p>
          <w:p>
            <w:pPr>
              <w:spacing w:line="360" w:lineRule="auto"/>
              <w:ind w:firstLine="480" w:firstLineChars="200"/>
              <w:rPr>
                <w:rFonts w:hint="eastAsia"/>
                <w:sz w:val="24"/>
                <w:szCs w:val="24"/>
              </w:rPr>
            </w:pPr>
            <w:r>
              <w:rPr>
                <w:rFonts w:hint="eastAsia"/>
                <w:sz w:val="24"/>
                <w:szCs w:val="24"/>
                <w:lang w:val="en-US" w:eastAsia="zh-CN"/>
              </w:rPr>
              <w:t>⑦</w:t>
            </w:r>
            <w:r>
              <w:rPr>
                <w:rFonts w:hint="eastAsia"/>
                <w:sz w:val="24"/>
                <w:szCs w:val="24"/>
              </w:rPr>
              <w:t>汽车尾气</w:t>
            </w:r>
          </w:p>
          <w:p>
            <w:pPr>
              <w:spacing w:line="360" w:lineRule="auto"/>
              <w:ind w:firstLine="480" w:firstLineChars="200"/>
              <w:rPr>
                <w:rFonts w:hint="eastAsia"/>
                <w:sz w:val="24"/>
                <w:szCs w:val="24"/>
              </w:rPr>
            </w:pPr>
            <w:r>
              <w:rPr>
                <w:rFonts w:hint="eastAsia"/>
                <w:sz w:val="24"/>
                <w:szCs w:val="24"/>
              </w:rPr>
              <w:t>本项目运输车辆进出厂区会产生汽车尾气，汽车尾气排放量较小，且仅在运输车辆进出厂时产生，加之本项目使用保养良好、符合环保法规的运输车辆，且项目厂区较为开阔，通风条件良好，经大气扩散后对周围环境基本无影响。</w:t>
            </w:r>
          </w:p>
          <w:p>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⑧厨房油烟</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本项目员工在公司内食宿，项目厨房采用液化石油气作为燃料，员工生活用油量按</w:t>
            </w:r>
            <w:r>
              <w:rPr>
                <w:rFonts w:hint="default" w:ascii="Times New Roman" w:hAnsi="Times New Roman" w:eastAsia="宋体" w:cs="Times New Roman"/>
                <w:color w:val="000000"/>
                <w:kern w:val="0"/>
                <w:sz w:val="24"/>
                <w:szCs w:val="24"/>
                <w:lang w:val="en-US" w:eastAsia="zh-CN" w:bidi="ar"/>
              </w:rPr>
              <w:t>30g/</w:t>
            </w:r>
            <w:r>
              <w:rPr>
                <w:rFonts w:hint="eastAsia" w:cs="Times New Roman"/>
                <w:color w:val="000000"/>
                <w:kern w:val="0"/>
                <w:sz w:val="24"/>
                <w:szCs w:val="24"/>
                <w:lang w:val="en-US" w:eastAsia="zh-CN" w:bidi="ar"/>
              </w:rPr>
              <w:t>人</w:t>
            </w:r>
            <w:r>
              <w:rPr>
                <w:rFonts w:hint="default" w:ascii="Times New Roman" w:hAnsi="Times New Roman"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计，项目劳动定员</w:t>
            </w:r>
            <w:r>
              <w:rPr>
                <w:rFonts w:hint="eastAsia" w:ascii="Times New Roman" w:hAnsi="Times New Roman" w:cs="Times New Roman"/>
                <w:color w:val="000000"/>
                <w:kern w:val="0"/>
                <w:sz w:val="24"/>
                <w:szCs w:val="24"/>
                <w:lang w:val="en-US" w:eastAsia="zh-CN" w:bidi="ar"/>
              </w:rPr>
              <w:t>4</w:t>
            </w:r>
            <w:r>
              <w:rPr>
                <w:rFonts w:hint="default" w:ascii="Times New Roman" w:hAnsi="Times New Roman" w:cs="Times New Roman"/>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人，则项目食堂用油量为</w:t>
            </w:r>
            <w:r>
              <w:rPr>
                <w:rFonts w:hint="eastAsia" w:ascii="Times New Roman" w:hAnsi="Times New Roman" w:cs="Times New Roman"/>
                <w:color w:val="000000"/>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kg/d</w:t>
            </w:r>
            <w:r>
              <w:rPr>
                <w:rFonts w:hint="eastAsia" w:ascii="宋体" w:hAnsi="宋体" w:eastAsia="宋体" w:cs="宋体"/>
                <w:color w:val="000000"/>
                <w:kern w:val="0"/>
                <w:sz w:val="24"/>
                <w:szCs w:val="24"/>
                <w:lang w:val="en-US" w:eastAsia="zh-CN" w:bidi="ar"/>
              </w:rPr>
              <w:t>，一般油烟挥发量占总拥有量的</w:t>
            </w:r>
            <w:r>
              <w:rPr>
                <w:rFonts w:hint="default" w:ascii="Times New Roman" w:hAnsi="Times New Roman" w:eastAsia="宋体" w:cs="Times New Roman"/>
                <w:color w:val="000000"/>
                <w:kern w:val="0"/>
                <w:sz w:val="24"/>
                <w:szCs w:val="24"/>
                <w:lang w:val="en-US" w:eastAsia="zh-CN" w:bidi="ar"/>
              </w:rPr>
              <w:t>2~4%</w:t>
            </w:r>
            <w:r>
              <w:rPr>
                <w:rFonts w:hint="eastAsia" w:ascii="宋体" w:hAnsi="宋体" w:eastAsia="宋体" w:cs="宋体"/>
                <w:color w:val="000000"/>
                <w:kern w:val="0"/>
                <w:sz w:val="24"/>
                <w:szCs w:val="24"/>
                <w:lang w:val="en-US" w:eastAsia="zh-CN" w:bidi="ar"/>
              </w:rPr>
              <w:t>，本次环评以</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计，则项目食堂油烟产生量为</w:t>
            </w:r>
            <w:r>
              <w:rPr>
                <w:rFonts w:hint="default" w:ascii="Times New Roman" w:hAnsi="Times New Roman" w:cs="Times New Roman"/>
                <w:color w:val="000000"/>
                <w:kern w:val="0"/>
                <w:sz w:val="24"/>
                <w:szCs w:val="24"/>
                <w:lang w:val="en-US" w:eastAsia="zh-CN" w:bidi="ar"/>
              </w:rPr>
              <w:t>0.0</w:t>
            </w:r>
            <w:r>
              <w:rPr>
                <w:rFonts w:hint="eastAsia" w:ascii="Times New Roman" w:hAnsi="Times New Roman" w:cs="Times New Roman"/>
                <w:color w:val="000000"/>
                <w:kern w:val="0"/>
                <w:sz w:val="24"/>
                <w:szCs w:val="24"/>
                <w:lang w:val="en-US" w:eastAsia="zh-CN" w:bidi="ar"/>
              </w:rPr>
              <w:t>36</w:t>
            </w:r>
            <w:r>
              <w:rPr>
                <w:rFonts w:hint="default" w:ascii="Times New Roman" w:hAnsi="Times New Roman" w:eastAsia="宋体" w:cs="Times New Roman"/>
                <w:color w:val="000000"/>
                <w:kern w:val="0"/>
                <w:sz w:val="24"/>
                <w:szCs w:val="24"/>
                <w:lang w:val="en-US" w:eastAsia="zh-CN" w:bidi="ar"/>
              </w:rPr>
              <w:t>kg/d</w:t>
            </w:r>
            <w:r>
              <w:rPr>
                <w:rFonts w:hint="eastAsia" w:ascii="宋体" w:hAnsi="宋体" w:eastAsia="宋体" w:cs="宋体"/>
                <w:color w:val="000000"/>
                <w:kern w:val="0"/>
                <w:sz w:val="24"/>
                <w:szCs w:val="24"/>
                <w:lang w:val="en-US" w:eastAsia="zh-CN" w:bidi="ar"/>
              </w:rPr>
              <w:t>，做饭时间以</w:t>
            </w:r>
            <w:r>
              <w:rPr>
                <w:rFonts w:hint="default" w:ascii="Times New Roman" w:hAnsi="Times New Roman" w:eastAsia="宋体" w:cs="Times New Roman"/>
                <w:color w:val="000000"/>
                <w:kern w:val="0"/>
                <w:sz w:val="24"/>
                <w:szCs w:val="24"/>
                <w:lang w:val="en-US" w:eastAsia="zh-CN" w:bidi="ar"/>
              </w:rPr>
              <w:t>4h</w:t>
            </w:r>
            <w:r>
              <w:rPr>
                <w:rFonts w:hint="eastAsia" w:ascii="宋体" w:hAnsi="宋体" w:eastAsia="宋体" w:cs="宋体"/>
                <w:color w:val="000000"/>
                <w:kern w:val="0"/>
                <w:sz w:val="24"/>
                <w:szCs w:val="24"/>
                <w:lang w:val="en-US" w:eastAsia="zh-CN" w:bidi="ar"/>
              </w:rPr>
              <w:t>计，则折合为</w:t>
            </w:r>
            <w:r>
              <w:rPr>
                <w:rFonts w:hint="default" w:ascii="Times New Roman" w:hAnsi="Times New Roman" w:eastAsia="宋体" w:cs="Times New Roman"/>
                <w:color w:val="000000"/>
                <w:kern w:val="0"/>
                <w:sz w:val="24"/>
                <w:szCs w:val="24"/>
                <w:lang w:val="en-US" w:eastAsia="zh-CN" w:bidi="ar"/>
              </w:rPr>
              <w:t>0.0</w:t>
            </w:r>
            <w:r>
              <w:rPr>
                <w:rFonts w:hint="eastAsia" w:cs="Times New Roman"/>
                <w:color w:val="000000"/>
                <w:kern w:val="0"/>
                <w:sz w:val="24"/>
                <w:szCs w:val="24"/>
                <w:lang w:val="en-US" w:eastAsia="zh-CN" w:bidi="ar"/>
              </w:rPr>
              <w:t>09</w:t>
            </w:r>
            <w:r>
              <w:rPr>
                <w:rFonts w:hint="default" w:ascii="Times New Roman" w:hAnsi="Times New Roman" w:eastAsia="宋体" w:cs="Times New Roman"/>
                <w:color w:val="000000"/>
                <w:kern w:val="0"/>
                <w:sz w:val="24"/>
                <w:szCs w:val="24"/>
                <w:lang w:val="en-US" w:eastAsia="zh-CN" w:bidi="ar"/>
              </w:rPr>
              <w:t>kg/h</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360" w:lineRule="auto"/>
              <w:ind w:firstLine="482" w:firstLineChars="200"/>
              <w:jc w:val="left"/>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治理措施：</w:t>
            </w:r>
          </w:p>
          <w:p>
            <w:pPr>
              <w:keepNext w:val="0"/>
              <w:keepLines w:val="0"/>
              <w:widowControl/>
              <w:suppressLineNumbers w:val="0"/>
              <w:spacing w:line="360" w:lineRule="auto"/>
              <w:ind w:firstLine="480" w:firstLineChars="200"/>
              <w:jc w:val="left"/>
              <w:rPr>
                <w:rFonts w:hint="eastAsia"/>
              </w:rPr>
            </w:pPr>
            <w:r>
              <w:rPr>
                <w:rFonts w:hint="eastAsia" w:ascii="宋体" w:hAnsi="宋体" w:eastAsia="宋体" w:cs="宋体"/>
                <w:color w:val="000000"/>
                <w:kern w:val="0"/>
                <w:sz w:val="24"/>
                <w:szCs w:val="24"/>
                <w:lang w:val="en-US" w:eastAsia="zh-CN" w:bidi="ar"/>
              </w:rPr>
              <w:t>参照《饮食业油烟排放标准》（试行）（</w:t>
            </w:r>
            <w:r>
              <w:rPr>
                <w:rFonts w:hint="default" w:ascii="Times New Roman" w:hAnsi="Times New Roman" w:eastAsia="宋体" w:cs="Times New Roman"/>
                <w:color w:val="000000"/>
                <w:kern w:val="0"/>
                <w:sz w:val="24"/>
                <w:szCs w:val="24"/>
                <w:lang w:val="en-US" w:eastAsia="zh-CN" w:bidi="ar"/>
              </w:rPr>
              <w:t>GB18483-2001</w:t>
            </w:r>
            <w:r>
              <w:rPr>
                <w:rFonts w:hint="eastAsia" w:ascii="宋体" w:hAnsi="宋体" w:eastAsia="宋体" w:cs="宋体"/>
                <w:color w:val="000000"/>
                <w:kern w:val="0"/>
                <w:sz w:val="24"/>
                <w:szCs w:val="24"/>
                <w:lang w:val="en-US" w:eastAsia="zh-CN" w:bidi="ar"/>
              </w:rPr>
              <w:t>），规定饮食业单位油烟最高允许排放浓度不超过</w:t>
            </w:r>
            <w:r>
              <w:rPr>
                <w:rFonts w:hint="default" w:ascii="Times New Roman" w:hAnsi="Times New Roman" w:eastAsia="宋体" w:cs="Times New Roman"/>
                <w:color w:val="000000"/>
                <w:kern w:val="0"/>
                <w:sz w:val="24"/>
                <w:szCs w:val="24"/>
                <w:lang w:val="en-US" w:eastAsia="zh-CN" w:bidi="ar"/>
              </w:rPr>
              <w:t>2mg/m</w:t>
            </w:r>
            <w:r>
              <w:rPr>
                <w:rFonts w:hint="eastAsia"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，要求项目在厨房安装油烟净化器，净化后的油烟通过风机和通风管道引至厨房顶排放</w:t>
            </w:r>
            <w:r>
              <w:rPr>
                <w:rFonts w:hint="eastAsia" w:cs="Times New Roman"/>
                <w:color w:val="000000"/>
                <w:kern w:val="0"/>
                <w:sz w:val="24"/>
                <w:szCs w:val="24"/>
                <w:vertAlign w:val="baseline"/>
                <w:lang w:val="en-US" w:eastAsia="zh-CN" w:bidi="ar"/>
              </w:rPr>
              <w:t>。</w:t>
            </w:r>
          </w:p>
          <w:p>
            <w:pPr>
              <w:spacing w:line="360" w:lineRule="auto"/>
              <w:ind w:firstLine="482" w:firstLineChars="200"/>
              <w:rPr>
                <w:rFonts w:hint="eastAsia"/>
                <w:b/>
                <w:bCs/>
                <w:sz w:val="24"/>
                <w:szCs w:val="24"/>
              </w:rPr>
            </w:pPr>
            <w:r>
              <w:rPr>
                <w:rFonts w:hint="eastAsia"/>
                <w:b/>
                <w:bCs/>
                <w:sz w:val="24"/>
                <w:szCs w:val="24"/>
              </w:rPr>
              <w:t>（2）项目废气产排汇总</w:t>
            </w:r>
          </w:p>
          <w:p>
            <w:pPr>
              <w:spacing w:line="360" w:lineRule="auto"/>
              <w:ind w:firstLine="480" w:firstLineChars="200"/>
              <w:rPr>
                <w:rFonts w:hint="eastAsia"/>
                <w:sz w:val="24"/>
                <w:szCs w:val="24"/>
              </w:rPr>
            </w:pPr>
            <w:r>
              <w:rPr>
                <w:rFonts w:hint="eastAsia"/>
                <w:sz w:val="24"/>
                <w:szCs w:val="24"/>
              </w:rPr>
              <w:t>根据废气源强分析结果，本项目废气产排情况见下表：</w:t>
            </w:r>
          </w:p>
          <w:p>
            <w:pPr>
              <w:pStyle w:val="8"/>
              <w:ind w:firstLine="422"/>
              <w:jc w:val="center"/>
              <w:rPr>
                <w:rFonts w:hint="eastAsia"/>
                <w:b/>
                <w:bCs/>
                <w:sz w:val="21"/>
                <w:szCs w:val="21"/>
              </w:rPr>
            </w:pPr>
            <w:r>
              <w:rPr>
                <w:rFonts w:hint="eastAsia"/>
                <w:b/>
                <w:bCs/>
                <w:sz w:val="21"/>
                <w:szCs w:val="21"/>
              </w:rPr>
              <w:t xml:space="preserve"> 表4-</w:t>
            </w:r>
            <w:r>
              <w:rPr>
                <w:rFonts w:hint="eastAsia"/>
                <w:b/>
                <w:bCs/>
                <w:sz w:val="21"/>
                <w:szCs w:val="21"/>
                <w:lang w:val="en-US" w:eastAsia="zh-CN"/>
              </w:rPr>
              <w:t>1</w:t>
            </w:r>
            <w:r>
              <w:rPr>
                <w:rFonts w:hint="eastAsia"/>
                <w:b/>
                <w:bCs/>
                <w:sz w:val="21"/>
                <w:szCs w:val="21"/>
              </w:rPr>
              <w:t xml:space="preserve">  项目废气产排及治理情况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089"/>
              <w:gridCol w:w="1095"/>
              <w:gridCol w:w="1982"/>
              <w:gridCol w:w="1084"/>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jc w:val="center"/>
                    <w:rPr>
                      <w:rFonts w:hint="eastAsia"/>
                    </w:rPr>
                  </w:pPr>
                  <w:r>
                    <w:rPr>
                      <w:rFonts w:hint="eastAsia"/>
                    </w:rPr>
                    <w:t>序号</w:t>
                  </w:r>
                </w:p>
              </w:tc>
              <w:tc>
                <w:tcPr>
                  <w:tcW w:w="1295" w:type="pct"/>
                  <w:noWrap w:val="0"/>
                  <w:vAlign w:val="center"/>
                </w:tcPr>
                <w:p>
                  <w:pPr>
                    <w:jc w:val="center"/>
                    <w:rPr>
                      <w:rFonts w:hint="eastAsia"/>
                    </w:rPr>
                  </w:pPr>
                  <w:r>
                    <w:rPr>
                      <w:rFonts w:hint="eastAsia"/>
                    </w:rPr>
                    <w:t>废气排放源</w:t>
                  </w:r>
                </w:p>
              </w:tc>
              <w:tc>
                <w:tcPr>
                  <w:tcW w:w="679" w:type="pct"/>
                  <w:noWrap w:val="0"/>
                  <w:vAlign w:val="center"/>
                </w:tcPr>
                <w:p>
                  <w:pPr>
                    <w:jc w:val="center"/>
                    <w:rPr>
                      <w:rFonts w:hint="eastAsia"/>
                    </w:rPr>
                  </w:pPr>
                  <w:r>
                    <w:rPr>
                      <w:rFonts w:hint="eastAsia"/>
                    </w:rPr>
                    <w:t>产生量</w:t>
                  </w:r>
                </w:p>
                <w:p>
                  <w:pPr>
                    <w:jc w:val="center"/>
                    <w:rPr>
                      <w:rFonts w:hint="eastAsia"/>
                    </w:rPr>
                  </w:pPr>
                  <w:r>
                    <w:rPr>
                      <w:rFonts w:hint="eastAsia"/>
                    </w:rPr>
                    <w:t>t/a</w:t>
                  </w:r>
                </w:p>
              </w:tc>
              <w:tc>
                <w:tcPr>
                  <w:tcW w:w="1229" w:type="pct"/>
                  <w:noWrap w:val="0"/>
                  <w:vAlign w:val="center"/>
                </w:tcPr>
                <w:p>
                  <w:pPr>
                    <w:jc w:val="center"/>
                    <w:rPr>
                      <w:rFonts w:hint="eastAsia"/>
                    </w:rPr>
                  </w:pPr>
                  <w:r>
                    <w:rPr>
                      <w:rFonts w:hint="eastAsia"/>
                    </w:rPr>
                    <w:t>治理措施</w:t>
                  </w:r>
                </w:p>
              </w:tc>
              <w:tc>
                <w:tcPr>
                  <w:tcW w:w="672" w:type="pct"/>
                  <w:noWrap w:val="0"/>
                  <w:vAlign w:val="center"/>
                </w:tcPr>
                <w:p>
                  <w:pPr>
                    <w:jc w:val="center"/>
                    <w:rPr>
                      <w:rFonts w:hint="eastAsia"/>
                    </w:rPr>
                  </w:pPr>
                  <w:r>
                    <w:rPr>
                      <w:rFonts w:hint="eastAsia"/>
                    </w:rPr>
                    <w:t>排放量</w:t>
                  </w:r>
                </w:p>
                <w:p>
                  <w:pPr>
                    <w:jc w:val="center"/>
                    <w:rPr>
                      <w:rFonts w:hint="eastAsia"/>
                    </w:rPr>
                  </w:pPr>
                  <w:r>
                    <w:t>t/a</w:t>
                  </w:r>
                </w:p>
              </w:tc>
              <w:tc>
                <w:tcPr>
                  <w:tcW w:w="691" w:type="pct"/>
                  <w:noWrap w:val="0"/>
                  <w:vAlign w:val="center"/>
                </w:tcPr>
                <w:p>
                  <w:pPr>
                    <w:jc w:val="center"/>
                    <w:rPr>
                      <w:rFonts w:hint="eastAsia"/>
                    </w:rPr>
                  </w:pPr>
                  <w:r>
                    <w:rPr>
                      <w:rFonts w:hint="eastAsia"/>
                    </w:rPr>
                    <w:t>排放</w:t>
                  </w:r>
                </w:p>
                <w:p>
                  <w:pPr>
                    <w:jc w:val="center"/>
                    <w:rPr>
                      <w:rFonts w:hint="eastAsia"/>
                    </w:rPr>
                  </w:pPr>
                  <w:r>
                    <w:rPr>
                      <w:rFonts w:hint="eastAsia"/>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jc w:val="center"/>
                    <w:rPr>
                      <w:rFonts w:hint="eastAsia"/>
                    </w:rPr>
                  </w:pPr>
                  <w:r>
                    <w:rPr>
                      <w:rFonts w:hint="eastAsia"/>
                    </w:rPr>
                    <w:t>1</w:t>
                  </w:r>
                </w:p>
              </w:tc>
              <w:tc>
                <w:tcPr>
                  <w:tcW w:w="1295" w:type="pct"/>
                  <w:noWrap w:val="0"/>
                  <w:vAlign w:val="center"/>
                </w:tcPr>
                <w:p>
                  <w:pPr>
                    <w:jc w:val="center"/>
                    <w:rPr>
                      <w:rFonts w:hint="eastAsia"/>
                    </w:rPr>
                  </w:pPr>
                  <w:r>
                    <w:rPr>
                      <w:rFonts w:hint="eastAsia"/>
                    </w:rPr>
                    <w:t>筒仓粉尘</w:t>
                  </w:r>
                </w:p>
              </w:tc>
              <w:tc>
                <w:tcPr>
                  <w:tcW w:w="679" w:type="pct"/>
                  <w:noWrap w:val="0"/>
                  <w:vAlign w:val="center"/>
                </w:tcPr>
                <w:p>
                  <w:pPr>
                    <w:jc w:val="center"/>
                    <w:rPr>
                      <w:rFonts w:hint="eastAsia"/>
                      <w:lang w:val="en-US" w:eastAsia="zh-CN"/>
                    </w:rPr>
                  </w:pPr>
                  <w:r>
                    <w:rPr>
                      <w:rFonts w:hint="eastAsia"/>
                      <w:lang w:val="en-US" w:eastAsia="zh-CN"/>
                    </w:rPr>
                    <w:t>476.52</w:t>
                  </w:r>
                </w:p>
              </w:tc>
              <w:tc>
                <w:tcPr>
                  <w:tcW w:w="1229" w:type="pct"/>
                  <w:noWrap w:val="0"/>
                  <w:vAlign w:val="center"/>
                </w:tcPr>
                <w:p>
                  <w:pPr>
                    <w:jc w:val="center"/>
                    <w:rPr>
                      <w:rFonts w:hint="eastAsia"/>
                    </w:rPr>
                  </w:pPr>
                  <w:r>
                    <w:t>脉冲反吹收尘器</w:t>
                  </w:r>
                  <w:r>
                    <w:rPr>
                      <w:rFonts w:hint="eastAsia"/>
                    </w:rPr>
                    <w:t>，封闭厂房</w:t>
                  </w:r>
                </w:p>
              </w:tc>
              <w:tc>
                <w:tcPr>
                  <w:tcW w:w="672" w:type="pct"/>
                  <w:noWrap w:val="0"/>
                  <w:vAlign w:val="center"/>
                </w:tcPr>
                <w:p>
                  <w:pPr>
                    <w:jc w:val="center"/>
                    <w:rPr>
                      <w:rFonts w:hint="eastAsia"/>
                      <w:lang w:val="en-US" w:eastAsia="zh-CN"/>
                    </w:rPr>
                  </w:pPr>
                  <w:r>
                    <w:rPr>
                      <w:rFonts w:hint="eastAsia"/>
                      <w:lang w:val="en-US" w:eastAsia="zh-CN"/>
                    </w:rPr>
                    <w:t>0.07</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jc w:val="center"/>
                    <w:rPr>
                      <w:rFonts w:hint="eastAsia"/>
                    </w:rPr>
                  </w:pPr>
                  <w:r>
                    <w:rPr>
                      <w:rFonts w:hint="eastAsia"/>
                    </w:rPr>
                    <w:t>2</w:t>
                  </w:r>
                </w:p>
              </w:tc>
              <w:tc>
                <w:tcPr>
                  <w:tcW w:w="1295" w:type="pct"/>
                  <w:noWrap w:val="0"/>
                  <w:vAlign w:val="center"/>
                </w:tcPr>
                <w:p>
                  <w:pPr>
                    <w:jc w:val="center"/>
                    <w:rPr>
                      <w:rFonts w:hint="eastAsia"/>
                    </w:rPr>
                  </w:pPr>
                  <w:r>
                    <w:rPr>
                      <w:rFonts w:hint="eastAsia"/>
                    </w:rPr>
                    <w:t>搅拌主机粉尘</w:t>
                  </w:r>
                </w:p>
              </w:tc>
              <w:tc>
                <w:tcPr>
                  <w:tcW w:w="679" w:type="pct"/>
                  <w:noWrap w:val="0"/>
                  <w:vAlign w:val="center"/>
                </w:tcPr>
                <w:p>
                  <w:pPr>
                    <w:jc w:val="center"/>
                    <w:rPr>
                      <w:rFonts w:hint="eastAsia"/>
                      <w:lang w:val="en-US" w:eastAsia="zh-CN"/>
                    </w:rPr>
                  </w:pPr>
                  <w:r>
                    <w:rPr>
                      <w:rFonts w:hint="eastAsia"/>
                      <w:lang w:val="en-US" w:eastAsia="zh-CN"/>
                    </w:rPr>
                    <w:t>26.7</w:t>
                  </w:r>
                </w:p>
              </w:tc>
              <w:tc>
                <w:tcPr>
                  <w:tcW w:w="1229" w:type="pct"/>
                  <w:noWrap w:val="0"/>
                  <w:vAlign w:val="center"/>
                </w:tcPr>
                <w:p>
                  <w:pPr>
                    <w:jc w:val="center"/>
                    <w:rPr>
                      <w:rFonts w:hint="eastAsia"/>
                    </w:rPr>
                  </w:pPr>
                  <w:r>
                    <w:t>脉冲反吹收尘器</w:t>
                  </w:r>
                  <w:r>
                    <w:rPr>
                      <w:rFonts w:hint="eastAsia"/>
                    </w:rPr>
                    <w:t>，封闭厂房</w:t>
                  </w:r>
                </w:p>
              </w:tc>
              <w:tc>
                <w:tcPr>
                  <w:tcW w:w="672" w:type="pct"/>
                  <w:noWrap w:val="0"/>
                  <w:vAlign w:val="center"/>
                </w:tcPr>
                <w:p>
                  <w:pPr>
                    <w:jc w:val="center"/>
                    <w:rPr>
                      <w:rFonts w:hint="eastAsia"/>
                      <w:lang w:val="en-US" w:eastAsia="zh-CN"/>
                    </w:rPr>
                  </w:pPr>
                  <w:r>
                    <w:rPr>
                      <w:rFonts w:hint="eastAsia"/>
                      <w:lang w:val="en-US" w:eastAsia="zh-CN"/>
                    </w:rPr>
                    <w:t>0.03</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jc w:val="center"/>
                    <w:rPr>
                      <w:rFonts w:hint="eastAsia"/>
                      <w:lang w:val="en-US" w:eastAsia="zh-CN"/>
                    </w:rPr>
                  </w:pPr>
                  <w:r>
                    <w:rPr>
                      <w:rFonts w:hint="eastAsia"/>
                    </w:rPr>
                    <w:t>3</w:t>
                  </w:r>
                </w:p>
              </w:tc>
              <w:tc>
                <w:tcPr>
                  <w:tcW w:w="1295" w:type="pct"/>
                  <w:noWrap w:val="0"/>
                  <w:vAlign w:val="center"/>
                </w:tcPr>
                <w:p>
                  <w:pPr>
                    <w:jc w:val="center"/>
                    <w:rPr>
                      <w:rFonts w:hint="eastAsia"/>
                    </w:rPr>
                  </w:pPr>
                  <w:r>
                    <w:rPr>
                      <w:rFonts w:hint="default"/>
                    </w:rPr>
                    <w:t>砂石破碎</w:t>
                  </w:r>
                  <w:r>
                    <w:rPr>
                      <w:rFonts w:hint="default"/>
                      <w:lang w:eastAsia="zh-CN"/>
                    </w:rPr>
                    <w:t>、</w:t>
                  </w:r>
                  <w:r>
                    <w:rPr>
                      <w:rFonts w:hint="default"/>
                    </w:rPr>
                    <w:t>筛分粉尘</w:t>
                  </w:r>
                </w:p>
              </w:tc>
              <w:tc>
                <w:tcPr>
                  <w:tcW w:w="679" w:type="pct"/>
                  <w:noWrap w:val="0"/>
                  <w:vAlign w:val="center"/>
                </w:tcPr>
                <w:p>
                  <w:pPr>
                    <w:jc w:val="center"/>
                    <w:rPr>
                      <w:rFonts w:hint="eastAsia"/>
                      <w:lang w:val="en-US" w:eastAsia="zh-CN"/>
                    </w:rPr>
                  </w:pPr>
                  <w:r>
                    <w:rPr>
                      <w:rFonts w:hint="eastAsia"/>
                      <w:lang w:val="en-US" w:eastAsia="zh-CN"/>
                    </w:rPr>
                    <w:t>55.14</w:t>
                  </w:r>
                </w:p>
              </w:tc>
              <w:tc>
                <w:tcPr>
                  <w:tcW w:w="1229" w:type="pct"/>
                  <w:noWrap w:val="0"/>
                  <w:vAlign w:val="center"/>
                </w:tcPr>
                <w:p>
                  <w:pPr>
                    <w:jc w:val="center"/>
                  </w:pPr>
                  <w:r>
                    <w:rPr>
                      <w:rFonts w:hint="default"/>
                      <w:lang w:val="en-US" w:eastAsia="zh-CN"/>
                    </w:rPr>
                    <w:t>水雾除尘</w:t>
                  </w:r>
                  <w:r>
                    <w:rPr>
                      <w:rFonts w:hint="eastAsia"/>
                    </w:rPr>
                    <w:t>，封闭厂房</w:t>
                  </w:r>
                </w:p>
              </w:tc>
              <w:tc>
                <w:tcPr>
                  <w:tcW w:w="672" w:type="pct"/>
                  <w:noWrap w:val="0"/>
                  <w:vAlign w:val="center"/>
                </w:tcPr>
                <w:p>
                  <w:pPr>
                    <w:jc w:val="center"/>
                    <w:rPr>
                      <w:rFonts w:hint="eastAsia"/>
                      <w:lang w:val="en-US" w:eastAsia="zh-CN"/>
                    </w:rPr>
                  </w:pPr>
                  <w:r>
                    <w:rPr>
                      <w:rFonts w:hint="eastAsia"/>
                      <w:lang w:val="en-US" w:eastAsia="zh-CN"/>
                    </w:rPr>
                    <w:t>0.28</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31" w:type="pct"/>
                  <w:noWrap w:val="0"/>
                  <w:vAlign w:val="center"/>
                </w:tcPr>
                <w:p>
                  <w:pPr>
                    <w:jc w:val="center"/>
                    <w:rPr>
                      <w:rFonts w:hint="eastAsia"/>
                      <w:lang w:val="en-US" w:eastAsia="zh-CN"/>
                    </w:rPr>
                  </w:pPr>
                  <w:r>
                    <w:rPr>
                      <w:rFonts w:hint="eastAsia"/>
                    </w:rPr>
                    <w:t>4</w:t>
                  </w:r>
                </w:p>
              </w:tc>
              <w:tc>
                <w:tcPr>
                  <w:tcW w:w="1295" w:type="pct"/>
                  <w:noWrap w:val="0"/>
                  <w:vAlign w:val="center"/>
                </w:tcPr>
                <w:p>
                  <w:pPr>
                    <w:jc w:val="center"/>
                    <w:rPr>
                      <w:rFonts w:hint="eastAsia"/>
                    </w:rPr>
                  </w:pPr>
                  <w:r>
                    <w:rPr>
                      <w:rFonts w:hint="eastAsia"/>
                    </w:rPr>
                    <w:t>砂石原料库粉尘</w:t>
                  </w:r>
                </w:p>
              </w:tc>
              <w:tc>
                <w:tcPr>
                  <w:tcW w:w="679" w:type="pct"/>
                  <w:noWrap w:val="0"/>
                  <w:vAlign w:val="center"/>
                </w:tcPr>
                <w:p>
                  <w:pPr>
                    <w:jc w:val="center"/>
                    <w:rPr>
                      <w:rFonts w:hint="eastAsia"/>
                      <w:lang w:val="en-US" w:eastAsia="zh-CN"/>
                    </w:rPr>
                  </w:pPr>
                  <w:r>
                    <w:rPr>
                      <w:rFonts w:hint="eastAsia"/>
                      <w:lang w:val="en-US" w:eastAsia="zh-CN"/>
                    </w:rPr>
                    <w:t>0.11</w:t>
                  </w:r>
                </w:p>
              </w:tc>
              <w:tc>
                <w:tcPr>
                  <w:tcW w:w="1229" w:type="pct"/>
                  <w:noWrap w:val="0"/>
                  <w:vAlign w:val="center"/>
                </w:tcPr>
                <w:p>
                  <w:pPr>
                    <w:jc w:val="center"/>
                    <w:rPr>
                      <w:rFonts w:hint="eastAsia"/>
                    </w:rPr>
                  </w:pPr>
                  <w:r>
                    <w:rPr>
                      <w:rFonts w:hint="eastAsia"/>
                    </w:rPr>
                    <w:t>洒水降尘，封闭库房</w:t>
                  </w:r>
                </w:p>
              </w:tc>
              <w:tc>
                <w:tcPr>
                  <w:tcW w:w="672" w:type="pct"/>
                  <w:noWrap w:val="0"/>
                  <w:vAlign w:val="center"/>
                </w:tcPr>
                <w:p>
                  <w:pPr>
                    <w:jc w:val="center"/>
                    <w:rPr>
                      <w:rFonts w:hint="eastAsia"/>
                      <w:lang w:val="en-US" w:eastAsia="zh-CN"/>
                    </w:rPr>
                  </w:pPr>
                  <w:r>
                    <w:rPr>
                      <w:rFonts w:hint="eastAsia"/>
                      <w:lang w:val="en-US" w:eastAsia="zh-CN"/>
                    </w:rPr>
                    <w:t>0.08</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431" w:type="pct"/>
                  <w:noWrap w:val="0"/>
                  <w:vAlign w:val="center"/>
                </w:tcPr>
                <w:p>
                  <w:pPr>
                    <w:jc w:val="center"/>
                    <w:rPr>
                      <w:rFonts w:hint="eastAsia"/>
                      <w:lang w:val="en-US" w:eastAsia="zh-CN"/>
                    </w:rPr>
                  </w:pPr>
                  <w:r>
                    <w:rPr>
                      <w:rFonts w:hint="eastAsia"/>
                    </w:rPr>
                    <w:t>5</w:t>
                  </w:r>
                </w:p>
              </w:tc>
              <w:tc>
                <w:tcPr>
                  <w:tcW w:w="1295" w:type="pct"/>
                  <w:noWrap w:val="0"/>
                  <w:vAlign w:val="center"/>
                </w:tcPr>
                <w:p>
                  <w:pPr>
                    <w:jc w:val="center"/>
                    <w:rPr>
                      <w:rFonts w:hint="eastAsia"/>
                    </w:rPr>
                  </w:pPr>
                  <w:r>
                    <w:rPr>
                      <w:rFonts w:hint="eastAsia"/>
                    </w:rPr>
                    <w:t>厂内装载车辆运输粉尘</w:t>
                  </w:r>
                </w:p>
              </w:tc>
              <w:tc>
                <w:tcPr>
                  <w:tcW w:w="679" w:type="pct"/>
                  <w:noWrap w:val="0"/>
                  <w:vAlign w:val="center"/>
                </w:tcPr>
                <w:p>
                  <w:pPr>
                    <w:jc w:val="center"/>
                    <w:rPr>
                      <w:rFonts w:hint="eastAsia"/>
                      <w:lang w:val="en-US" w:eastAsia="zh-CN"/>
                    </w:rPr>
                  </w:pPr>
                  <w:r>
                    <w:rPr>
                      <w:rFonts w:hint="eastAsia"/>
                      <w:lang w:val="en-US" w:eastAsia="zh-CN"/>
                    </w:rPr>
                    <w:t>2.34</w:t>
                  </w:r>
                </w:p>
              </w:tc>
              <w:tc>
                <w:tcPr>
                  <w:tcW w:w="1229" w:type="pct"/>
                  <w:noWrap w:val="0"/>
                  <w:vAlign w:val="center"/>
                </w:tcPr>
                <w:p>
                  <w:pPr>
                    <w:jc w:val="center"/>
                    <w:rPr>
                      <w:rFonts w:hint="eastAsia"/>
                    </w:rPr>
                  </w:pPr>
                  <w:r>
                    <w:rPr>
                      <w:rFonts w:hint="eastAsia"/>
                    </w:rPr>
                    <w:t>遮盖运输、地面硬化、洒水降尘、轮胎冲洗</w:t>
                  </w:r>
                </w:p>
              </w:tc>
              <w:tc>
                <w:tcPr>
                  <w:tcW w:w="672" w:type="pct"/>
                  <w:noWrap w:val="0"/>
                  <w:vAlign w:val="center"/>
                </w:tcPr>
                <w:p>
                  <w:pPr>
                    <w:jc w:val="center"/>
                    <w:rPr>
                      <w:rFonts w:hint="eastAsia"/>
                      <w:lang w:val="en-US" w:eastAsia="zh-CN"/>
                    </w:rPr>
                  </w:pPr>
                  <w:r>
                    <w:rPr>
                      <w:rFonts w:hint="eastAsia"/>
                      <w:lang w:val="en-US" w:eastAsia="zh-CN"/>
                    </w:rPr>
                    <w:t>0.35</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31" w:type="pct"/>
                  <w:noWrap w:val="0"/>
                  <w:vAlign w:val="center"/>
                </w:tcPr>
                <w:p>
                  <w:pPr>
                    <w:jc w:val="center"/>
                    <w:rPr>
                      <w:rFonts w:hint="eastAsia"/>
                      <w:lang w:val="en-US" w:eastAsia="zh-CN"/>
                    </w:rPr>
                  </w:pPr>
                  <w:r>
                    <w:rPr>
                      <w:rFonts w:hint="eastAsia"/>
                    </w:rPr>
                    <w:t>6</w:t>
                  </w:r>
                </w:p>
              </w:tc>
              <w:tc>
                <w:tcPr>
                  <w:tcW w:w="1295" w:type="pct"/>
                  <w:noWrap w:val="0"/>
                  <w:vAlign w:val="center"/>
                </w:tcPr>
                <w:p>
                  <w:pPr>
                    <w:jc w:val="center"/>
                    <w:rPr>
                      <w:rFonts w:hint="eastAsia"/>
                    </w:rPr>
                  </w:pPr>
                  <w:r>
                    <w:rPr>
                      <w:rFonts w:hint="default"/>
                    </w:rPr>
                    <w:t>给料机及输送带产生的粉尘</w:t>
                  </w:r>
                </w:p>
              </w:tc>
              <w:tc>
                <w:tcPr>
                  <w:tcW w:w="679" w:type="pct"/>
                  <w:noWrap w:val="0"/>
                  <w:vAlign w:val="center"/>
                </w:tcPr>
                <w:p>
                  <w:pPr>
                    <w:jc w:val="center"/>
                    <w:rPr>
                      <w:rFonts w:hint="eastAsia"/>
                      <w:lang w:val="en-US" w:eastAsia="zh-CN"/>
                    </w:rPr>
                  </w:pPr>
                  <w:r>
                    <w:rPr>
                      <w:rFonts w:hint="eastAsia"/>
                      <w:lang w:val="en-US" w:eastAsia="zh-CN"/>
                    </w:rPr>
                    <w:t>22.06</w:t>
                  </w:r>
                </w:p>
              </w:tc>
              <w:tc>
                <w:tcPr>
                  <w:tcW w:w="1229" w:type="pct"/>
                  <w:noWrap w:val="0"/>
                  <w:vAlign w:val="center"/>
                </w:tcPr>
                <w:p>
                  <w:pPr>
                    <w:jc w:val="center"/>
                    <w:rPr>
                      <w:rFonts w:hint="eastAsia"/>
                    </w:rPr>
                  </w:pPr>
                  <w:r>
                    <w:rPr>
                      <w:rFonts w:hint="eastAsia"/>
                    </w:rPr>
                    <w:t>湿法作业、全封闭式输送带、封闭厂房</w:t>
                  </w:r>
                </w:p>
              </w:tc>
              <w:tc>
                <w:tcPr>
                  <w:tcW w:w="672" w:type="pct"/>
                  <w:noWrap w:val="0"/>
                  <w:vAlign w:val="center"/>
                </w:tcPr>
                <w:p>
                  <w:pPr>
                    <w:jc w:val="center"/>
                    <w:rPr>
                      <w:rFonts w:hint="eastAsia"/>
                      <w:lang w:val="en-US" w:eastAsia="zh-CN"/>
                    </w:rPr>
                  </w:pPr>
                  <w:r>
                    <w:rPr>
                      <w:rFonts w:hint="eastAsia"/>
                      <w:lang w:val="en-US" w:eastAsia="zh-CN"/>
                    </w:rPr>
                    <w:t>1.10</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31" w:type="pct"/>
                  <w:noWrap w:val="0"/>
                  <w:vAlign w:val="center"/>
                </w:tcPr>
                <w:p>
                  <w:pPr>
                    <w:jc w:val="center"/>
                    <w:rPr>
                      <w:rFonts w:hint="eastAsia" w:eastAsia="宋体"/>
                      <w:lang w:val="en-US" w:eastAsia="zh-CN"/>
                    </w:rPr>
                  </w:pPr>
                  <w:r>
                    <w:rPr>
                      <w:rFonts w:hint="eastAsia"/>
                      <w:lang w:val="en-US" w:eastAsia="zh-CN"/>
                    </w:rPr>
                    <w:t>7</w:t>
                  </w:r>
                </w:p>
              </w:tc>
              <w:tc>
                <w:tcPr>
                  <w:tcW w:w="1295" w:type="pct"/>
                  <w:noWrap w:val="0"/>
                  <w:vAlign w:val="center"/>
                </w:tcPr>
                <w:p>
                  <w:pPr>
                    <w:jc w:val="center"/>
                    <w:rPr>
                      <w:rFonts w:hint="default"/>
                    </w:rPr>
                  </w:pPr>
                  <w:r>
                    <w:rPr>
                      <w:rFonts w:hint="eastAsia" w:cs="Times New Roman"/>
                      <w:color w:val="000000"/>
                      <w:kern w:val="0"/>
                      <w:sz w:val="21"/>
                      <w:szCs w:val="21"/>
                      <w:vertAlign w:val="baseline"/>
                      <w:lang w:val="en-US" w:eastAsia="zh-CN" w:bidi="ar"/>
                    </w:rPr>
                    <w:t>厨房油烟</w:t>
                  </w:r>
                </w:p>
              </w:tc>
              <w:tc>
                <w:tcPr>
                  <w:tcW w:w="679" w:type="pct"/>
                  <w:noWrap w:val="0"/>
                  <w:vAlign w:val="center"/>
                </w:tcPr>
                <w:p>
                  <w:pPr>
                    <w:jc w:val="center"/>
                    <w:rPr>
                      <w:rFonts w:hint="default"/>
                      <w:lang w:val="en-US" w:eastAsia="zh-CN"/>
                    </w:rPr>
                  </w:pPr>
                  <w:r>
                    <w:rPr>
                      <w:rFonts w:hint="eastAsia"/>
                      <w:lang w:val="en-US" w:eastAsia="zh-CN"/>
                    </w:rPr>
                    <w:t>0.36</w:t>
                  </w:r>
                </w:p>
              </w:tc>
              <w:tc>
                <w:tcPr>
                  <w:tcW w:w="1229" w:type="pct"/>
                  <w:noWrap w:val="0"/>
                  <w:vAlign w:val="center"/>
                </w:tcPr>
                <w:p>
                  <w:pPr>
                    <w:jc w:val="center"/>
                    <w:rPr>
                      <w:rFonts w:hint="eastAsia"/>
                    </w:rPr>
                  </w:pPr>
                  <w:r>
                    <w:rPr>
                      <w:rFonts w:hint="eastAsia" w:cs="Times New Roman"/>
                      <w:color w:val="000000"/>
                      <w:kern w:val="0"/>
                      <w:sz w:val="21"/>
                      <w:szCs w:val="21"/>
                      <w:vertAlign w:val="baseline"/>
                      <w:lang w:val="en-US" w:eastAsia="zh-CN" w:bidi="ar"/>
                    </w:rPr>
                    <w:t>油烟净化器+屋顶排放</w:t>
                  </w:r>
                </w:p>
              </w:tc>
              <w:tc>
                <w:tcPr>
                  <w:tcW w:w="672" w:type="pct"/>
                  <w:noWrap w:val="0"/>
                  <w:vAlign w:val="center"/>
                </w:tcPr>
                <w:p>
                  <w:pPr>
                    <w:jc w:val="center"/>
                    <w:rPr>
                      <w:rFonts w:hint="default"/>
                      <w:lang w:val="en-US" w:eastAsia="zh-CN"/>
                    </w:rPr>
                  </w:pPr>
                  <w:r>
                    <w:rPr>
                      <w:rFonts w:hint="eastAsia"/>
                      <w:lang w:val="en-US" w:eastAsia="zh-CN"/>
                    </w:rPr>
                    <w:t>0.01</w:t>
                  </w:r>
                </w:p>
              </w:tc>
              <w:tc>
                <w:tcPr>
                  <w:tcW w:w="691" w:type="pct"/>
                  <w:noWrap w:val="0"/>
                  <w:vAlign w:val="center"/>
                </w:tcPr>
                <w:p>
                  <w:pPr>
                    <w:jc w:val="center"/>
                    <w:rPr>
                      <w:rFonts w:hint="eastAsia"/>
                    </w:rPr>
                  </w:pPr>
                  <w:r>
                    <w:rPr>
                      <w:rFonts w:hint="eastAsia"/>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431" w:type="pct"/>
                  <w:noWrap w:val="0"/>
                  <w:vAlign w:val="center"/>
                </w:tcPr>
                <w:p>
                  <w:pPr>
                    <w:jc w:val="center"/>
                    <w:rPr>
                      <w:rFonts w:hint="eastAsia"/>
                      <w:b/>
                      <w:bCs/>
                      <w:lang w:val="en-US" w:eastAsia="zh-CN"/>
                    </w:rPr>
                  </w:pPr>
                  <w:r>
                    <w:rPr>
                      <w:rFonts w:hint="eastAsia"/>
                      <w:b/>
                      <w:bCs/>
                      <w:lang w:val="en-US" w:eastAsia="zh-CN"/>
                    </w:rPr>
                    <w:t>8</w:t>
                  </w:r>
                </w:p>
              </w:tc>
              <w:tc>
                <w:tcPr>
                  <w:tcW w:w="1295" w:type="pct"/>
                  <w:noWrap w:val="0"/>
                  <w:vAlign w:val="center"/>
                </w:tcPr>
                <w:p>
                  <w:pPr>
                    <w:jc w:val="center"/>
                    <w:rPr>
                      <w:rFonts w:hint="eastAsia"/>
                      <w:b/>
                      <w:bCs/>
                    </w:rPr>
                  </w:pPr>
                  <w:r>
                    <w:rPr>
                      <w:rFonts w:hint="eastAsia"/>
                      <w:b/>
                      <w:bCs/>
                    </w:rPr>
                    <w:t>粉尘合计</w:t>
                  </w:r>
                </w:p>
              </w:tc>
              <w:tc>
                <w:tcPr>
                  <w:tcW w:w="679" w:type="pct"/>
                  <w:noWrap w:val="0"/>
                  <w:vAlign w:val="center"/>
                </w:tcPr>
                <w:p>
                  <w:pPr>
                    <w:jc w:val="center"/>
                    <w:rPr>
                      <w:rFonts w:hint="default"/>
                      <w:b/>
                      <w:bCs/>
                      <w:lang w:val="en-US" w:eastAsia="zh-CN"/>
                    </w:rPr>
                  </w:pPr>
                  <w:r>
                    <w:rPr>
                      <w:rFonts w:hint="eastAsia"/>
                      <w:b/>
                      <w:bCs/>
                      <w:lang w:val="en-US" w:eastAsia="zh-CN"/>
                    </w:rPr>
                    <w:t>582.87</w:t>
                  </w:r>
                </w:p>
              </w:tc>
              <w:tc>
                <w:tcPr>
                  <w:tcW w:w="1229" w:type="pct"/>
                  <w:noWrap w:val="0"/>
                  <w:vAlign w:val="center"/>
                </w:tcPr>
                <w:p>
                  <w:pPr>
                    <w:jc w:val="center"/>
                    <w:rPr>
                      <w:rFonts w:hint="eastAsia"/>
                      <w:b/>
                      <w:bCs/>
                    </w:rPr>
                  </w:pPr>
                  <w:r>
                    <w:rPr>
                      <w:rFonts w:hint="eastAsia"/>
                      <w:b/>
                      <w:bCs/>
                    </w:rPr>
                    <w:t>-</w:t>
                  </w:r>
                </w:p>
              </w:tc>
              <w:tc>
                <w:tcPr>
                  <w:tcW w:w="672" w:type="pct"/>
                  <w:noWrap w:val="0"/>
                  <w:vAlign w:val="center"/>
                </w:tcPr>
                <w:p>
                  <w:pPr>
                    <w:jc w:val="center"/>
                    <w:rPr>
                      <w:rFonts w:hint="default"/>
                      <w:b/>
                      <w:bCs/>
                      <w:lang w:val="en-US" w:eastAsia="zh-CN"/>
                    </w:rPr>
                  </w:pPr>
                  <w:r>
                    <w:rPr>
                      <w:rFonts w:hint="eastAsia"/>
                      <w:b/>
                      <w:bCs/>
                      <w:lang w:val="en-US" w:eastAsia="zh-CN"/>
                    </w:rPr>
                    <w:t>1.91</w:t>
                  </w:r>
                </w:p>
              </w:tc>
              <w:tc>
                <w:tcPr>
                  <w:tcW w:w="691" w:type="pct"/>
                  <w:noWrap w:val="0"/>
                  <w:vAlign w:val="center"/>
                </w:tcPr>
                <w:p>
                  <w:pPr>
                    <w:jc w:val="center"/>
                    <w:rPr>
                      <w:rFonts w:hint="eastAsia"/>
                      <w:b/>
                      <w:bCs/>
                    </w:rPr>
                  </w:pPr>
                  <w:r>
                    <w:rPr>
                      <w:rFonts w:hint="eastAsia"/>
                      <w:b/>
                      <w:bCs/>
                    </w:rPr>
                    <w:t>无组织</w:t>
                  </w:r>
                </w:p>
              </w:tc>
            </w:tr>
          </w:tbl>
          <w:p>
            <w:pPr>
              <w:spacing w:line="360" w:lineRule="auto"/>
              <w:ind w:firstLine="480" w:firstLineChars="200"/>
              <w:rPr>
                <w:sz w:val="24"/>
                <w:szCs w:val="24"/>
              </w:rPr>
            </w:pPr>
            <w:r>
              <w:rPr>
                <w:rFonts w:hint="eastAsia"/>
                <w:sz w:val="24"/>
                <w:szCs w:val="24"/>
              </w:rPr>
              <w:t>根据《乐山市环境污染防治“四大战役”实施方案》和《重污染天气应急预案》的要求，为提高全市重污染天气预防、预警和应对能力，有效控制、减轻重污染天气条件下的风险和危害，保障人民群众身体健康，本报告要求企业在重污染天气预警期间禁止生产。</w:t>
            </w:r>
          </w:p>
          <w:p>
            <w:pPr>
              <w:autoSpaceDE w:val="0"/>
              <w:autoSpaceDN w:val="0"/>
              <w:adjustRightInd w:val="0"/>
              <w:snapToGrid w:val="0"/>
              <w:spacing w:line="240" w:lineRule="atLeast"/>
              <w:jc w:val="center"/>
              <w:rPr>
                <w:b/>
                <w:bCs/>
              </w:rPr>
            </w:pPr>
            <w:r>
              <w:rPr>
                <w:b/>
                <w:bCs/>
              </w:rPr>
              <w:t>表</w:t>
            </w:r>
            <w:r>
              <w:rPr>
                <w:rFonts w:hint="eastAsia"/>
                <w:b/>
                <w:bCs/>
              </w:rPr>
              <w:t>4</w:t>
            </w:r>
            <w:r>
              <w:rPr>
                <w:b/>
                <w:bCs/>
              </w:rPr>
              <w:t>-</w:t>
            </w:r>
            <w:r>
              <w:rPr>
                <w:rFonts w:hint="eastAsia"/>
                <w:b/>
                <w:bCs/>
                <w:lang w:val="en-US" w:eastAsia="zh-CN"/>
              </w:rPr>
              <w:t>2</w:t>
            </w:r>
            <w:r>
              <w:rPr>
                <w:b/>
                <w:bCs/>
              </w:rPr>
              <w:t xml:space="preserve">  项目废气</w:t>
            </w:r>
            <w:r>
              <w:rPr>
                <w:rFonts w:hint="eastAsia"/>
                <w:b/>
                <w:bCs/>
              </w:rPr>
              <w:t>排放结果表</w:t>
            </w:r>
          </w:p>
          <w:tbl>
            <w:tblPr>
              <w:tblStyle w:val="38"/>
              <w:tblW w:w="493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85" w:type="dxa"/>
                <w:bottom w:w="0" w:type="dxa"/>
                <w:right w:w="85" w:type="dxa"/>
              </w:tblCellMar>
            </w:tblPr>
            <w:tblGrid>
              <w:gridCol w:w="1278"/>
              <w:gridCol w:w="1311"/>
              <w:gridCol w:w="1311"/>
              <w:gridCol w:w="2042"/>
              <w:gridCol w:w="20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553" w:hRule="atLeast"/>
                <w:jc w:val="center"/>
              </w:trPr>
              <w:tc>
                <w:tcPr>
                  <w:tcW w:w="804"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污染源位置</w:t>
                  </w:r>
                </w:p>
              </w:tc>
              <w:tc>
                <w:tcPr>
                  <w:tcW w:w="825"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污染物名称</w:t>
                  </w:r>
                </w:p>
              </w:tc>
              <w:tc>
                <w:tcPr>
                  <w:tcW w:w="825"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产生量（t/a）</w:t>
                  </w:r>
                </w:p>
              </w:tc>
              <w:tc>
                <w:tcPr>
                  <w:tcW w:w="1285"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污染物排放量（t/a）</w:t>
                  </w:r>
                </w:p>
              </w:tc>
              <w:tc>
                <w:tcPr>
                  <w:tcW w:w="1260"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排放速率（kg/h）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547" w:hRule="atLeast"/>
                <w:jc w:val="center"/>
              </w:trPr>
              <w:tc>
                <w:tcPr>
                  <w:tcW w:w="804"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加工车间</w:t>
                  </w:r>
                </w:p>
              </w:tc>
              <w:tc>
                <w:tcPr>
                  <w:tcW w:w="825" w:type="pct"/>
                  <w:noWrap w:val="0"/>
                  <w:vAlign w:val="center"/>
                </w:tcPr>
                <w:p>
                  <w:pPr>
                    <w:pStyle w:val="19"/>
                    <w:jc w:val="center"/>
                    <w:rPr>
                      <w:rFonts w:hint="default" w:ascii="Times New Roman" w:hAnsi="Times New Roman" w:cs="Times New Roman"/>
                    </w:rPr>
                  </w:pPr>
                  <w:r>
                    <w:rPr>
                      <w:rFonts w:hint="default" w:ascii="Times New Roman" w:hAnsi="Times New Roman" w:cs="Times New Roman"/>
                    </w:rPr>
                    <w:t>粉尘</w:t>
                  </w:r>
                </w:p>
              </w:tc>
              <w:tc>
                <w:tcPr>
                  <w:tcW w:w="825" w:type="pct"/>
                  <w:noWrap w:val="0"/>
                  <w:vAlign w:val="center"/>
                </w:tcPr>
                <w:p>
                  <w:pPr>
                    <w:pStyle w:val="19"/>
                    <w:jc w:val="center"/>
                    <w:rPr>
                      <w:rFonts w:hint="default" w:ascii="Times New Roman" w:hAnsi="Times New Roman" w:cs="Times New Roman"/>
                      <w:lang w:val="en-US" w:eastAsia="zh-CN"/>
                    </w:rPr>
                  </w:pPr>
                  <w:r>
                    <w:rPr>
                      <w:rFonts w:hint="default" w:ascii="Times New Roman" w:hAnsi="Times New Roman" w:cs="Times New Roman"/>
                      <w:lang w:val="en-US" w:eastAsia="zh-CN"/>
                    </w:rPr>
                    <w:t>582.87</w:t>
                  </w:r>
                </w:p>
              </w:tc>
              <w:tc>
                <w:tcPr>
                  <w:tcW w:w="1285" w:type="pct"/>
                  <w:noWrap w:val="0"/>
                  <w:vAlign w:val="center"/>
                </w:tcPr>
                <w:p>
                  <w:pPr>
                    <w:pStyle w:val="19"/>
                    <w:jc w:val="center"/>
                    <w:rPr>
                      <w:rFonts w:hint="default" w:ascii="Times New Roman" w:hAnsi="Times New Roman" w:cs="Times New Roman"/>
                      <w:lang w:val="en-US" w:eastAsia="zh-CN"/>
                    </w:rPr>
                  </w:pPr>
                  <w:r>
                    <w:rPr>
                      <w:rFonts w:hint="default" w:ascii="Times New Roman" w:hAnsi="Times New Roman" w:cs="Times New Roman"/>
                      <w:lang w:val="en-US" w:eastAsia="zh-CN"/>
                    </w:rPr>
                    <w:t>1.91</w:t>
                  </w:r>
                </w:p>
              </w:tc>
              <w:tc>
                <w:tcPr>
                  <w:tcW w:w="1260" w:type="pct"/>
                  <w:noWrap w:val="0"/>
                  <w:vAlign w:val="center"/>
                </w:tcPr>
                <w:p>
                  <w:pPr>
                    <w:pStyle w:val="19"/>
                    <w:jc w:val="center"/>
                    <w:rPr>
                      <w:rFonts w:hint="default" w:ascii="Times New Roman" w:hAnsi="Times New Roman" w:cs="Times New Roman"/>
                      <w:lang w:val="en-US" w:eastAsia="zh-CN"/>
                    </w:rPr>
                  </w:pPr>
                  <w:r>
                    <w:rPr>
                      <w:rFonts w:hint="default" w:ascii="Times New Roman" w:hAnsi="Times New Roman" w:cs="Times New Roman"/>
                    </w:rPr>
                    <w:t>0.</w:t>
                  </w:r>
                  <w:r>
                    <w:rPr>
                      <w:rFonts w:hint="eastAsia" w:ascii="Times New Roman" w:hAnsi="Times New Roman" w:cs="Times New Roman"/>
                      <w:lang w:val="en-US" w:eastAsia="zh-CN"/>
                    </w:rPr>
                    <w:t>60</w:t>
                  </w:r>
                </w:p>
              </w:tc>
            </w:tr>
          </w:tbl>
          <w:p>
            <w:pPr>
              <w:spacing w:line="360" w:lineRule="auto"/>
              <w:ind w:firstLine="482" w:firstLineChars="200"/>
              <w:rPr>
                <w:rFonts w:hint="eastAsia"/>
                <w:b/>
                <w:bCs/>
                <w:sz w:val="24"/>
                <w:szCs w:val="24"/>
              </w:rPr>
            </w:pPr>
            <w:r>
              <w:rPr>
                <w:rFonts w:hint="eastAsia"/>
                <w:b/>
                <w:bCs/>
                <w:sz w:val="24"/>
                <w:szCs w:val="24"/>
              </w:rPr>
              <w:t xml:space="preserve">（3）达标情况分析 </w:t>
            </w:r>
          </w:p>
          <w:p>
            <w:pPr>
              <w:tabs>
                <w:tab w:val="left" w:pos="5670"/>
              </w:tabs>
              <w:spacing w:line="360" w:lineRule="auto"/>
              <w:ind w:firstLine="480" w:firstLineChars="200"/>
              <w:rPr>
                <w:rFonts w:hint="eastAsia"/>
                <w:sz w:val="24"/>
                <w:szCs w:val="24"/>
              </w:rPr>
            </w:pPr>
            <w:r>
              <w:rPr>
                <w:rFonts w:hint="eastAsia"/>
                <w:sz w:val="24"/>
                <w:szCs w:val="24"/>
              </w:rPr>
              <w:t>根据前面分析，建设单位在采取生产车间“</w:t>
            </w:r>
            <w:r>
              <w:rPr>
                <w:sz w:val="24"/>
                <w:szCs w:val="24"/>
              </w:rPr>
              <w:t>车间密闭+洒水设施</w:t>
            </w:r>
            <w:r>
              <w:rPr>
                <w:rFonts w:hint="eastAsia"/>
                <w:sz w:val="24"/>
                <w:szCs w:val="24"/>
              </w:rPr>
              <w:t>+脉冲除尘器”、堆场“库房密闭</w:t>
            </w:r>
            <w:r>
              <w:rPr>
                <w:sz w:val="24"/>
                <w:szCs w:val="24"/>
              </w:rPr>
              <w:t>+</w:t>
            </w:r>
            <w:r>
              <w:rPr>
                <w:rFonts w:hint="eastAsia"/>
                <w:sz w:val="24"/>
                <w:szCs w:val="24"/>
              </w:rPr>
              <w:t>洒水设施</w:t>
            </w:r>
            <w:r>
              <w:rPr>
                <w:sz w:val="24"/>
                <w:szCs w:val="24"/>
              </w:rPr>
              <w:t>+少量堆存</w:t>
            </w:r>
            <w:r>
              <w:rPr>
                <w:rFonts w:hint="eastAsia"/>
                <w:sz w:val="24"/>
                <w:szCs w:val="24"/>
              </w:rPr>
              <w:t>”、运输过程“地面洒水硬化、</w:t>
            </w:r>
            <w:r>
              <w:rPr>
                <w:sz w:val="24"/>
                <w:szCs w:val="24"/>
              </w:rPr>
              <w:t>轮胎冲洗、车辆</w:t>
            </w:r>
            <w:r>
              <w:rPr>
                <w:rFonts w:hint="eastAsia"/>
                <w:sz w:val="24"/>
                <w:szCs w:val="24"/>
              </w:rPr>
              <w:t>遮盖”等措施后可以使厂界颗粒物排放浓度满足《大气污染物综合排放标准》（GB16297-1996）表2无组织排放浓度限值值（颗粒物≤1.0mg/m</w:t>
            </w:r>
            <w:r>
              <w:rPr>
                <w:rFonts w:hint="eastAsia"/>
                <w:sz w:val="24"/>
                <w:szCs w:val="24"/>
                <w:vertAlign w:val="superscript"/>
              </w:rPr>
              <w:t>3</w:t>
            </w:r>
            <w:r>
              <w:rPr>
                <w:rFonts w:hint="eastAsia"/>
                <w:sz w:val="24"/>
                <w:szCs w:val="24"/>
              </w:rPr>
              <w:t>）要求。</w:t>
            </w:r>
          </w:p>
          <w:p>
            <w:pPr>
              <w:spacing w:line="360" w:lineRule="auto"/>
              <w:ind w:firstLine="482" w:firstLineChars="200"/>
              <w:rPr>
                <w:rFonts w:hint="eastAsia"/>
                <w:b/>
                <w:bCs/>
                <w:sz w:val="24"/>
                <w:szCs w:val="24"/>
              </w:rPr>
            </w:pPr>
            <w:r>
              <w:rPr>
                <w:rFonts w:hint="eastAsia"/>
                <w:b/>
                <w:bCs/>
                <w:sz w:val="24"/>
                <w:szCs w:val="24"/>
              </w:rPr>
              <w:t>（4）监测要求</w:t>
            </w:r>
          </w:p>
          <w:p>
            <w:pPr>
              <w:tabs>
                <w:tab w:val="left" w:pos="5670"/>
              </w:tabs>
              <w:spacing w:line="360" w:lineRule="auto"/>
              <w:ind w:firstLine="480" w:firstLineChars="200"/>
              <w:rPr>
                <w:rFonts w:hint="eastAsia"/>
                <w:sz w:val="24"/>
                <w:szCs w:val="24"/>
              </w:rPr>
            </w:pPr>
            <w:r>
              <w:rPr>
                <w:rFonts w:hint="eastAsia"/>
                <w:sz w:val="24"/>
                <w:szCs w:val="24"/>
              </w:rPr>
              <w:t xml:space="preserve">项目废气监测点位、监测因子、监测频次等要求见下表： </w:t>
            </w:r>
          </w:p>
          <w:p>
            <w:pPr>
              <w:autoSpaceDE w:val="0"/>
              <w:autoSpaceDN w:val="0"/>
              <w:adjustRightInd w:val="0"/>
              <w:snapToGrid w:val="0"/>
              <w:spacing w:before="156" w:beforeLines="50" w:line="240" w:lineRule="atLeast"/>
              <w:jc w:val="center"/>
              <w:rPr>
                <w:rFonts w:hint="eastAsia"/>
                <w:b/>
                <w:bCs/>
              </w:rPr>
            </w:pPr>
            <w:r>
              <w:rPr>
                <w:rFonts w:hint="eastAsia"/>
                <w:b/>
                <w:bCs/>
              </w:rPr>
              <w:t>表4-</w:t>
            </w:r>
            <w:r>
              <w:rPr>
                <w:rFonts w:hint="eastAsia"/>
                <w:b/>
                <w:bCs/>
                <w:lang w:val="en-US" w:eastAsia="zh-CN"/>
              </w:rPr>
              <w:t>3</w:t>
            </w:r>
            <w:r>
              <w:rPr>
                <w:rFonts w:hint="eastAsia"/>
                <w:b/>
                <w:bCs/>
              </w:rPr>
              <w:t xml:space="preserve">  废气监测计划一览表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20"/>
              <w:gridCol w:w="3409"/>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162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pPr>
                  <w:r>
                    <w:rPr>
                      <w:rFonts w:hint="eastAsia"/>
                    </w:rPr>
                    <w:t>监测点位</w:t>
                  </w:r>
                </w:p>
              </w:tc>
              <w:tc>
                <w:tcPr>
                  <w:tcW w:w="211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pPr>
                  <w:r>
                    <w:rPr>
                      <w:rFonts w:hint="eastAsia"/>
                    </w:rPr>
                    <w:t>监测因子</w:t>
                  </w:r>
                </w:p>
              </w:tc>
              <w:tc>
                <w:tcPr>
                  <w:tcW w:w="126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pPr>
                  <w:r>
                    <w:rPr>
                      <w:rFonts w:hint="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162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pPr>
                  <w:r>
                    <w:t>厂界无组织监控点</w:t>
                  </w:r>
                </w:p>
              </w:tc>
              <w:tc>
                <w:tcPr>
                  <w:tcW w:w="2115"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pPr>
                  <w:r>
                    <w:t>颗粒物</w:t>
                  </w:r>
                </w:p>
              </w:tc>
              <w:tc>
                <w:tcPr>
                  <w:tcW w:w="1260"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pPr>
                  <w:r>
                    <w:t>一次/年</w:t>
                  </w:r>
                </w:p>
              </w:tc>
            </w:tr>
          </w:tbl>
          <w:p>
            <w:pPr>
              <w:keepNext w:val="0"/>
              <w:keepLines w:val="0"/>
              <w:pageBreakBefore w:val="0"/>
              <w:widowControl w:val="0"/>
              <w:tabs>
                <w:tab w:val="left" w:pos="5670"/>
              </w:tabs>
              <w:kinsoku/>
              <w:wordWrap/>
              <w:overflowPunct/>
              <w:topLinePunct w:val="0"/>
              <w:autoSpaceDE/>
              <w:autoSpaceDN/>
              <w:bidi w:val="0"/>
              <w:adjustRightInd/>
              <w:snapToGrid/>
              <w:spacing w:before="157" w:beforeLines="50" w:line="360" w:lineRule="auto"/>
              <w:textAlignment w:val="auto"/>
              <w:rPr>
                <w:b/>
                <w:bCs/>
                <w:sz w:val="24"/>
                <w:szCs w:val="24"/>
              </w:rPr>
            </w:pPr>
            <w:r>
              <w:rPr>
                <w:rFonts w:hint="eastAsia"/>
                <w:b/>
                <w:bCs/>
                <w:sz w:val="24"/>
                <w:szCs w:val="24"/>
                <w:lang w:val="en-US" w:eastAsia="zh-CN"/>
              </w:rPr>
              <w:t>二</w:t>
            </w:r>
            <w:r>
              <w:rPr>
                <w:b/>
                <w:bCs/>
                <w:sz w:val="24"/>
                <w:szCs w:val="24"/>
              </w:rPr>
              <w:t>、</w:t>
            </w:r>
            <w:r>
              <w:rPr>
                <w:rFonts w:hint="eastAsia"/>
                <w:b/>
                <w:bCs/>
                <w:sz w:val="24"/>
                <w:szCs w:val="24"/>
              </w:rPr>
              <w:t>地表</w:t>
            </w:r>
            <w:r>
              <w:rPr>
                <w:b/>
                <w:bCs/>
                <w:sz w:val="24"/>
                <w:szCs w:val="24"/>
              </w:rPr>
              <w:t>水</w:t>
            </w:r>
            <w:r>
              <w:rPr>
                <w:rFonts w:hint="eastAsia"/>
                <w:b/>
                <w:bCs/>
                <w:sz w:val="24"/>
                <w:szCs w:val="24"/>
              </w:rPr>
              <w:t>环境影响及保护措施</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2" w:firstLineChars="200"/>
              <w:textAlignment w:val="auto"/>
              <w:rPr>
                <w:b/>
                <w:bCs/>
                <w:sz w:val="24"/>
                <w:szCs w:val="24"/>
              </w:rPr>
            </w:pPr>
            <w:r>
              <w:rPr>
                <w:b/>
                <w:bCs/>
                <w:sz w:val="24"/>
                <w:szCs w:val="24"/>
              </w:rPr>
              <w:t>（1）生活污水</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sz w:val="24"/>
                <w:szCs w:val="24"/>
              </w:rPr>
              <w:t>本项目员工</w:t>
            </w:r>
            <w:r>
              <w:rPr>
                <w:rFonts w:hint="eastAsia"/>
                <w:sz w:val="24"/>
                <w:szCs w:val="24"/>
                <w:lang w:val="en-US" w:eastAsia="zh-CN"/>
              </w:rPr>
              <w:t>50</w:t>
            </w:r>
            <w:r>
              <w:rPr>
                <w:sz w:val="24"/>
                <w:szCs w:val="24"/>
              </w:rPr>
              <w:t>人，</w:t>
            </w:r>
            <w:r>
              <w:rPr>
                <w:rFonts w:hint="eastAsia"/>
                <w:sz w:val="24"/>
                <w:szCs w:val="24"/>
              </w:rPr>
              <w:t>不在厂内住宿，场内设食堂</w:t>
            </w:r>
            <w:r>
              <w:rPr>
                <w:sz w:val="24"/>
                <w:szCs w:val="24"/>
              </w:rPr>
              <w:t>，生活用水量为</w:t>
            </w:r>
            <w:r>
              <w:rPr>
                <w:rFonts w:hint="eastAsia"/>
                <w:sz w:val="24"/>
                <w:szCs w:val="24"/>
              </w:rPr>
              <w:t>100</w:t>
            </w:r>
            <w:r>
              <w:rPr>
                <w:sz w:val="24"/>
                <w:szCs w:val="24"/>
              </w:rPr>
              <w:t>升/人•日计，项目年运行</w:t>
            </w:r>
            <w:r>
              <w:rPr>
                <w:rFonts w:hint="eastAsia"/>
                <w:sz w:val="24"/>
                <w:szCs w:val="24"/>
              </w:rPr>
              <w:t>3</w:t>
            </w:r>
            <w:r>
              <w:rPr>
                <w:sz w:val="24"/>
                <w:szCs w:val="24"/>
              </w:rPr>
              <w:t>00天，则员工生活用水量为</w:t>
            </w:r>
            <w:r>
              <w:rPr>
                <w:rFonts w:hint="eastAsia"/>
                <w:sz w:val="24"/>
                <w:szCs w:val="24"/>
                <w:lang w:val="en-US" w:eastAsia="zh-CN"/>
              </w:rPr>
              <w:t>5</w:t>
            </w:r>
            <w:r>
              <w:rPr>
                <w:sz w:val="24"/>
                <w:szCs w:val="24"/>
              </w:rPr>
              <w:t>t/d，年生活用水量为</w:t>
            </w:r>
            <w:r>
              <w:rPr>
                <w:rFonts w:hint="eastAsia"/>
                <w:sz w:val="24"/>
                <w:szCs w:val="24"/>
                <w:lang w:val="en-US" w:eastAsia="zh-CN"/>
              </w:rPr>
              <w:t>150</w:t>
            </w:r>
            <w:r>
              <w:rPr>
                <w:rFonts w:hint="eastAsia"/>
                <w:sz w:val="24"/>
                <w:szCs w:val="24"/>
              </w:rPr>
              <w:t>0</w:t>
            </w:r>
            <w:r>
              <w:rPr>
                <w:sz w:val="24"/>
                <w:szCs w:val="24"/>
              </w:rPr>
              <w:t>t/a，污水排放系数取0.9，则生活污水排放量为</w:t>
            </w:r>
            <w:r>
              <w:rPr>
                <w:rFonts w:hint="eastAsia"/>
                <w:sz w:val="24"/>
                <w:szCs w:val="24"/>
                <w:lang w:val="en-US" w:eastAsia="zh-CN"/>
              </w:rPr>
              <w:t>4.5</w:t>
            </w:r>
            <w:r>
              <w:rPr>
                <w:sz w:val="24"/>
                <w:szCs w:val="24"/>
              </w:rPr>
              <w:t>t/d、</w:t>
            </w:r>
            <w:r>
              <w:rPr>
                <w:rFonts w:hint="eastAsia"/>
                <w:sz w:val="24"/>
                <w:szCs w:val="24"/>
                <w:lang w:val="en-US" w:eastAsia="zh-CN"/>
              </w:rPr>
              <w:t>1350</w:t>
            </w:r>
            <w:r>
              <w:rPr>
                <w:sz w:val="24"/>
                <w:szCs w:val="24"/>
              </w:rPr>
              <w:t>t/a，生活污水主要污染物为CODCr、BOD5、氨氮、SS等。</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项目员工生活污水</w:t>
            </w:r>
            <w:r>
              <w:rPr>
                <w:rFonts w:hint="eastAsia"/>
                <w:sz w:val="24"/>
                <w:szCs w:val="24"/>
              </w:rPr>
              <w:t>经厌氧预处理池（容积3</w:t>
            </w:r>
            <w:r>
              <w:rPr>
                <w:rFonts w:hint="eastAsia"/>
                <w:sz w:val="24"/>
                <w:szCs w:val="24"/>
                <w:lang w:val="en-US" w:eastAsia="zh-CN"/>
              </w:rPr>
              <w:t>0</w:t>
            </w:r>
            <w:r>
              <w:rPr>
                <w:rFonts w:hint="eastAsia"/>
                <w:sz w:val="24"/>
                <w:szCs w:val="24"/>
              </w:rPr>
              <w:t>m</w:t>
            </w:r>
            <w:r>
              <w:rPr>
                <w:rFonts w:hint="eastAsia"/>
                <w:sz w:val="24"/>
                <w:szCs w:val="24"/>
                <w:vertAlign w:val="superscript"/>
              </w:rPr>
              <w:t>3</w:t>
            </w:r>
            <w:r>
              <w:rPr>
                <w:rFonts w:hint="eastAsia"/>
                <w:sz w:val="24"/>
                <w:szCs w:val="24"/>
              </w:rPr>
              <w:t>）</w:t>
            </w:r>
            <w:r>
              <w:rPr>
                <w:sz w:val="24"/>
                <w:szCs w:val="24"/>
              </w:rPr>
              <w:t>处理后</w:t>
            </w:r>
            <w:r>
              <w:rPr>
                <w:rFonts w:hint="eastAsia"/>
                <w:sz w:val="24"/>
                <w:szCs w:val="24"/>
              </w:rPr>
              <w:t>排入水口工业园区污水管网及工业污水处理站处理，其中餐厨废水在排入预处理池前先排入隔油池（容积</w:t>
            </w:r>
            <w:r>
              <w:rPr>
                <w:rFonts w:hint="eastAsia"/>
                <w:sz w:val="24"/>
                <w:szCs w:val="24"/>
                <w:lang w:val="en-US" w:eastAsia="zh-CN"/>
              </w:rPr>
              <w:t>10</w:t>
            </w:r>
            <w:r>
              <w:rPr>
                <w:rFonts w:hint="eastAsia"/>
                <w:sz w:val="24"/>
                <w:szCs w:val="24"/>
              </w:rPr>
              <w:t>m</w:t>
            </w:r>
            <w:r>
              <w:rPr>
                <w:rFonts w:hint="eastAsia"/>
                <w:sz w:val="24"/>
                <w:szCs w:val="24"/>
                <w:vertAlign w:val="superscript"/>
              </w:rPr>
              <w:t>3</w:t>
            </w:r>
            <w:r>
              <w:rPr>
                <w:rFonts w:hint="eastAsia"/>
                <w:sz w:val="24"/>
                <w:szCs w:val="24"/>
              </w:rPr>
              <w:t>）处理。</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（2）生产废水</w:t>
            </w:r>
          </w:p>
          <w:p>
            <w:pPr>
              <w:keepNext w:val="0"/>
              <w:keepLines w:val="0"/>
              <w:widowControl/>
              <w:suppressLineNumbers w:val="0"/>
              <w:spacing w:line="360" w:lineRule="auto"/>
              <w:ind w:firstLine="480" w:firstLineChars="200"/>
              <w:jc w:val="left"/>
              <w:rPr>
                <w:rFonts w:hint="eastAsia"/>
                <w:sz w:val="24"/>
                <w:szCs w:val="24"/>
                <w:lang w:val="en-US" w:eastAsia="zh-CN"/>
              </w:rPr>
            </w:pPr>
            <w:r>
              <w:rPr>
                <w:rFonts w:hint="eastAsia"/>
                <w:sz w:val="24"/>
                <w:szCs w:val="24"/>
                <w:lang w:val="en-US" w:eastAsia="zh-CN"/>
              </w:rPr>
              <w:t>本项目生产废水来源主要为砂石生产线废水，</w:t>
            </w:r>
            <w:r>
              <w:rPr>
                <w:rFonts w:hint="default"/>
                <w:sz w:val="24"/>
                <w:szCs w:val="24"/>
                <w:lang w:val="en-US" w:eastAsia="zh-CN"/>
              </w:rPr>
              <w:t>混凝土生产线废水</w:t>
            </w:r>
            <w:r>
              <w:rPr>
                <w:rFonts w:hint="eastAsia"/>
                <w:sz w:val="24"/>
                <w:szCs w:val="24"/>
                <w:lang w:val="en-US" w:eastAsia="zh-CN"/>
              </w:rPr>
              <w:t>。</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①砂石生产线废水</w:t>
            </w:r>
          </w:p>
          <w:p>
            <w:pPr>
              <w:keepNext w:val="0"/>
              <w:keepLines w:val="0"/>
              <w:widowControl/>
              <w:suppressLineNumbers w:val="0"/>
              <w:spacing w:line="360" w:lineRule="auto"/>
              <w:ind w:firstLine="480" w:firstLineChars="200"/>
              <w:jc w:val="left"/>
              <w:rPr>
                <w:rFonts w:hint="eastAsia"/>
                <w:sz w:val="24"/>
                <w:szCs w:val="24"/>
                <w:lang w:val="en-US" w:eastAsia="zh-CN"/>
              </w:rPr>
            </w:pPr>
            <w:r>
              <w:rPr>
                <w:rFonts w:hint="eastAsia"/>
                <w:sz w:val="24"/>
                <w:szCs w:val="24"/>
                <w:lang w:val="en-US" w:eastAsia="zh-CN"/>
              </w:rPr>
              <w:t>本项目年使用鹅卵石原料量为3676</w:t>
            </w:r>
            <w:r>
              <w:rPr>
                <w:rFonts w:hint="default"/>
                <w:sz w:val="24"/>
                <w:szCs w:val="24"/>
                <w:lang w:val="en-US" w:eastAsia="zh-CN"/>
              </w:rPr>
              <w:t>t/d</w:t>
            </w:r>
            <w:r>
              <w:rPr>
                <w:rFonts w:hint="eastAsia"/>
                <w:sz w:val="24"/>
                <w:szCs w:val="24"/>
                <w:lang w:val="en-US" w:eastAsia="zh-CN"/>
              </w:rPr>
              <w:t>，1102800</w:t>
            </w:r>
            <w:r>
              <w:rPr>
                <w:rFonts w:hint="default"/>
                <w:sz w:val="24"/>
                <w:szCs w:val="24"/>
                <w:lang w:val="en-US" w:eastAsia="zh-CN"/>
              </w:rPr>
              <w:t>t/a</w:t>
            </w:r>
            <w:r>
              <w:rPr>
                <w:rFonts w:hint="eastAsia"/>
                <w:sz w:val="24"/>
                <w:szCs w:val="24"/>
                <w:lang w:val="en-US" w:eastAsia="zh-CN"/>
              </w:rPr>
              <w:t>，参照同类型项目，本项目生产用水水砂比为</w:t>
            </w:r>
            <w:r>
              <w:rPr>
                <w:rFonts w:hint="default"/>
                <w:sz w:val="24"/>
                <w:szCs w:val="24"/>
                <w:lang w:val="en-US" w:eastAsia="zh-CN"/>
              </w:rPr>
              <w:t>0</w:t>
            </w:r>
            <w:r>
              <w:rPr>
                <w:rFonts w:hint="eastAsia"/>
                <w:sz w:val="24"/>
                <w:szCs w:val="24"/>
                <w:lang w:val="en-US" w:eastAsia="zh-CN"/>
              </w:rPr>
              <w:t>.</w:t>
            </w:r>
            <w:r>
              <w:rPr>
                <w:rFonts w:hint="default"/>
                <w:sz w:val="24"/>
                <w:szCs w:val="24"/>
                <w:lang w:val="en-US" w:eastAsia="zh-CN"/>
              </w:rPr>
              <w:t>3</w:t>
            </w:r>
            <w:r>
              <w:rPr>
                <w:rFonts w:hint="eastAsia"/>
                <w:sz w:val="24"/>
                <w:szCs w:val="24"/>
                <w:lang w:val="en-US" w:eastAsia="zh-CN"/>
              </w:rPr>
              <w:t>：</w:t>
            </w:r>
            <w:r>
              <w:rPr>
                <w:rFonts w:hint="default"/>
                <w:sz w:val="24"/>
                <w:szCs w:val="24"/>
                <w:lang w:val="en-US" w:eastAsia="zh-CN"/>
              </w:rPr>
              <w:t>1</w:t>
            </w:r>
            <w:r>
              <w:rPr>
                <w:rFonts w:hint="eastAsia"/>
                <w:sz w:val="24"/>
                <w:szCs w:val="24"/>
                <w:lang w:val="en-US" w:eastAsia="zh-CN"/>
              </w:rPr>
              <w:t>，则本项目日用水量约为1102.8</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（其中新鲜水为占</w:t>
            </w:r>
            <w:r>
              <w:rPr>
                <w:rFonts w:hint="default"/>
                <w:sz w:val="24"/>
                <w:szCs w:val="24"/>
                <w:lang w:val="en-US" w:eastAsia="zh-CN"/>
              </w:rPr>
              <w:t>10%</w:t>
            </w:r>
            <w:r>
              <w:rPr>
                <w:rFonts w:hint="eastAsia"/>
                <w:sz w:val="24"/>
                <w:szCs w:val="24"/>
                <w:lang w:val="en-US" w:eastAsia="zh-CN"/>
              </w:rPr>
              <w:t>，回用水占</w:t>
            </w:r>
            <w:r>
              <w:rPr>
                <w:rFonts w:hint="default"/>
                <w:sz w:val="24"/>
                <w:szCs w:val="24"/>
                <w:lang w:val="en-US" w:eastAsia="zh-CN"/>
              </w:rPr>
              <w:t>90%</w:t>
            </w:r>
            <w:r>
              <w:rPr>
                <w:rFonts w:hint="eastAsia"/>
                <w:sz w:val="24"/>
                <w:szCs w:val="24"/>
                <w:lang w:val="en-US" w:eastAsia="zh-CN"/>
              </w:rPr>
              <w:t>），330840</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/a</w:t>
            </w:r>
            <w:r>
              <w:rPr>
                <w:rFonts w:hint="eastAsia"/>
                <w:sz w:val="24"/>
                <w:szCs w:val="24"/>
                <w:lang w:val="en-US" w:eastAsia="zh-CN"/>
              </w:rPr>
              <w:t>。对洗砂废水设置</w:t>
            </w:r>
            <w:r>
              <w:rPr>
                <w:rFonts w:hint="default"/>
                <w:sz w:val="24"/>
                <w:szCs w:val="24"/>
                <w:lang w:val="en-US" w:eastAsia="zh-CN"/>
              </w:rPr>
              <w:t>1</w:t>
            </w:r>
            <w:r>
              <w:rPr>
                <w:rFonts w:hint="eastAsia"/>
                <w:sz w:val="24"/>
                <w:szCs w:val="24"/>
                <w:lang w:val="en-US" w:eastAsia="zh-CN"/>
              </w:rPr>
              <w:t>套砂石废水浓密设施+沉淀系统（处理量1200</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），洗砂废水经沉淀后回用于洗砂，不外排。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lang w:val="en-US" w:eastAsia="zh-CN"/>
              </w:rPr>
            </w:pPr>
            <w:r>
              <w:rPr>
                <w:rFonts w:hint="default"/>
              </w:rPr>
              <w:drawing>
                <wp:inline distT="0" distB="0" distL="114300" distR="114300">
                  <wp:extent cx="5115560" cy="3019425"/>
                  <wp:effectExtent l="0" t="0" r="8890" b="9525"/>
                  <wp:docPr id="4" name="图片 11" descr="C:\Users\ADMINI~1\AppData\Local\Temp\WeChat Files\e38fd05977b109f3b0b9b0e0bb7a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C:\Users\ADMINI~1\AppData\Local\Temp\WeChat Files\e38fd05977b109f3b0b9b0e0bb7adea.jpg"/>
                          <pic:cNvPicPr>
                            <a:picLocks noChangeAspect="1"/>
                          </pic:cNvPicPr>
                        </pic:nvPicPr>
                        <pic:blipFill>
                          <a:blip r:embed="rId24"/>
                          <a:stretch>
                            <a:fillRect/>
                          </a:stretch>
                        </pic:blipFill>
                        <pic:spPr>
                          <a:xfrm>
                            <a:off x="0" y="0"/>
                            <a:ext cx="5115560" cy="30194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sz w:val="24"/>
                <w:szCs w:val="24"/>
                <w:lang w:val="en-US" w:eastAsia="zh-CN"/>
              </w:rPr>
            </w:pPr>
            <w:r>
              <w:rPr>
                <w:rFonts w:hint="default"/>
                <w:b/>
                <w:bCs/>
                <w:sz w:val="24"/>
                <w:szCs w:val="24"/>
              </w:rPr>
              <w:t>图</w:t>
            </w:r>
            <w:r>
              <w:rPr>
                <w:rFonts w:hint="eastAsia"/>
                <w:b/>
                <w:bCs/>
                <w:sz w:val="24"/>
                <w:szCs w:val="24"/>
                <w:lang w:val="en-US" w:eastAsia="zh-CN"/>
              </w:rPr>
              <w:t>4</w:t>
            </w:r>
            <w:r>
              <w:rPr>
                <w:rFonts w:hint="default"/>
                <w:b/>
                <w:bCs/>
                <w:sz w:val="24"/>
                <w:szCs w:val="24"/>
                <w:lang w:val="en-US" w:eastAsia="zh-CN"/>
              </w:rPr>
              <w:t>-</w:t>
            </w:r>
            <w:r>
              <w:rPr>
                <w:rFonts w:hint="eastAsia"/>
                <w:b/>
                <w:bCs/>
                <w:sz w:val="24"/>
                <w:szCs w:val="24"/>
                <w:lang w:val="en-US" w:eastAsia="zh-CN"/>
              </w:rPr>
              <w:t>1</w:t>
            </w:r>
            <w:r>
              <w:rPr>
                <w:rFonts w:hint="default"/>
                <w:b/>
                <w:bCs/>
                <w:sz w:val="24"/>
                <w:szCs w:val="24"/>
              </w:rPr>
              <w:t xml:space="preserve">  </w:t>
            </w:r>
            <w:r>
              <w:rPr>
                <w:rFonts w:hint="default"/>
                <w:b/>
                <w:bCs/>
                <w:sz w:val="24"/>
                <w:szCs w:val="24"/>
                <w:lang w:val="en-US" w:eastAsia="zh-CN"/>
              </w:rPr>
              <w:t>项目砂石废水处理系统处理工艺流程示意图</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废水处理可行性分析：</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本项目洗砂日用水量约为1102.8</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（新鲜水110.28m</w:t>
            </w:r>
            <w:r>
              <w:rPr>
                <w:rFonts w:hint="eastAsia"/>
                <w:sz w:val="24"/>
                <w:szCs w:val="24"/>
                <w:vertAlign w:val="superscript"/>
                <w:lang w:val="en-US" w:eastAsia="zh-CN"/>
              </w:rPr>
              <w:t>3</w:t>
            </w:r>
            <w:r>
              <w:rPr>
                <w:rFonts w:hint="eastAsia"/>
                <w:sz w:val="24"/>
                <w:szCs w:val="24"/>
                <w:lang w:val="en-US" w:eastAsia="zh-CN"/>
              </w:rPr>
              <w:t>/d，回用水992.52m</w:t>
            </w:r>
            <w:r>
              <w:rPr>
                <w:rFonts w:hint="eastAsia"/>
                <w:sz w:val="24"/>
                <w:szCs w:val="24"/>
                <w:vertAlign w:val="superscript"/>
                <w:lang w:val="en-US" w:eastAsia="zh-CN"/>
              </w:rPr>
              <w:t>3</w:t>
            </w:r>
            <w:r>
              <w:rPr>
                <w:rFonts w:hint="eastAsia"/>
                <w:sz w:val="24"/>
                <w:szCs w:val="24"/>
                <w:lang w:val="en-US" w:eastAsia="zh-CN"/>
              </w:rPr>
              <w:t>/d）。本项目设计浓密设施+沉淀池处理量为1200</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，可以满足沉淀回用要求。</w:t>
            </w:r>
          </w:p>
          <w:p>
            <w:pPr>
              <w:keepNext w:val="0"/>
              <w:keepLines w:val="0"/>
              <w:widowControl/>
              <w:suppressLineNumbers w:val="0"/>
              <w:spacing w:line="360" w:lineRule="auto"/>
              <w:ind w:firstLine="480" w:firstLineChars="200"/>
              <w:jc w:val="left"/>
              <w:rPr>
                <w:rFonts w:hint="default"/>
                <w:sz w:val="24"/>
                <w:szCs w:val="24"/>
                <w:lang w:val="en-US" w:eastAsia="zh-CN"/>
              </w:rPr>
            </w:pPr>
            <w:r>
              <w:rPr>
                <w:rFonts w:hint="eastAsia"/>
                <w:sz w:val="24"/>
                <w:szCs w:val="24"/>
                <w:lang w:val="en-US" w:eastAsia="zh-CN"/>
              </w:rPr>
              <w:t>②</w:t>
            </w:r>
            <w:r>
              <w:rPr>
                <w:rFonts w:hint="default"/>
                <w:sz w:val="24"/>
                <w:szCs w:val="24"/>
                <w:lang w:val="en-US" w:eastAsia="zh-CN"/>
              </w:rPr>
              <w:t>混凝土生产线废水</w:t>
            </w:r>
          </w:p>
          <w:p>
            <w:pPr>
              <w:spacing w:line="360" w:lineRule="auto"/>
              <w:ind w:firstLine="480" w:firstLineChars="200"/>
              <w:rPr>
                <w:sz w:val="24"/>
                <w:szCs w:val="24"/>
              </w:rPr>
            </w:pPr>
            <w:r>
              <w:rPr>
                <w:sz w:val="24"/>
                <w:szCs w:val="24"/>
              </w:rPr>
              <w:t xml:space="preserve">1）混凝土生产搅拌用水 </w:t>
            </w:r>
          </w:p>
          <w:p>
            <w:pPr>
              <w:tabs>
                <w:tab w:val="left" w:pos="5670"/>
              </w:tabs>
              <w:spacing w:line="360" w:lineRule="auto"/>
              <w:ind w:firstLine="480" w:firstLineChars="200"/>
              <w:rPr>
                <w:rFonts w:hint="eastAsia"/>
                <w:sz w:val="24"/>
                <w:szCs w:val="24"/>
              </w:rPr>
            </w:pPr>
            <w:r>
              <w:rPr>
                <w:sz w:val="24"/>
                <w:szCs w:val="24"/>
              </w:rPr>
              <w:t>混凝土生产过程中，碎石、砂、水泥、粉煤灰等混合搅拌需要用水，搅拌用水约</w:t>
            </w:r>
            <w:r>
              <w:rPr>
                <w:rFonts w:hint="eastAsia"/>
                <w:sz w:val="24"/>
                <w:szCs w:val="24"/>
                <w:lang w:val="en-US" w:eastAsia="zh-CN"/>
              </w:rPr>
              <w:t>350</w:t>
            </w:r>
            <w:r>
              <w:rPr>
                <w:sz w:val="24"/>
                <w:szCs w:val="24"/>
              </w:rPr>
              <w:t>m</w:t>
            </w:r>
            <w:r>
              <w:rPr>
                <w:sz w:val="24"/>
                <w:szCs w:val="24"/>
                <w:vertAlign w:val="superscript"/>
              </w:rPr>
              <w:t>3</w:t>
            </w:r>
            <w:r>
              <w:rPr>
                <w:sz w:val="24"/>
                <w:szCs w:val="24"/>
              </w:rPr>
              <w:t>/d，该部分水全部进入产品，不外排。</w:t>
            </w:r>
          </w:p>
          <w:p>
            <w:pPr>
              <w:spacing w:line="360" w:lineRule="auto"/>
              <w:ind w:firstLine="480" w:firstLineChars="200"/>
              <w:rPr>
                <w:sz w:val="24"/>
                <w:szCs w:val="24"/>
              </w:rPr>
            </w:pPr>
            <w:r>
              <w:rPr>
                <w:rFonts w:hint="eastAsia"/>
                <w:sz w:val="24"/>
                <w:szCs w:val="24"/>
              </w:rPr>
              <w:t>2</w:t>
            </w:r>
            <w:r>
              <w:rPr>
                <w:sz w:val="24"/>
                <w:szCs w:val="24"/>
              </w:rPr>
              <w:t xml:space="preserve">）搅拌机清洗用水 </w:t>
            </w:r>
          </w:p>
          <w:p>
            <w:pPr>
              <w:spacing w:line="360" w:lineRule="auto"/>
              <w:ind w:firstLine="480" w:firstLineChars="200"/>
              <w:rPr>
                <w:rFonts w:hint="eastAsia"/>
                <w:sz w:val="24"/>
                <w:szCs w:val="24"/>
              </w:rPr>
            </w:pPr>
            <w:r>
              <w:rPr>
                <w:rFonts w:hint="eastAsia"/>
                <w:sz w:val="24"/>
                <w:szCs w:val="24"/>
              </w:rPr>
              <w:t>搅拌机在停止生产时必须进行清洗，清洗用水量为</w:t>
            </w:r>
            <w:r>
              <w:rPr>
                <w:rFonts w:hint="eastAsia"/>
                <w:sz w:val="24"/>
                <w:szCs w:val="24"/>
                <w:lang w:val="en-US" w:eastAsia="zh-CN"/>
              </w:rPr>
              <w:t>6</w:t>
            </w:r>
            <w:r>
              <w:rPr>
                <w:rFonts w:hint="eastAsia"/>
                <w:sz w:val="24"/>
                <w:szCs w:val="24"/>
              </w:rPr>
              <w:t>m</w:t>
            </w:r>
            <w:r>
              <w:rPr>
                <w:rFonts w:hint="eastAsia"/>
                <w:sz w:val="24"/>
                <w:szCs w:val="24"/>
                <w:vertAlign w:val="superscript"/>
              </w:rPr>
              <w:t>3</w:t>
            </w:r>
            <w:r>
              <w:rPr>
                <w:rFonts w:hint="eastAsia"/>
                <w:sz w:val="24"/>
                <w:szCs w:val="24"/>
              </w:rPr>
              <w:t>/d，排污系数取0.9，则每天废水产生量为</w:t>
            </w:r>
            <w:r>
              <w:rPr>
                <w:rFonts w:hint="eastAsia"/>
                <w:sz w:val="24"/>
                <w:szCs w:val="24"/>
                <w:lang w:val="en-US" w:eastAsia="zh-CN"/>
              </w:rPr>
              <w:t>5.4</w:t>
            </w:r>
            <w:r>
              <w:rPr>
                <w:rFonts w:hint="eastAsia"/>
                <w:sz w:val="24"/>
                <w:szCs w:val="24"/>
              </w:rPr>
              <w:t>m</w:t>
            </w:r>
            <w:r>
              <w:rPr>
                <w:rFonts w:hint="eastAsia"/>
                <w:sz w:val="24"/>
                <w:szCs w:val="24"/>
                <w:vertAlign w:val="superscript"/>
              </w:rPr>
              <w:t>3</w:t>
            </w:r>
            <w:r>
              <w:rPr>
                <w:rFonts w:hint="eastAsia"/>
                <w:sz w:val="24"/>
                <w:szCs w:val="24"/>
              </w:rPr>
              <w:t>/d，主要污染物为砂石沉淀物（SS），经厂区搅拌分离池处理后回用于生产，不外排。</w:t>
            </w:r>
          </w:p>
          <w:p>
            <w:pPr>
              <w:spacing w:line="360" w:lineRule="auto"/>
              <w:ind w:firstLine="480" w:firstLineChars="200"/>
              <w:rPr>
                <w:rFonts w:hint="eastAsia"/>
                <w:sz w:val="24"/>
                <w:szCs w:val="24"/>
              </w:rPr>
            </w:pPr>
            <w:r>
              <w:rPr>
                <w:rFonts w:hint="eastAsia"/>
                <w:sz w:val="24"/>
                <w:szCs w:val="24"/>
              </w:rPr>
              <w:t xml:space="preserve">3）生产区地面冲洗用水 </w:t>
            </w:r>
          </w:p>
          <w:p>
            <w:pPr>
              <w:tabs>
                <w:tab w:val="left" w:pos="5670"/>
              </w:tabs>
              <w:spacing w:line="360" w:lineRule="auto"/>
              <w:ind w:firstLine="480" w:firstLineChars="200"/>
              <w:rPr>
                <w:rFonts w:hint="eastAsia"/>
                <w:sz w:val="24"/>
                <w:szCs w:val="24"/>
              </w:rPr>
            </w:pPr>
            <w:r>
              <w:rPr>
                <w:rFonts w:hint="eastAsia"/>
                <w:sz w:val="24"/>
                <w:szCs w:val="24"/>
              </w:rPr>
              <w:t>本项目加工车间面积约</w:t>
            </w:r>
            <w:r>
              <w:rPr>
                <w:rFonts w:hint="eastAsia"/>
                <w:sz w:val="24"/>
                <w:szCs w:val="24"/>
                <w:lang w:val="en-US" w:eastAsia="zh-CN"/>
              </w:rPr>
              <w:t>12053.13</w:t>
            </w:r>
            <w:r>
              <w:rPr>
                <w:rFonts w:hint="eastAsia"/>
                <w:sz w:val="24"/>
                <w:szCs w:val="24"/>
              </w:rPr>
              <w:t>m</w:t>
            </w:r>
            <w:r>
              <w:rPr>
                <w:rFonts w:hint="eastAsia"/>
                <w:sz w:val="24"/>
                <w:szCs w:val="24"/>
                <w:vertAlign w:val="superscript"/>
              </w:rPr>
              <w:t>2</w:t>
            </w:r>
            <w:r>
              <w:rPr>
                <w:rFonts w:hint="eastAsia"/>
                <w:sz w:val="24"/>
                <w:szCs w:val="24"/>
              </w:rPr>
              <w:t>，根据《建筑给水排水设计规范》（GB50015-2009），地面冲洗废水按1.5L/（m</w:t>
            </w:r>
            <w:r>
              <w:rPr>
                <w:rFonts w:hint="eastAsia"/>
                <w:sz w:val="24"/>
                <w:szCs w:val="24"/>
                <w:vertAlign w:val="superscript"/>
              </w:rPr>
              <w:t>2</w:t>
            </w:r>
            <w:r>
              <w:rPr>
                <w:rFonts w:hint="eastAsia"/>
                <w:sz w:val="24"/>
                <w:szCs w:val="24"/>
              </w:rPr>
              <w:t>·d）计，则生产区地面冲洗用水量为</w:t>
            </w:r>
            <w:r>
              <w:rPr>
                <w:rFonts w:hint="eastAsia"/>
                <w:sz w:val="24"/>
                <w:szCs w:val="24"/>
                <w:lang w:val="en-US" w:eastAsia="zh-CN"/>
              </w:rPr>
              <w:t>18.08</w:t>
            </w:r>
            <w:r>
              <w:rPr>
                <w:rFonts w:hint="eastAsia"/>
                <w:sz w:val="24"/>
                <w:szCs w:val="24"/>
              </w:rPr>
              <w:t>m</w:t>
            </w:r>
            <w:r>
              <w:rPr>
                <w:rFonts w:hint="eastAsia"/>
                <w:sz w:val="24"/>
                <w:szCs w:val="24"/>
                <w:vertAlign w:val="superscript"/>
              </w:rPr>
              <w:t>3</w:t>
            </w:r>
            <w:r>
              <w:rPr>
                <w:rFonts w:hint="eastAsia"/>
                <w:sz w:val="24"/>
                <w:szCs w:val="24"/>
              </w:rPr>
              <w:t>/d，排放系数取0.9，则地面冲洗废水产生量为</w:t>
            </w:r>
            <w:r>
              <w:rPr>
                <w:rFonts w:hint="eastAsia"/>
                <w:sz w:val="24"/>
                <w:szCs w:val="24"/>
                <w:lang w:val="en-US" w:eastAsia="zh-CN"/>
              </w:rPr>
              <w:t>16.27</w:t>
            </w:r>
            <w:r>
              <w:rPr>
                <w:rFonts w:hint="eastAsia"/>
                <w:sz w:val="24"/>
                <w:szCs w:val="24"/>
              </w:rPr>
              <w:t>m</w:t>
            </w:r>
            <w:r>
              <w:rPr>
                <w:rFonts w:hint="eastAsia"/>
                <w:sz w:val="24"/>
                <w:szCs w:val="24"/>
                <w:vertAlign w:val="superscript"/>
              </w:rPr>
              <w:t>3</w:t>
            </w:r>
            <w:r>
              <w:rPr>
                <w:rFonts w:hint="eastAsia"/>
                <w:sz w:val="24"/>
                <w:szCs w:val="24"/>
              </w:rPr>
              <w:t>/d，主要污染物为砂石沉淀物（SS），经厂区搅拌分离池处理后回用于生产，不外排。</w:t>
            </w:r>
          </w:p>
          <w:p>
            <w:pPr>
              <w:spacing w:line="360" w:lineRule="auto"/>
              <w:ind w:firstLine="480" w:firstLineChars="200"/>
              <w:rPr>
                <w:rFonts w:hint="eastAsia"/>
                <w:sz w:val="24"/>
                <w:szCs w:val="24"/>
              </w:rPr>
            </w:pPr>
            <w:r>
              <w:rPr>
                <w:rFonts w:hint="eastAsia"/>
                <w:sz w:val="24"/>
                <w:szCs w:val="24"/>
              </w:rPr>
              <w:t xml:space="preserve">4）实验用水 </w:t>
            </w:r>
          </w:p>
          <w:p>
            <w:pPr>
              <w:spacing w:line="360" w:lineRule="auto"/>
              <w:ind w:firstLine="480" w:firstLineChars="200"/>
              <w:rPr>
                <w:rFonts w:hint="eastAsia"/>
                <w:sz w:val="24"/>
                <w:szCs w:val="24"/>
              </w:rPr>
            </w:pPr>
            <w:r>
              <w:rPr>
                <w:rFonts w:hint="eastAsia"/>
                <w:sz w:val="24"/>
                <w:szCs w:val="24"/>
              </w:rPr>
              <w:t>项目生产实验室仅进行产品物理强度测试，不进行化学实验，主要按配方试制混凝土块，进行混凝土检测试验，其用水量为0.5m</w:t>
            </w:r>
            <w:r>
              <w:rPr>
                <w:rFonts w:hint="eastAsia"/>
                <w:sz w:val="24"/>
                <w:szCs w:val="24"/>
                <w:vertAlign w:val="superscript"/>
              </w:rPr>
              <w:t>3</w:t>
            </w:r>
            <w:r>
              <w:rPr>
                <w:rFonts w:hint="eastAsia"/>
                <w:sz w:val="24"/>
                <w:szCs w:val="24"/>
              </w:rPr>
              <w:t>/d，全部进入试验混凝土块，不外排。</w:t>
            </w:r>
          </w:p>
          <w:p>
            <w:pPr>
              <w:spacing w:line="360" w:lineRule="auto"/>
              <w:ind w:firstLine="480" w:firstLineChars="200"/>
              <w:rPr>
                <w:rFonts w:hint="eastAsia"/>
                <w:sz w:val="24"/>
                <w:szCs w:val="24"/>
              </w:rPr>
            </w:pPr>
            <w:r>
              <w:rPr>
                <w:rFonts w:hint="eastAsia"/>
                <w:sz w:val="24"/>
                <w:szCs w:val="24"/>
              </w:rPr>
              <w:t xml:space="preserve">5）运输车辆清洗用水 </w:t>
            </w:r>
          </w:p>
          <w:p>
            <w:pPr>
              <w:spacing w:line="360" w:lineRule="auto"/>
              <w:ind w:firstLine="480" w:firstLineChars="200"/>
              <w:rPr>
                <w:rFonts w:hint="eastAsia"/>
                <w:sz w:val="24"/>
                <w:szCs w:val="24"/>
              </w:rPr>
            </w:pPr>
            <w:r>
              <w:rPr>
                <w:rFonts w:hint="eastAsia"/>
                <w:sz w:val="24"/>
                <w:szCs w:val="24"/>
              </w:rPr>
              <w:t>项目内运输车辆在出场前需进行轮胎冲洗，用水量按</w:t>
            </w:r>
            <w:r>
              <w:rPr>
                <w:rFonts w:hint="eastAsia"/>
                <w:sz w:val="24"/>
                <w:szCs w:val="24"/>
                <w:lang w:val="en-US" w:eastAsia="zh-CN"/>
              </w:rPr>
              <w:t>30</w:t>
            </w:r>
            <w:r>
              <w:rPr>
                <w:rFonts w:hint="eastAsia"/>
                <w:sz w:val="24"/>
                <w:szCs w:val="24"/>
              </w:rPr>
              <w:t>m</w:t>
            </w:r>
            <w:r>
              <w:rPr>
                <w:rFonts w:hint="eastAsia"/>
                <w:sz w:val="24"/>
                <w:szCs w:val="24"/>
                <w:vertAlign w:val="superscript"/>
              </w:rPr>
              <w:t>3</w:t>
            </w:r>
            <w:r>
              <w:rPr>
                <w:rFonts w:hint="eastAsia"/>
                <w:sz w:val="24"/>
                <w:szCs w:val="24"/>
              </w:rPr>
              <w:t>/d计，排污系数取0.9，则每天废水产生量为</w:t>
            </w:r>
            <w:r>
              <w:rPr>
                <w:rFonts w:hint="eastAsia"/>
                <w:sz w:val="24"/>
                <w:szCs w:val="24"/>
                <w:lang w:val="en-US" w:eastAsia="zh-CN"/>
              </w:rPr>
              <w:t>27</w:t>
            </w:r>
            <w:r>
              <w:rPr>
                <w:rFonts w:hint="eastAsia"/>
                <w:sz w:val="24"/>
                <w:szCs w:val="24"/>
              </w:rPr>
              <w:t>m</w:t>
            </w:r>
            <w:r>
              <w:rPr>
                <w:rFonts w:hint="eastAsia"/>
                <w:sz w:val="24"/>
                <w:szCs w:val="24"/>
                <w:vertAlign w:val="superscript"/>
              </w:rPr>
              <w:t>3</w:t>
            </w:r>
            <w:r>
              <w:rPr>
                <w:rFonts w:hint="eastAsia"/>
                <w:sz w:val="24"/>
                <w:szCs w:val="24"/>
              </w:rPr>
              <w:t>/d，主要污染物为砂石沉淀物（SS），经厂区搅拌分离池处理后回用于生产，不外排。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sz w:val="24"/>
                <w:szCs w:val="24"/>
                <w:lang w:val="en-US" w:eastAsia="zh-CN"/>
              </w:rPr>
            </w:pPr>
            <w:r>
              <w:rPr>
                <w:rFonts w:hint="default"/>
                <w:lang w:val="en-US" w:eastAsia="zh-CN"/>
              </w:rPr>
              <w:drawing>
                <wp:anchor distT="0" distB="0" distL="114300" distR="114300" simplePos="0" relativeHeight="251728896" behindDoc="0" locked="0" layoutInCell="1" allowOverlap="1">
                  <wp:simplePos x="0" y="0"/>
                  <wp:positionH relativeFrom="column">
                    <wp:posOffset>-170815</wp:posOffset>
                  </wp:positionH>
                  <wp:positionV relativeFrom="paragraph">
                    <wp:posOffset>457200</wp:posOffset>
                  </wp:positionV>
                  <wp:extent cx="4929505" cy="1562735"/>
                  <wp:effectExtent l="0" t="0" r="0" b="0"/>
                  <wp:wrapNone/>
                  <wp:docPr id="5" name="ECB019B1-382A-4266-B25C-5B523AA43C14-2" descr="C:/Users/Administrator/AppData/Local/Temp/wps.GKQuQ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2" descr="C:/Users/Administrator/AppData/Local/Temp/wps.GKQuQRwps"/>
                          <pic:cNvPicPr>
                            <a:picLocks noChangeAspect="1"/>
                          </pic:cNvPicPr>
                        </pic:nvPicPr>
                        <pic:blipFill>
                          <a:blip r:embed="rId25"/>
                          <a:stretch>
                            <a:fillRect/>
                          </a:stretch>
                        </pic:blipFill>
                        <pic:spPr>
                          <a:xfrm>
                            <a:off x="0" y="0"/>
                            <a:ext cx="4929505" cy="1562735"/>
                          </a:xfrm>
                          <a:prstGeom prst="rect">
                            <a:avLst/>
                          </a:prstGeom>
                          <a:noFill/>
                          <a:ln>
                            <a:noFill/>
                          </a:ln>
                        </pic:spPr>
                      </pic:pic>
                    </a:graphicData>
                  </a:graphic>
                </wp:anchor>
              </w:drawing>
            </w:r>
            <w:r>
              <w:rPr>
                <w:rFonts w:hint="default"/>
                <w:sz w:val="24"/>
                <w:szCs w:val="24"/>
                <w:lang w:val="en-US" w:eastAsia="zh-CN"/>
              </w:rPr>
              <w:t>本项目</w:t>
            </w:r>
            <w:r>
              <w:rPr>
                <w:rFonts w:hint="default"/>
                <w:sz w:val="24"/>
                <w:szCs w:val="24"/>
              </w:rPr>
              <w:t>搅拌设备、罐车</w:t>
            </w:r>
            <w:r>
              <w:rPr>
                <w:rFonts w:hint="default"/>
                <w:sz w:val="24"/>
                <w:szCs w:val="24"/>
                <w:lang w:eastAsia="zh-CN"/>
              </w:rPr>
              <w:t>、</w:t>
            </w:r>
            <w:r>
              <w:rPr>
                <w:rFonts w:hint="default"/>
                <w:sz w:val="24"/>
                <w:szCs w:val="24"/>
                <w:lang w:val="en-US" w:eastAsia="zh-CN"/>
              </w:rPr>
              <w:t>地面</w:t>
            </w:r>
            <w:r>
              <w:rPr>
                <w:rFonts w:hint="default"/>
                <w:sz w:val="24"/>
                <w:szCs w:val="24"/>
                <w:lang w:eastAsia="zh-CN"/>
              </w:rPr>
              <w:t>清洗</w:t>
            </w:r>
            <w:r>
              <w:rPr>
                <w:rFonts w:hint="eastAsia"/>
                <w:sz w:val="24"/>
                <w:szCs w:val="24"/>
                <w:lang w:val="en-US" w:eastAsia="zh-CN"/>
              </w:rPr>
              <w:t>废水</w:t>
            </w:r>
            <w:r>
              <w:rPr>
                <w:rFonts w:hint="default"/>
                <w:sz w:val="24"/>
                <w:szCs w:val="24"/>
                <w:lang w:val="en-US" w:eastAsia="zh-CN"/>
              </w:rPr>
              <w:t>约为</w:t>
            </w:r>
            <w:r>
              <w:rPr>
                <w:rFonts w:hint="eastAsia"/>
                <w:sz w:val="24"/>
                <w:szCs w:val="24"/>
                <w:lang w:val="en-US" w:eastAsia="zh-CN"/>
              </w:rPr>
              <w:t>48.67</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/d，</w:t>
            </w:r>
            <w:r>
              <w:rPr>
                <w:rFonts w:hint="default"/>
                <w:sz w:val="24"/>
                <w:szCs w:val="24"/>
              </w:rPr>
              <w:t>清洗废水经</w:t>
            </w:r>
            <w:r>
              <w:rPr>
                <w:rFonts w:hint="default"/>
                <w:sz w:val="24"/>
                <w:szCs w:val="24"/>
                <w:lang w:val="en-US" w:eastAsia="zh-CN"/>
              </w:rPr>
              <w:t>厂区内渠道</w:t>
            </w:r>
            <w:r>
              <w:rPr>
                <w:rFonts w:hint="default"/>
                <w:sz w:val="24"/>
                <w:szCs w:val="24"/>
              </w:rPr>
              <w:t>收集进入</w:t>
            </w:r>
            <w:r>
              <w:rPr>
                <w:rFonts w:hint="default"/>
                <w:sz w:val="24"/>
                <w:szCs w:val="24"/>
                <w:lang w:val="en-US" w:eastAsia="zh-CN"/>
              </w:rPr>
              <w:t>沉淀池</w:t>
            </w:r>
            <w:r>
              <w:rPr>
                <w:rFonts w:hint="default"/>
                <w:sz w:val="24"/>
                <w:szCs w:val="24"/>
                <w:lang w:eastAsia="zh-CN"/>
              </w:rPr>
              <w:t>，</w:t>
            </w:r>
            <w:r>
              <w:rPr>
                <w:rFonts w:hint="default"/>
                <w:sz w:val="24"/>
                <w:szCs w:val="24"/>
                <w:lang w:val="en-US" w:eastAsia="zh-CN"/>
              </w:rPr>
              <w:t>项目设置1套三级沉淀池，沉淀池有效容积为100m</w:t>
            </w:r>
            <w:r>
              <w:rPr>
                <w:rFonts w:hint="default"/>
                <w:sz w:val="24"/>
                <w:szCs w:val="24"/>
                <w:vertAlign w:val="superscript"/>
                <w:lang w:val="en-US" w:eastAsia="zh-CN"/>
              </w:rPr>
              <w:t>3</w:t>
            </w:r>
            <w:r>
              <w:rPr>
                <w:rFonts w:hint="default"/>
                <w:sz w:val="24"/>
                <w:szCs w:val="24"/>
                <w:lang w:val="en-US" w:eastAsia="zh-CN"/>
              </w:rPr>
              <w:t>，过滤后清水回用于项目生产过程中，不外排。</w:t>
            </w:r>
          </w:p>
          <w:p>
            <w:pPr>
              <w:pStyle w:val="2"/>
              <w:rPr>
                <w:rFonts w:hint="default"/>
                <w:sz w:val="24"/>
                <w:szCs w:val="24"/>
                <w:lang w:val="en-US" w:eastAsia="zh-CN"/>
              </w:rPr>
            </w:pPr>
          </w:p>
          <w:p>
            <w:pPr>
              <w:rPr>
                <w:rFonts w:hint="default"/>
                <w:sz w:val="24"/>
                <w:szCs w:val="24"/>
                <w:lang w:val="en-US" w:eastAsia="zh-CN"/>
              </w:rPr>
            </w:pPr>
          </w:p>
          <w:p>
            <w:pPr>
              <w:pStyle w:val="2"/>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b/>
                <w:bCs/>
                <w:sz w:val="24"/>
                <w:szCs w:val="24"/>
                <w:lang w:val="en-US" w:eastAsia="zh-CN"/>
              </w:rPr>
            </w:pPr>
            <w:r>
              <w:rPr>
                <w:rFonts w:hint="default"/>
                <w:b/>
                <w:bCs/>
                <w:sz w:val="24"/>
                <w:szCs w:val="24"/>
              </w:rPr>
              <w:t>图</w:t>
            </w:r>
            <w:r>
              <w:rPr>
                <w:rFonts w:hint="eastAsia"/>
                <w:b/>
                <w:bCs/>
                <w:sz w:val="24"/>
                <w:szCs w:val="24"/>
                <w:lang w:val="en-US" w:eastAsia="zh-CN"/>
              </w:rPr>
              <w:t>4</w:t>
            </w:r>
            <w:r>
              <w:rPr>
                <w:rFonts w:hint="default"/>
                <w:b/>
                <w:bCs/>
                <w:sz w:val="24"/>
                <w:szCs w:val="24"/>
                <w:lang w:val="en-US" w:eastAsia="zh-CN"/>
              </w:rPr>
              <w:t>-</w:t>
            </w:r>
            <w:r>
              <w:rPr>
                <w:rFonts w:hint="eastAsia"/>
                <w:b/>
                <w:bCs/>
                <w:sz w:val="24"/>
                <w:szCs w:val="24"/>
                <w:lang w:val="en-US" w:eastAsia="zh-CN"/>
              </w:rPr>
              <w:t>2</w:t>
            </w:r>
            <w:r>
              <w:rPr>
                <w:rFonts w:hint="default"/>
                <w:b/>
                <w:bCs/>
                <w:sz w:val="24"/>
                <w:szCs w:val="24"/>
              </w:rPr>
              <w:t xml:space="preserve">  </w:t>
            </w:r>
            <w:r>
              <w:rPr>
                <w:rFonts w:hint="default"/>
                <w:b/>
                <w:bCs/>
                <w:sz w:val="24"/>
                <w:szCs w:val="24"/>
                <w:lang w:val="en-US" w:eastAsia="zh-CN"/>
              </w:rPr>
              <w:t>废水处理系统处理工艺流程示意图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sz w:val="24"/>
                <w:szCs w:val="24"/>
                <w:lang w:val="en-US" w:eastAsia="zh-CN"/>
              </w:rPr>
            </w:pPr>
            <w:r>
              <w:rPr>
                <w:rFonts w:hint="eastAsia"/>
                <w:sz w:val="24"/>
                <w:szCs w:val="24"/>
                <w:lang w:val="en-US" w:eastAsia="zh-CN"/>
              </w:rPr>
              <w:t>废水处理</w:t>
            </w:r>
            <w:r>
              <w:rPr>
                <w:rFonts w:hint="default"/>
                <w:sz w:val="24"/>
                <w:szCs w:val="24"/>
              </w:rPr>
              <w:t>可行性</w:t>
            </w:r>
            <w:r>
              <w:rPr>
                <w:rFonts w:hint="eastAsia"/>
                <w:sz w:val="24"/>
                <w:szCs w:val="24"/>
                <w:lang w:val="en-US" w:eastAsia="zh-CN"/>
              </w:rPr>
              <w:t>分析：</w:t>
            </w:r>
          </w:p>
          <w:p>
            <w:pPr>
              <w:pStyle w:val="72"/>
              <w:keepNext w:val="0"/>
              <w:keepLines w:val="0"/>
              <w:pageBreakBefore w:val="0"/>
              <w:widowControl w:val="0"/>
              <w:kinsoku/>
              <w:wordWrap/>
              <w:overflowPunct/>
              <w:topLinePunct w:val="0"/>
              <w:autoSpaceDE/>
              <w:autoSpaceDN/>
              <w:bidi w:val="0"/>
              <w:adjustRightInd w:val="0"/>
              <w:snapToGrid w:val="0"/>
              <w:ind w:firstLine="480"/>
              <w:textAlignment w:val="auto"/>
              <w:rPr>
                <w:rFonts w:hint="default"/>
                <w:sz w:val="24"/>
                <w:szCs w:val="24"/>
              </w:rPr>
            </w:pPr>
            <w:r>
              <w:rPr>
                <w:rFonts w:hint="default"/>
                <w:sz w:val="24"/>
                <w:szCs w:val="24"/>
                <w:lang w:val="en-US" w:eastAsia="zh-CN"/>
              </w:rPr>
              <w:t>本项目</w:t>
            </w:r>
            <w:r>
              <w:rPr>
                <w:rFonts w:hint="default"/>
                <w:sz w:val="24"/>
                <w:szCs w:val="24"/>
                <w:lang w:eastAsia="zh-CN"/>
              </w:rPr>
              <w:t>清洗</w:t>
            </w:r>
            <w:r>
              <w:rPr>
                <w:rFonts w:hint="eastAsia"/>
                <w:sz w:val="24"/>
                <w:szCs w:val="24"/>
                <w:lang w:val="en-US" w:eastAsia="zh-CN"/>
              </w:rPr>
              <w:t>废水</w:t>
            </w:r>
            <w:r>
              <w:rPr>
                <w:rFonts w:hint="default"/>
                <w:sz w:val="24"/>
                <w:szCs w:val="24"/>
                <w:lang w:val="en-US" w:eastAsia="zh-CN"/>
              </w:rPr>
              <w:t>约为</w:t>
            </w:r>
            <w:r>
              <w:rPr>
                <w:rFonts w:hint="eastAsia"/>
                <w:sz w:val="24"/>
                <w:szCs w:val="24"/>
                <w:lang w:val="en-US" w:eastAsia="zh-CN"/>
              </w:rPr>
              <w:t>48.67</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/d</w:t>
            </w:r>
            <w:r>
              <w:rPr>
                <w:rFonts w:hint="default"/>
                <w:sz w:val="24"/>
                <w:szCs w:val="24"/>
              </w:rPr>
              <w:t>。根据《</w:t>
            </w:r>
            <w:r>
              <w:rPr>
                <w:rFonts w:hint="default"/>
                <w:sz w:val="24"/>
                <w:szCs w:val="24"/>
                <w:lang w:eastAsia="zh-CN"/>
              </w:rPr>
              <w:t>建筑给水排水设计标准</w:t>
            </w:r>
            <w:r>
              <w:rPr>
                <w:rFonts w:hint="default"/>
                <w:sz w:val="24"/>
                <w:szCs w:val="24"/>
              </w:rPr>
              <w:t>》</w:t>
            </w:r>
            <w:r>
              <w:rPr>
                <w:rFonts w:hint="default"/>
                <w:sz w:val="24"/>
                <w:szCs w:val="24"/>
                <w:lang w:eastAsia="zh-CN"/>
              </w:rPr>
              <w:t>，</w:t>
            </w:r>
            <w:r>
              <w:rPr>
                <w:rFonts w:hint="default"/>
                <w:sz w:val="24"/>
                <w:szCs w:val="24"/>
              </w:rPr>
              <w:t>污水在</w:t>
            </w:r>
            <w:r>
              <w:rPr>
                <w:rFonts w:hint="default"/>
                <w:sz w:val="24"/>
                <w:szCs w:val="24"/>
                <w:lang w:val="en-US" w:eastAsia="zh-CN"/>
              </w:rPr>
              <w:t>污水预处理池</w:t>
            </w:r>
            <w:r>
              <w:rPr>
                <w:rFonts w:hint="default"/>
                <w:sz w:val="24"/>
                <w:szCs w:val="24"/>
              </w:rPr>
              <w:t>中停留时间宜采用12~24h</w:t>
            </w:r>
            <w:r>
              <w:rPr>
                <w:rFonts w:hint="default"/>
                <w:sz w:val="24"/>
                <w:szCs w:val="24"/>
                <w:lang w:eastAsia="zh-CN"/>
              </w:rPr>
              <w:t>，</w:t>
            </w:r>
            <w:r>
              <w:rPr>
                <w:rFonts w:hint="default"/>
                <w:sz w:val="24"/>
                <w:szCs w:val="24"/>
              </w:rPr>
              <w:t>本项目按照废水停留时间为</w:t>
            </w:r>
            <w:r>
              <w:rPr>
                <w:rFonts w:hint="default"/>
                <w:sz w:val="24"/>
                <w:szCs w:val="24"/>
                <w:lang w:val="en-US" w:eastAsia="zh-CN"/>
              </w:rPr>
              <w:t>24</w:t>
            </w:r>
            <w:r>
              <w:rPr>
                <w:rFonts w:hint="default"/>
                <w:sz w:val="24"/>
                <w:szCs w:val="24"/>
              </w:rPr>
              <w:t>h计</w:t>
            </w:r>
            <w:r>
              <w:rPr>
                <w:rFonts w:hint="default"/>
                <w:sz w:val="24"/>
                <w:szCs w:val="24"/>
                <w:lang w:eastAsia="zh-CN"/>
              </w:rPr>
              <w:t>，</w:t>
            </w:r>
            <w:r>
              <w:rPr>
                <w:rFonts w:hint="default"/>
                <w:sz w:val="24"/>
                <w:szCs w:val="24"/>
              </w:rPr>
              <w:t>预处理池不应小于</w:t>
            </w:r>
            <w:r>
              <w:rPr>
                <w:rFonts w:hint="eastAsia"/>
                <w:sz w:val="24"/>
                <w:szCs w:val="24"/>
                <w:lang w:val="en-US" w:eastAsia="zh-CN"/>
              </w:rPr>
              <w:t>48.67</w:t>
            </w:r>
            <w:r>
              <w:rPr>
                <w:rFonts w:hint="default"/>
                <w:sz w:val="24"/>
                <w:szCs w:val="24"/>
              </w:rPr>
              <w:t>m</w:t>
            </w:r>
            <w:r>
              <w:rPr>
                <w:rFonts w:hint="default"/>
                <w:sz w:val="24"/>
                <w:szCs w:val="24"/>
                <w:vertAlign w:val="superscript"/>
              </w:rPr>
              <w:t>3</w:t>
            </w:r>
            <w:r>
              <w:rPr>
                <w:rFonts w:hint="default"/>
                <w:sz w:val="24"/>
                <w:szCs w:val="24"/>
              </w:rPr>
              <w:t>/d。</w:t>
            </w:r>
            <w:r>
              <w:rPr>
                <w:rFonts w:hint="default"/>
                <w:sz w:val="24"/>
                <w:szCs w:val="24"/>
                <w:lang w:val="en-US" w:eastAsia="zh-CN"/>
              </w:rPr>
              <w:t>本项目设计三级沉淀池</w:t>
            </w:r>
            <w:r>
              <w:rPr>
                <w:rFonts w:hint="default"/>
                <w:sz w:val="24"/>
                <w:szCs w:val="24"/>
              </w:rPr>
              <w:t>容积为</w:t>
            </w:r>
            <w:r>
              <w:rPr>
                <w:rFonts w:hint="eastAsia"/>
                <w:sz w:val="24"/>
                <w:szCs w:val="24"/>
                <w:lang w:val="en-US" w:eastAsia="zh-CN"/>
              </w:rPr>
              <w:t>100</w:t>
            </w:r>
            <w:r>
              <w:rPr>
                <w:rFonts w:hint="default"/>
                <w:sz w:val="24"/>
                <w:szCs w:val="24"/>
              </w:rPr>
              <w:t>m</w:t>
            </w:r>
            <w:r>
              <w:rPr>
                <w:rFonts w:hint="default"/>
                <w:sz w:val="24"/>
                <w:szCs w:val="24"/>
                <w:vertAlign w:val="superscript"/>
              </w:rPr>
              <w:t>3</w:t>
            </w:r>
            <w:r>
              <w:rPr>
                <w:rFonts w:hint="default"/>
                <w:sz w:val="24"/>
                <w:szCs w:val="24"/>
                <w:lang w:eastAsia="zh-CN"/>
              </w:rPr>
              <w:t>，</w:t>
            </w:r>
            <w:r>
              <w:rPr>
                <w:rFonts w:hint="default"/>
                <w:sz w:val="24"/>
                <w:szCs w:val="24"/>
              </w:rPr>
              <w:t>可以满足要求。</w:t>
            </w:r>
          </w:p>
          <w:p>
            <w:pPr>
              <w:keepNext w:val="0"/>
              <w:keepLines w:val="0"/>
              <w:widowControl/>
              <w:suppressLineNumbers w:val="0"/>
              <w:spacing w:line="360" w:lineRule="auto"/>
              <w:ind w:firstLine="482" w:firstLineChars="200"/>
              <w:jc w:val="left"/>
              <w:rPr>
                <w:b/>
                <w:bCs/>
                <w:sz w:val="24"/>
                <w:szCs w:val="24"/>
              </w:rPr>
            </w:pPr>
            <w:r>
              <w:rPr>
                <w:rFonts w:hint="eastAsia"/>
                <w:b/>
                <w:bCs/>
                <w:sz w:val="24"/>
                <w:szCs w:val="24"/>
                <w:lang w:val="en-US" w:eastAsia="zh-CN"/>
              </w:rPr>
              <w:t>（3）初期雨水</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项目实行雨污分流，项目厂区雨水通过雨水沟收集。初期雨水进入厂区沉淀池，初期雨水经沉淀池沉淀后回用于产品及场内降尘使用。</w:t>
            </w:r>
          </w:p>
          <w:p>
            <w:pPr>
              <w:keepNext w:val="0"/>
              <w:keepLines w:val="0"/>
              <w:widowControl/>
              <w:suppressLineNumbers w:val="0"/>
              <w:spacing w:line="360" w:lineRule="auto"/>
              <w:ind w:firstLine="480" w:firstLineChars="200"/>
              <w:jc w:val="left"/>
              <w:rPr>
                <w:rFonts w:hint="eastAsia"/>
                <w:sz w:val="24"/>
                <w:szCs w:val="24"/>
                <w:lang w:val="en-US" w:eastAsia="zh-CN"/>
              </w:rPr>
            </w:pPr>
            <w:r>
              <w:rPr>
                <w:rFonts w:hint="eastAsia"/>
                <w:sz w:val="24"/>
                <w:szCs w:val="24"/>
                <w:lang w:val="en-US" w:eastAsia="zh-CN"/>
              </w:rPr>
              <w:t>项目厂区堆存场降雨初期会产生初期雨水，对于初期雨水量，按下列公式</w:t>
            </w:r>
            <m:oMath>
              <m:r>
                <m:rPr>
                  <m:sty m:val="p"/>
                </m:rPr>
                <w:rPr>
                  <w:rFonts w:hint="default" w:ascii="Cambria Math" w:hAnsi="Cambria Math" w:cs="宋体"/>
                  <w:color w:val="000000"/>
                  <w:kern w:val="0"/>
                  <w:sz w:val="24"/>
                  <w:szCs w:val="24"/>
                  <w:lang w:val="en-US" w:eastAsia="zh-CN" w:bidi="ar-SA"/>
                </w:rPr>
                <m:t>Q=</m:t>
              </m:r>
              <m:r>
                <m:rPr>
                  <m:sty m:val="p"/>
                </m:rPr>
                <w:rPr>
                  <w:rFonts w:hint="default" w:ascii="Cambria Math" w:hAnsi="Cambria Math" w:cs="宋体"/>
                  <w:color w:val="000000"/>
                  <w:kern w:val="0"/>
                  <w:sz w:val="24"/>
                  <w:szCs w:val="24"/>
                  <w:lang w:val="en-US" w:bidi="ar-SA"/>
                </w:rPr>
                <m:t>φ×</m:t>
              </m:r>
              <m:r>
                <m:rPr>
                  <m:sty m:val="p"/>
                </m:rPr>
                <w:rPr>
                  <w:rFonts w:hint="default" w:ascii="Cambria Math" w:hAnsi="Cambria Math" w:cs="宋体"/>
                  <w:color w:val="000000"/>
                  <w:kern w:val="0"/>
                  <w:sz w:val="24"/>
                  <w:szCs w:val="24"/>
                  <w:lang w:val="en-US" w:eastAsia="zh-CN" w:bidi="ar-SA"/>
                </w:rPr>
                <m:t>q</m:t>
              </m:r>
              <m:r>
                <m:rPr>
                  <m:sty m:val="p"/>
                </m:rPr>
                <w:rPr>
                  <w:rFonts w:hint="default" w:ascii="Cambria Math" w:hAnsi="Cambria Math" w:cs="宋体"/>
                  <w:color w:val="000000"/>
                  <w:kern w:val="0"/>
                  <w:sz w:val="24"/>
                  <w:szCs w:val="24"/>
                  <w:lang w:val="en-US" w:bidi="ar-SA"/>
                </w:rPr>
                <m:t>×</m:t>
              </m:r>
              <m:r>
                <m:rPr>
                  <m:sty m:val="p"/>
                </m:rPr>
                <w:rPr>
                  <w:rFonts w:hint="default" w:ascii="Cambria Math" w:hAnsi="Cambria Math" w:cs="宋体"/>
                  <w:color w:val="000000"/>
                  <w:kern w:val="0"/>
                  <w:sz w:val="24"/>
                  <w:szCs w:val="24"/>
                  <w:lang w:val="en-US" w:eastAsia="zh-CN" w:bidi="ar-SA"/>
                </w:rPr>
                <m:t>F</m:t>
              </m:r>
              <m:r>
                <m:rPr>
                  <m:sty m:val="p"/>
                </m:rPr>
                <w:rPr>
                  <w:rFonts w:hint="default" w:ascii="Cambria Math" w:hAnsi="Cambria Math" w:cs="宋体"/>
                  <w:color w:val="000000"/>
                  <w:kern w:val="0"/>
                  <w:sz w:val="24"/>
                  <w:szCs w:val="24"/>
                  <w:lang w:val="en-US" w:bidi="ar-SA"/>
                </w:rPr>
                <m:t>×</m:t>
              </m:r>
              <m:r>
                <m:rPr>
                  <m:sty m:val="p"/>
                </m:rPr>
                <w:rPr>
                  <w:rFonts w:hint="default" w:ascii="Cambria Math" w:hAnsi="Cambria Math" w:cs="宋体"/>
                  <w:color w:val="000000"/>
                  <w:kern w:val="0"/>
                  <w:sz w:val="24"/>
                  <w:szCs w:val="24"/>
                  <w:lang w:val="en-US" w:eastAsia="zh-CN" w:bidi="ar-SA"/>
                </w:rPr>
                <m:t>t</m:t>
              </m:r>
            </m:oMath>
            <w:r>
              <w:rPr>
                <w:rFonts w:hint="eastAsia"/>
                <w:sz w:val="24"/>
                <w:szCs w:val="24"/>
                <w:lang w:val="en-US" w:eastAsia="zh-CN"/>
              </w:rPr>
              <w:t>进行计算：</w:t>
            </w:r>
          </w:p>
          <w:p>
            <w:pPr>
              <w:keepNext w:val="0"/>
              <w:keepLines w:val="0"/>
              <w:widowControl/>
              <w:suppressLineNumbers w:val="0"/>
              <w:spacing w:line="360" w:lineRule="auto"/>
              <w:ind w:firstLine="480" w:firstLineChars="200"/>
              <w:jc w:val="left"/>
              <w:rPr>
                <w:rFonts w:hint="eastAsia"/>
                <w:sz w:val="24"/>
                <w:szCs w:val="24"/>
                <w:lang w:val="en-US" w:eastAsia="zh-CN"/>
              </w:rPr>
            </w:pP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式中：</w:t>
            </w:r>
            <w:r>
              <w:rPr>
                <w:rFonts w:hint="default"/>
                <w:sz w:val="24"/>
                <w:szCs w:val="24"/>
                <w:lang w:val="en-US" w:eastAsia="zh-CN"/>
              </w:rPr>
              <w:t>φ--</w:t>
            </w:r>
            <w:r>
              <w:rPr>
                <w:rFonts w:hint="eastAsia"/>
                <w:sz w:val="24"/>
                <w:szCs w:val="24"/>
                <w:lang w:val="en-US" w:eastAsia="zh-CN"/>
              </w:rPr>
              <w:t>径流系数，取</w:t>
            </w:r>
            <w:r>
              <w:rPr>
                <w:rFonts w:hint="default"/>
                <w:sz w:val="24"/>
                <w:szCs w:val="24"/>
                <w:lang w:val="en-US" w:eastAsia="zh-CN"/>
              </w:rPr>
              <w:t>0.4</w:t>
            </w:r>
            <w:r>
              <w:rPr>
                <w:rFonts w:hint="eastAsia"/>
                <w:sz w:val="24"/>
                <w:szCs w:val="24"/>
                <w:lang w:val="en-US" w:eastAsia="zh-CN"/>
              </w:rPr>
              <w:t>；</w:t>
            </w:r>
          </w:p>
          <w:p>
            <w:pPr>
              <w:keepNext w:val="0"/>
              <w:keepLines w:val="0"/>
              <w:widowControl/>
              <w:suppressLineNumbers w:val="0"/>
              <w:spacing w:line="360" w:lineRule="auto"/>
              <w:ind w:firstLine="1200" w:firstLineChars="500"/>
              <w:jc w:val="left"/>
              <w:rPr>
                <w:sz w:val="24"/>
                <w:szCs w:val="24"/>
              </w:rPr>
            </w:pPr>
            <w:r>
              <w:rPr>
                <w:rFonts w:hint="default"/>
                <w:sz w:val="24"/>
                <w:szCs w:val="24"/>
                <w:lang w:val="en-US" w:eastAsia="zh-CN"/>
              </w:rPr>
              <w:t>q--</w:t>
            </w:r>
            <w:r>
              <w:rPr>
                <w:rFonts w:hint="eastAsia"/>
                <w:sz w:val="24"/>
                <w:szCs w:val="24"/>
                <w:lang w:val="en-US" w:eastAsia="zh-CN"/>
              </w:rPr>
              <w:t>暴雨强度（</w:t>
            </w:r>
            <w:r>
              <w:rPr>
                <w:rFonts w:hint="default"/>
                <w:sz w:val="24"/>
                <w:szCs w:val="24"/>
                <w:lang w:val="en-US" w:eastAsia="zh-CN"/>
              </w:rPr>
              <w:t>L/S·hm</w:t>
            </w:r>
            <w:r>
              <w:rPr>
                <w:rFonts w:hint="eastAsia"/>
                <w:sz w:val="24"/>
                <w:szCs w:val="24"/>
                <w:lang w:val="en-US" w:eastAsia="zh-CN"/>
              </w:rPr>
              <w:t>2），</w:t>
            </w:r>
            <w:r>
              <w:rPr>
                <w:rFonts w:hint="default"/>
                <w:sz w:val="24"/>
                <w:szCs w:val="24"/>
                <w:lang w:val="en-US" w:eastAsia="zh-CN"/>
              </w:rPr>
              <w:t>T</w:t>
            </w:r>
            <w:r>
              <w:rPr>
                <w:rFonts w:hint="eastAsia"/>
                <w:sz w:val="24"/>
                <w:szCs w:val="24"/>
                <w:lang w:val="en-US" w:eastAsia="zh-CN"/>
              </w:rPr>
              <w:t>为重现期（</w:t>
            </w:r>
            <w:r>
              <w:rPr>
                <w:rFonts w:hint="default"/>
                <w:sz w:val="24"/>
                <w:szCs w:val="24"/>
                <w:lang w:val="en-US" w:eastAsia="zh-CN"/>
              </w:rPr>
              <w:t>2</w:t>
            </w:r>
            <w:r>
              <w:rPr>
                <w:rFonts w:hint="eastAsia"/>
                <w:sz w:val="24"/>
                <w:szCs w:val="24"/>
                <w:lang w:val="en-US" w:eastAsia="zh-CN"/>
              </w:rPr>
              <w:t>年）；</w:t>
            </w:r>
          </w:p>
          <w:p>
            <w:pPr>
              <w:keepNext w:val="0"/>
              <w:keepLines w:val="0"/>
              <w:widowControl/>
              <w:suppressLineNumbers w:val="0"/>
              <w:spacing w:line="360" w:lineRule="auto"/>
              <w:ind w:firstLine="1200" w:firstLineChars="500"/>
              <w:jc w:val="left"/>
              <w:rPr>
                <w:sz w:val="24"/>
                <w:szCs w:val="24"/>
              </w:rPr>
            </w:pPr>
            <w:r>
              <w:rPr>
                <w:rFonts w:hint="default"/>
                <w:sz w:val="24"/>
                <w:szCs w:val="24"/>
                <w:lang w:val="en-US" w:eastAsia="zh-CN"/>
              </w:rPr>
              <w:t>F--</w:t>
            </w:r>
            <w:r>
              <w:rPr>
                <w:rFonts w:hint="eastAsia"/>
                <w:sz w:val="24"/>
                <w:szCs w:val="24"/>
                <w:lang w:val="en-US" w:eastAsia="zh-CN"/>
              </w:rPr>
              <w:t>汇水面积，（</w:t>
            </w:r>
            <w:r>
              <w:rPr>
                <w:rFonts w:hint="default"/>
                <w:sz w:val="24"/>
                <w:szCs w:val="24"/>
                <w:lang w:val="en-US" w:eastAsia="zh-CN"/>
              </w:rPr>
              <w:t>hm</w:t>
            </w:r>
            <w:r>
              <w:rPr>
                <w:rFonts w:hint="eastAsia"/>
                <w:sz w:val="24"/>
                <w:szCs w:val="24"/>
                <w:lang w:val="en-US" w:eastAsia="zh-CN"/>
              </w:rPr>
              <w:t>2）；</w:t>
            </w:r>
            <w:r>
              <w:rPr>
                <w:rFonts w:hint="default"/>
                <w:sz w:val="24"/>
                <w:szCs w:val="24"/>
                <w:lang w:val="en-US" w:eastAsia="zh-CN"/>
              </w:rPr>
              <w:t>6.</w:t>
            </w:r>
            <w:r>
              <w:rPr>
                <w:rFonts w:hint="eastAsia"/>
                <w:sz w:val="24"/>
                <w:szCs w:val="24"/>
                <w:lang w:val="en-US" w:eastAsia="zh-CN"/>
              </w:rPr>
              <w:t>72</w:t>
            </w:r>
            <w:r>
              <w:rPr>
                <w:rFonts w:hint="default"/>
                <w:sz w:val="24"/>
                <w:szCs w:val="24"/>
                <w:lang w:val="en-US" w:eastAsia="zh-CN"/>
              </w:rPr>
              <w:t>hm</w:t>
            </w:r>
            <w:r>
              <w:rPr>
                <w:rFonts w:hint="eastAsia"/>
                <w:sz w:val="24"/>
                <w:szCs w:val="24"/>
                <w:vertAlign w:val="superscript"/>
                <w:lang w:val="en-US" w:eastAsia="zh-CN"/>
              </w:rPr>
              <w:t>2</w:t>
            </w:r>
            <w:r>
              <w:rPr>
                <w:rFonts w:hint="eastAsia"/>
                <w:sz w:val="24"/>
                <w:szCs w:val="24"/>
                <w:lang w:val="en-US" w:eastAsia="zh-CN"/>
              </w:rPr>
              <w:t>；</w:t>
            </w:r>
          </w:p>
          <w:p>
            <w:pPr>
              <w:keepNext w:val="0"/>
              <w:keepLines w:val="0"/>
              <w:widowControl/>
              <w:suppressLineNumbers w:val="0"/>
              <w:spacing w:line="360" w:lineRule="auto"/>
              <w:ind w:firstLine="1440" w:firstLineChars="600"/>
              <w:jc w:val="left"/>
              <w:rPr>
                <w:sz w:val="24"/>
                <w:szCs w:val="24"/>
              </w:rPr>
            </w:pPr>
            <w:r>
              <w:rPr>
                <w:rFonts w:hint="default"/>
                <w:sz w:val="24"/>
                <w:szCs w:val="24"/>
                <w:lang w:val="en-US" w:eastAsia="zh-CN"/>
              </w:rPr>
              <w:t>t--</w:t>
            </w:r>
            <w:r>
              <w:rPr>
                <w:rFonts w:hint="eastAsia"/>
                <w:sz w:val="24"/>
                <w:szCs w:val="24"/>
                <w:lang w:val="en-US" w:eastAsia="zh-CN"/>
              </w:rPr>
              <w:t>降雨历时，取</w:t>
            </w:r>
            <w:r>
              <w:rPr>
                <w:rFonts w:hint="default"/>
                <w:sz w:val="24"/>
                <w:szCs w:val="24"/>
                <w:lang w:val="en-US" w:eastAsia="zh-CN"/>
              </w:rPr>
              <w:t>0.25h</w:t>
            </w:r>
            <w:r>
              <w:rPr>
                <w:rFonts w:hint="eastAsia"/>
                <w:sz w:val="24"/>
                <w:szCs w:val="24"/>
                <w:lang w:val="en-US" w:eastAsia="zh-CN"/>
              </w:rPr>
              <w:t>。</w:t>
            </w:r>
          </w:p>
          <w:p>
            <w:pPr>
              <w:keepNext w:val="0"/>
              <w:keepLines w:val="0"/>
              <w:widowControl/>
              <w:suppressLineNumbers w:val="0"/>
              <w:spacing w:line="360" w:lineRule="auto"/>
              <w:ind w:firstLine="480" w:firstLineChars="200"/>
              <w:jc w:val="left"/>
              <w:rPr>
                <w:rFonts w:hint="eastAsia"/>
                <w:sz w:val="24"/>
                <w:szCs w:val="24"/>
                <w:lang w:val="en-US" w:eastAsia="zh-CN"/>
              </w:rPr>
            </w:pPr>
            <m:oMath>
              <m:r>
                <m:rPr>
                  <m:sty m:val="p"/>
                </m:rPr>
                <w:rPr>
                  <w:rFonts w:hint="default" w:ascii="Cambria Math" w:hAnsi="Cambria Math" w:cs="宋体"/>
                  <w:color w:val="000000"/>
                  <w:kern w:val="0"/>
                  <w:sz w:val="24"/>
                  <w:szCs w:val="24"/>
                  <w:lang w:val="en-US" w:eastAsia="zh-CN" w:bidi="ar-SA"/>
                </w:rPr>
                <m:t>q=</m:t>
              </m:r>
              <m:f>
                <m:fPr>
                  <m:ctrlPr>
                    <w:rPr>
                      <w:rFonts w:hint="default" w:ascii="Cambria Math" w:hAnsi="Cambria Math" w:cs="宋体"/>
                      <w:color w:val="000000"/>
                      <w:kern w:val="0"/>
                      <w:sz w:val="24"/>
                      <w:szCs w:val="24"/>
                      <w:lang w:val="en-US" w:eastAsia="zh-CN" w:bidi="ar-SA"/>
                    </w:rPr>
                  </m:ctrlPr>
                </m:fPr>
                <m:num>
                  <m:r>
                    <m:rPr>
                      <m:sty m:val="p"/>
                    </m:rPr>
                    <w:rPr>
                      <w:rFonts w:hint="default" w:ascii="Cambria Math" w:hAnsi="Cambria Math" w:cs="宋体"/>
                      <w:color w:val="000000"/>
                      <w:kern w:val="0"/>
                      <w:sz w:val="24"/>
                      <w:szCs w:val="24"/>
                      <w:lang w:val="en-US" w:eastAsia="zh-CN" w:bidi="ar-SA"/>
                    </w:rPr>
                    <m:t>1736.8(1+1.08lgT)</m:t>
                  </m:r>
                  <m:ctrlPr>
                    <w:rPr>
                      <w:rFonts w:hint="default" w:ascii="Cambria Math" w:hAnsi="Cambria Math" w:cs="宋体"/>
                      <w:color w:val="000000"/>
                      <w:kern w:val="0"/>
                      <w:sz w:val="24"/>
                      <w:szCs w:val="24"/>
                      <w:lang w:val="en-US" w:eastAsia="zh-CN" w:bidi="ar-SA"/>
                    </w:rPr>
                  </m:ctrlPr>
                </m:num>
                <m:den>
                  <m:sSup>
                    <m:sSupPr>
                      <m:ctrlPr>
                        <w:rPr>
                          <w:rFonts w:hint="default" w:ascii="Cambria Math" w:hAnsi="Cambria Math" w:cs="宋体"/>
                          <w:color w:val="000000"/>
                          <w:kern w:val="0"/>
                          <w:sz w:val="24"/>
                          <w:szCs w:val="24"/>
                          <w:lang w:val="en-US" w:eastAsia="zh-CN" w:bidi="ar-SA"/>
                        </w:rPr>
                      </m:ctrlPr>
                    </m:sSupPr>
                    <m:e>
                      <m:r>
                        <m:rPr>
                          <m:sty m:val="p"/>
                        </m:rPr>
                        <w:rPr>
                          <w:rFonts w:hint="default" w:ascii="Cambria Math" w:hAnsi="Cambria Math" w:cs="宋体"/>
                          <w:color w:val="000000"/>
                          <w:kern w:val="0"/>
                          <w:sz w:val="24"/>
                          <w:szCs w:val="24"/>
                          <w:lang w:val="en-US" w:eastAsia="zh-CN" w:bidi="ar-SA"/>
                        </w:rPr>
                        <m:t>(t+10)</m:t>
                      </m:r>
                      <m:ctrlPr>
                        <w:rPr>
                          <w:rFonts w:hint="default" w:ascii="Cambria Math" w:hAnsi="Cambria Math" w:cs="宋体"/>
                          <w:color w:val="000000"/>
                          <w:kern w:val="0"/>
                          <w:sz w:val="24"/>
                          <w:szCs w:val="24"/>
                          <w:lang w:val="en-US" w:eastAsia="zh-CN" w:bidi="ar-SA"/>
                        </w:rPr>
                      </m:ctrlPr>
                    </m:e>
                    <m:sup>
                      <m:r>
                        <m:rPr>
                          <m:sty m:val="p"/>
                        </m:rPr>
                        <w:rPr>
                          <w:rFonts w:hint="default" w:ascii="Cambria Math" w:hAnsi="Cambria Math" w:cs="宋体"/>
                          <w:color w:val="000000"/>
                          <w:kern w:val="0"/>
                          <w:sz w:val="24"/>
                          <w:szCs w:val="24"/>
                          <w:lang w:val="en-US" w:eastAsia="zh-CN" w:bidi="ar-SA"/>
                        </w:rPr>
                        <m:t>0.81</m:t>
                      </m:r>
                      <m:ctrlPr>
                        <w:rPr>
                          <w:rFonts w:hint="default" w:ascii="Cambria Math" w:hAnsi="Cambria Math" w:cs="宋体"/>
                          <w:color w:val="000000"/>
                          <w:kern w:val="0"/>
                          <w:sz w:val="24"/>
                          <w:szCs w:val="24"/>
                          <w:lang w:val="en-US" w:eastAsia="zh-CN" w:bidi="ar-SA"/>
                        </w:rPr>
                      </m:ctrlPr>
                    </m:sup>
                  </m:sSup>
                  <m:ctrlPr>
                    <w:rPr>
                      <w:rFonts w:hint="default" w:ascii="Cambria Math" w:hAnsi="Cambria Math" w:cs="宋体"/>
                      <w:color w:val="000000"/>
                      <w:kern w:val="0"/>
                      <w:sz w:val="24"/>
                      <w:szCs w:val="24"/>
                      <w:lang w:val="en-US" w:eastAsia="zh-CN" w:bidi="ar-SA"/>
                    </w:rPr>
                  </m:ctrlPr>
                </m:den>
              </m:f>
            </m:oMath>
            <w:r>
              <w:rPr>
                <w:rFonts w:hint="eastAsia"/>
                <w:sz w:val="24"/>
                <w:szCs w:val="24"/>
                <w:lang w:val="en-US" w:eastAsia="zh-CN"/>
              </w:rPr>
              <w:t>暴雨强度</w:t>
            </w:r>
            <w:r>
              <w:rPr>
                <w:rFonts w:hint="default"/>
                <w:sz w:val="24"/>
                <w:szCs w:val="24"/>
                <w:lang w:val="en-US" w:eastAsia="zh-CN"/>
              </w:rPr>
              <w:t>q</w:t>
            </w:r>
            <w:r>
              <w:rPr>
                <w:rFonts w:hint="eastAsia"/>
                <w:sz w:val="24"/>
                <w:szCs w:val="24"/>
                <w:lang w:val="en-US" w:eastAsia="zh-CN"/>
              </w:rPr>
              <w:t>采用暴雨强度公式：</w:t>
            </w:r>
          </w:p>
          <w:p>
            <w:pPr>
              <w:pStyle w:val="2"/>
              <w:rPr>
                <w:rFonts w:hint="default"/>
                <w:lang w:val="en-US"/>
              </w:rPr>
            </w:pPr>
          </w:p>
          <w:p>
            <w:pPr>
              <w:keepNext w:val="0"/>
              <w:keepLines w:val="0"/>
              <w:widowControl/>
              <w:suppressLineNumbers w:val="0"/>
              <w:spacing w:line="360" w:lineRule="auto"/>
              <w:ind w:firstLine="480" w:firstLineChars="200"/>
              <w:jc w:val="left"/>
              <w:rPr>
                <w:rFonts w:hint="default"/>
                <w:sz w:val="24"/>
                <w:szCs w:val="24"/>
                <w:lang w:val="en-US" w:eastAsia="zh-CN"/>
              </w:rPr>
            </w:pPr>
            <w:r>
              <w:rPr>
                <w:rFonts w:hint="eastAsia"/>
                <w:sz w:val="24"/>
                <w:szCs w:val="24"/>
                <w:lang w:val="en-US" w:eastAsia="zh-CN"/>
              </w:rPr>
              <w:t>经计算所得，本项目前</w:t>
            </w:r>
            <w:r>
              <w:rPr>
                <w:rFonts w:hint="default"/>
                <w:sz w:val="24"/>
                <w:szCs w:val="24"/>
                <w:lang w:val="en-US" w:eastAsia="zh-CN"/>
              </w:rPr>
              <w:t>15min</w:t>
            </w:r>
            <w:r>
              <w:rPr>
                <w:rFonts w:hint="eastAsia"/>
                <w:sz w:val="24"/>
                <w:szCs w:val="24"/>
                <w:lang w:val="en-US" w:eastAsia="zh-CN"/>
              </w:rPr>
              <w:t>初期雨水量为</w:t>
            </w:r>
            <w:r>
              <w:rPr>
                <w:rFonts w:hint="default"/>
                <w:sz w:val="24"/>
                <w:szCs w:val="24"/>
                <w:lang w:val="en-US" w:eastAsia="zh-CN"/>
              </w:rPr>
              <w:t>8</w:t>
            </w:r>
            <w:r>
              <w:rPr>
                <w:rFonts w:hint="eastAsia"/>
                <w:sz w:val="24"/>
                <w:szCs w:val="24"/>
                <w:lang w:val="en-US" w:eastAsia="zh-CN"/>
              </w:rPr>
              <w:t>5.8</w:t>
            </w:r>
            <w:r>
              <w:rPr>
                <w:rFonts w:hint="default"/>
                <w:sz w:val="24"/>
                <w:szCs w:val="24"/>
                <w:lang w:val="en-US" w:eastAsia="zh-CN"/>
              </w:rPr>
              <w:t>m</w:t>
            </w:r>
            <w:r>
              <w:rPr>
                <w:rFonts w:hint="eastAsia"/>
                <w:sz w:val="24"/>
                <w:szCs w:val="24"/>
                <w:vertAlign w:val="superscript"/>
                <w:lang w:val="en-US" w:eastAsia="zh-CN"/>
              </w:rPr>
              <w:t>3</w:t>
            </w:r>
            <w:r>
              <w:rPr>
                <w:rFonts w:hint="eastAsia"/>
                <w:sz w:val="24"/>
                <w:szCs w:val="24"/>
                <w:lang w:val="en-US" w:eastAsia="zh-CN"/>
              </w:rPr>
              <w:t>，本项目初期雨水流入厂内初期雨水沉淀池（</w:t>
            </w:r>
            <w:r>
              <w:rPr>
                <w:rFonts w:hint="default"/>
                <w:sz w:val="24"/>
                <w:szCs w:val="24"/>
                <w:lang w:val="en-US" w:eastAsia="zh-CN"/>
              </w:rPr>
              <w:t>100m</w:t>
            </w:r>
            <w:r>
              <w:rPr>
                <w:rFonts w:hint="eastAsia"/>
                <w:sz w:val="24"/>
                <w:szCs w:val="24"/>
                <w:vertAlign w:val="superscript"/>
                <w:lang w:val="en-US" w:eastAsia="zh-CN"/>
              </w:rPr>
              <w:t>3</w:t>
            </w:r>
            <w:r>
              <w:rPr>
                <w:rFonts w:hint="eastAsia"/>
                <w:sz w:val="24"/>
                <w:szCs w:val="24"/>
                <w:lang w:val="en-US" w:eastAsia="zh-CN"/>
              </w:rPr>
              <w:t>）内处理，能够满足处理需求。</w:t>
            </w:r>
          </w:p>
          <w:p>
            <w:pPr>
              <w:spacing w:line="360" w:lineRule="auto"/>
              <w:ind w:firstLine="482" w:firstLineChars="200"/>
              <w:rPr>
                <w:rFonts w:hint="eastAsia"/>
                <w:b/>
                <w:bCs/>
                <w:sz w:val="24"/>
                <w:szCs w:val="24"/>
              </w:rPr>
            </w:pPr>
            <w:r>
              <w:rPr>
                <w:rFonts w:hint="eastAsia"/>
                <w:b/>
                <w:bCs/>
                <w:sz w:val="24"/>
                <w:szCs w:val="24"/>
              </w:rPr>
              <w:t>（4）项目废水产排情况汇总</w:t>
            </w:r>
          </w:p>
          <w:p>
            <w:pPr>
              <w:spacing w:line="360" w:lineRule="auto"/>
              <w:ind w:firstLine="480" w:firstLineChars="200"/>
              <w:rPr>
                <w:rFonts w:hint="eastAsia"/>
                <w:sz w:val="24"/>
                <w:szCs w:val="24"/>
              </w:rPr>
            </w:pPr>
            <w:r>
              <w:rPr>
                <w:rFonts w:hint="eastAsia"/>
                <w:sz w:val="24"/>
                <w:szCs w:val="24"/>
              </w:rPr>
              <w:t>本项目废水产生及排放情况见下表：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b/>
                <w:bCs/>
              </w:rPr>
            </w:pPr>
            <w:r>
              <w:rPr>
                <w:rFonts w:hint="eastAsia"/>
                <w:b/>
                <w:bCs/>
              </w:rPr>
              <w:t>表 4-</w:t>
            </w:r>
            <w:r>
              <w:rPr>
                <w:rFonts w:hint="eastAsia"/>
                <w:b/>
                <w:bCs/>
                <w:lang w:val="en-US" w:eastAsia="zh-CN"/>
              </w:rPr>
              <w:t>4</w:t>
            </w:r>
            <w:r>
              <w:rPr>
                <w:rFonts w:hint="eastAsia"/>
                <w:b/>
                <w:bCs/>
              </w:rPr>
              <w:t xml:space="preserve"> 项目废水产生及处理情况</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028"/>
              <w:gridCol w:w="1080"/>
              <w:gridCol w:w="696"/>
              <w:gridCol w:w="2189"/>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gridSpan w:val="2"/>
                  <w:noWrap w:val="0"/>
                  <w:vAlign w:val="center"/>
                </w:tcPr>
                <w:p>
                  <w:pPr>
                    <w:jc w:val="center"/>
                    <w:rPr>
                      <w:rFonts w:hint="default"/>
                    </w:rPr>
                  </w:pPr>
                  <w:r>
                    <w:rPr>
                      <w:rFonts w:hint="default"/>
                    </w:rPr>
                    <w:t>废水名称</w:t>
                  </w:r>
                </w:p>
              </w:tc>
              <w:tc>
                <w:tcPr>
                  <w:tcW w:w="1080" w:type="dxa"/>
                  <w:noWrap w:val="0"/>
                  <w:vAlign w:val="center"/>
                </w:tcPr>
                <w:p>
                  <w:pPr>
                    <w:jc w:val="center"/>
                    <w:rPr>
                      <w:rFonts w:hint="default"/>
                    </w:rPr>
                  </w:pPr>
                  <w:r>
                    <w:rPr>
                      <w:rFonts w:hint="default"/>
                    </w:rPr>
                    <w:t>产生量m</w:t>
                  </w:r>
                  <w:r>
                    <w:rPr>
                      <w:rFonts w:hint="default"/>
                      <w:vertAlign w:val="superscript"/>
                    </w:rPr>
                    <w:t>3</w:t>
                  </w:r>
                  <w:r>
                    <w:rPr>
                      <w:rFonts w:hint="default"/>
                    </w:rPr>
                    <w:t>/d</w:t>
                  </w:r>
                </w:p>
              </w:tc>
              <w:tc>
                <w:tcPr>
                  <w:tcW w:w="0" w:type="auto"/>
                  <w:noWrap w:val="0"/>
                  <w:vAlign w:val="center"/>
                </w:tcPr>
                <w:p>
                  <w:pPr>
                    <w:jc w:val="center"/>
                    <w:rPr>
                      <w:rFonts w:hint="default"/>
                    </w:rPr>
                  </w:pPr>
                  <w:r>
                    <w:rPr>
                      <w:rFonts w:hint="default"/>
                    </w:rPr>
                    <w:t>产生规律</w:t>
                  </w:r>
                </w:p>
              </w:tc>
              <w:tc>
                <w:tcPr>
                  <w:tcW w:w="2189" w:type="dxa"/>
                  <w:noWrap w:val="0"/>
                  <w:vAlign w:val="center"/>
                </w:tcPr>
                <w:p>
                  <w:pPr>
                    <w:jc w:val="center"/>
                    <w:rPr>
                      <w:rFonts w:hint="default"/>
                    </w:rPr>
                  </w:pPr>
                  <w:r>
                    <w:rPr>
                      <w:rFonts w:hint="default"/>
                    </w:rPr>
                    <w:t>主要污染物参数</w:t>
                  </w:r>
                </w:p>
              </w:tc>
              <w:tc>
                <w:tcPr>
                  <w:tcW w:w="2578" w:type="dxa"/>
                  <w:noWrap w:val="0"/>
                  <w:vAlign w:val="center"/>
                </w:tcPr>
                <w:p>
                  <w:pPr>
                    <w:jc w:val="center"/>
                    <w:rPr>
                      <w:rFonts w:hint="default"/>
                    </w:rPr>
                  </w:pPr>
                  <w:r>
                    <w:rPr>
                      <w:rFonts w:hint="default"/>
                    </w:rPr>
                    <w:t>进入厂区</w:t>
                  </w:r>
                  <w:r>
                    <w:rPr>
                      <w:rFonts w:hint="eastAsia"/>
                      <w:lang w:val="en-US" w:eastAsia="zh-CN"/>
                    </w:rPr>
                    <w:t>沉淀</w:t>
                  </w:r>
                  <w:r>
                    <w:rPr>
                      <w:rFonts w:hint="default"/>
                    </w:rPr>
                    <w:t>池/厌氧预处理池废水量（日最大量）m</w:t>
                  </w:r>
                  <w:r>
                    <w:rPr>
                      <w:rFonts w:hint="default"/>
                      <w:vertAlign w:val="superscript"/>
                    </w:rPr>
                    <w:t>3</w:t>
                  </w:r>
                  <w:r>
                    <w:rPr>
                      <w:rFonts w:hint="default"/>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noWrap w:val="0"/>
                  <w:vAlign w:val="center"/>
                </w:tcPr>
                <w:p>
                  <w:pPr>
                    <w:jc w:val="center"/>
                    <w:rPr>
                      <w:rFonts w:hint="default"/>
                    </w:rPr>
                  </w:pPr>
                  <w:r>
                    <w:rPr>
                      <w:rFonts w:hint="default"/>
                    </w:rPr>
                    <w:t>生产</w:t>
                  </w:r>
                </w:p>
                <w:p>
                  <w:pPr>
                    <w:jc w:val="center"/>
                    <w:rPr>
                      <w:rFonts w:hint="default"/>
                    </w:rPr>
                  </w:pPr>
                  <w:r>
                    <w:rPr>
                      <w:rFonts w:hint="default"/>
                    </w:rPr>
                    <w:t>废水</w:t>
                  </w:r>
                </w:p>
              </w:tc>
              <w:tc>
                <w:tcPr>
                  <w:tcW w:w="1028" w:type="dxa"/>
                  <w:noWrap w:val="0"/>
                  <w:vAlign w:val="center"/>
                </w:tcPr>
                <w:p>
                  <w:pPr>
                    <w:jc w:val="center"/>
                    <w:rPr>
                      <w:rFonts w:hint="default"/>
                      <w:lang w:val="en-US" w:eastAsia="zh-CN"/>
                    </w:rPr>
                  </w:pPr>
                  <w:r>
                    <w:rPr>
                      <w:rFonts w:hint="eastAsia"/>
                      <w:lang w:val="en-US" w:eastAsia="zh-CN"/>
                    </w:rPr>
                    <w:t>砂石生产线废水</w:t>
                  </w:r>
                </w:p>
              </w:tc>
              <w:tc>
                <w:tcPr>
                  <w:tcW w:w="1080" w:type="dxa"/>
                  <w:noWrap w:val="0"/>
                  <w:vAlign w:val="center"/>
                </w:tcPr>
                <w:p>
                  <w:pPr>
                    <w:jc w:val="center"/>
                    <w:rPr>
                      <w:rFonts w:hint="default"/>
                      <w:lang w:val="en-US" w:eastAsia="zh-CN"/>
                    </w:rPr>
                  </w:pPr>
                  <w:r>
                    <w:rPr>
                      <w:rFonts w:hint="eastAsia"/>
                      <w:lang w:val="en-US" w:eastAsia="zh-CN"/>
                    </w:rPr>
                    <w:t>1102.8</w:t>
                  </w:r>
                </w:p>
              </w:tc>
              <w:tc>
                <w:tcPr>
                  <w:tcW w:w="0" w:type="auto"/>
                  <w:noWrap w:val="0"/>
                  <w:vAlign w:val="center"/>
                </w:tcPr>
                <w:p>
                  <w:pPr>
                    <w:jc w:val="center"/>
                    <w:rPr>
                      <w:rFonts w:hint="default"/>
                      <w:lang w:val="en-US" w:eastAsia="zh-CN"/>
                    </w:rPr>
                  </w:pPr>
                  <w:r>
                    <w:rPr>
                      <w:rFonts w:hint="default"/>
                      <w:lang w:val="en-US" w:eastAsia="zh-CN"/>
                    </w:rPr>
                    <w:t>间歇</w:t>
                  </w:r>
                </w:p>
              </w:tc>
              <w:tc>
                <w:tcPr>
                  <w:tcW w:w="2189" w:type="dxa"/>
                  <w:noWrap w:val="0"/>
                  <w:vAlign w:val="center"/>
                </w:tcPr>
                <w:p>
                  <w:pPr>
                    <w:jc w:val="center"/>
                    <w:rPr>
                      <w:rFonts w:hint="default"/>
                      <w:lang w:val="en-US" w:eastAsia="zh-CN"/>
                    </w:rPr>
                  </w:pPr>
                  <w:r>
                    <w:rPr>
                      <w:rFonts w:hint="default"/>
                      <w:lang w:val="en-US" w:eastAsia="zh-CN"/>
                    </w:rPr>
                    <w:t>SS：约3000mg/L</w:t>
                  </w:r>
                </w:p>
              </w:tc>
              <w:tc>
                <w:tcPr>
                  <w:tcW w:w="2578" w:type="dxa"/>
                  <w:noWrap w:val="0"/>
                  <w:vAlign w:val="center"/>
                </w:tcPr>
                <w:p>
                  <w:pPr>
                    <w:jc w:val="center"/>
                    <w:rPr>
                      <w:rFonts w:hint="default"/>
                      <w:lang w:val="en-US" w:eastAsia="zh-CN"/>
                    </w:rPr>
                  </w:pPr>
                  <w:r>
                    <w:rPr>
                      <w:rFonts w:hint="eastAsia"/>
                      <w:lang w:val="en-US" w:eastAsia="zh-CN"/>
                    </w:rPr>
                    <w:t>1102.8</w:t>
                  </w:r>
                  <w:r>
                    <w:rPr>
                      <w:rFonts w:hint="default"/>
                      <w:lang w:val="en-US" w:eastAsia="zh-CN"/>
                    </w:rPr>
                    <w:t>回用于生产不外排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noWrap w:val="0"/>
                  <w:vAlign w:val="center"/>
                </w:tcPr>
                <w:p>
                  <w:pPr>
                    <w:jc w:val="center"/>
                    <w:rPr>
                      <w:rFonts w:hint="default"/>
                    </w:rPr>
                  </w:pPr>
                </w:p>
              </w:tc>
              <w:tc>
                <w:tcPr>
                  <w:tcW w:w="1028" w:type="dxa"/>
                  <w:noWrap w:val="0"/>
                  <w:vAlign w:val="center"/>
                </w:tcPr>
                <w:p>
                  <w:pPr>
                    <w:jc w:val="center"/>
                    <w:rPr>
                      <w:rFonts w:hint="default"/>
                      <w:lang w:val="en-US" w:eastAsia="zh-CN"/>
                    </w:rPr>
                  </w:pPr>
                  <w:r>
                    <w:rPr>
                      <w:rFonts w:hint="default"/>
                      <w:lang w:val="en-US" w:eastAsia="zh-CN"/>
                    </w:rPr>
                    <w:t>混凝土生产线废水</w:t>
                  </w:r>
                </w:p>
              </w:tc>
              <w:tc>
                <w:tcPr>
                  <w:tcW w:w="1080" w:type="dxa"/>
                  <w:noWrap w:val="0"/>
                  <w:vAlign w:val="center"/>
                </w:tcPr>
                <w:p>
                  <w:pPr>
                    <w:jc w:val="center"/>
                    <w:rPr>
                      <w:rFonts w:hint="default"/>
                      <w:lang w:val="en-US" w:eastAsia="zh-CN"/>
                    </w:rPr>
                  </w:pPr>
                  <w:r>
                    <w:rPr>
                      <w:rFonts w:hint="eastAsia"/>
                      <w:lang w:val="en-US" w:eastAsia="zh-CN"/>
                    </w:rPr>
                    <w:t>48.67</w:t>
                  </w:r>
                </w:p>
              </w:tc>
              <w:tc>
                <w:tcPr>
                  <w:tcW w:w="681" w:type="dxa"/>
                  <w:noWrap w:val="0"/>
                  <w:vAlign w:val="center"/>
                </w:tcPr>
                <w:p>
                  <w:pPr>
                    <w:jc w:val="center"/>
                    <w:rPr>
                      <w:rFonts w:hint="default"/>
                      <w:lang w:val="en-US" w:eastAsia="zh-CN"/>
                    </w:rPr>
                  </w:pPr>
                  <w:r>
                    <w:rPr>
                      <w:rFonts w:hint="default"/>
                      <w:lang w:val="en-US" w:eastAsia="zh-CN"/>
                    </w:rPr>
                    <w:t>间歇</w:t>
                  </w:r>
                </w:p>
              </w:tc>
              <w:tc>
                <w:tcPr>
                  <w:tcW w:w="2189" w:type="dxa"/>
                  <w:noWrap w:val="0"/>
                  <w:vAlign w:val="center"/>
                </w:tcPr>
                <w:p>
                  <w:pPr>
                    <w:jc w:val="center"/>
                    <w:rPr>
                      <w:rFonts w:hint="default"/>
                      <w:lang w:val="en-US" w:eastAsia="zh-CN"/>
                    </w:rPr>
                  </w:pPr>
                  <w:r>
                    <w:rPr>
                      <w:rFonts w:hint="default"/>
                      <w:lang w:val="en-US" w:eastAsia="zh-CN"/>
                    </w:rPr>
                    <w:t>SS：约3000mg/L</w:t>
                  </w:r>
                </w:p>
              </w:tc>
              <w:tc>
                <w:tcPr>
                  <w:tcW w:w="2578" w:type="dxa"/>
                  <w:noWrap w:val="0"/>
                  <w:vAlign w:val="center"/>
                </w:tcPr>
                <w:p>
                  <w:pPr>
                    <w:jc w:val="center"/>
                    <w:rPr>
                      <w:rFonts w:hint="default"/>
                      <w:lang w:val="en-US" w:eastAsia="zh-CN"/>
                    </w:rPr>
                  </w:pPr>
                  <w:r>
                    <w:rPr>
                      <w:rFonts w:hint="eastAsia"/>
                      <w:lang w:val="en-US" w:eastAsia="zh-CN"/>
                    </w:rPr>
                    <w:t>48.67</w:t>
                  </w:r>
                  <w:r>
                    <w:rPr>
                      <w:rFonts w:hint="default"/>
                      <w:lang w:val="en-US" w:eastAsia="zh-CN"/>
                    </w:rPr>
                    <w:t>回用于生产不外排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gridSpan w:val="2"/>
                  <w:noWrap w:val="0"/>
                  <w:vAlign w:val="center"/>
                </w:tcPr>
                <w:p>
                  <w:pPr>
                    <w:jc w:val="center"/>
                    <w:rPr>
                      <w:rFonts w:hint="default"/>
                    </w:rPr>
                  </w:pPr>
                  <w:r>
                    <w:rPr>
                      <w:rFonts w:hint="default"/>
                    </w:rPr>
                    <w:t>初期雨水</w:t>
                  </w:r>
                </w:p>
              </w:tc>
              <w:tc>
                <w:tcPr>
                  <w:tcW w:w="1080" w:type="dxa"/>
                  <w:noWrap w:val="0"/>
                  <w:vAlign w:val="center"/>
                </w:tcPr>
                <w:p>
                  <w:pPr>
                    <w:jc w:val="center"/>
                    <w:rPr>
                      <w:rFonts w:hint="default"/>
                    </w:rPr>
                  </w:pPr>
                  <w:r>
                    <w:rPr>
                      <w:rFonts w:hint="eastAsia"/>
                      <w:lang w:val="en-US" w:eastAsia="zh-CN"/>
                    </w:rPr>
                    <w:t>85.8</w:t>
                  </w:r>
                  <w:r>
                    <w:rPr>
                      <w:rFonts w:hint="default"/>
                    </w:rPr>
                    <w:t>*</w:t>
                  </w:r>
                </w:p>
              </w:tc>
              <w:tc>
                <w:tcPr>
                  <w:tcW w:w="0" w:type="auto"/>
                  <w:noWrap w:val="0"/>
                  <w:vAlign w:val="center"/>
                </w:tcPr>
                <w:p>
                  <w:pPr>
                    <w:jc w:val="center"/>
                    <w:rPr>
                      <w:rFonts w:hint="default"/>
                    </w:rPr>
                  </w:pPr>
                  <w:r>
                    <w:rPr>
                      <w:rFonts w:hint="default"/>
                    </w:rPr>
                    <w:t>间歇</w:t>
                  </w:r>
                </w:p>
              </w:tc>
              <w:tc>
                <w:tcPr>
                  <w:tcW w:w="2189" w:type="dxa"/>
                  <w:noWrap w:val="0"/>
                  <w:vAlign w:val="center"/>
                </w:tcPr>
                <w:p>
                  <w:pPr>
                    <w:jc w:val="center"/>
                    <w:rPr>
                      <w:rFonts w:hint="default"/>
                    </w:rPr>
                  </w:pPr>
                  <w:r>
                    <w:rPr>
                      <w:rFonts w:hint="default"/>
                    </w:rPr>
                    <w:t>SS：约2500mg/L</w:t>
                  </w:r>
                </w:p>
              </w:tc>
              <w:tc>
                <w:tcPr>
                  <w:tcW w:w="2578" w:type="dxa"/>
                  <w:noWrap w:val="0"/>
                  <w:vAlign w:val="center"/>
                </w:tcPr>
                <w:p>
                  <w:pPr>
                    <w:jc w:val="center"/>
                    <w:rPr>
                      <w:rFonts w:hint="default"/>
                    </w:rPr>
                  </w:pPr>
                  <w:r>
                    <w:rPr>
                      <w:rFonts w:hint="eastAsia"/>
                      <w:lang w:val="en-US" w:eastAsia="zh-CN"/>
                    </w:rPr>
                    <w:t>85.8</w:t>
                  </w:r>
                  <w:r>
                    <w:rPr>
                      <w:rFonts w:hint="default"/>
                    </w:rPr>
                    <w:t>*</w:t>
                  </w:r>
                </w:p>
                <w:p>
                  <w:pPr>
                    <w:jc w:val="center"/>
                    <w:rPr>
                      <w:rFonts w:hint="default"/>
                    </w:rPr>
                  </w:pPr>
                  <w:r>
                    <w:rPr>
                      <w:rFonts w:hint="default"/>
                    </w:rPr>
                    <w:t>回用于生产不外排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8" w:type="dxa"/>
                  <w:gridSpan w:val="2"/>
                  <w:noWrap w:val="0"/>
                  <w:vAlign w:val="center"/>
                </w:tcPr>
                <w:p>
                  <w:pPr>
                    <w:jc w:val="center"/>
                    <w:rPr>
                      <w:rFonts w:hint="default"/>
                    </w:rPr>
                  </w:pPr>
                  <w:r>
                    <w:rPr>
                      <w:rFonts w:hint="default"/>
                    </w:rPr>
                    <w:t>生活污水</w:t>
                  </w:r>
                </w:p>
              </w:tc>
              <w:tc>
                <w:tcPr>
                  <w:tcW w:w="1080" w:type="dxa"/>
                  <w:noWrap w:val="0"/>
                  <w:vAlign w:val="center"/>
                </w:tcPr>
                <w:p>
                  <w:pPr>
                    <w:jc w:val="center"/>
                    <w:rPr>
                      <w:rFonts w:hint="default"/>
                      <w:lang w:val="en-US" w:eastAsia="zh-CN"/>
                    </w:rPr>
                  </w:pPr>
                  <w:r>
                    <w:rPr>
                      <w:rFonts w:hint="eastAsia"/>
                      <w:lang w:val="en-US" w:eastAsia="zh-CN"/>
                    </w:rPr>
                    <w:t>5</w:t>
                  </w:r>
                </w:p>
              </w:tc>
              <w:tc>
                <w:tcPr>
                  <w:tcW w:w="0" w:type="auto"/>
                  <w:noWrap w:val="0"/>
                  <w:vAlign w:val="center"/>
                </w:tcPr>
                <w:p>
                  <w:pPr>
                    <w:jc w:val="center"/>
                    <w:rPr>
                      <w:rFonts w:hint="default"/>
                    </w:rPr>
                  </w:pPr>
                  <w:r>
                    <w:rPr>
                      <w:rFonts w:hint="default"/>
                    </w:rPr>
                    <w:t>连续</w:t>
                  </w:r>
                </w:p>
              </w:tc>
              <w:tc>
                <w:tcPr>
                  <w:tcW w:w="2189" w:type="dxa"/>
                  <w:noWrap w:val="0"/>
                  <w:vAlign w:val="center"/>
                </w:tcPr>
                <w:p>
                  <w:pPr>
                    <w:jc w:val="center"/>
                    <w:rPr>
                      <w:rFonts w:hint="default"/>
                    </w:rPr>
                  </w:pPr>
                  <w:r>
                    <w:rPr>
                      <w:rFonts w:hint="default"/>
                    </w:rPr>
                    <w:t>COD：400 mg/L，BOD 5：180 mg/L，NH 3 -N：25 mg/L</w:t>
                  </w:r>
                </w:p>
              </w:tc>
              <w:tc>
                <w:tcPr>
                  <w:tcW w:w="2578" w:type="dxa"/>
                  <w:noWrap w:val="0"/>
                  <w:vAlign w:val="center"/>
                </w:tcPr>
                <w:p>
                  <w:pPr>
                    <w:jc w:val="center"/>
                    <w:rPr>
                      <w:rFonts w:hint="default"/>
                    </w:rPr>
                  </w:pPr>
                  <w:r>
                    <w:rPr>
                      <w:rFonts w:hint="eastAsia"/>
                      <w:lang w:val="en-US" w:eastAsia="zh-CN"/>
                    </w:rPr>
                    <w:t>4.5</w:t>
                  </w:r>
                  <w:r>
                    <w:rPr>
                      <w:rFonts w:hint="default"/>
                    </w:rPr>
                    <w:t>排入园区污水管网及污水处理厂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468" w:type="dxa"/>
                  <w:gridSpan w:val="5"/>
                  <w:noWrap w:val="0"/>
                  <w:vAlign w:val="center"/>
                </w:tcPr>
                <w:p>
                  <w:pPr>
                    <w:jc w:val="center"/>
                    <w:rPr>
                      <w:rFonts w:hint="default"/>
                    </w:rPr>
                  </w:pPr>
                  <w:r>
                    <w:rPr>
                      <w:rFonts w:hint="default"/>
                    </w:rPr>
                    <w:t>合计产生废水</w:t>
                  </w:r>
                </w:p>
              </w:tc>
              <w:tc>
                <w:tcPr>
                  <w:tcW w:w="2578" w:type="dxa"/>
                  <w:noWrap w:val="0"/>
                  <w:vAlign w:val="center"/>
                </w:tcPr>
                <w:p>
                  <w:pPr>
                    <w:jc w:val="center"/>
                    <w:rPr>
                      <w:rFonts w:hint="default"/>
                      <w:lang w:val="en-US" w:eastAsia="zh-CN"/>
                    </w:rPr>
                  </w:pPr>
                  <w:r>
                    <w:rPr>
                      <w:rFonts w:hint="eastAsia"/>
                      <w:lang w:val="en-US" w:eastAsia="zh-CN"/>
                    </w:rPr>
                    <w:t>1151.47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468" w:type="dxa"/>
                  <w:gridSpan w:val="5"/>
                  <w:noWrap w:val="0"/>
                  <w:vAlign w:val="center"/>
                </w:tcPr>
                <w:p>
                  <w:pPr>
                    <w:jc w:val="center"/>
                    <w:rPr>
                      <w:rFonts w:hint="default"/>
                    </w:rPr>
                  </w:pPr>
                  <w:r>
                    <w:rPr>
                      <w:rFonts w:hint="default"/>
                    </w:rPr>
                    <w:t>合计排入水口工业集中区污水处理厂废水</w:t>
                  </w:r>
                </w:p>
              </w:tc>
              <w:tc>
                <w:tcPr>
                  <w:tcW w:w="2578" w:type="dxa"/>
                  <w:noWrap w:val="0"/>
                  <w:vAlign w:val="center"/>
                </w:tcPr>
                <w:p>
                  <w:pPr>
                    <w:jc w:val="center"/>
                    <w:rPr>
                      <w:rFonts w:hint="default"/>
                      <w:lang w:val="en-US" w:eastAsia="zh-CN"/>
                    </w:rPr>
                  </w:pPr>
                  <w:r>
                    <w:rPr>
                      <w:rFonts w:hint="eastAsia"/>
                      <w:lang w:val="en-US" w:eastAsia="zh-CN"/>
                    </w:rPr>
                    <w:t>4.5</w:t>
                  </w:r>
                </w:p>
              </w:tc>
            </w:tr>
          </w:tbl>
          <w:p>
            <w:pPr>
              <w:rPr>
                <w:rFonts w:hint="eastAsia"/>
              </w:rPr>
            </w:pPr>
            <w:r>
              <w:rPr>
                <w:rFonts w:hint="eastAsia"/>
              </w:rPr>
              <w:t>*注：初期雨水不计入废水每日汇总计算。</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b/>
                <w:bCs/>
                <w:sz w:val="24"/>
                <w:szCs w:val="24"/>
              </w:rPr>
            </w:pPr>
            <w:r>
              <w:rPr>
                <w:rFonts w:hint="eastAsia"/>
                <w:b/>
                <w:bCs/>
                <w:sz w:val="24"/>
                <w:szCs w:val="24"/>
              </w:rPr>
              <w:t xml:space="preserve">（5）达标情况分析 </w:t>
            </w:r>
          </w:p>
          <w:p>
            <w:pPr>
              <w:tabs>
                <w:tab w:val="left" w:pos="5670"/>
              </w:tabs>
              <w:spacing w:line="360" w:lineRule="auto"/>
              <w:ind w:firstLine="480" w:firstLineChars="200"/>
              <w:rPr>
                <w:rFonts w:hint="eastAsia"/>
                <w:sz w:val="24"/>
                <w:szCs w:val="24"/>
              </w:rPr>
            </w:pPr>
            <w:r>
              <w:rPr>
                <w:rFonts w:hint="eastAsia"/>
                <w:sz w:val="24"/>
                <w:szCs w:val="24"/>
              </w:rPr>
              <w:t>项目内所有生产废水及初期雨水均经过</w:t>
            </w:r>
            <w:r>
              <w:rPr>
                <w:rFonts w:hint="eastAsia"/>
                <w:sz w:val="24"/>
                <w:szCs w:val="24"/>
                <w:lang w:val="en-US" w:eastAsia="zh-CN"/>
              </w:rPr>
              <w:t>沉淀</w:t>
            </w:r>
            <w:r>
              <w:rPr>
                <w:rFonts w:hint="eastAsia"/>
                <w:sz w:val="24"/>
                <w:szCs w:val="24"/>
              </w:rPr>
              <w:t>处理后回用于生产，无生产废水外排；少了员工生活污水经过隔油池（餐厨废水）和厌氧预处理池处理后排入水口工业园区污水管网及园区污水处理厂。评价认为采取以上措施后，项目产生的生活污水和生产废水均得到妥善处置，项目污废水均不外排，不会对区域地表水体产生影响。</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乐山市工业集中区工业污水处理厂已建成正常运行，位于乐山市市中区石羊村，项目总占地</w:t>
            </w:r>
            <w:r>
              <w:rPr>
                <w:rFonts w:hint="default"/>
                <w:sz w:val="24"/>
                <w:szCs w:val="24"/>
                <w:lang w:val="en-US" w:eastAsia="zh-CN"/>
              </w:rPr>
              <w:t>28.954</w:t>
            </w:r>
            <w:r>
              <w:rPr>
                <w:rFonts w:hint="eastAsia"/>
                <w:sz w:val="24"/>
                <w:szCs w:val="24"/>
                <w:lang w:val="en-US" w:eastAsia="zh-CN"/>
              </w:rPr>
              <w:t>亩。设计总规模为</w:t>
            </w:r>
            <w:r>
              <w:rPr>
                <w:rFonts w:hint="default"/>
                <w:sz w:val="24"/>
                <w:szCs w:val="24"/>
                <w:lang w:val="en-US" w:eastAsia="zh-CN"/>
              </w:rPr>
              <w:t>10000m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，分期建设，一期处理规模为</w:t>
            </w:r>
            <w:r>
              <w:rPr>
                <w:rFonts w:hint="default"/>
                <w:sz w:val="24"/>
                <w:szCs w:val="24"/>
                <w:lang w:val="en-US" w:eastAsia="zh-CN"/>
              </w:rPr>
              <w:t>5000m</w:t>
            </w:r>
            <w:r>
              <w:rPr>
                <w:rFonts w:hint="eastAsia"/>
                <w:sz w:val="24"/>
                <w:szCs w:val="24"/>
                <w:lang w:val="en-US" w:eastAsia="zh-CN"/>
              </w:rPr>
              <w:t>3</w:t>
            </w:r>
            <w:r>
              <w:rPr>
                <w:rFonts w:hint="default"/>
                <w:sz w:val="24"/>
                <w:szCs w:val="24"/>
                <w:lang w:val="en-US" w:eastAsia="zh-CN"/>
              </w:rPr>
              <w:t>/d</w:t>
            </w:r>
            <w:r>
              <w:rPr>
                <w:rFonts w:hint="eastAsia"/>
                <w:sz w:val="24"/>
                <w:szCs w:val="24"/>
                <w:lang w:val="en-US" w:eastAsia="zh-CN"/>
              </w:rPr>
              <w:t>，预留远期用地。一期工程建成后污水处理厂厂内工程具备</w:t>
            </w:r>
            <w:r>
              <w:rPr>
                <w:rFonts w:hint="default"/>
                <w:sz w:val="24"/>
                <w:szCs w:val="24"/>
                <w:lang w:val="en-US" w:eastAsia="zh-CN"/>
              </w:rPr>
              <w:t>0.5</w:t>
            </w:r>
            <w:r>
              <w:rPr>
                <w:rFonts w:hint="eastAsia"/>
                <w:sz w:val="24"/>
                <w:szCs w:val="24"/>
                <w:lang w:val="en-US" w:eastAsia="zh-CN"/>
              </w:rPr>
              <w:t>万</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处理规模、厂外提升泵房具备</w:t>
            </w:r>
            <w:r>
              <w:rPr>
                <w:rFonts w:hint="default"/>
                <w:sz w:val="24"/>
                <w:szCs w:val="24"/>
                <w:lang w:val="en-US" w:eastAsia="zh-CN"/>
              </w:rPr>
              <w:t>0.5</w:t>
            </w:r>
            <w:r>
              <w:rPr>
                <w:rFonts w:hint="eastAsia"/>
                <w:sz w:val="24"/>
                <w:szCs w:val="24"/>
                <w:lang w:val="en-US" w:eastAsia="zh-CN"/>
              </w:rPr>
              <w:t>万</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/d</w:t>
            </w:r>
            <w:r>
              <w:rPr>
                <w:rFonts w:hint="eastAsia"/>
                <w:sz w:val="24"/>
                <w:szCs w:val="24"/>
                <w:lang w:val="en-US" w:eastAsia="zh-CN"/>
              </w:rPr>
              <w:t>处理规模，配套污水管道</w:t>
            </w:r>
            <w:r>
              <w:rPr>
                <w:rFonts w:hint="default"/>
                <w:sz w:val="24"/>
                <w:szCs w:val="24"/>
                <w:lang w:val="en-US" w:eastAsia="zh-CN"/>
              </w:rPr>
              <w:t>2060m</w:t>
            </w:r>
            <w:r>
              <w:rPr>
                <w:rFonts w:hint="eastAsia"/>
                <w:sz w:val="24"/>
                <w:szCs w:val="24"/>
                <w:lang w:val="en-US" w:eastAsia="zh-CN"/>
              </w:rPr>
              <w:t>。污水处理厂接纳乐山市工业集中区内近期已建和拟建企业（</w:t>
            </w:r>
            <w:r>
              <w:rPr>
                <w:rFonts w:hint="default"/>
                <w:sz w:val="24"/>
                <w:szCs w:val="24"/>
                <w:lang w:val="en-US" w:eastAsia="zh-CN"/>
              </w:rPr>
              <w:t>2020</w:t>
            </w:r>
            <w:r>
              <w:rPr>
                <w:rFonts w:hint="eastAsia"/>
                <w:sz w:val="24"/>
                <w:szCs w:val="24"/>
                <w:lang w:val="en-US" w:eastAsia="zh-CN"/>
              </w:rPr>
              <w:t>年）的企业废水。项目设计采用</w:t>
            </w:r>
            <w:r>
              <w:rPr>
                <w:rFonts w:hint="default"/>
                <w:sz w:val="24"/>
                <w:szCs w:val="24"/>
                <w:lang w:val="en-US" w:eastAsia="zh-CN"/>
              </w:rPr>
              <w:t>“</w:t>
            </w:r>
            <w:r>
              <w:rPr>
                <w:rFonts w:hint="eastAsia"/>
                <w:sz w:val="24"/>
                <w:szCs w:val="24"/>
                <w:lang w:val="en-US" w:eastAsia="zh-CN"/>
              </w:rPr>
              <w:t>预处理</w:t>
            </w:r>
            <w:r>
              <w:rPr>
                <w:rFonts w:hint="default"/>
                <w:sz w:val="24"/>
                <w:szCs w:val="24"/>
                <w:lang w:val="en-US" w:eastAsia="zh-CN"/>
              </w:rPr>
              <w:t>+A2/O</w:t>
            </w:r>
            <w:r>
              <w:rPr>
                <w:rFonts w:hint="eastAsia"/>
                <w:sz w:val="24"/>
                <w:szCs w:val="24"/>
                <w:lang w:val="en-US" w:eastAsia="zh-CN"/>
              </w:rPr>
              <w:t>生化</w:t>
            </w:r>
            <w:r>
              <w:rPr>
                <w:rFonts w:hint="default"/>
                <w:sz w:val="24"/>
                <w:szCs w:val="24"/>
                <w:lang w:val="en-US" w:eastAsia="zh-CN"/>
              </w:rPr>
              <w:t>+MBR+</w:t>
            </w:r>
            <w:r>
              <w:rPr>
                <w:rFonts w:hint="eastAsia"/>
                <w:sz w:val="24"/>
                <w:szCs w:val="24"/>
                <w:lang w:val="en-US" w:eastAsia="zh-CN"/>
              </w:rPr>
              <w:t>臭氧氧化</w:t>
            </w:r>
            <w:r>
              <w:rPr>
                <w:rFonts w:hint="default"/>
                <w:sz w:val="24"/>
                <w:szCs w:val="24"/>
                <w:lang w:val="en-US" w:eastAsia="zh-CN"/>
              </w:rPr>
              <w:t>+</w:t>
            </w:r>
            <w:r>
              <w:rPr>
                <w:rFonts w:hint="eastAsia"/>
                <w:sz w:val="24"/>
                <w:szCs w:val="24"/>
                <w:lang w:val="en-US" w:eastAsia="zh-CN"/>
              </w:rPr>
              <w:t>曝气生物滤池</w:t>
            </w:r>
            <w:r>
              <w:rPr>
                <w:rFonts w:hint="default"/>
                <w:sz w:val="24"/>
                <w:szCs w:val="24"/>
                <w:lang w:val="en-US" w:eastAsia="zh-CN"/>
              </w:rPr>
              <w:t>+</w:t>
            </w:r>
            <w:r>
              <w:rPr>
                <w:rFonts w:hint="eastAsia"/>
                <w:sz w:val="24"/>
                <w:szCs w:val="24"/>
                <w:lang w:val="en-US" w:eastAsia="zh-CN"/>
              </w:rPr>
              <w:t>消毒</w:t>
            </w:r>
            <w:r>
              <w:rPr>
                <w:rFonts w:hint="default"/>
                <w:sz w:val="24"/>
                <w:szCs w:val="24"/>
                <w:lang w:val="en-US" w:eastAsia="zh-CN"/>
              </w:rPr>
              <w:t>”</w:t>
            </w:r>
            <w:r>
              <w:rPr>
                <w:rFonts w:hint="eastAsia"/>
                <w:sz w:val="24"/>
                <w:szCs w:val="24"/>
                <w:lang w:val="en-US" w:eastAsia="zh-CN"/>
              </w:rPr>
              <w:t>工艺，出水执行《四川省岷江、沱江流域水污染物排放标准》（</w:t>
            </w:r>
            <w:r>
              <w:rPr>
                <w:rFonts w:hint="default"/>
                <w:sz w:val="24"/>
                <w:szCs w:val="24"/>
                <w:lang w:val="en-US" w:eastAsia="zh-CN"/>
              </w:rPr>
              <w:t>DB51/2311-2016</w:t>
            </w:r>
            <w:r>
              <w:rPr>
                <w:rFonts w:hint="eastAsia"/>
                <w:sz w:val="24"/>
                <w:szCs w:val="24"/>
                <w:lang w:val="en-US" w:eastAsia="zh-CN"/>
              </w:rPr>
              <w:t>）中表</w:t>
            </w:r>
            <w:r>
              <w:rPr>
                <w:rFonts w:hint="default"/>
                <w:sz w:val="24"/>
                <w:szCs w:val="24"/>
                <w:lang w:val="en-US" w:eastAsia="zh-CN"/>
              </w:rPr>
              <w:t>1</w:t>
            </w:r>
            <w:r>
              <w:rPr>
                <w:rFonts w:hint="eastAsia"/>
                <w:sz w:val="24"/>
                <w:szCs w:val="24"/>
                <w:lang w:val="en-US" w:eastAsia="zh-CN"/>
              </w:rPr>
              <w:t>相关要求。</w:t>
            </w:r>
          </w:p>
          <w:p>
            <w:pPr>
              <w:keepNext w:val="0"/>
              <w:keepLines w:val="0"/>
              <w:widowControl/>
              <w:suppressLineNumbers w:val="0"/>
              <w:spacing w:line="360" w:lineRule="auto"/>
              <w:ind w:firstLine="480" w:firstLineChars="200"/>
              <w:jc w:val="left"/>
              <w:rPr>
                <w:rFonts w:hint="default"/>
                <w:sz w:val="24"/>
                <w:szCs w:val="24"/>
                <w:lang w:val="en-US" w:eastAsia="zh-CN"/>
              </w:rPr>
            </w:pPr>
            <w:r>
              <w:rPr>
                <w:rFonts w:hint="eastAsia"/>
                <w:sz w:val="24"/>
                <w:szCs w:val="24"/>
                <w:lang w:val="en-US" w:eastAsia="zh-CN"/>
              </w:rPr>
              <w:t>本项目属于该污水处理厂纳管范围，污水处理厂正常运行，生活污水能够进入该污水处理厂处理。</w:t>
            </w:r>
          </w:p>
          <w:p>
            <w:pPr>
              <w:spacing w:line="360" w:lineRule="auto"/>
              <w:rPr>
                <w:b/>
                <w:bCs/>
                <w:sz w:val="24"/>
                <w:szCs w:val="24"/>
              </w:rPr>
            </w:pPr>
            <w:r>
              <w:rPr>
                <w:rFonts w:hint="eastAsia"/>
                <w:b/>
                <w:bCs/>
                <w:sz w:val="24"/>
                <w:szCs w:val="24"/>
                <w:lang w:val="en-US" w:eastAsia="zh-CN"/>
              </w:rPr>
              <w:t>三</w:t>
            </w:r>
            <w:r>
              <w:rPr>
                <w:rFonts w:hint="eastAsia"/>
                <w:b/>
                <w:bCs/>
                <w:sz w:val="24"/>
                <w:szCs w:val="24"/>
              </w:rPr>
              <w:t>、噪声环境影响及保护措施</w:t>
            </w:r>
          </w:p>
          <w:p>
            <w:pPr>
              <w:keepNext w:val="0"/>
              <w:keepLines w:val="0"/>
              <w:widowControl/>
              <w:suppressLineNumbers w:val="0"/>
              <w:spacing w:line="360" w:lineRule="auto"/>
              <w:ind w:firstLine="482" w:firstLineChars="200"/>
              <w:jc w:val="left"/>
              <w:rPr>
                <w:rFonts w:hint="default"/>
                <w:b/>
                <w:bCs/>
                <w:sz w:val="24"/>
                <w:szCs w:val="24"/>
                <w:lang w:val="en-US" w:eastAsia="zh-CN"/>
              </w:rPr>
            </w:pPr>
            <w:r>
              <w:rPr>
                <w:rFonts w:hint="eastAsia"/>
                <w:b/>
                <w:bCs/>
                <w:sz w:val="24"/>
                <w:szCs w:val="24"/>
                <w:lang w:val="en-US" w:eastAsia="zh-CN"/>
              </w:rPr>
              <w:t>（1）主要设备噪声源强</w:t>
            </w:r>
          </w:p>
          <w:p>
            <w:pPr>
              <w:adjustRightInd w:val="0"/>
              <w:snapToGrid w:val="0"/>
              <w:spacing w:line="360" w:lineRule="auto"/>
              <w:ind w:firstLine="480" w:firstLineChars="200"/>
              <w:rPr>
                <w:rFonts w:hint="eastAsia"/>
                <w:sz w:val="24"/>
                <w:szCs w:val="24"/>
              </w:rPr>
            </w:pPr>
            <w:r>
              <w:rPr>
                <w:rFonts w:hint="eastAsia"/>
                <w:sz w:val="24"/>
                <w:szCs w:val="24"/>
              </w:rPr>
              <w:t>项目主要噪声源为搅拌机、水泵、空压机、风机、</w:t>
            </w:r>
            <w:r>
              <w:rPr>
                <w:rFonts w:hint="eastAsia"/>
                <w:sz w:val="24"/>
                <w:szCs w:val="24"/>
                <w:lang w:val="en-US" w:eastAsia="zh-CN"/>
              </w:rPr>
              <w:t>颚式破碎机、振动筛、圆锥机、冲击式破碎机、</w:t>
            </w:r>
            <w:r>
              <w:rPr>
                <w:rFonts w:hint="eastAsia"/>
                <w:sz w:val="24"/>
                <w:szCs w:val="24"/>
              </w:rPr>
              <w:t>物料传送装置及运输车等，噪声声源强度在65～</w:t>
            </w:r>
            <w:r>
              <w:rPr>
                <w:rFonts w:hint="eastAsia"/>
                <w:sz w:val="24"/>
                <w:szCs w:val="24"/>
                <w:lang w:val="en-US" w:eastAsia="zh-CN"/>
              </w:rPr>
              <w:t>100</w:t>
            </w:r>
            <w:r>
              <w:rPr>
                <w:rFonts w:hint="eastAsia"/>
                <w:sz w:val="24"/>
                <w:szCs w:val="24"/>
              </w:rPr>
              <w:t>dB(A)范围内。项目主要通过设备降噪、厂房隔声、合理总平布置等措施来对噪声进行控制。</w:t>
            </w:r>
          </w:p>
          <w:p>
            <w:pPr>
              <w:keepNext w:val="0"/>
              <w:keepLines w:val="0"/>
              <w:widowControl/>
              <w:suppressLineNumbers w:val="0"/>
              <w:spacing w:line="360" w:lineRule="auto"/>
              <w:ind w:firstLine="482" w:firstLineChars="200"/>
              <w:jc w:val="left"/>
              <w:rPr>
                <w:rFonts w:hint="default"/>
                <w:b/>
                <w:bCs/>
                <w:sz w:val="24"/>
                <w:szCs w:val="24"/>
                <w:lang w:val="en-US" w:eastAsia="zh-CN"/>
              </w:rPr>
            </w:pPr>
            <w:r>
              <w:rPr>
                <w:rFonts w:hint="eastAsia"/>
                <w:b/>
                <w:bCs/>
                <w:sz w:val="24"/>
                <w:szCs w:val="24"/>
                <w:lang w:val="en-US" w:eastAsia="zh-CN"/>
              </w:rPr>
              <w:t>（2）拟采取的措施</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噪声对环境的影响是连续的，昼间由于环境噪声背景值较大，噪声的影响不会太明显；而到了夜间，环境噪声背景值较小噪声的影响较明显。</w:t>
            </w:r>
          </w:p>
          <w:p>
            <w:pPr>
              <w:keepNext w:val="0"/>
              <w:keepLines w:val="0"/>
              <w:widowControl/>
              <w:suppressLineNumbers w:val="0"/>
              <w:spacing w:line="360" w:lineRule="auto"/>
              <w:ind w:firstLine="480" w:firstLineChars="200"/>
              <w:jc w:val="left"/>
              <w:rPr>
                <w:sz w:val="24"/>
                <w:szCs w:val="24"/>
              </w:rPr>
            </w:pPr>
            <w:r>
              <w:rPr>
                <w:rFonts w:hint="eastAsia"/>
                <w:sz w:val="24"/>
                <w:szCs w:val="24"/>
                <w:lang w:val="en-US" w:eastAsia="zh-CN"/>
              </w:rPr>
              <w:t>因此，建设单位应遵守有关法规并做到：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sz w:val="24"/>
                <w:szCs w:val="24"/>
              </w:rPr>
            </w:pPr>
            <w:r>
              <w:rPr>
                <w:rFonts w:hint="default"/>
                <w:sz w:val="24"/>
                <w:szCs w:val="24"/>
              </w:rPr>
              <w:t>①选用低噪声、超低噪声设备</w:t>
            </w:r>
            <w:r>
              <w:rPr>
                <w:rFonts w:hint="default"/>
                <w:sz w:val="24"/>
                <w:szCs w:val="24"/>
                <w:lang w:eastAsia="zh-CN"/>
              </w:rPr>
              <w:t>，</w:t>
            </w:r>
            <w:r>
              <w:rPr>
                <w:rFonts w:hint="default"/>
                <w:sz w:val="24"/>
                <w:szCs w:val="24"/>
              </w:rPr>
              <w:t>较高噪声设备安装在有减震垫的减振设施上</w:t>
            </w:r>
            <w:r>
              <w:rPr>
                <w:rFonts w:hint="default"/>
                <w:sz w:val="24"/>
                <w:szCs w:val="24"/>
                <w:lang w:eastAsia="zh-CN"/>
              </w:rPr>
              <w:t>，</w:t>
            </w:r>
            <w:r>
              <w:rPr>
                <w:rFonts w:hint="default"/>
                <w:sz w:val="24"/>
                <w:szCs w:val="24"/>
              </w:rPr>
              <w:t>同类型设备之间保持一定的间距；</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sz w:val="24"/>
                <w:szCs w:val="24"/>
              </w:rPr>
            </w:pPr>
            <w:r>
              <w:rPr>
                <w:rFonts w:hint="default"/>
                <w:sz w:val="24"/>
                <w:szCs w:val="24"/>
              </w:rPr>
              <w:t>②对生产区合理布局</w:t>
            </w:r>
            <w:r>
              <w:rPr>
                <w:rFonts w:hint="default"/>
                <w:sz w:val="24"/>
                <w:szCs w:val="24"/>
                <w:lang w:eastAsia="zh-CN"/>
              </w:rPr>
              <w:t>，</w:t>
            </w:r>
            <w:r>
              <w:rPr>
                <w:rFonts w:hint="default"/>
                <w:sz w:val="24"/>
                <w:szCs w:val="24"/>
              </w:rPr>
              <w:t>将高噪声设备设置在</w:t>
            </w:r>
            <w:r>
              <w:rPr>
                <w:rFonts w:hint="default"/>
                <w:sz w:val="24"/>
                <w:szCs w:val="24"/>
                <w:lang w:val="en-US" w:eastAsia="zh-CN"/>
              </w:rPr>
              <w:t>远离西侧居民一侧</w:t>
            </w:r>
            <w:r>
              <w:rPr>
                <w:rFonts w:hint="default"/>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sz w:val="24"/>
                <w:szCs w:val="24"/>
              </w:rPr>
            </w:pPr>
            <w:r>
              <w:rPr>
                <w:rFonts w:hint="default"/>
                <w:sz w:val="24"/>
                <w:szCs w:val="24"/>
              </w:rPr>
              <w:t>③加强设备的巡检和维护</w:t>
            </w:r>
            <w:r>
              <w:rPr>
                <w:rFonts w:hint="default"/>
                <w:sz w:val="24"/>
                <w:szCs w:val="24"/>
                <w:lang w:eastAsia="zh-CN"/>
              </w:rPr>
              <w:t>，</w:t>
            </w:r>
            <w:r>
              <w:rPr>
                <w:rFonts w:hint="default"/>
                <w:sz w:val="24"/>
                <w:szCs w:val="24"/>
              </w:rPr>
              <w:t>定时加注润滑油</w:t>
            </w:r>
            <w:r>
              <w:rPr>
                <w:rFonts w:hint="default"/>
                <w:sz w:val="24"/>
                <w:szCs w:val="24"/>
                <w:lang w:eastAsia="zh-CN"/>
              </w:rPr>
              <w:t>，</w:t>
            </w:r>
            <w:r>
              <w:rPr>
                <w:rFonts w:hint="default"/>
                <w:sz w:val="24"/>
                <w:szCs w:val="24"/>
              </w:rPr>
              <w:t>保证设备处于良好的运转状态</w:t>
            </w:r>
            <w:r>
              <w:rPr>
                <w:rFonts w:hint="default"/>
                <w:sz w:val="24"/>
                <w:szCs w:val="24"/>
                <w:lang w:eastAsia="zh-CN"/>
              </w:rPr>
              <w:t>，</w:t>
            </w:r>
            <w:r>
              <w:rPr>
                <w:rFonts w:hint="default"/>
                <w:sz w:val="24"/>
                <w:szCs w:val="24"/>
              </w:rPr>
              <w:t>杜绝因设备的非正常运转产生的高噪声现象；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sz w:val="24"/>
                <w:szCs w:val="24"/>
              </w:rPr>
            </w:pPr>
            <w:r>
              <w:rPr>
                <w:rFonts w:hint="default"/>
                <w:sz w:val="24"/>
                <w:szCs w:val="24"/>
              </w:rPr>
              <w:fldChar w:fldCharType="begin"/>
            </w:r>
            <w:r>
              <w:rPr>
                <w:rFonts w:hint="default"/>
                <w:sz w:val="24"/>
                <w:szCs w:val="24"/>
              </w:rPr>
              <w:instrText xml:space="preserve"> = 4 \* GB3 </w:instrText>
            </w:r>
            <w:r>
              <w:rPr>
                <w:rFonts w:hint="default"/>
                <w:sz w:val="24"/>
                <w:szCs w:val="24"/>
              </w:rPr>
              <w:fldChar w:fldCharType="separate"/>
            </w:r>
            <w:r>
              <w:rPr>
                <w:rFonts w:hint="default"/>
                <w:sz w:val="24"/>
                <w:szCs w:val="24"/>
              </w:rPr>
              <w:t>④</w:t>
            </w:r>
            <w:r>
              <w:rPr>
                <w:rFonts w:hint="default"/>
                <w:sz w:val="24"/>
                <w:szCs w:val="24"/>
              </w:rPr>
              <w:fldChar w:fldCharType="end"/>
            </w:r>
            <w:r>
              <w:rPr>
                <w:rFonts w:hint="default"/>
                <w:sz w:val="24"/>
                <w:szCs w:val="24"/>
              </w:rPr>
              <w:t>通过路面平整</w:t>
            </w:r>
            <w:r>
              <w:rPr>
                <w:rFonts w:hint="default"/>
                <w:sz w:val="24"/>
                <w:szCs w:val="24"/>
                <w:lang w:eastAsia="zh-CN"/>
              </w:rPr>
              <w:t>，</w:t>
            </w:r>
            <w:r>
              <w:rPr>
                <w:rFonts w:hint="default"/>
                <w:sz w:val="24"/>
                <w:szCs w:val="24"/>
              </w:rPr>
              <w:t>减少路面坡度来降低运输车辆噪声；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sz w:val="24"/>
                <w:szCs w:val="24"/>
              </w:rPr>
            </w:pPr>
            <w:r>
              <w:rPr>
                <w:rFonts w:hint="default"/>
                <w:sz w:val="24"/>
                <w:szCs w:val="24"/>
              </w:rPr>
              <w:fldChar w:fldCharType="begin"/>
            </w:r>
            <w:r>
              <w:rPr>
                <w:rFonts w:hint="default"/>
                <w:sz w:val="24"/>
                <w:szCs w:val="24"/>
              </w:rPr>
              <w:instrText xml:space="preserve"> = 5 \* GB3 </w:instrText>
            </w:r>
            <w:r>
              <w:rPr>
                <w:rFonts w:hint="default"/>
                <w:sz w:val="24"/>
                <w:szCs w:val="24"/>
              </w:rPr>
              <w:fldChar w:fldCharType="separate"/>
            </w:r>
            <w:r>
              <w:rPr>
                <w:rFonts w:hint="default"/>
                <w:sz w:val="24"/>
                <w:szCs w:val="24"/>
              </w:rPr>
              <w:t>⑤</w:t>
            </w:r>
            <w:r>
              <w:rPr>
                <w:rFonts w:hint="default"/>
                <w:sz w:val="24"/>
                <w:szCs w:val="24"/>
              </w:rPr>
              <w:fldChar w:fldCharType="end"/>
            </w:r>
            <w:r>
              <w:rPr>
                <w:rFonts w:hint="default"/>
                <w:sz w:val="24"/>
                <w:szCs w:val="24"/>
              </w:rPr>
              <w:t>采取严格操作规程</w:t>
            </w:r>
            <w:r>
              <w:rPr>
                <w:rFonts w:hint="default"/>
                <w:sz w:val="24"/>
                <w:szCs w:val="24"/>
                <w:lang w:eastAsia="zh-CN"/>
              </w:rPr>
              <w:t>，</w:t>
            </w:r>
            <w:r>
              <w:rPr>
                <w:rFonts w:hint="default"/>
                <w:sz w:val="24"/>
                <w:szCs w:val="24"/>
              </w:rPr>
              <w:t>合理设置装卸货区域</w:t>
            </w:r>
            <w:r>
              <w:rPr>
                <w:rFonts w:hint="default"/>
                <w:sz w:val="24"/>
                <w:szCs w:val="24"/>
                <w:lang w:eastAsia="zh-CN"/>
              </w:rPr>
              <w:t>，</w:t>
            </w:r>
            <w:r>
              <w:rPr>
                <w:rFonts w:hint="default"/>
                <w:sz w:val="24"/>
                <w:szCs w:val="24"/>
              </w:rPr>
              <w:t>同时要求进车场区车辆限速</w:t>
            </w:r>
            <w:r>
              <w:rPr>
                <w:rFonts w:hint="default"/>
                <w:sz w:val="24"/>
                <w:szCs w:val="24"/>
                <w:lang w:eastAsia="zh-CN"/>
              </w:rPr>
              <w:t>，</w:t>
            </w:r>
            <w:r>
              <w:rPr>
                <w:rFonts w:hint="default"/>
                <w:sz w:val="24"/>
                <w:szCs w:val="24"/>
              </w:rPr>
              <w:t>禁止鸣笛以降低装卸货噪声及机动车的交通噪声的影响。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sz w:val="24"/>
                <w:szCs w:val="24"/>
              </w:rPr>
            </w:pPr>
            <w:r>
              <w:rPr>
                <w:rFonts w:hint="default"/>
                <w:sz w:val="24"/>
                <w:szCs w:val="24"/>
              </w:rPr>
              <w:t>⑥对于流动车辆要求驾驶员加强环保意识</w:t>
            </w:r>
            <w:r>
              <w:rPr>
                <w:rFonts w:hint="default"/>
                <w:sz w:val="24"/>
                <w:szCs w:val="24"/>
                <w:lang w:eastAsia="zh-CN"/>
              </w:rPr>
              <w:t>，</w:t>
            </w:r>
            <w:r>
              <w:rPr>
                <w:rFonts w:hint="default"/>
                <w:sz w:val="24"/>
                <w:szCs w:val="24"/>
              </w:rPr>
              <w:t>尽可能减少鸣号次数</w:t>
            </w:r>
            <w:r>
              <w:rPr>
                <w:rFonts w:hint="default"/>
                <w:sz w:val="24"/>
                <w:szCs w:val="24"/>
                <w:lang w:eastAsia="zh-CN"/>
              </w:rPr>
              <w:t>，</w:t>
            </w:r>
            <w:r>
              <w:rPr>
                <w:rFonts w:hint="default"/>
                <w:sz w:val="24"/>
                <w:szCs w:val="24"/>
              </w:rPr>
              <w:t>特别是行驶经过居住点等敏感地区时</w:t>
            </w:r>
            <w:r>
              <w:rPr>
                <w:rFonts w:hint="default"/>
                <w:sz w:val="24"/>
                <w:szCs w:val="24"/>
                <w:lang w:eastAsia="zh-CN"/>
              </w:rPr>
              <w:t>，</w:t>
            </w:r>
            <w:r>
              <w:rPr>
                <w:rFonts w:hint="default"/>
                <w:sz w:val="24"/>
                <w:szCs w:val="24"/>
              </w:rPr>
              <w:t>更需注意减少噪声影响。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sz w:val="24"/>
                <w:szCs w:val="24"/>
                <w:lang w:val="en-US" w:eastAsia="zh-CN"/>
              </w:rPr>
            </w:pPr>
            <w:r>
              <w:rPr>
                <w:rFonts w:hint="default"/>
                <w:sz w:val="24"/>
                <w:szCs w:val="24"/>
                <w:lang w:val="en-US" w:eastAsia="zh-CN"/>
              </w:rPr>
              <w:t>⑦机械噪声控制：搅拌机和整个搅拌楼可采取双重封闭的设计方案，搅拌楼的主楼采用彩钢瓦泡沫夹心板房，搅拌机、储料罐、物料输送系统采用全封闭式结构，能够有效隔音、隔热、防尘，隔音量可达</w:t>
            </w:r>
            <w:r>
              <w:rPr>
                <w:rFonts w:hint="eastAsia"/>
                <w:sz w:val="24"/>
                <w:szCs w:val="24"/>
                <w:lang w:val="en-US" w:eastAsia="zh-CN"/>
              </w:rPr>
              <w:t>10~15</w:t>
            </w:r>
            <w:r>
              <w:rPr>
                <w:rFonts w:hint="default"/>
                <w:sz w:val="24"/>
                <w:szCs w:val="24"/>
                <w:lang w:val="en-US" w:eastAsia="zh-CN"/>
              </w:rPr>
              <w:t>dB(A)。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sz w:val="24"/>
                <w:szCs w:val="24"/>
                <w:lang w:val="en-US" w:eastAsia="zh-CN"/>
              </w:rPr>
            </w:pPr>
            <w:r>
              <w:rPr>
                <w:rFonts w:hint="default"/>
                <w:sz w:val="24"/>
                <w:szCs w:val="24"/>
                <w:lang w:val="en-US" w:eastAsia="zh-CN"/>
              </w:rPr>
              <w:t>⑧配料供料噪声控制：输送原料使用低噪声输送机具，输送带使用橡胶皮带，并将物料输送道全封闭；料场进行全封闭设置，车辆卸料、送料、计量斗等设施和操作全封闭在料场内进行，料场主体采用钢混结构，具有良好隔音效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sz w:val="24"/>
                <w:szCs w:val="24"/>
                <w:lang w:val="en-US" w:eastAsia="zh-CN"/>
              </w:rPr>
            </w:pPr>
            <w:r>
              <w:rPr>
                <w:rFonts w:hint="default"/>
                <w:sz w:val="24"/>
                <w:szCs w:val="24"/>
                <w:lang w:val="en-US" w:eastAsia="zh-CN"/>
              </w:rPr>
              <w:t>⑨车辆噪声控制：要求进出厂区的车辆严禁超速、超载，禁止鸣笛；对于流动车辆要求驾驶员加强环保意识，尽可能减少鸣号次数，特别是行驶经过居住点等敏感地区时。</w:t>
            </w:r>
          </w:p>
          <w:p>
            <w:pPr>
              <w:adjustRightInd w:val="0"/>
              <w:snapToGrid w:val="0"/>
              <w:spacing w:line="360" w:lineRule="auto"/>
              <w:ind w:firstLine="480" w:firstLineChars="200"/>
              <w:rPr>
                <w:rFonts w:hint="eastAsia"/>
                <w:sz w:val="24"/>
                <w:szCs w:val="24"/>
              </w:rPr>
            </w:pPr>
            <w:r>
              <w:rPr>
                <w:rFonts w:hint="eastAsia"/>
                <w:sz w:val="24"/>
                <w:szCs w:val="24"/>
              </w:rPr>
              <w:t>设备噪声源强及治理措施如下表所示：</w:t>
            </w:r>
          </w:p>
          <w:p>
            <w:pPr>
              <w:pStyle w:val="8"/>
              <w:ind w:firstLine="422"/>
              <w:jc w:val="center"/>
              <w:rPr>
                <w:rFonts w:hint="eastAsia"/>
                <w:b/>
                <w:bCs/>
                <w:sz w:val="21"/>
                <w:szCs w:val="21"/>
              </w:rPr>
            </w:pPr>
            <w:r>
              <w:rPr>
                <w:rFonts w:hint="eastAsia"/>
                <w:b/>
                <w:bCs/>
                <w:sz w:val="21"/>
                <w:szCs w:val="21"/>
              </w:rPr>
              <w:t>表4-</w:t>
            </w:r>
            <w:r>
              <w:rPr>
                <w:rFonts w:hint="eastAsia"/>
                <w:b/>
                <w:bCs/>
                <w:sz w:val="21"/>
                <w:szCs w:val="21"/>
                <w:lang w:val="en-US" w:eastAsia="zh-CN"/>
              </w:rPr>
              <w:t>5</w:t>
            </w:r>
            <w:r>
              <w:rPr>
                <w:rFonts w:hint="eastAsia"/>
                <w:b/>
                <w:bCs/>
                <w:sz w:val="21"/>
                <w:szCs w:val="21"/>
              </w:rPr>
              <w:t xml:space="preserve">  项目主要噪声源及排放情况</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375"/>
              <w:gridCol w:w="2500"/>
              <w:gridCol w:w="1075"/>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噪声源</w:t>
                  </w:r>
                </w:p>
              </w:tc>
              <w:tc>
                <w:tcPr>
                  <w:tcW w:w="1375" w:type="dxa"/>
                  <w:noWrap w:val="0"/>
                  <w:vAlign w:val="center"/>
                </w:tcPr>
                <w:p>
                  <w:pPr>
                    <w:adjustRightInd w:val="0"/>
                    <w:snapToGrid w:val="0"/>
                    <w:jc w:val="center"/>
                    <w:rPr>
                      <w:rFonts w:hint="default"/>
                      <w:sz w:val="21"/>
                      <w:szCs w:val="21"/>
                    </w:rPr>
                  </w:pPr>
                  <w:r>
                    <w:rPr>
                      <w:rFonts w:hint="default"/>
                      <w:sz w:val="21"/>
                      <w:szCs w:val="21"/>
                    </w:rPr>
                    <w:t>噪声源强</w:t>
                  </w:r>
                </w:p>
                <w:p>
                  <w:pPr>
                    <w:adjustRightInd w:val="0"/>
                    <w:snapToGrid w:val="0"/>
                    <w:jc w:val="center"/>
                    <w:rPr>
                      <w:rFonts w:hint="default"/>
                      <w:sz w:val="21"/>
                      <w:szCs w:val="21"/>
                    </w:rPr>
                  </w:pPr>
                  <w:r>
                    <w:rPr>
                      <w:rFonts w:hint="default"/>
                      <w:sz w:val="21"/>
                      <w:szCs w:val="21"/>
                    </w:rPr>
                    <w:t>dB（A）</w:t>
                  </w:r>
                </w:p>
              </w:tc>
              <w:tc>
                <w:tcPr>
                  <w:tcW w:w="2500" w:type="dxa"/>
                  <w:noWrap w:val="0"/>
                  <w:vAlign w:val="center"/>
                </w:tcPr>
                <w:p>
                  <w:pPr>
                    <w:adjustRightInd w:val="0"/>
                    <w:snapToGrid w:val="0"/>
                    <w:jc w:val="center"/>
                    <w:rPr>
                      <w:rFonts w:hint="default"/>
                      <w:sz w:val="21"/>
                      <w:szCs w:val="21"/>
                    </w:rPr>
                  </w:pPr>
                  <w:r>
                    <w:rPr>
                      <w:rFonts w:hint="default"/>
                      <w:sz w:val="21"/>
                      <w:szCs w:val="21"/>
                    </w:rPr>
                    <w:t>降噪措施</w:t>
                  </w:r>
                </w:p>
              </w:tc>
              <w:tc>
                <w:tcPr>
                  <w:tcW w:w="1075" w:type="dxa"/>
                  <w:noWrap w:val="0"/>
                  <w:vAlign w:val="center"/>
                </w:tcPr>
                <w:p>
                  <w:pPr>
                    <w:adjustRightInd w:val="0"/>
                    <w:snapToGrid w:val="0"/>
                    <w:jc w:val="center"/>
                    <w:rPr>
                      <w:rFonts w:hint="default"/>
                      <w:sz w:val="21"/>
                      <w:szCs w:val="21"/>
                    </w:rPr>
                  </w:pPr>
                  <w:r>
                    <w:rPr>
                      <w:rFonts w:hint="default"/>
                      <w:sz w:val="21"/>
                      <w:szCs w:val="21"/>
                    </w:rPr>
                    <w:t>数量</w:t>
                  </w:r>
                </w:p>
              </w:tc>
              <w:tc>
                <w:tcPr>
                  <w:tcW w:w="1640" w:type="dxa"/>
                  <w:noWrap w:val="0"/>
                  <w:vAlign w:val="center"/>
                </w:tcPr>
                <w:p>
                  <w:pPr>
                    <w:adjustRightInd w:val="0"/>
                    <w:snapToGrid w:val="0"/>
                    <w:jc w:val="center"/>
                    <w:rPr>
                      <w:rFonts w:hint="default"/>
                      <w:sz w:val="21"/>
                      <w:szCs w:val="21"/>
                    </w:rPr>
                  </w:pPr>
                  <w:r>
                    <w:rPr>
                      <w:rFonts w:hint="default"/>
                      <w:sz w:val="21"/>
                      <w:szCs w:val="21"/>
                    </w:rPr>
                    <w:t>治理后噪声</w:t>
                  </w:r>
                </w:p>
                <w:p>
                  <w:pPr>
                    <w:adjustRightInd w:val="0"/>
                    <w:snapToGrid w:val="0"/>
                    <w:jc w:val="center"/>
                    <w:rPr>
                      <w:rFonts w:hint="default"/>
                      <w:sz w:val="21"/>
                      <w:szCs w:val="21"/>
                    </w:rPr>
                  </w:pPr>
                  <w:r>
                    <w:rPr>
                      <w:rFonts w:hint="default"/>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spacing w:line="240" w:lineRule="auto"/>
                    <w:jc w:val="center"/>
                    <w:rPr>
                      <w:rFonts w:hint="default"/>
                      <w:sz w:val="21"/>
                      <w:szCs w:val="21"/>
                      <w:lang w:val="en-US" w:eastAsia="zh-CN"/>
                    </w:rPr>
                  </w:pPr>
                  <w:r>
                    <w:rPr>
                      <w:rFonts w:hint="default"/>
                      <w:sz w:val="21"/>
                      <w:szCs w:val="21"/>
                      <w:lang w:val="en-US" w:eastAsia="zh-CN"/>
                    </w:rPr>
                    <w:t>重型给料机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70-8</w:t>
                  </w:r>
                  <w:r>
                    <w:rPr>
                      <w:rFonts w:hint="eastAsia"/>
                      <w:sz w:val="21"/>
                      <w:szCs w:val="21"/>
                      <w:lang w:val="en-US" w:eastAsia="zh-CN"/>
                    </w:rPr>
                    <w:t>5</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1</w:t>
                  </w:r>
                </w:p>
              </w:tc>
              <w:tc>
                <w:tcPr>
                  <w:tcW w:w="1640" w:type="dxa"/>
                  <w:noWrap w:val="0"/>
                  <w:vAlign w:val="center"/>
                </w:tcPr>
                <w:p>
                  <w:pPr>
                    <w:adjustRightInd w:val="0"/>
                    <w:snapToGrid w:val="0"/>
                    <w:jc w:val="center"/>
                    <w:rPr>
                      <w:rFonts w:hint="default"/>
                      <w:sz w:val="21"/>
                      <w:szCs w:val="21"/>
                    </w:rPr>
                  </w:pPr>
                  <w:r>
                    <w:rPr>
                      <w:rFonts w:hint="default"/>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V型腔鄂破机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90-1</w:t>
                  </w:r>
                  <w:r>
                    <w:rPr>
                      <w:rFonts w:hint="eastAsia"/>
                      <w:sz w:val="21"/>
                      <w:szCs w:val="21"/>
                      <w:lang w:val="en-US" w:eastAsia="zh-CN"/>
                    </w:rPr>
                    <w:t>1</w:t>
                  </w:r>
                  <w:r>
                    <w:rPr>
                      <w:rFonts w:hint="default"/>
                      <w:sz w:val="21"/>
                      <w:szCs w:val="21"/>
                      <w:lang w:val="en-US" w:eastAsia="zh-CN"/>
                    </w:rPr>
                    <w:t>0</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1</w:t>
                  </w:r>
                </w:p>
              </w:tc>
              <w:tc>
                <w:tcPr>
                  <w:tcW w:w="1640" w:type="dxa"/>
                  <w:noWrap w:val="0"/>
                  <w:vAlign w:val="center"/>
                </w:tcPr>
                <w:p>
                  <w:pPr>
                    <w:adjustRightInd w:val="0"/>
                    <w:snapToGrid w:val="0"/>
                    <w:jc w:val="center"/>
                    <w:rPr>
                      <w:rFonts w:hint="default"/>
                      <w:sz w:val="21"/>
                      <w:szCs w:val="21"/>
                      <w:lang w:val="en-US" w:eastAsia="zh-CN"/>
                    </w:rPr>
                  </w:pPr>
                  <w:r>
                    <w:rPr>
                      <w:rFonts w:hint="default"/>
                      <w:sz w:val="21"/>
                      <w:szCs w:val="21"/>
                    </w:rPr>
                    <w:t>＜</w:t>
                  </w:r>
                  <w:r>
                    <w:rPr>
                      <w:rFonts w:hint="eastAsia"/>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单缸圆锥机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90-1</w:t>
                  </w:r>
                  <w:r>
                    <w:rPr>
                      <w:rFonts w:hint="eastAsia"/>
                      <w:sz w:val="21"/>
                      <w:szCs w:val="21"/>
                      <w:lang w:val="en-US" w:eastAsia="zh-CN"/>
                    </w:rPr>
                    <w:t>0</w:t>
                  </w:r>
                  <w:r>
                    <w:rPr>
                      <w:rFonts w:hint="default"/>
                      <w:sz w:val="21"/>
                      <w:szCs w:val="21"/>
                      <w:lang w:val="en-US" w:eastAsia="zh-CN"/>
                    </w:rPr>
                    <w:t>0</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1</w:t>
                  </w:r>
                </w:p>
              </w:tc>
              <w:tc>
                <w:tcPr>
                  <w:tcW w:w="1640" w:type="dxa"/>
                  <w:noWrap w:val="0"/>
                  <w:vAlign w:val="center"/>
                </w:tcPr>
                <w:p>
                  <w:pPr>
                    <w:adjustRightInd w:val="0"/>
                    <w:snapToGrid w:val="0"/>
                    <w:jc w:val="center"/>
                    <w:rPr>
                      <w:rFonts w:hint="default"/>
                      <w:sz w:val="21"/>
                      <w:szCs w:val="21"/>
                      <w:lang w:val="en-US"/>
                    </w:rPr>
                  </w:pPr>
                  <w:r>
                    <w:rPr>
                      <w:rFonts w:hint="default"/>
                      <w:sz w:val="21"/>
                      <w:szCs w:val="21"/>
                    </w:rPr>
                    <w:t>＜</w:t>
                  </w:r>
                  <w:r>
                    <w:rPr>
                      <w:rFonts w:hint="eastAsia"/>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多缸液压圆锥机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90-1</w:t>
                  </w:r>
                  <w:r>
                    <w:rPr>
                      <w:rFonts w:hint="eastAsia"/>
                      <w:sz w:val="21"/>
                      <w:szCs w:val="21"/>
                      <w:lang w:val="en-US" w:eastAsia="zh-CN"/>
                    </w:rPr>
                    <w:t>0</w:t>
                  </w:r>
                  <w:r>
                    <w:rPr>
                      <w:rFonts w:hint="default"/>
                      <w:sz w:val="21"/>
                      <w:szCs w:val="21"/>
                      <w:lang w:val="en-US" w:eastAsia="zh-CN"/>
                    </w:rPr>
                    <w:t>0</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1</w:t>
                  </w:r>
                </w:p>
              </w:tc>
              <w:tc>
                <w:tcPr>
                  <w:tcW w:w="1640" w:type="dxa"/>
                  <w:noWrap w:val="0"/>
                  <w:vAlign w:val="center"/>
                </w:tcPr>
                <w:p>
                  <w:pPr>
                    <w:adjustRightInd w:val="0"/>
                    <w:snapToGrid w:val="0"/>
                    <w:jc w:val="center"/>
                    <w:rPr>
                      <w:rFonts w:hint="default"/>
                      <w:sz w:val="21"/>
                      <w:szCs w:val="21"/>
                      <w:lang w:val="en-US"/>
                    </w:rPr>
                  </w:pPr>
                  <w:r>
                    <w:rPr>
                      <w:rFonts w:hint="default"/>
                      <w:sz w:val="21"/>
                      <w:szCs w:val="21"/>
                    </w:rPr>
                    <w:t>＜</w:t>
                  </w:r>
                  <w:r>
                    <w:rPr>
                      <w:rFonts w:hint="eastAsia"/>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冲击式破碎机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90-1</w:t>
                  </w:r>
                  <w:r>
                    <w:rPr>
                      <w:rFonts w:hint="eastAsia"/>
                      <w:sz w:val="21"/>
                      <w:szCs w:val="21"/>
                      <w:lang w:val="en-US" w:eastAsia="zh-CN"/>
                    </w:rPr>
                    <w:t>0</w:t>
                  </w:r>
                  <w:r>
                    <w:rPr>
                      <w:rFonts w:hint="default"/>
                      <w:sz w:val="21"/>
                      <w:szCs w:val="21"/>
                      <w:lang w:val="en-US" w:eastAsia="zh-CN"/>
                    </w:rPr>
                    <w:t>0</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2</w:t>
                  </w:r>
                </w:p>
              </w:tc>
              <w:tc>
                <w:tcPr>
                  <w:tcW w:w="1640" w:type="dxa"/>
                  <w:noWrap w:val="0"/>
                  <w:vAlign w:val="center"/>
                </w:tcPr>
                <w:p>
                  <w:pPr>
                    <w:adjustRightInd w:val="0"/>
                    <w:snapToGrid w:val="0"/>
                    <w:jc w:val="center"/>
                    <w:rPr>
                      <w:rFonts w:hint="default"/>
                      <w:sz w:val="21"/>
                      <w:szCs w:val="21"/>
                      <w:lang w:val="en-US"/>
                    </w:rPr>
                  </w:pPr>
                  <w:r>
                    <w:rPr>
                      <w:rFonts w:hint="default"/>
                      <w:sz w:val="21"/>
                      <w:szCs w:val="21"/>
                    </w:rPr>
                    <w:t>＜</w:t>
                  </w:r>
                  <w:r>
                    <w:rPr>
                      <w:rFonts w:hint="eastAsia"/>
                      <w:sz w:val="21"/>
                      <w:szCs w:val="21"/>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振动筛</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80-85</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6</w:t>
                  </w:r>
                </w:p>
              </w:tc>
              <w:tc>
                <w:tcPr>
                  <w:tcW w:w="1640" w:type="dxa"/>
                  <w:noWrap w:val="0"/>
                  <w:vAlign w:val="center"/>
                </w:tcPr>
                <w:p>
                  <w:pPr>
                    <w:adjustRightInd w:val="0"/>
                    <w:snapToGrid w:val="0"/>
                    <w:jc w:val="center"/>
                    <w:rPr>
                      <w:rFonts w:hint="default"/>
                      <w:sz w:val="21"/>
                      <w:szCs w:val="21"/>
                    </w:rPr>
                  </w:pPr>
                  <w:r>
                    <w:rPr>
                      <w:rFonts w:hint="default"/>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洗砂机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80-85</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4</w:t>
                  </w:r>
                </w:p>
              </w:tc>
              <w:tc>
                <w:tcPr>
                  <w:tcW w:w="1640" w:type="dxa"/>
                  <w:noWrap w:val="0"/>
                  <w:vAlign w:val="center"/>
                </w:tcPr>
                <w:p>
                  <w:pPr>
                    <w:adjustRightInd w:val="0"/>
                    <w:snapToGrid w:val="0"/>
                    <w:jc w:val="center"/>
                    <w:rPr>
                      <w:rFonts w:hint="default"/>
                      <w:sz w:val="21"/>
                      <w:szCs w:val="21"/>
                    </w:rPr>
                  </w:pPr>
                  <w:r>
                    <w:rPr>
                      <w:rFonts w:hint="default"/>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脱水筛</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80-85</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sz w:val="21"/>
                      <w:szCs w:val="21"/>
                    </w:rPr>
                  </w:pPr>
                  <w:r>
                    <w:rPr>
                      <w:rFonts w:hint="default"/>
                      <w:sz w:val="21"/>
                      <w:szCs w:val="21"/>
                      <w:lang w:val="en-US" w:eastAsia="zh-CN"/>
                    </w:rPr>
                    <w:t>2</w:t>
                  </w:r>
                </w:p>
              </w:tc>
              <w:tc>
                <w:tcPr>
                  <w:tcW w:w="1640" w:type="dxa"/>
                  <w:noWrap w:val="0"/>
                  <w:vAlign w:val="center"/>
                </w:tcPr>
                <w:p>
                  <w:pPr>
                    <w:adjustRightInd w:val="0"/>
                    <w:snapToGrid w:val="0"/>
                    <w:jc w:val="center"/>
                    <w:rPr>
                      <w:rFonts w:hint="default"/>
                      <w:sz w:val="21"/>
                      <w:szCs w:val="21"/>
                    </w:rPr>
                  </w:pPr>
                  <w:r>
                    <w:rPr>
                      <w:rFonts w:hint="default"/>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keepNext w:val="0"/>
                    <w:keepLines w:val="0"/>
                    <w:widowControl/>
                    <w:suppressLineNumbers w:val="0"/>
                    <w:jc w:val="center"/>
                    <w:textAlignment w:val="center"/>
                    <w:rPr>
                      <w:rFonts w:hint="default"/>
                      <w:sz w:val="21"/>
                      <w:szCs w:val="21"/>
                      <w:lang w:val="en-US" w:eastAsia="zh-CN"/>
                    </w:rPr>
                  </w:pPr>
                  <w:r>
                    <w:rPr>
                      <w:rFonts w:hint="default"/>
                      <w:sz w:val="21"/>
                      <w:szCs w:val="21"/>
                      <w:lang w:val="en-US" w:eastAsia="zh-CN"/>
                    </w:rPr>
                    <w:t>压滤机</w:t>
                  </w:r>
                </w:p>
              </w:tc>
              <w:tc>
                <w:tcPr>
                  <w:tcW w:w="1375" w:type="dxa"/>
                  <w:noWrap w:val="0"/>
                  <w:vAlign w:val="center"/>
                </w:tcPr>
                <w:p>
                  <w:pPr>
                    <w:keepNext w:val="0"/>
                    <w:keepLines w:val="0"/>
                    <w:widowControl/>
                    <w:suppressLineNumbers w:val="0"/>
                    <w:spacing w:line="240" w:lineRule="auto"/>
                    <w:jc w:val="center"/>
                    <w:rPr>
                      <w:rFonts w:hint="default"/>
                      <w:sz w:val="21"/>
                      <w:szCs w:val="21"/>
                    </w:rPr>
                  </w:pPr>
                  <w:r>
                    <w:rPr>
                      <w:rFonts w:hint="default"/>
                      <w:sz w:val="21"/>
                      <w:szCs w:val="21"/>
                      <w:lang w:val="en-US" w:eastAsia="zh-CN"/>
                    </w:rPr>
                    <w:t>80-85</w:t>
                  </w:r>
                </w:p>
              </w:tc>
              <w:tc>
                <w:tcPr>
                  <w:tcW w:w="2500" w:type="dxa"/>
                  <w:noWrap w:val="0"/>
                  <w:vAlign w:val="center"/>
                </w:tcPr>
                <w:p>
                  <w:pPr>
                    <w:adjustRightInd w:val="0"/>
                    <w:snapToGrid w:val="0"/>
                    <w:jc w:val="center"/>
                    <w:rPr>
                      <w:rFonts w:hint="default"/>
                      <w:sz w:val="21"/>
                      <w:szCs w:val="21"/>
                    </w:rPr>
                  </w:pPr>
                  <w:r>
                    <w:rPr>
                      <w:rFonts w:hint="default"/>
                      <w:sz w:val="21"/>
                      <w:szCs w:val="21"/>
                    </w:rPr>
                    <w:t>封闭</w:t>
                  </w:r>
                  <w:r>
                    <w:rPr>
                      <w:rFonts w:hint="default"/>
                      <w:sz w:val="21"/>
                      <w:szCs w:val="21"/>
                      <w:lang w:val="en-US" w:eastAsia="zh-CN"/>
                    </w:rPr>
                    <w:t>加工厂房</w:t>
                  </w:r>
                  <w:r>
                    <w:rPr>
                      <w:rFonts w:hint="default"/>
                      <w:sz w:val="21"/>
                      <w:szCs w:val="21"/>
                    </w:rPr>
                    <w:t>；基础减振；合理平面布局</w:t>
                  </w:r>
                </w:p>
              </w:tc>
              <w:tc>
                <w:tcPr>
                  <w:tcW w:w="1075" w:type="dxa"/>
                  <w:noWrap w:val="0"/>
                  <w:vAlign w:val="center"/>
                </w:tcPr>
                <w:p>
                  <w:pPr>
                    <w:adjustRightInd w:val="0"/>
                    <w:snapToGrid w:val="0"/>
                    <w:jc w:val="center"/>
                    <w:rPr>
                      <w:rFonts w:hint="default"/>
                      <w:sz w:val="21"/>
                      <w:szCs w:val="21"/>
                      <w:lang w:val="en-US" w:eastAsia="zh-CN"/>
                    </w:rPr>
                  </w:pPr>
                  <w:r>
                    <w:rPr>
                      <w:rFonts w:hint="default"/>
                      <w:sz w:val="21"/>
                      <w:szCs w:val="21"/>
                      <w:lang w:val="en-US" w:eastAsia="zh-CN"/>
                    </w:rPr>
                    <w:t>4</w:t>
                  </w:r>
                </w:p>
              </w:tc>
              <w:tc>
                <w:tcPr>
                  <w:tcW w:w="1640" w:type="dxa"/>
                  <w:noWrap w:val="0"/>
                  <w:vAlign w:val="center"/>
                </w:tcPr>
                <w:p>
                  <w:pPr>
                    <w:adjustRightInd w:val="0"/>
                    <w:snapToGrid w:val="0"/>
                    <w:jc w:val="center"/>
                    <w:rPr>
                      <w:rFonts w:hint="default"/>
                      <w:sz w:val="21"/>
                      <w:szCs w:val="21"/>
                    </w:rPr>
                  </w:pPr>
                  <w:r>
                    <w:rPr>
                      <w:rFonts w:hint="default"/>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搅拌机</w:t>
                  </w:r>
                </w:p>
              </w:tc>
              <w:tc>
                <w:tcPr>
                  <w:tcW w:w="1375" w:type="dxa"/>
                  <w:noWrap w:val="0"/>
                  <w:vAlign w:val="center"/>
                </w:tcPr>
                <w:p>
                  <w:pPr>
                    <w:adjustRightInd w:val="0"/>
                    <w:snapToGrid w:val="0"/>
                    <w:jc w:val="center"/>
                    <w:rPr>
                      <w:rFonts w:hint="default"/>
                      <w:sz w:val="21"/>
                      <w:szCs w:val="21"/>
                    </w:rPr>
                  </w:pPr>
                  <w:r>
                    <w:rPr>
                      <w:rFonts w:hint="default"/>
                      <w:sz w:val="21"/>
                      <w:szCs w:val="21"/>
                    </w:rPr>
                    <w:t>83~90</w:t>
                  </w:r>
                </w:p>
              </w:tc>
              <w:tc>
                <w:tcPr>
                  <w:tcW w:w="2500" w:type="dxa"/>
                  <w:noWrap w:val="0"/>
                  <w:vAlign w:val="center"/>
                </w:tcPr>
                <w:p>
                  <w:pPr>
                    <w:adjustRightInd w:val="0"/>
                    <w:snapToGrid w:val="0"/>
                    <w:jc w:val="center"/>
                    <w:rPr>
                      <w:rFonts w:hint="default"/>
                      <w:sz w:val="21"/>
                      <w:szCs w:val="21"/>
                    </w:rPr>
                  </w:pPr>
                  <w:r>
                    <w:rPr>
                      <w:rFonts w:hint="default"/>
                      <w:sz w:val="21"/>
                      <w:szCs w:val="21"/>
                    </w:rPr>
                    <w:t>封闭搅拌楼隔声；基础减振；合理平面布局</w:t>
                  </w:r>
                </w:p>
              </w:tc>
              <w:tc>
                <w:tcPr>
                  <w:tcW w:w="1075" w:type="dxa"/>
                  <w:noWrap w:val="0"/>
                  <w:vAlign w:val="center"/>
                </w:tcPr>
                <w:p>
                  <w:pPr>
                    <w:adjustRightInd w:val="0"/>
                    <w:snapToGrid w:val="0"/>
                    <w:jc w:val="center"/>
                    <w:rPr>
                      <w:rFonts w:hint="default"/>
                      <w:sz w:val="21"/>
                      <w:szCs w:val="21"/>
                      <w:lang w:eastAsia="zh-CN"/>
                    </w:rPr>
                  </w:pPr>
                  <w:r>
                    <w:rPr>
                      <w:rFonts w:hint="default"/>
                      <w:sz w:val="21"/>
                      <w:szCs w:val="21"/>
                      <w:lang w:val="en-US" w:eastAsia="zh-CN"/>
                    </w:rPr>
                    <w:t>2</w:t>
                  </w:r>
                </w:p>
              </w:tc>
              <w:tc>
                <w:tcPr>
                  <w:tcW w:w="1640" w:type="dxa"/>
                  <w:noWrap w:val="0"/>
                  <w:vAlign w:val="center"/>
                </w:tcPr>
                <w:p>
                  <w:pPr>
                    <w:adjustRightInd w:val="0"/>
                    <w:snapToGrid w:val="0"/>
                    <w:jc w:val="center"/>
                    <w:rPr>
                      <w:rFonts w:hint="default" w:eastAsia="宋体"/>
                      <w:sz w:val="21"/>
                      <w:szCs w:val="21"/>
                      <w:lang w:val="en-US" w:eastAsia="zh-CN"/>
                    </w:rPr>
                  </w:pPr>
                  <w:r>
                    <w:rPr>
                      <w:rFonts w:hint="default"/>
                      <w:sz w:val="21"/>
                      <w:szCs w:val="21"/>
                    </w:rPr>
                    <w:t>＜</w:t>
                  </w:r>
                  <w:r>
                    <w:rPr>
                      <w:rFonts w:hint="eastAsia"/>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水泵</w:t>
                  </w:r>
                </w:p>
              </w:tc>
              <w:tc>
                <w:tcPr>
                  <w:tcW w:w="1375" w:type="dxa"/>
                  <w:noWrap w:val="0"/>
                  <w:vAlign w:val="center"/>
                </w:tcPr>
                <w:p>
                  <w:pPr>
                    <w:adjustRightInd w:val="0"/>
                    <w:snapToGrid w:val="0"/>
                    <w:jc w:val="center"/>
                    <w:rPr>
                      <w:rFonts w:hint="default"/>
                      <w:sz w:val="21"/>
                      <w:szCs w:val="21"/>
                    </w:rPr>
                  </w:pPr>
                  <w:r>
                    <w:rPr>
                      <w:rFonts w:hint="default"/>
                      <w:sz w:val="21"/>
                      <w:szCs w:val="21"/>
                    </w:rPr>
                    <w:t>80-90</w:t>
                  </w:r>
                </w:p>
              </w:tc>
              <w:tc>
                <w:tcPr>
                  <w:tcW w:w="2500" w:type="dxa"/>
                  <w:noWrap w:val="0"/>
                  <w:vAlign w:val="center"/>
                </w:tcPr>
                <w:p>
                  <w:pPr>
                    <w:adjustRightInd w:val="0"/>
                    <w:snapToGrid w:val="0"/>
                    <w:jc w:val="center"/>
                    <w:rPr>
                      <w:rFonts w:hint="default"/>
                      <w:sz w:val="21"/>
                      <w:szCs w:val="21"/>
                    </w:rPr>
                  </w:pPr>
                  <w:r>
                    <w:rPr>
                      <w:rFonts w:hint="default"/>
                      <w:sz w:val="21"/>
                      <w:szCs w:val="21"/>
                    </w:rPr>
                    <w:t>基础减振；合理平面布局</w:t>
                  </w:r>
                </w:p>
              </w:tc>
              <w:tc>
                <w:tcPr>
                  <w:tcW w:w="1075" w:type="dxa"/>
                  <w:noWrap w:val="0"/>
                  <w:vAlign w:val="center"/>
                </w:tcPr>
                <w:p>
                  <w:pPr>
                    <w:adjustRightInd w:val="0"/>
                    <w:snapToGrid w:val="0"/>
                    <w:jc w:val="center"/>
                    <w:rPr>
                      <w:rFonts w:hint="default"/>
                      <w:sz w:val="21"/>
                      <w:szCs w:val="21"/>
                    </w:rPr>
                  </w:pPr>
                  <w:r>
                    <w:rPr>
                      <w:rFonts w:hint="default"/>
                      <w:sz w:val="21"/>
                      <w:szCs w:val="21"/>
                    </w:rPr>
                    <w:t>3</w:t>
                  </w:r>
                </w:p>
              </w:tc>
              <w:tc>
                <w:tcPr>
                  <w:tcW w:w="1640" w:type="dxa"/>
                  <w:noWrap w:val="0"/>
                  <w:vAlign w:val="center"/>
                </w:tcPr>
                <w:p>
                  <w:pPr>
                    <w:adjustRightInd w:val="0"/>
                    <w:snapToGrid w:val="0"/>
                    <w:jc w:val="center"/>
                    <w:rPr>
                      <w:rFonts w:hint="default" w:eastAsia="宋体"/>
                      <w:sz w:val="21"/>
                      <w:szCs w:val="21"/>
                      <w:lang w:val="en-US" w:eastAsia="zh-CN"/>
                    </w:rPr>
                  </w:pPr>
                  <w:r>
                    <w:rPr>
                      <w:rFonts w:hint="default"/>
                      <w:sz w:val="21"/>
                      <w:szCs w:val="21"/>
                    </w:rPr>
                    <w:t>＜</w:t>
                  </w:r>
                  <w:r>
                    <w:rPr>
                      <w:rFonts w:hint="eastAsia"/>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空压机</w:t>
                  </w:r>
                </w:p>
              </w:tc>
              <w:tc>
                <w:tcPr>
                  <w:tcW w:w="1375" w:type="dxa"/>
                  <w:noWrap w:val="0"/>
                  <w:vAlign w:val="center"/>
                </w:tcPr>
                <w:p>
                  <w:pPr>
                    <w:adjustRightInd w:val="0"/>
                    <w:snapToGrid w:val="0"/>
                    <w:jc w:val="center"/>
                    <w:rPr>
                      <w:rFonts w:hint="default"/>
                      <w:sz w:val="21"/>
                      <w:szCs w:val="21"/>
                    </w:rPr>
                  </w:pPr>
                  <w:r>
                    <w:rPr>
                      <w:rFonts w:hint="default"/>
                      <w:sz w:val="21"/>
                      <w:szCs w:val="21"/>
                    </w:rPr>
                    <w:t>80-90</w:t>
                  </w:r>
                </w:p>
              </w:tc>
              <w:tc>
                <w:tcPr>
                  <w:tcW w:w="2500" w:type="dxa"/>
                  <w:noWrap w:val="0"/>
                  <w:vAlign w:val="center"/>
                </w:tcPr>
                <w:p>
                  <w:pPr>
                    <w:adjustRightInd w:val="0"/>
                    <w:snapToGrid w:val="0"/>
                    <w:jc w:val="center"/>
                    <w:rPr>
                      <w:rFonts w:hint="default"/>
                      <w:sz w:val="21"/>
                      <w:szCs w:val="21"/>
                    </w:rPr>
                  </w:pPr>
                  <w:r>
                    <w:rPr>
                      <w:rFonts w:hint="default"/>
                      <w:sz w:val="21"/>
                      <w:szCs w:val="21"/>
                    </w:rPr>
                    <w:t>封闭搅拌楼隔声；基础减振；合理平面布局</w:t>
                  </w:r>
                </w:p>
              </w:tc>
              <w:tc>
                <w:tcPr>
                  <w:tcW w:w="1075" w:type="dxa"/>
                  <w:noWrap w:val="0"/>
                  <w:vAlign w:val="center"/>
                </w:tcPr>
                <w:p>
                  <w:pPr>
                    <w:adjustRightInd w:val="0"/>
                    <w:snapToGrid w:val="0"/>
                    <w:jc w:val="center"/>
                    <w:rPr>
                      <w:rFonts w:hint="default"/>
                      <w:sz w:val="21"/>
                      <w:szCs w:val="21"/>
                    </w:rPr>
                  </w:pPr>
                  <w:r>
                    <w:rPr>
                      <w:rFonts w:hint="default"/>
                      <w:sz w:val="21"/>
                      <w:szCs w:val="21"/>
                    </w:rPr>
                    <w:t>3</w:t>
                  </w:r>
                </w:p>
              </w:tc>
              <w:tc>
                <w:tcPr>
                  <w:tcW w:w="1640" w:type="dxa"/>
                  <w:noWrap w:val="0"/>
                  <w:vAlign w:val="center"/>
                </w:tcPr>
                <w:p>
                  <w:pPr>
                    <w:adjustRightInd w:val="0"/>
                    <w:snapToGrid w:val="0"/>
                    <w:jc w:val="center"/>
                    <w:rPr>
                      <w:rFonts w:hint="default" w:eastAsia="宋体"/>
                      <w:sz w:val="21"/>
                      <w:szCs w:val="21"/>
                      <w:lang w:val="en-US" w:eastAsia="zh-CN"/>
                    </w:rPr>
                  </w:pPr>
                  <w:r>
                    <w:rPr>
                      <w:rFonts w:hint="default"/>
                      <w:sz w:val="21"/>
                      <w:szCs w:val="21"/>
                    </w:rPr>
                    <w:t>＜</w:t>
                  </w:r>
                  <w:r>
                    <w:rPr>
                      <w:rFonts w:hint="eastAsia"/>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风机</w:t>
                  </w:r>
                </w:p>
              </w:tc>
              <w:tc>
                <w:tcPr>
                  <w:tcW w:w="1375" w:type="dxa"/>
                  <w:noWrap w:val="0"/>
                  <w:vAlign w:val="center"/>
                </w:tcPr>
                <w:p>
                  <w:pPr>
                    <w:adjustRightInd w:val="0"/>
                    <w:snapToGrid w:val="0"/>
                    <w:jc w:val="center"/>
                    <w:rPr>
                      <w:rFonts w:hint="default"/>
                      <w:sz w:val="21"/>
                      <w:szCs w:val="21"/>
                    </w:rPr>
                  </w:pPr>
                  <w:r>
                    <w:rPr>
                      <w:rFonts w:hint="default"/>
                      <w:sz w:val="21"/>
                      <w:szCs w:val="21"/>
                    </w:rPr>
                    <w:t>70-80</w:t>
                  </w:r>
                </w:p>
              </w:tc>
              <w:tc>
                <w:tcPr>
                  <w:tcW w:w="2500" w:type="dxa"/>
                  <w:noWrap w:val="0"/>
                  <w:vAlign w:val="center"/>
                </w:tcPr>
                <w:p>
                  <w:pPr>
                    <w:adjustRightInd w:val="0"/>
                    <w:snapToGrid w:val="0"/>
                    <w:jc w:val="center"/>
                    <w:rPr>
                      <w:rFonts w:hint="default"/>
                      <w:sz w:val="21"/>
                      <w:szCs w:val="21"/>
                    </w:rPr>
                  </w:pPr>
                  <w:r>
                    <w:rPr>
                      <w:rFonts w:hint="default"/>
                      <w:sz w:val="21"/>
                      <w:szCs w:val="21"/>
                    </w:rPr>
                    <w:t>封闭搅拌楼隔声；基础减振；合理平面布局</w:t>
                  </w:r>
                </w:p>
              </w:tc>
              <w:tc>
                <w:tcPr>
                  <w:tcW w:w="1075" w:type="dxa"/>
                  <w:noWrap w:val="0"/>
                  <w:vAlign w:val="center"/>
                </w:tcPr>
                <w:p>
                  <w:pPr>
                    <w:adjustRightInd w:val="0"/>
                    <w:snapToGrid w:val="0"/>
                    <w:jc w:val="center"/>
                    <w:rPr>
                      <w:rFonts w:hint="default"/>
                      <w:sz w:val="21"/>
                      <w:szCs w:val="21"/>
                    </w:rPr>
                  </w:pPr>
                  <w:r>
                    <w:rPr>
                      <w:rFonts w:hint="default"/>
                      <w:sz w:val="21"/>
                      <w:szCs w:val="21"/>
                    </w:rPr>
                    <w:t>9</w:t>
                  </w:r>
                </w:p>
              </w:tc>
              <w:tc>
                <w:tcPr>
                  <w:tcW w:w="1640" w:type="dxa"/>
                  <w:noWrap w:val="0"/>
                  <w:vAlign w:val="center"/>
                </w:tcPr>
                <w:p>
                  <w:pPr>
                    <w:adjustRightInd w:val="0"/>
                    <w:snapToGrid w:val="0"/>
                    <w:jc w:val="center"/>
                    <w:rPr>
                      <w:rFonts w:hint="default"/>
                      <w:sz w:val="21"/>
                      <w:szCs w:val="21"/>
                    </w:rPr>
                  </w:pPr>
                  <w:r>
                    <w:rPr>
                      <w:rFonts w:hint="default"/>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皮带输送机</w:t>
                  </w:r>
                </w:p>
              </w:tc>
              <w:tc>
                <w:tcPr>
                  <w:tcW w:w="1375" w:type="dxa"/>
                  <w:noWrap w:val="0"/>
                  <w:vAlign w:val="center"/>
                </w:tcPr>
                <w:p>
                  <w:pPr>
                    <w:jc w:val="center"/>
                    <w:rPr>
                      <w:rFonts w:hint="default"/>
                      <w:sz w:val="21"/>
                      <w:szCs w:val="21"/>
                    </w:rPr>
                  </w:pPr>
                  <w:r>
                    <w:rPr>
                      <w:rFonts w:hint="default"/>
                      <w:sz w:val="21"/>
                      <w:szCs w:val="21"/>
                    </w:rPr>
                    <w:t>65~70</w:t>
                  </w:r>
                </w:p>
              </w:tc>
              <w:tc>
                <w:tcPr>
                  <w:tcW w:w="2500" w:type="dxa"/>
                  <w:noWrap w:val="0"/>
                  <w:vAlign w:val="center"/>
                </w:tcPr>
                <w:p>
                  <w:pPr>
                    <w:adjustRightInd w:val="0"/>
                    <w:snapToGrid w:val="0"/>
                    <w:jc w:val="center"/>
                    <w:rPr>
                      <w:rFonts w:hint="default"/>
                      <w:sz w:val="21"/>
                      <w:szCs w:val="21"/>
                    </w:rPr>
                  </w:pPr>
                  <w:r>
                    <w:rPr>
                      <w:rFonts w:hint="default"/>
                      <w:sz w:val="21"/>
                      <w:szCs w:val="21"/>
                    </w:rPr>
                    <w:t>基础减振；合理平面布局</w:t>
                  </w:r>
                </w:p>
              </w:tc>
              <w:tc>
                <w:tcPr>
                  <w:tcW w:w="1075" w:type="dxa"/>
                  <w:noWrap w:val="0"/>
                  <w:vAlign w:val="center"/>
                </w:tcPr>
                <w:p>
                  <w:pPr>
                    <w:adjustRightInd w:val="0"/>
                    <w:snapToGrid w:val="0"/>
                    <w:jc w:val="center"/>
                    <w:rPr>
                      <w:rFonts w:hint="default"/>
                      <w:sz w:val="21"/>
                      <w:szCs w:val="21"/>
                      <w:lang w:val="en-US" w:eastAsia="zh-CN"/>
                    </w:rPr>
                  </w:pPr>
                  <w:r>
                    <w:rPr>
                      <w:rFonts w:hint="default"/>
                      <w:sz w:val="21"/>
                      <w:szCs w:val="21"/>
                      <w:lang w:val="en-US" w:eastAsia="zh-CN"/>
                    </w:rPr>
                    <w:t>80</w:t>
                  </w:r>
                </w:p>
              </w:tc>
              <w:tc>
                <w:tcPr>
                  <w:tcW w:w="1640" w:type="dxa"/>
                  <w:noWrap w:val="0"/>
                  <w:vAlign w:val="center"/>
                </w:tcPr>
                <w:p>
                  <w:pPr>
                    <w:adjustRightInd w:val="0"/>
                    <w:snapToGrid w:val="0"/>
                    <w:jc w:val="center"/>
                    <w:rPr>
                      <w:rFonts w:hint="default"/>
                      <w:sz w:val="21"/>
                      <w:szCs w:val="21"/>
                    </w:rPr>
                  </w:pPr>
                  <w:r>
                    <w:rPr>
                      <w:rFonts w:hint="default"/>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noWrap w:val="0"/>
                  <w:vAlign w:val="center"/>
                </w:tcPr>
                <w:p>
                  <w:pPr>
                    <w:adjustRightInd w:val="0"/>
                    <w:snapToGrid w:val="0"/>
                    <w:jc w:val="center"/>
                    <w:rPr>
                      <w:rFonts w:hint="default"/>
                      <w:sz w:val="21"/>
                      <w:szCs w:val="21"/>
                    </w:rPr>
                  </w:pPr>
                  <w:r>
                    <w:rPr>
                      <w:rFonts w:hint="default"/>
                      <w:sz w:val="21"/>
                      <w:szCs w:val="21"/>
                    </w:rPr>
                    <w:t>运输车辆</w:t>
                  </w:r>
                </w:p>
              </w:tc>
              <w:tc>
                <w:tcPr>
                  <w:tcW w:w="1375" w:type="dxa"/>
                  <w:noWrap w:val="0"/>
                  <w:vAlign w:val="center"/>
                </w:tcPr>
                <w:p>
                  <w:pPr>
                    <w:adjustRightInd w:val="0"/>
                    <w:snapToGrid w:val="0"/>
                    <w:jc w:val="center"/>
                    <w:rPr>
                      <w:rFonts w:hint="default"/>
                      <w:sz w:val="21"/>
                      <w:szCs w:val="21"/>
                    </w:rPr>
                  </w:pPr>
                  <w:r>
                    <w:rPr>
                      <w:rFonts w:hint="default"/>
                      <w:sz w:val="21"/>
                      <w:szCs w:val="21"/>
                    </w:rPr>
                    <w:t>70~75</w:t>
                  </w:r>
                </w:p>
              </w:tc>
              <w:tc>
                <w:tcPr>
                  <w:tcW w:w="2500" w:type="dxa"/>
                  <w:noWrap w:val="0"/>
                  <w:vAlign w:val="center"/>
                </w:tcPr>
                <w:p>
                  <w:pPr>
                    <w:adjustRightInd w:val="0"/>
                    <w:snapToGrid w:val="0"/>
                    <w:jc w:val="center"/>
                    <w:rPr>
                      <w:rFonts w:hint="default"/>
                      <w:sz w:val="21"/>
                      <w:szCs w:val="21"/>
                    </w:rPr>
                  </w:pPr>
                  <w:r>
                    <w:rPr>
                      <w:rFonts w:hint="default"/>
                      <w:sz w:val="21"/>
                      <w:szCs w:val="21"/>
                    </w:rPr>
                    <w:t>隔声、禁鸣、低速行驶、加强管理</w:t>
                  </w:r>
                </w:p>
              </w:tc>
              <w:tc>
                <w:tcPr>
                  <w:tcW w:w="1075" w:type="dxa"/>
                  <w:noWrap w:val="0"/>
                  <w:vAlign w:val="center"/>
                </w:tcPr>
                <w:p>
                  <w:pPr>
                    <w:adjustRightInd w:val="0"/>
                    <w:snapToGrid w:val="0"/>
                    <w:jc w:val="center"/>
                    <w:rPr>
                      <w:rFonts w:hint="default"/>
                      <w:sz w:val="21"/>
                      <w:szCs w:val="21"/>
                    </w:rPr>
                  </w:pPr>
                  <w:r>
                    <w:rPr>
                      <w:rFonts w:hint="default"/>
                      <w:sz w:val="21"/>
                      <w:szCs w:val="21"/>
                    </w:rPr>
                    <w:t>/</w:t>
                  </w:r>
                </w:p>
              </w:tc>
              <w:tc>
                <w:tcPr>
                  <w:tcW w:w="1640" w:type="dxa"/>
                  <w:noWrap w:val="0"/>
                  <w:vAlign w:val="center"/>
                </w:tcPr>
                <w:p>
                  <w:pPr>
                    <w:adjustRightInd w:val="0"/>
                    <w:snapToGrid w:val="0"/>
                    <w:jc w:val="center"/>
                    <w:rPr>
                      <w:rFonts w:hint="default"/>
                      <w:sz w:val="21"/>
                      <w:szCs w:val="21"/>
                    </w:rPr>
                  </w:pPr>
                  <w:r>
                    <w:rPr>
                      <w:rFonts w:hint="default"/>
                      <w:sz w:val="21"/>
                      <w:szCs w:val="21"/>
                    </w:rPr>
                    <w:t>＜65</w:t>
                  </w:r>
                </w:p>
              </w:tc>
            </w:tr>
          </w:tbl>
          <w:p>
            <w:pPr>
              <w:spacing w:line="360" w:lineRule="auto"/>
              <w:ind w:firstLine="482" w:firstLineChars="200"/>
              <w:rPr>
                <w:rFonts w:hint="eastAsia"/>
                <w:b/>
                <w:bCs/>
                <w:sz w:val="24"/>
                <w:szCs w:val="24"/>
              </w:rPr>
            </w:pPr>
            <w:r>
              <w:rPr>
                <w:rFonts w:hint="eastAsia"/>
                <w:b/>
                <w:bCs/>
                <w:sz w:val="24"/>
                <w:szCs w:val="24"/>
              </w:rPr>
              <w:t xml:space="preserve">（4）达标情况分析 </w:t>
            </w:r>
          </w:p>
          <w:p>
            <w:pPr>
              <w:tabs>
                <w:tab w:val="left" w:pos="5670"/>
              </w:tabs>
              <w:spacing w:line="360" w:lineRule="auto"/>
              <w:ind w:firstLine="480" w:firstLineChars="200"/>
              <w:rPr>
                <w:rFonts w:hint="eastAsia"/>
                <w:sz w:val="24"/>
                <w:szCs w:val="24"/>
              </w:rPr>
            </w:pPr>
            <w:r>
              <w:rPr>
                <w:rFonts w:hint="eastAsia"/>
                <w:sz w:val="24"/>
                <w:szCs w:val="24"/>
                <w:lang w:val="en-US" w:eastAsia="zh-CN"/>
              </w:rPr>
              <w:t>本</w:t>
            </w:r>
            <w:r>
              <w:rPr>
                <w:rFonts w:hint="eastAsia"/>
                <w:sz w:val="24"/>
                <w:szCs w:val="24"/>
              </w:rPr>
              <w:t>项目为了评价项目厂界噪声达标情况，将项目噪声源作点声源处理，位置位于搅拌车间，考虑车间内噪声向车间外传播过程中，近似地认为在半自由场中扩散。</w:t>
            </w:r>
          </w:p>
          <w:p>
            <w:pPr>
              <w:tabs>
                <w:tab w:val="left" w:pos="5670"/>
              </w:tabs>
              <w:spacing w:line="360" w:lineRule="auto"/>
              <w:ind w:firstLine="480" w:firstLineChars="200"/>
              <w:rPr>
                <w:rFonts w:hint="eastAsia"/>
              </w:rPr>
            </w:pPr>
            <w:r>
              <w:rPr>
                <w:rFonts w:hint="eastAsia"/>
                <w:sz w:val="24"/>
                <w:szCs w:val="24"/>
              </w:rPr>
              <w:t>根据《环境影响评价技术导则》（HJ2.4-2009）推荐的方法，厂区所有设备噪声照最大影响计算。在采取降噪措施后，项目运营过程设备噪声对厂界噪声的贡献值见下表：</w:t>
            </w:r>
          </w:p>
          <w:p>
            <w:pPr>
              <w:wordWrap w:val="0"/>
              <w:autoSpaceDE w:val="0"/>
              <w:autoSpaceDN w:val="0"/>
              <w:adjustRightInd w:val="0"/>
              <w:snapToGrid w:val="0"/>
              <w:spacing w:before="156" w:beforeLines="50" w:line="240" w:lineRule="atLeast"/>
              <w:jc w:val="right"/>
              <w:rPr>
                <w:rFonts w:hint="eastAsia"/>
              </w:rPr>
            </w:pPr>
            <w:r>
              <w:rPr>
                <w:rFonts w:hint="eastAsia"/>
                <w:b/>
                <w:bCs/>
              </w:rPr>
              <w:t>表4-</w:t>
            </w:r>
            <w:r>
              <w:rPr>
                <w:rFonts w:hint="eastAsia"/>
                <w:b/>
                <w:bCs/>
                <w:lang w:val="en-US" w:eastAsia="zh-CN"/>
              </w:rPr>
              <w:t>6</w:t>
            </w:r>
            <w:r>
              <w:rPr>
                <w:rFonts w:hint="eastAsia"/>
                <w:b/>
                <w:bCs/>
              </w:rPr>
              <w:t xml:space="preserve">  项目厂界噪声预测结果一览表       单位：dB（A</w:t>
            </w:r>
            <w:r>
              <w:rPr>
                <w:rFonts w:hint="eastAsia"/>
              </w:rPr>
              <w:t>）</w:t>
            </w:r>
          </w:p>
          <w:tbl>
            <w:tblPr>
              <w:tblStyle w:val="38"/>
              <w:tblW w:w="491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66"/>
              <w:gridCol w:w="1068"/>
              <w:gridCol w:w="1008"/>
              <w:gridCol w:w="2137"/>
              <w:gridCol w:w="1707"/>
              <w:gridCol w:w="13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420" w:type="pct"/>
                  <w:noWrap w:val="0"/>
                  <w:vAlign w:val="center"/>
                </w:tcPr>
                <w:p>
                  <w:pPr>
                    <w:widowControl/>
                    <w:jc w:val="center"/>
                  </w:pPr>
                  <w:r>
                    <w:t>序号</w:t>
                  </w:r>
                </w:p>
              </w:tc>
              <w:tc>
                <w:tcPr>
                  <w:tcW w:w="674" w:type="pct"/>
                  <w:tcBorders>
                    <w:right w:val="single" w:color="auto" w:sz="4" w:space="0"/>
                  </w:tcBorders>
                  <w:noWrap w:val="0"/>
                  <w:vAlign w:val="center"/>
                </w:tcPr>
                <w:p>
                  <w:pPr>
                    <w:widowControl/>
                    <w:jc w:val="center"/>
                  </w:pPr>
                  <w:r>
                    <w:rPr>
                      <w:rFonts w:hint="eastAsia"/>
                    </w:rPr>
                    <w:t>预测点</w:t>
                  </w:r>
                </w:p>
              </w:tc>
              <w:tc>
                <w:tcPr>
                  <w:tcW w:w="636" w:type="pct"/>
                  <w:tcBorders>
                    <w:left w:val="single" w:color="auto" w:sz="4" w:space="0"/>
                  </w:tcBorders>
                  <w:noWrap w:val="0"/>
                  <w:vAlign w:val="center"/>
                </w:tcPr>
                <w:p>
                  <w:pPr>
                    <w:widowControl/>
                    <w:jc w:val="center"/>
                  </w:pPr>
                  <w:r>
                    <w:rPr>
                      <w:rFonts w:hint="eastAsia"/>
                    </w:rPr>
                    <w:t>距离m</w:t>
                  </w:r>
                </w:p>
              </w:tc>
              <w:tc>
                <w:tcPr>
                  <w:tcW w:w="1348" w:type="pct"/>
                  <w:noWrap w:val="0"/>
                  <w:vAlign w:val="center"/>
                </w:tcPr>
                <w:p>
                  <w:pPr>
                    <w:widowControl/>
                    <w:jc w:val="center"/>
                  </w:pPr>
                  <w:r>
                    <w:rPr>
                      <w:rFonts w:hint="eastAsia"/>
                    </w:rPr>
                    <w:t>厂界噪声贡献值</w:t>
                  </w:r>
                </w:p>
              </w:tc>
              <w:tc>
                <w:tcPr>
                  <w:tcW w:w="1077" w:type="pct"/>
                  <w:noWrap w:val="0"/>
                  <w:vAlign w:val="center"/>
                </w:tcPr>
                <w:p>
                  <w:pPr>
                    <w:widowControl/>
                    <w:jc w:val="center"/>
                  </w:pPr>
                  <w:r>
                    <w:rPr>
                      <w:rFonts w:hint="eastAsia"/>
                    </w:rPr>
                    <w:t>执行标准</w:t>
                  </w:r>
                </w:p>
              </w:tc>
              <w:tc>
                <w:tcPr>
                  <w:tcW w:w="842" w:type="pct"/>
                  <w:noWrap w:val="0"/>
                  <w:vAlign w:val="center"/>
                </w:tcPr>
                <w:p>
                  <w:pPr>
                    <w:widowControl/>
                    <w:jc w:val="center"/>
                  </w:pPr>
                  <w:r>
                    <w:rPr>
                      <w:rFonts w:hint="eastAsia"/>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420" w:type="pct"/>
                  <w:noWrap w:val="0"/>
                  <w:vAlign w:val="center"/>
                </w:tcPr>
                <w:p>
                  <w:pPr>
                    <w:widowControl/>
                    <w:jc w:val="center"/>
                  </w:pPr>
                  <w:r>
                    <w:t>1</w:t>
                  </w:r>
                </w:p>
              </w:tc>
              <w:tc>
                <w:tcPr>
                  <w:tcW w:w="674" w:type="pct"/>
                  <w:tcBorders>
                    <w:right w:val="single" w:color="auto" w:sz="4" w:space="0"/>
                  </w:tcBorders>
                  <w:noWrap w:val="0"/>
                  <w:vAlign w:val="center"/>
                </w:tcPr>
                <w:p>
                  <w:pPr>
                    <w:jc w:val="center"/>
                    <w:rPr>
                      <w:rFonts w:hint="eastAsia"/>
                    </w:rPr>
                  </w:pPr>
                  <w:r>
                    <w:rPr>
                      <w:rFonts w:hint="eastAsia"/>
                    </w:rPr>
                    <w:t>东厂界</w:t>
                  </w:r>
                </w:p>
              </w:tc>
              <w:tc>
                <w:tcPr>
                  <w:tcW w:w="636" w:type="pct"/>
                  <w:tcBorders>
                    <w:left w:val="single" w:color="auto" w:sz="4" w:space="0"/>
                  </w:tcBorders>
                  <w:noWrap w:val="0"/>
                  <w:vAlign w:val="center"/>
                </w:tcPr>
                <w:p>
                  <w:pPr>
                    <w:jc w:val="center"/>
                    <w:rPr>
                      <w:rFonts w:hint="eastAsia"/>
                    </w:rPr>
                  </w:pPr>
                  <w:r>
                    <w:rPr>
                      <w:rFonts w:hint="eastAsia"/>
                      <w:lang w:val="en-US" w:eastAsia="zh-CN"/>
                    </w:rPr>
                    <w:t>5</w:t>
                  </w:r>
                  <w:r>
                    <w:rPr>
                      <w:rFonts w:hint="eastAsia"/>
                    </w:rPr>
                    <w:t>0</w:t>
                  </w:r>
                </w:p>
              </w:tc>
              <w:tc>
                <w:tcPr>
                  <w:tcW w:w="1348" w:type="pct"/>
                  <w:noWrap w:val="0"/>
                  <w:vAlign w:val="bottom"/>
                </w:tcPr>
                <w:p>
                  <w:pPr>
                    <w:jc w:val="center"/>
                    <w:rPr>
                      <w:rFonts w:hint="default"/>
                      <w:lang w:val="en-US" w:eastAsia="zh-CN"/>
                    </w:rPr>
                  </w:pPr>
                  <w:r>
                    <w:rPr>
                      <w:rFonts w:hint="eastAsia"/>
                      <w:lang w:val="en-US" w:eastAsia="zh-CN"/>
                    </w:rPr>
                    <w:t>60.0</w:t>
                  </w:r>
                </w:p>
              </w:tc>
              <w:tc>
                <w:tcPr>
                  <w:tcW w:w="1077" w:type="pct"/>
                  <w:vMerge w:val="restart"/>
                  <w:noWrap w:val="0"/>
                  <w:vAlign w:val="center"/>
                </w:tcPr>
                <w:p>
                  <w:pPr>
                    <w:widowControl/>
                    <w:spacing w:line="240" w:lineRule="exact"/>
                    <w:jc w:val="center"/>
                    <w:rPr>
                      <w:rFonts w:hint="eastAsia"/>
                      <w:lang w:eastAsia="zh-CN"/>
                    </w:rPr>
                  </w:pPr>
                  <w:r>
                    <w:t>昼间：6</w:t>
                  </w:r>
                  <w:r>
                    <w:rPr>
                      <w:rFonts w:hint="eastAsia"/>
                      <w:lang w:val="en-US" w:eastAsia="zh-CN"/>
                    </w:rPr>
                    <w:t>5</w:t>
                  </w:r>
                </w:p>
                <w:p>
                  <w:pPr>
                    <w:jc w:val="center"/>
                    <w:rPr>
                      <w:rFonts w:hint="eastAsia" w:eastAsia="宋体"/>
                      <w:lang w:eastAsia="zh-CN"/>
                    </w:rPr>
                  </w:pPr>
                  <w:r>
                    <w:t>夜间：</w:t>
                  </w:r>
                  <w:r>
                    <w:rPr>
                      <w:rFonts w:hint="eastAsia"/>
                      <w:lang w:val="en-US" w:eastAsia="zh-CN"/>
                    </w:rPr>
                    <w:t>不生产</w:t>
                  </w:r>
                </w:p>
              </w:tc>
              <w:tc>
                <w:tcPr>
                  <w:tcW w:w="842" w:type="pct"/>
                  <w:noWrap w:val="0"/>
                  <w:vAlign w:val="center"/>
                </w:tcPr>
                <w:p>
                  <w:pPr>
                    <w:widowControl/>
                    <w:jc w:val="center"/>
                  </w:pPr>
                  <w:r>
                    <w:rPr>
                      <w:rFonts w:hint="eastAsi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420" w:type="pct"/>
                  <w:noWrap w:val="0"/>
                  <w:vAlign w:val="center"/>
                </w:tcPr>
                <w:p>
                  <w:pPr>
                    <w:widowControl/>
                    <w:jc w:val="center"/>
                  </w:pPr>
                  <w:r>
                    <w:t>2</w:t>
                  </w:r>
                </w:p>
              </w:tc>
              <w:tc>
                <w:tcPr>
                  <w:tcW w:w="674" w:type="pct"/>
                  <w:tcBorders>
                    <w:right w:val="single" w:color="auto" w:sz="4" w:space="0"/>
                  </w:tcBorders>
                  <w:noWrap w:val="0"/>
                  <w:vAlign w:val="center"/>
                </w:tcPr>
                <w:p>
                  <w:pPr>
                    <w:jc w:val="center"/>
                    <w:rPr>
                      <w:rFonts w:hint="eastAsia"/>
                    </w:rPr>
                  </w:pPr>
                  <w:r>
                    <w:rPr>
                      <w:rFonts w:hint="eastAsia"/>
                    </w:rPr>
                    <w:t>西厂界</w:t>
                  </w:r>
                </w:p>
              </w:tc>
              <w:tc>
                <w:tcPr>
                  <w:tcW w:w="636" w:type="pct"/>
                  <w:tcBorders>
                    <w:left w:val="single" w:color="auto" w:sz="4" w:space="0"/>
                  </w:tcBorders>
                  <w:noWrap w:val="0"/>
                  <w:vAlign w:val="center"/>
                </w:tcPr>
                <w:p>
                  <w:pPr>
                    <w:jc w:val="center"/>
                    <w:rPr>
                      <w:rFonts w:hint="eastAsia"/>
                    </w:rPr>
                  </w:pPr>
                  <w:r>
                    <w:rPr>
                      <w:rFonts w:hint="eastAsia"/>
                      <w:lang w:val="en-US" w:eastAsia="zh-CN"/>
                    </w:rPr>
                    <w:t>4</w:t>
                  </w:r>
                  <w:r>
                    <w:rPr>
                      <w:rFonts w:hint="eastAsia"/>
                    </w:rPr>
                    <w:t>0</w:t>
                  </w:r>
                </w:p>
              </w:tc>
              <w:tc>
                <w:tcPr>
                  <w:tcW w:w="1348" w:type="pct"/>
                  <w:noWrap w:val="0"/>
                  <w:vAlign w:val="bottom"/>
                </w:tcPr>
                <w:p>
                  <w:pPr>
                    <w:jc w:val="center"/>
                    <w:rPr>
                      <w:rFonts w:hint="default"/>
                      <w:lang w:val="en-US" w:eastAsia="zh-CN"/>
                    </w:rPr>
                  </w:pPr>
                  <w:r>
                    <w:rPr>
                      <w:rFonts w:hint="eastAsia"/>
                      <w:lang w:val="en-US" w:eastAsia="zh-CN"/>
                    </w:rPr>
                    <w:t>61.9</w:t>
                  </w:r>
                </w:p>
              </w:tc>
              <w:tc>
                <w:tcPr>
                  <w:tcW w:w="1077" w:type="pct"/>
                  <w:vMerge w:val="continue"/>
                  <w:noWrap w:val="0"/>
                  <w:vAlign w:val="center"/>
                </w:tcPr>
                <w:p>
                  <w:pPr>
                    <w:jc w:val="center"/>
                    <w:rPr>
                      <w:rFonts w:hint="eastAsia"/>
                    </w:rPr>
                  </w:pPr>
                </w:p>
              </w:tc>
              <w:tc>
                <w:tcPr>
                  <w:tcW w:w="842" w:type="pct"/>
                  <w:noWrap w:val="0"/>
                  <w:vAlign w:val="center"/>
                </w:tcPr>
                <w:p>
                  <w:pPr>
                    <w:widowControl/>
                    <w:jc w:val="center"/>
                  </w:pPr>
                  <w:r>
                    <w:rPr>
                      <w:rFonts w:hint="eastAsi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420" w:type="pct"/>
                  <w:noWrap w:val="0"/>
                  <w:vAlign w:val="center"/>
                </w:tcPr>
                <w:p>
                  <w:pPr>
                    <w:widowControl/>
                    <w:jc w:val="center"/>
                  </w:pPr>
                  <w:r>
                    <w:t>3</w:t>
                  </w:r>
                </w:p>
              </w:tc>
              <w:tc>
                <w:tcPr>
                  <w:tcW w:w="674" w:type="pct"/>
                  <w:tcBorders>
                    <w:right w:val="single" w:color="auto" w:sz="4" w:space="0"/>
                  </w:tcBorders>
                  <w:noWrap w:val="0"/>
                  <w:vAlign w:val="center"/>
                </w:tcPr>
                <w:p>
                  <w:pPr>
                    <w:jc w:val="center"/>
                    <w:rPr>
                      <w:rFonts w:hint="eastAsia"/>
                    </w:rPr>
                  </w:pPr>
                  <w:r>
                    <w:rPr>
                      <w:rFonts w:hint="eastAsia"/>
                    </w:rPr>
                    <w:t>南厂界</w:t>
                  </w:r>
                </w:p>
              </w:tc>
              <w:tc>
                <w:tcPr>
                  <w:tcW w:w="636" w:type="pct"/>
                  <w:tcBorders>
                    <w:left w:val="single" w:color="auto" w:sz="4" w:space="0"/>
                  </w:tcBorders>
                  <w:noWrap w:val="0"/>
                  <w:vAlign w:val="center"/>
                </w:tcPr>
                <w:p>
                  <w:pPr>
                    <w:jc w:val="center"/>
                    <w:rPr>
                      <w:rFonts w:hint="eastAsia"/>
                    </w:rPr>
                  </w:pPr>
                  <w:r>
                    <w:rPr>
                      <w:rFonts w:hint="eastAsia"/>
                      <w:lang w:val="en-US" w:eastAsia="zh-CN"/>
                    </w:rPr>
                    <w:t>9</w:t>
                  </w:r>
                  <w:r>
                    <w:rPr>
                      <w:rFonts w:hint="eastAsia"/>
                    </w:rPr>
                    <w:t>0</w:t>
                  </w:r>
                </w:p>
              </w:tc>
              <w:tc>
                <w:tcPr>
                  <w:tcW w:w="1348" w:type="pct"/>
                  <w:noWrap w:val="0"/>
                  <w:vAlign w:val="bottom"/>
                </w:tcPr>
                <w:p>
                  <w:pPr>
                    <w:jc w:val="center"/>
                    <w:rPr>
                      <w:rFonts w:hint="default"/>
                      <w:lang w:val="en-US" w:eastAsia="zh-CN"/>
                    </w:rPr>
                  </w:pPr>
                  <w:r>
                    <w:rPr>
                      <w:rFonts w:hint="eastAsia"/>
                      <w:lang w:val="en-US" w:eastAsia="zh-CN"/>
                    </w:rPr>
                    <w:t>54.9</w:t>
                  </w:r>
                </w:p>
              </w:tc>
              <w:tc>
                <w:tcPr>
                  <w:tcW w:w="1077" w:type="pct"/>
                  <w:vMerge w:val="continue"/>
                  <w:noWrap w:val="0"/>
                  <w:vAlign w:val="center"/>
                </w:tcPr>
                <w:p>
                  <w:pPr>
                    <w:jc w:val="center"/>
                    <w:rPr>
                      <w:rFonts w:hint="eastAsia"/>
                    </w:rPr>
                  </w:pPr>
                </w:p>
              </w:tc>
              <w:tc>
                <w:tcPr>
                  <w:tcW w:w="842" w:type="pct"/>
                  <w:noWrap w:val="0"/>
                  <w:vAlign w:val="center"/>
                </w:tcPr>
                <w:p>
                  <w:pPr>
                    <w:widowControl/>
                    <w:jc w:val="center"/>
                  </w:pPr>
                  <w:r>
                    <w:rPr>
                      <w:rFonts w:hint="eastAsi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420" w:type="pct"/>
                  <w:noWrap w:val="0"/>
                  <w:vAlign w:val="center"/>
                </w:tcPr>
                <w:p>
                  <w:pPr>
                    <w:widowControl/>
                    <w:jc w:val="center"/>
                  </w:pPr>
                  <w:r>
                    <w:t>4</w:t>
                  </w:r>
                </w:p>
              </w:tc>
              <w:tc>
                <w:tcPr>
                  <w:tcW w:w="674" w:type="pct"/>
                  <w:tcBorders>
                    <w:right w:val="single" w:color="auto" w:sz="4" w:space="0"/>
                  </w:tcBorders>
                  <w:noWrap w:val="0"/>
                  <w:vAlign w:val="center"/>
                </w:tcPr>
                <w:p>
                  <w:pPr>
                    <w:jc w:val="center"/>
                    <w:rPr>
                      <w:rFonts w:hint="eastAsia"/>
                    </w:rPr>
                  </w:pPr>
                  <w:r>
                    <w:rPr>
                      <w:rFonts w:hint="eastAsia"/>
                    </w:rPr>
                    <w:t>北厂界</w:t>
                  </w:r>
                </w:p>
              </w:tc>
              <w:tc>
                <w:tcPr>
                  <w:tcW w:w="636" w:type="pct"/>
                  <w:tcBorders>
                    <w:left w:val="single" w:color="auto" w:sz="4" w:space="0"/>
                  </w:tcBorders>
                  <w:noWrap w:val="0"/>
                  <w:vAlign w:val="center"/>
                </w:tcPr>
                <w:p>
                  <w:pPr>
                    <w:jc w:val="center"/>
                    <w:rPr>
                      <w:rFonts w:hint="eastAsia"/>
                    </w:rPr>
                  </w:pPr>
                  <w:r>
                    <w:rPr>
                      <w:rFonts w:hint="eastAsia"/>
                      <w:lang w:val="en-US" w:eastAsia="zh-CN"/>
                    </w:rPr>
                    <w:t>8</w:t>
                  </w:r>
                  <w:r>
                    <w:rPr>
                      <w:rFonts w:hint="eastAsia"/>
                    </w:rPr>
                    <w:t>0</w:t>
                  </w:r>
                </w:p>
              </w:tc>
              <w:tc>
                <w:tcPr>
                  <w:tcW w:w="1348" w:type="pct"/>
                  <w:noWrap w:val="0"/>
                  <w:vAlign w:val="bottom"/>
                </w:tcPr>
                <w:p>
                  <w:pPr>
                    <w:jc w:val="center"/>
                    <w:rPr>
                      <w:rFonts w:hint="default"/>
                      <w:lang w:val="en-US" w:eastAsia="zh-CN"/>
                    </w:rPr>
                  </w:pPr>
                  <w:r>
                    <w:rPr>
                      <w:rFonts w:hint="eastAsia"/>
                      <w:lang w:val="en-US" w:eastAsia="zh-CN"/>
                    </w:rPr>
                    <w:t>55.9</w:t>
                  </w:r>
                </w:p>
              </w:tc>
              <w:tc>
                <w:tcPr>
                  <w:tcW w:w="1077" w:type="pct"/>
                  <w:vMerge w:val="continue"/>
                  <w:noWrap w:val="0"/>
                  <w:vAlign w:val="center"/>
                </w:tcPr>
                <w:p>
                  <w:pPr>
                    <w:jc w:val="center"/>
                    <w:rPr>
                      <w:rFonts w:hint="eastAsia"/>
                    </w:rPr>
                  </w:pPr>
                </w:p>
              </w:tc>
              <w:tc>
                <w:tcPr>
                  <w:tcW w:w="842" w:type="pct"/>
                  <w:noWrap w:val="0"/>
                  <w:vAlign w:val="center"/>
                </w:tcPr>
                <w:p>
                  <w:pPr>
                    <w:widowControl/>
                    <w:jc w:val="center"/>
                  </w:pPr>
                  <w:r>
                    <w:rPr>
                      <w:rFonts w:hint="eastAsi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420" w:type="pct"/>
                  <w:noWrap w:val="0"/>
                  <w:vAlign w:val="center"/>
                </w:tcPr>
                <w:p>
                  <w:pPr>
                    <w:widowControl/>
                    <w:jc w:val="center"/>
                    <w:rPr>
                      <w:rFonts w:hint="eastAsia" w:eastAsia="宋体"/>
                      <w:lang w:val="en-US" w:eastAsia="zh-CN"/>
                    </w:rPr>
                  </w:pPr>
                  <w:r>
                    <w:rPr>
                      <w:rFonts w:hint="eastAsia"/>
                      <w:lang w:val="en-US" w:eastAsia="zh-CN"/>
                    </w:rPr>
                    <w:t>5</w:t>
                  </w:r>
                </w:p>
              </w:tc>
              <w:tc>
                <w:tcPr>
                  <w:tcW w:w="674" w:type="pct"/>
                  <w:tcBorders>
                    <w:right w:val="single" w:color="auto" w:sz="4" w:space="0"/>
                  </w:tcBorders>
                  <w:noWrap w:val="0"/>
                  <w:vAlign w:val="center"/>
                </w:tcPr>
                <w:p>
                  <w:pPr>
                    <w:jc w:val="center"/>
                    <w:rPr>
                      <w:rFonts w:hint="default" w:eastAsia="宋体"/>
                      <w:lang w:val="en-US" w:eastAsia="zh-CN"/>
                    </w:rPr>
                  </w:pPr>
                  <w:r>
                    <w:rPr>
                      <w:rFonts w:hint="eastAsia"/>
                      <w:lang w:val="en-US" w:eastAsia="zh-CN"/>
                    </w:rPr>
                    <w:t>南面40m住户</w:t>
                  </w:r>
                </w:p>
              </w:tc>
              <w:tc>
                <w:tcPr>
                  <w:tcW w:w="636" w:type="pct"/>
                  <w:tcBorders>
                    <w:left w:val="single" w:color="auto" w:sz="4" w:space="0"/>
                  </w:tcBorders>
                  <w:noWrap w:val="0"/>
                  <w:vAlign w:val="center"/>
                </w:tcPr>
                <w:p>
                  <w:pPr>
                    <w:jc w:val="center"/>
                    <w:rPr>
                      <w:rFonts w:hint="default"/>
                      <w:lang w:val="en-US" w:eastAsia="zh-CN"/>
                    </w:rPr>
                  </w:pPr>
                  <w:r>
                    <w:rPr>
                      <w:rFonts w:hint="eastAsia"/>
                      <w:lang w:val="en-US" w:eastAsia="zh-CN"/>
                    </w:rPr>
                    <w:t>130</w:t>
                  </w:r>
                </w:p>
              </w:tc>
              <w:tc>
                <w:tcPr>
                  <w:tcW w:w="1348" w:type="pct"/>
                  <w:noWrap w:val="0"/>
                  <w:vAlign w:val="center"/>
                </w:tcPr>
                <w:p>
                  <w:pPr>
                    <w:jc w:val="center"/>
                    <w:rPr>
                      <w:rFonts w:hint="default"/>
                      <w:lang w:val="en-US" w:eastAsia="zh-CN"/>
                    </w:rPr>
                  </w:pPr>
                  <w:r>
                    <w:rPr>
                      <w:rFonts w:hint="eastAsia"/>
                      <w:lang w:val="en-US" w:eastAsia="zh-CN"/>
                    </w:rPr>
                    <w:t>51.7</w:t>
                  </w:r>
                </w:p>
              </w:tc>
              <w:tc>
                <w:tcPr>
                  <w:tcW w:w="1077" w:type="pct"/>
                  <w:noWrap w:val="0"/>
                  <w:vAlign w:val="center"/>
                </w:tcPr>
                <w:p>
                  <w:pPr>
                    <w:widowControl/>
                    <w:spacing w:line="240" w:lineRule="exact"/>
                    <w:jc w:val="center"/>
                    <w:rPr>
                      <w:rFonts w:hint="eastAsia"/>
                      <w:lang w:eastAsia="zh-CN"/>
                    </w:rPr>
                  </w:pPr>
                  <w:r>
                    <w:t>昼间：6</w:t>
                  </w:r>
                  <w:r>
                    <w:rPr>
                      <w:rFonts w:hint="eastAsia"/>
                      <w:lang w:val="en-US" w:eastAsia="zh-CN"/>
                    </w:rPr>
                    <w:t>0</w:t>
                  </w:r>
                </w:p>
                <w:p>
                  <w:pPr>
                    <w:jc w:val="center"/>
                    <w:rPr>
                      <w:rFonts w:hint="eastAsia"/>
                    </w:rPr>
                  </w:pPr>
                  <w:r>
                    <w:t>夜间：</w:t>
                  </w:r>
                  <w:r>
                    <w:rPr>
                      <w:rFonts w:hint="eastAsia"/>
                      <w:lang w:val="en-US" w:eastAsia="zh-CN"/>
                    </w:rPr>
                    <w:t>不生产</w:t>
                  </w:r>
                </w:p>
              </w:tc>
              <w:tc>
                <w:tcPr>
                  <w:tcW w:w="842" w:type="pct"/>
                  <w:noWrap w:val="0"/>
                  <w:vAlign w:val="center"/>
                </w:tcPr>
                <w:p>
                  <w:pPr>
                    <w:widowControl/>
                    <w:jc w:val="center"/>
                    <w:rPr>
                      <w:rFonts w:hint="eastAsia"/>
                    </w:rPr>
                  </w:pPr>
                  <w:r>
                    <w:rPr>
                      <w:rFonts w:hint="eastAsia"/>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 w:hRule="atLeast"/>
                <w:jc w:val="center"/>
              </w:trPr>
              <w:tc>
                <w:tcPr>
                  <w:tcW w:w="5000" w:type="pct"/>
                  <w:gridSpan w:val="6"/>
                  <w:noWrap w:val="0"/>
                  <w:vAlign w:val="center"/>
                </w:tcPr>
                <w:p>
                  <w:pPr>
                    <w:widowControl/>
                    <w:jc w:val="left"/>
                    <w:rPr>
                      <w:rFonts w:hint="eastAsia"/>
                    </w:rPr>
                  </w:pPr>
                  <w:r>
                    <w:rPr>
                      <w:rFonts w:hint="eastAsia"/>
                    </w:rPr>
                    <w:t>预测结果：项目夜间不进行生产，昼间各侧厂界噪声贡献值在52.19~55.71dB（A），贡献值昼间噪声可以达到《工业企业厂界环境噪声排放标准》（GB12348-2008）3类标准。</w:t>
                  </w:r>
                </w:p>
              </w:tc>
            </w:tr>
          </w:tbl>
          <w:p>
            <w:pPr>
              <w:adjustRightInd w:val="0"/>
              <w:snapToGrid w:val="0"/>
              <w:spacing w:line="360" w:lineRule="auto"/>
              <w:ind w:firstLine="480" w:firstLineChars="200"/>
              <w:rPr>
                <w:rFonts w:hint="eastAsia"/>
                <w:bCs/>
                <w:szCs w:val="21"/>
              </w:rPr>
            </w:pPr>
            <w:r>
              <w:rPr>
                <w:sz w:val="24"/>
                <w:szCs w:val="24"/>
              </w:rPr>
              <w:t>综上所述，在严格采取上述隔声降噪措施后，经距离衰减、厂界围墙隔声后，其厂界噪声可达</w:t>
            </w:r>
            <w:r>
              <w:rPr>
                <w:rFonts w:ascii="Times New Roman" w:hAnsi="Times New Roman" w:eastAsia="宋体" w:cs="Times New Roman"/>
                <w:sz w:val="24"/>
                <w:szCs w:val="24"/>
              </w:rPr>
              <w:t>到《工业企业厂界环境噪声排放标准》（GB12348-2008）中</w:t>
            </w:r>
            <w:r>
              <w:rPr>
                <w:rFonts w:hint="eastAsia" w:ascii="Times New Roman" w:hAnsi="Times New Roman" w:eastAsia="宋体" w:cs="Times New Roman"/>
                <w:sz w:val="24"/>
                <w:szCs w:val="24"/>
              </w:rPr>
              <w:t>3</w:t>
            </w:r>
            <w:r>
              <w:rPr>
                <w:rFonts w:ascii="Times New Roman" w:hAnsi="Times New Roman" w:eastAsia="宋体" w:cs="Times New Roman"/>
                <w:sz w:val="24"/>
                <w:szCs w:val="24"/>
              </w:rPr>
              <w:t>类标准昼间</w:t>
            </w:r>
            <w:r>
              <w:rPr>
                <w:rFonts w:hint="eastAsia" w:ascii="Times New Roman" w:hAnsi="Times New Roman" w:eastAsia="宋体" w:cs="Times New Roman"/>
                <w:sz w:val="24"/>
                <w:szCs w:val="24"/>
              </w:rPr>
              <w:t>65</w:t>
            </w:r>
            <w:r>
              <w:rPr>
                <w:rFonts w:ascii="Times New Roman" w:hAnsi="Times New Roman" w:eastAsia="宋体" w:cs="Times New Roman"/>
                <w:sz w:val="24"/>
                <w:szCs w:val="24"/>
              </w:rPr>
              <w:t>dB（A）</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南面10</w:t>
            </w:r>
            <w:r>
              <w:rPr>
                <w:rFonts w:hint="eastAsia" w:ascii="Times New Roman" w:hAnsi="Times New Roman" w:eastAsia="宋体" w:cs="Times New Roman"/>
                <w:sz w:val="24"/>
                <w:szCs w:val="24"/>
              </w:rPr>
              <w:t>m处</w:t>
            </w:r>
            <w:r>
              <w:rPr>
                <w:rFonts w:hint="eastAsia" w:ascii="Times New Roman" w:hAnsi="Times New Roman" w:eastAsia="宋体" w:cs="Times New Roman"/>
                <w:sz w:val="24"/>
                <w:szCs w:val="24"/>
                <w:lang w:val="en-US" w:eastAsia="zh-CN"/>
              </w:rPr>
              <w:t>住户</w:t>
            </w:r>
            <w:r>
              <w:rPr>
                <w:rFonts w:ascii="Times New Roman" w:hAnsi="Times New Roman" w:eastAsia="宋体" w:cs="Times New Roman"/>
                <w:sz w:val="24"/>
                <w:szCs w:val="24"/>
              </w:rPr>
              <w:t>昼夜噪声预测值</w:t>
            </w:r>
            <w:r>
              <w:rPr>
                <w:rFonts w:hint="eastAsia" w:ascii="Times New Roman" w:hAnsi="Times New Roman" w:eastAsia="宋体" w:cs="Times New Roman"/>
                <w:sz w:val="24"/>
                <w:szCs w:val="24"/>
              </w:rPr>
              <w:t>均</w:t>
            </w:r>
            <w:r>
              <w:rPr>
                <w:rFonts w:ascii="Times New Roman" w:hAnsi="Times New Roman" w:eastAsia="宋体" w:cs="Times New Roman"/>
                <w:sz w:val="24"/>
                <w:szCs w:val="24"/>
              </w:rPr>
              <w:t>满足</w:t>
            </w:r>
            <w:r>
              <w:rPr>
                <w:rFonts w:hint="eastAsia" w:ascii="Times New Roman" w:hAnsi="Times New Roman" w:eastAsia="宋体" w:cs="Times New Roman"/>
                <w:sz w:val="24"/>
                <w:szCs w:val="24"/>
              </w:rPr>
              <w:t>《声环境质量标准》（GB3096</w:t>
            </w:r>
            <w:r>
              <w:rPr>
                <w:rFonts w:ascii="Times New Roman" w:hAnsi="Times New Roman" w:eastAsia="宋体" w:cs="Times New Roman"/>
                <w:sz w:val="24"/>
                <w:szCs w:val="24"/>
              </w:rPr>
              <w:t>-2008</w:t>
            </w:r>
            <w:r>
              <w:rPr>
                <w:rFonts w:hint="eastAsia" w:ascii="Times New Roman" w:hAnsi="Times New Roman" w:eastAsia="宋体" w:cs="Times New Roman"/>
                <w:sz w:val="24"/>
                <w:szCs w:val="24"/>
              </w:rPr>
              <w:t>）中</w:t>
            </w:r>
            <w:r>
              <w:rPr>
                <w:rFonts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类</w:t>
            </w:r>
            <w:r>
              <w:rPr>
                <w:rFonts w:ascii="Times New Roman" w:hAnsi="Times New Roman" w:eastAsia="宋体" w:cs="Times New Roman"/>
                <w:sz w:val="24"/>
                <w:szCs w:val="24"/>
              </w:rPr>
              <w:t>标准要求。</w:t>
            </w:r>
          </w:p>
          <w:p>
            <w:pPr>
              <w:spacing w:line="360" w:lineRule="auto"/>
              <w:ind w:firstLine="482" w:firstLineChars="200"/>
              <w:rPr>
                <w:rFonts w:hint="eastAsia"/>
                <w:b/>
                <w:bCs/>
                <w:sz w:val="24"/>
                <w:szCs w:val="24"/>
              </w:rPr>
            </w:pPr>
            <w:r>
              <w:rPr>
                <w:rFonts w:hint="eastAsia"/>
                <w:b/>
                <w:bCs/>
                <w:sz w:val="24"/>
                <w:szCs w:val="24"/>
              </w:rPr>
              <w:t>（5）运输线路噪声</w:t>
            </w:r>
          </w:p>
          <w:p>
            <w:pPr>
              <w:tabs>
                <w:tab w:val="left" w:pos="5670"/>
              </w:tabs>
              <w:spacing w:line="360" w:lineRule="auto"/>
              <w:ind w:firstLine="480" w:firstLineChars="200"/>
              <w:rPr>
                <w:rFonts w:hint="eastAsia"/>
                <w:sz w:val="24"/>
                <w:szCs w:val="24"/>
              </w:rPr>
            </w:pPr>
            <w:r>
              <w:rPr>
                <w:rFonts w:hint="eastAsia"/>
                <w:sz w:val="24"/>
                <w:szCs w:val="24"/>
              </w:rPr>
              <w:t>项目设置于乐山市工业集中区水口-罗汉园区内，园区已经完成了规划环评，园区内交通条件完善，园区内道路周边近距离内无敏感目标。项目所处园区临近苏沙路，是本项目的主要对外运输路线，该路线周边沿线涉及数个乡镇建成区，本项目</w:t>
            </w:r>
            <w:r>
              <w:rPr>
                <w:rFonts w:hint="eastAsia"/>
                <w:sz w:val="24"/>
                <w:szCs w:val="24"/>
                <w:lang w:val="en-US" w:eastAsia="zh-CN"/>
              </w:rPr>
              <w:t>原料运输作业均不得在夜间进行</w:t>
            </w:r>
            <w:r>
              <w:rPr>
                <w:rFonts w:hint="eastAsia"/>
                <w:sz w:val="24"/>
                <w:szCs w:val="24"/>
              </w:rPr>
              <w:t>、禁止超载、禁止超速的要求，并且做到在经过乡镇建成区时禁止鸣笛。</w:t>
            </w:r>
          </w:p>
          <w:p>
            <w:pPr>
              <w:tabs>
                <w:tab w:val="left" w:pos="5670"/>
              </w:tabs>
              <w:spacing w:line="360" w:lineRule="auto"/>
              <w:ind w:firstLine="480" w:firstLineChars="200"/>
              <w:rPr>
                <w:rFonts w:hint="eastAsia"/>
                <w:sz w:val="24"/>
                <w:szCs w:val="24"/>
              </w:rPr>
            </w:pPr>
            <w:r>
              <w:rPr>
                <w:rFonts w:hint="eastAsia"/>
                <w:sz w:val="24"/>
                <w:szCs w:val="24"/>
              </w:rPr>
              <w:t>落实以上环保措施后，本项目装载车辆对运输线路周边环境保护目标的噪声影响能得到明显控制，不会产生噪声扰民现象。</w:t>
            </w:r>
          </w:p>
          <w:p>
            <w:pPr>
              <w:tabs>
                <w:tab w:val="left" w:pos="5670"/>
              </w:tabs>
              <w:spacing w:line="360" w:lineRule="auto"/>
              <w:ind w:firstLine="482" w:firstLineChars="200"/>
              <w:rPr>
                <w:rFonts w:hint="eastAsia"/>
                <w:b/>
                <w:bCs/>
                <w:sz w:val="24"/>
                <w:szCs w:val="24"/>
              </w:rPr>
            </w:pPr>
            <w:r>
              <w:rPr>
                <w:rFonts w:hint="eastAsia"/>
                <w:b/>
                <w:bCs/>
                <w:sz w:val="24"/>
                <w:szCs w:val="24"/>
              </w:rPr>
              <w:t xml:space="preserve">（6）监测计划 </w:t>
            </w:r>
          </w:p>
          <w:p>
            <w:pPr>
              <w:tabs>
                <w:tab w:val="left" w:pos="5670"/>
              </w:tabs>
              <w:spacing w:line="360" w:lineRule="auto"/>
              <w:ind w:firstLine="480" w:firstLineChars="200"/>
              <w:rPr>
                <w:rFonts w:hint="eastAsia"/>
                <w:sz w:val="24"/>
                <w:szCs w:val="24"/>
              </w:rPr>
            </w:pPr>
            <w:r>
              <w:rPr>
                <w:rFonts w:hint="eastAsia"/>
                <w:sz w:val="24"/>
                <w:szCs w:val="24"/>
              </w:rPr>
              <w:t>项目厂界噪声监测要求具体见下表。</w:t>
            </w:r>
          </w:p>
          <w:p>
            <w:pPr>
              <w:wordWrap/>
              <w:autoSpaceDE w:val="0"/>
              <w:autoSpaceDN w:val="0"/>
              <w:adjustRightInd w:val="0"/>
              <w:snapToGrid w:val="0"/>
              <w:spacing w:before="156" w:beforeLines="50" w:line="240" w:lineRule="atLeast"/>
              <w:jc w:val="center"/>
              <w:rPr>
                <w:rFonts w:hint="eastAsia" w:ascii="Times New Roman" w:hAnsi="Times New Roman" w:eastAsia="宋体" w:cs="Times New Roman"/>
                <w:b/>
                <w:bCs/>
              </w:rPr>
            </w:pPr>
            <w:r>
              <w:rPr>
                <w:rFonts w:hint="eastAsia" w:ascii="Times New Roman" w:hAnsi="Times New Roman" w:eastAsia="宋体" w:cs="Times New Roman"/>
                <w:b/>
                <w:bCs/>
              </w:rPr>
              <w:t>表4-</w:t>
            </w:r>
            <w:r>
              <w:rPr>
                <w:rFonts w:hint="eastAsia" w:ascii="Times New Roman" w:hAnsi="Times New Roman" w:eastAsia="宋体" w:cs="Times New Roman"/>
                <w:b/>
                <w:bCs/>
                <w:lang w:val="en-US" w:eastAsia="zh-CN"/>
              </w:rPr>
              <w:t>7</w:t>
            </w:r>
            <w:r>
              <w:rPr>
                <w:rFonts w:hint="eastAsia" w:ascii="Times New Roman" w:hAnsi="Times New Roman" w:eastAsia="宋体" w:cs="Times New Roman"/>
                <w:b/>
                <w:bCs/>
              </w:rPr>
              <w:t xml:space="preserve">  噪声监测计划一览表</w:t>
            </w:r>
          </w:p>
          <w:tbl>
            <w:tblPr>
              <w:tblStyle w:val="3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66"/>
              <w:gridCol w:w="2810"/>
              <w:gridCol w:w="28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3" w:hRule="atLeast"/>
                <w:jc w:val="center"/>
              </w:trPr>
              <w:tc>
                <w:tcPr>
                  <w:tcW w:w="1467" w:type="pct"/>
                  <w:noWrap w:val="0"/>
                  <w:vAlign w:val="center"/>
                </w:tcPr>
                <w:p>
                  <w:pPr>
                    <w:widowControl/>
                    <w:jc w:val="center"/>
                  </w:pPr>
                  <w:r>
                    <w:rPr>
                      <w:rFonts w:hint="eastAsia"/>
                    </w:rPr>
                    <w:t>监测点位</w:t>
                  </w:r>
                </w:p>
              </w:tc>
              <w:tc>
                <w:tcPr>
                  <w:tcW w:w="1742" w:type="pct"/>
                  <w:noWrap w:val="0"/>
                  <w:vAlign w:val="center"/>
                </w:tcPr>
                <w:p>
                  <w:pPr>
                    <w:widowControl/>
                    <w:jc w:val="center"/>
                  </w:pPr>
                  <w:r>
                    <w:rPr>
                      <w:rFonts w:hint="eastAsia"/>
                    </w:rPr>
                    <w:t>监测因子</w:t>
                  </w:r>
                </w:p>
              </w:tc>
              <w:tc>
                <w:tcPr>
                  <w:tcW w:w="1791" w:type="pct"/>
                  <w:noWrap w:val="0"/>
                  <w:vAlign w:val="center"/>
                </w:tcPr>
                <w:p>
                  <w:pPr>
                    <w:widowControl/>
                    <w:jc w:val="center"/>
                  </w:pPr>
                  <w:r>
                    <w:rPr>
                      <w:rFonts w:hint="eastAsia"/>
                    </w:rPr>
                    <w:t>监测频次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3" w:hRule="atLeast"/>
                <w:jc w:val="center"/>
              </w:trPr>
              <w:tc>
                <w:tcPr>
                  <w:tcW w:w="1467" w:type="pct"/>
                  <w:noWrap w:val="0"/>
                  <w:vAlign w:val="center"/>
                </w:tcPr>
                <w:p>
                  <w:pPr>
                    <w:widowControl/>
                    <w:jc w:val="center"/>
                  </w:pPr>
                  <w:r>
                    <w:rPr>
                      <w:rFonts w:hint="eastAsia"/>
                    </w:rPr>
                    <w:t>厂界四周外1m处</w:t>
                  </w:r>
                </w:p>
              </w:tc>
              <w:tc>
                <w:tcPr>
                  <w:tcW w:w="1742" w:type="pct"/>
                  <w:noWrap w:val="0"/>
                  <w:vAlign w:val="center"/>
                </w:tcPr>
                <w:p>
                  <w:pPr>
                    <w:jc w:val="center"/>
                    <w:rPr>
                      <w:rFonts w:hint="eastAsia"/>
                    </w:rPr>
                  </w:pPr>
                  <w:r>
                    <w:rPr>
                      <w:rFonts w:hint="eastAsia"/>
                    </w:rPr>
                    <w:t>等效A声级</w:t>
                  </w:r>
                </w:p>
              </w:tc>
              <w:tc>
                <w:tcPr>
                  <w:tcW w:w="1791" w:type="pct"/>
                  <w:noWrap w:val="0"/>
                  <w:vAlign w:val="center"/>
                </w:tcPr>
                <w:p>
                  <w:pPr>
                    <w:jc w:val="center"/>
                    <w:rPr>
                      <w:rFonts w:hint="eastAsia"/>
                    </w:rPr>
                  </w:pPr>
                  <w:r>
                    <w:rPr>
                      <w:rFonts w:hint="eastAsia"/>
                    </w:rPr>
                    <w:t>1次/季度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sz w:val="24"/>
                <w:szCs w:val="24"/>
              </w:rPr>
            </w:pPr>
            <w:r>
              <w:rPr>
                <w:rFonts w:hint="eastAsia"/>
                <w:b/>
                <w:bCs/>
                <w:sz w:val="24"/>
                <w:szCs w:val="24"/>
                <w:lang w:val="en-US" w:eastAsia="zh-CN"/>
              </w:rPr>
              <w:t>四</w:t>
            </w:r>
            <w:r>
              <w:rPr>
                <w:rFonts w:hint="eastAsia"/>
                <w:b/>
                <w:bCs/>
                <w:sz w:val="24"/>
                <w:szCs w:val="24"/>
              </w:rPr>
              <w:t>、固体废弃物环境影响及保护措施</w:t>
            </w:r>
          </w:p>
          <w:p>
            <w:pPr>
              <w:adjustRightInd w:val="0"/>
              <w:snapToGrid w:val="0"/>
              <w:spacing w:line="360" w:lineRule="auto"/>
              <w:ind w:firstLine="482" w:firstLineChars="200"/>
              <w:rPr>
                <w:rFonts w:hint="eastAsia"/>
                <w:b/>
                <w:bCs/>
                <w:sz w:val="24"/>
                <w:szCs w:val="24"/>
              </w:rPr>
            </w:pPr>
            <w:r>
              <w:rPr>
                <w:rFonts w:hint="eastAsia"/>
                <w:b/>
                <w:bCs/>
                <w:sz w:val="24"/>
                <w:szCs w:val="24"/>
              </w:rPr>
              <w:t>（1）污染源产生及处置情况</w:t>
            </w:r>
          </w:p>
          <w:p>
            <w:pPr>
              <w:adjustRightInd w:val="0"/>
              <w:snapToGrid w:val="0"/>
              <w:spacing w:line="360" w:lineRule="auto"/>
              <w:ind w:firstLine="480" w:firstLineChars="200"/>
              <w:rPr>
                <w:rFonts w:hint="eastAsia"/>
                <w:sz w:val="24"/>
                <w:szCs w:val="24"/>
              </w:rPr>
            </w:pPr>
            <w:r>
              <w:rPr>
                <w:rFonts w:hint="eastAsia"/>
                <w:sz w:val="24"/>
                <w:szCs w:val="24"/>
              </w:rPr>
              <w:t>本项目产生的固体废物有池沉砂、不合格产品、除尘器收尘灰、机修间废弃零部件、废机油及废润滑油、生活垃圾等。</w:t>
            </w:r>
          </w:p>
          <w:p>
            <w:pPr>
              <w:adjustRightInd w:val="0"/>
              <w:snapToGrid w:val="0"/>
              <w:spacing w:line="360" w:lineRule="auto"/>
              <w:ind w:firstLine="480" w:firstLineChars="200"/>
              <w:rPr>
                <w:rFonts w:hint="eastAsia"/>
                <w:sz w:val="24"/>
                <w:szCs w:val="24"/>
              </w:rPr>
            </w:pPr>
            <w:r>
              <w:rPr>
                <w:rFonts w:hint="eastAsia"/>
                <w:sz w:val="24"/>
                <w:szCs w:val="24"/>
              </w:rPr>
              <w:t>1）沉淀池沉砂</w:t>
            </w:r>
          </w:p>
          <w:p>
            <w:pPr>
              <w:adjustRightInd w:val="0"/>
              <w:snapToGrid w:val="0"/>
              <w:spacing w:line="360" w:lineRule="auto"/>
              <w:ind w:firstLine="480" w:firstLineChars="200"/>
              <w:rPr>
                <w:rFonts w:hint="default"/>
                <w:sz w:val="24"/>
                <w:szCs w:val="24"/>
                <w:lang w:val="en-US" w:eastAsia="zh-CN"/>
              </w:rPr>
            </w:pPr>
            <w:r>
              <w:rPr>
                <w:rFonts w:hint="default"/>
                <w:sz w:val="24"/>
                <w:szCs w:val="24"/>
              </w:rPr>
              <w:t>本项目生产废水经沉淀池沉淀，沉淀产生的污泥产生量按污水处理量的0.1%计，本项目</w:t>
            </w:r>
            <w:r>
              <w:rPr>
                <w:rFonts w:hint="default"/>
                <w:sz w:val="24"/>
                <w:szCs w:val="24"/>
                <w:lang w:val="en-US" w:eastAsia="zh-CN"/>
              </w:rPr>
              <w:t>洗砂</w:t>
            </w:r>
            <w:r>
              <w:rPr>
                <w:rFonts w:hint="default"/>
                <w:sz w:val="24"/>
                <w:szCs w:val="24"/>
              </w:rPr>
              <w:t>生产用水量为</w:t>
            </w:r>
            <w:r>
              <w:rPr>
                <w:rFonts w:hint="eastAsia"/>
                <w:sz w:val="24"/>
                <w:szCs w:val="24"/>
                <w:lang w:val="en-US" w:eastAsia="zh-CN"/>
              </w:rPr>
              <w:t>330840</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/a</w:t>
            </w:r>
            <w:r>
              <w:rPr>
                <w:rFonts w:hint="default"/>
                <w:sz w:val="24"/>
                <w:szCs w:val="24"/>
              </w:rPr>
              <w:t>，</w:t>
            </w:r>
            <w:r>
              <w:rPr>
                <w:rFonts w:hint="eastAsia"/>
                <w:sz w:val="24"/>
                <w:szCs w:val="24"/>
                <w:lang w:val="en-US" w:eastAsia="zh-CN"/>
              </w:rPr>
              <w:t>商混生产线废水14601</w:t>
            </w:r>
            <w:r>
              <w:rPr>
                <w:rFonts w:hint="default"/>
                <w:sz w:val="24"/>
                <w:szCs w:val="24"/>
                <w:lang w:val="en-US" w:eastAsia="zh-CN"/>
              </w:rPr>
              <w:t>m</w:t>
            </w:r>
            <w:r>
              <w:rPr>
                <w:rFonts w:hint="eastAsia"/>
                <w:sz w:val="24"/>
                <w:szCs w:val="24"/>
                <w:vertAlign w:val="superscript"/>
                <w:lang w:val="en-US" w:eastAsia="zh-CN"/>
              </w:rPr>
              <w:t>3</w:t>
            </w:r>
            <w:r>
              <w:rPr>
                <w:rFonts w:hint="default"/>
                <w:sz w:val="24"/>
                <w:szCs w:val="24"/>
                <w:lang w:val="en-US" w:eastAsia="zh-CN"/>
              </w:rPr>
              <w:t>/a</w:t>
            </w:r>
            <w:r>
              <w:rPr>
                <w:rFonts w:hint="eastAsia"/>
                <w:sz w:val="24"/>
                <w:szCs w:val="24"/>
                <w:lang w:val="en-US" w:eastAsia="zh-CN"/>
              </w:rPr>
              <w:t>，</w:t>
            </w:r>
            <w:r>
              <w:rPr>
                <w:rFonts w:hint="default"/>
                <w:sz w:val="24"/>
                <w:szCs w:val="24"/>
              </w:rPr>
              <w:t>则沉淀池污泥的产生量为</w:t>
            </w:r>
            <w:r>
              <w:rPr>
                <w:rFonts w:hint="eastAsia"/>
                <w:sz w:val="24"/>
                <w:szCs w:val="24"/>
                <w:lang w:val="en-US" w:eastAsia="zh-CN"/>
              </w:rPr>
              <w:t>345.44</w:t>
            </w:r>
            <w:r>
              <w:rPr>
                <w:rFonts w:hint="default"/>
                <w:sz w:val="24"/>
                <w:szCs w:val="24"/>
              </w:rPr>
              <w:t>t/a</w:t>
            </w:r>
            <w:r>
              <w:rPr>
                <w:rFonts w:hint="default"/>
                <w:sz w:val="24"/>
                <w:szCs w:val="24"/>
                <w:lang w:eastAsia="zh-CN"/>
              </w:rPr>
              <w:t>，</w:t>
            </w:r>
            <w:r>
              <w:rPr>
                <w:rFonts w:hint="default"/>
                <w:sz w:val="24"/>
                <w:szCs w:val="24"/>
                <w:lang w:val="en-US" w:eastAsia="zh-CN"/>
              </w:rPr>
              <w:t>经压滤机脱水后回用于产品生产。</w:t>
            </w:r>
          </w:p>
          <w:p>
            <w:pPr>
              <w:adjustRightInd w:val="0"/>
              <w:snapToGrid w:val="0"/>
              <w:spacing w:line="360" w:lineRule="auto"/>
              <w:ind w:firstLine="480" w:firstLineChars="200"/>
              <w:rPr>
                <w:rFonts w:hint="default"/>
                <w:sz w:val="24"/>
                <w:szCs w:val="24"/>
                <w:lang w:val="en-US" w:eastAsia="zh-CN"/>
              </w:rPr>
            </w:pPr>
            <w:r>
              <w:rPr>
                <w:rFonts w:hint="eastAsia"/>
                <w:sz w:val="24"/>
              </w:rPr>
              <w:t>本项目</w:t>
            </w:r>
            <w:r>
              <w:rPr>
                <w:rFonts w:hint="eastAsia"/>
                <w:sz w:val="24"/>
                <w:lang w:val="en-US" w:eastAsia="zh-CN"/>
              </w:rPr>
              <w:t>商混生产区</w:t>
            </w:r>
            <w:r>
              <w:rPr>
                <w:rFonts w:hint="eastAsia"/>
                <w:sz w:val="24"/>
              </w:rPr>
              <w:t>，所产生的沉淀物为砂石沉淀，直接作为原料回用于生产。</w:t>
            </w:r>
          </w:p>
          <w:p>
            <w:pPr>
              <w:adjustRightInd w:val="0"/>
              <w:snapToGrid w:val="0"/>
              <w:spacing w:line="360" w:lineRule="auto"/>
              <w:ind w:firstLine="480" w:firstLineChars="200"/>
              <w:rPr>
                <w:rFonts w:hint="eastAsia"/>
                <w:sz w:val="24"/>
                <w:szCs w:val="24"/>
              </w:rPr>
            </w:pPr>
            <w:r>
              <w:rPr>
                <w:rFonts w:hint="eastAsia"/>
                <w:sz w:val="24"/>
                <w:szCs w:val="24"/>
              </w:rPr>
              <w:t>本项目设置有初期雨水沉淀池，沉砂主要成分为厂区沉降的粉尘及砂、碎石等，属一般固废，产生量约20t/a，全部回用于生产，不外排。</w:t>
            </w:r>
          </w:p>
          <w:p>
            <w:pPr>
              <w:adjustRightInd w:val="0"/>
              <w:snapToGrid w:val="0"/>
              <w:spacing w:line="360" w:lineRule="auto"/>
              <w:ind w:firstLine="480" w:firstLineChars="200"/>
              <w:rPr>
                <w:rFonts w:hint="eastAsia"/>
                <w:sz w:val="24"/>
                <w:szCs w:val="24"/>
              </w:rPr>
            </w:pPr>
            <w:r>
              <w:rPr>
                <w:rFonts w:hint="eastAsia"/>
                <w:sz w:val="24"/>
                <w:szCs w:val="24"/>
              </w:rPr>
              <w:t>2）不合格产品</w:t>
            </w:r>
          </w:p>
          <w:p>
            <w:pPr>
              <w:adjustRightInd w:val="0"/>
              <w:snapToGrid w:val="0"/>
              <w:spacing w:line="360" w:lineRule="auto"/>
              <w:ind w:firstLine="480" w:firstLineChars="200"/>
              <w:rPr>
                <w:rFonts w:hint="eastAsia"/>
                <w:sz w:val="24"/>
                <w:szCs w:val="24"/>
              </w:rPr>
            </w:pPr>
            <w:r>
              <w:rPr>
                <w:rFonts w:hint="eastAsia"/>
                <w:sz w:val="24"/>
                <w:szCs w:val="24"/>
              </w:rPr>
              <w:t>本项目操作过程采用自动化控制精确计量的方式，原材料按一定配比精确计量，生产过程产生的不合格产品极少，约15t/a，属一般固废，全部回用于生产，不外排。</w:t>
            </w:r>
          </w:p>
          <w:p>
            <w:pPr>
              <w:adjustRightInd w:val="0"/>
              <w:snapToGrid w:val="0"/>
              <w:spacing w:line="360" w:lineRule="auto"/>
              <w:ind w:firstLine="480" w:firstLineChars="200"/>
              <w:rPr>
                <w:rFonts w:hint="eastAsia"/>
                <w:sz w:val="24"/>
                <w:szCs w:val="24"/>
              </w:rPr>
            </w:pPr>
            <w:r>
              <w:rPr>
                <w:rFonts w:hint="eastAsia"/>
                <w:sz w:val="24"/>
                <w:szCs w:val="24"/>
              </w:rPr>
              <w:t>3）除尘器收尘灰</w:t>
            </w:r>
          </w:p>
          <w:p>
            <w:pPr>
              <w:adjustRightInd w:val="0"/>
              <w:snapToGrid w:val="0"/>
              <w:spacing w:line="360" w:lineRule="auto"/>
              <w:ind w:firstLine="480" w:firstLineChars="200"/>
              <w:rPr>
                <w:rFonts w:hint="eastAsia"/>
                <w:sz w:val="24"/>
                <w:szCs w:val="24"/>
              </w:rPr>
            </w:pPr>
            <w:r>
              <w:rPr>
                <w:rFonts w:hint="eastAsia"/>
                <w:sz w:val="24"/>
                <w:szCs w:val="24"/>
              </w:rPr>
              <w:t>本项目筒仓仓顶、搅拌机自备除尘器收集的粉尘约</w:t>
            </w:r>
            <w:r>
              <w:rPr>
                <w:rFonts w:hint="eastAsia"/>
                <w:sz w:val="24"/>
                <w:szCs w:val="24"/>
                <w:lang w:val="en-US" w:eastAsia="zh-CN"/>
              </w:rPr>
              <w:t>580.96</w:t>
            </w:r>
            <w:r>
              <w:rPr>
                <w:rFonts w:hint="eastAsia"/>
                <w:sz w:val="24"/>
                <w:szCs w:val="24"/>
              </w:rPr>
              <w:t>t/a，属一般固废，全部回用于生产，不外排。</w:t>
            </w:r>
          </w:p>
          <w:p>
            <w:pPr>
              <w:adjustRightInd w:val="0"/>
              <w:snapToGrid w:val="0"/>
              <w:spacing w:line="360" w:lineRule="auto"/>
              <w:ind w:firstLine="480" w:firstLineChars="200"/>
              <w:rPr>
                <w:rFonts w:hint="eastAsia"/>
                <w:sz w:val="24"/>
                <w:szCs w:val="24"/>
              </w:rPr>
            </w:pPr>
            <w:r>
              <w:rPr>
                <w:rFonts w:hint="eastAsia"/>
                <w:sz w:val="24"/>
                <w:szCs w:val="24"/>
              </w:rPr>
              <w:t>4）机修间废弃零部件</w:t>
            </w:r>
          </w:p>
          <w:p>
            <w:pPr>
              <w:adjustRightInd w:val="0"/>
              <w:snapToGrid w:val="0"/>
              <w:spacing w:line="360" w:lineRule="auto"/>
              <w:ind w:firstLine="480" w:firstLineChars="200"/>
              <w:rPr>
                <w:rFonts w:hint="eastAsia"/>
                <w:sz w:val="24"/>
                <w:szCs w:val="24"/>
              </w:rPr>
            </w:pPr>
            <w:r>
              <w:rPr>
                <w:rFonts w:hint="eastAsia"/>
                <w:sz w:val="24"/>
                <w:szCs w:val="24"/>
              </w:rPr>
              <w:t>本项目设备及运输车辆简单维修时（厂内不涉及大修），会产生少量废弃零部件约1t/a，属一般固废，经专业公司回收。</w:t>
            </w:r>
          </w:p>
          <w:p>
            <w:pPr>
              <w:adjustRightInd w:val="0"/>
              <w:snapToGrid w:val="0"/>
              <w:spacing w:line="360" w:lineRule="auto"/>
              <w:ind w:firstLine="480" w:firstLineChars="200"/>
              <w:rPr>
                <w:rFonts w:hint="eastAsia"/>
                <w:sz w:val="24"/>
                <w:szCs w:val="24"/>
              </w:rPr>
            </w:pPr>
            <w:r>
              <w:rPr>
                <w:rFonts w:hint="eastAsia"/>
                <w:sz w:val="24"/>
                <w:szCs w:val="24"/>
              </w:rPr>
              <w:t>5）废机油及废润滑油</w:t>
            </w:r>
          </w:p>
          <w:p>
            <w:pPr>
              <w:adjustRightInd w:val="0"/>
              <w:snapToGrid w:val="0"/>
              <w:spacing w:line="360" w:lineRule="auto"/>
              <w:ind w:firstLine="480" w:firstLineChars="200"/>
              <w:rPr>
                <w:rFonts w:hint="eastAsia"/>
                <w:sz w:val="24"/>
                <w:szCs w:val="24"/>
              </w:rPr>
            </w:pPr>
            <w:r>
              <w:rPr>
                <w:rFonts w:hint="eastAsia"/>
                <w:sz w:val="24"/>
                <w:szCs w:val="24"/>
              </w:rPr>
              <w:t>本项目厂区设置机修间，对设备及运输车辆进行简单维修，将产生一定量的废机油，约0.1t/a；项目皮带输送机等设备定期加润滑油，因此将有少量的废润滑油产生，约0.1t/a。二者均属于HW08危险废物，经收集后交由有相应危废处理资质的单位处置，项目内设危废暂存间。</w:t>
            </w:r>
          </w:p>
          <w:p>
            <w:pPr>
              <w:adjustRightInd w:val="0"/>
              <w:snapToGrid w:val="0"/>
              <w:spacing w:line="360" w:lineRule="auto"/>
              <w:ind w:firstLine="480" w:firstLineChars="200"/>
              <w:rPr>
                <w:rFonts w:hint="eastAsia"/>
                <w:sz w:val="24"/>
                <w:szCs w:val="24"/>
              </w:rPr>
            </w:pPr>
            <w:r>
              <w:rPr>
                <w:rFonts w:hint="eastAsia"/>
                <w:sz w:val="24"/>
                <w:szCs w:val="24"/>
              </w:rPr>
              <w:t>6）办公生活垃圾</w:t>
            </w:r>
          </w:p>
          <w:p>
            <w:pPr>
              <w:adjustRightInd w:val="0"/>
              <w:snapToGrid w:val="0"/>
              <w:spacing w:line="360" w:lineRule="auto"/>
              <w:ind w:firstLine="480" w:firstLineChars="200"/>
              <w:rPr>
                <w:rFonts w:hint="eastAsia"/>
                <w:sz w:val="24"/>
                <w:szCs w:val="24"/>
              </w:rPr>
            </w:pPr>
            <w:r>
              <w:rPr>
                <w:rFonts w:hint="eastAsia"/>
                <w:sz w:val="24"/>
                <w:szCs w:val="24"/>
              </w:rPr>
              <w:t>本项目定员</w:t>
            </w:r>
            <w:r>
              <w:rPr>
                <w:rFonts w:hint="eastAsia"/>
                <w:sz w:val="24"/>
                <w:szCs w:val="24"/>
                <w:lang w:val="en-US" w:eastAsia="zh-CN"/>
              </w:rPr>
              <w:t>50</w:t>
            </w:r>
            <w:r>
              <w:rPr>
                <w:rFonts w:hint="eastAsia"/>
                <w:sz w:val="24"/>
                <w:szCs w:val="24"/>
              </w:rPr>
              <w:t>人，人均生活垃圾产生量按1.0kg/d计，则生活垃圾产生量</w:t>
            </w:r>
            <w:r>
              <w:rPr>
                <w:rFonts w:hint="eastAsia"/>
                <w:sz w:val="24"/>
                <w:szCs w:val="24"/>
                <w:lang w:val="en-US" w:eastAsia="zh-CN"/>
              </w:rPr>
              <w:t>15</w:t>
            </w:r>
            <w:r>
              <w:rPr>
                <w:rFonts w:hint="eastAsia"/>
                <w:sz w:val="24"/>
                <w:szCs w:val="24"/>
              </w:rPr>
              <w:t>t/a，分类收集后由环卫部门统一清运至当地垃圾处理厂。</w:t>
            </w:r>
          </w:p>
          <w:p>
            <w:pPr>
              <w:spacing w:line="360" w:lineRule="auto"/>
              <w:ind w:left="480"/>
              <w:rPr>
                <w:sz w:val="24"/>
                <w:szCs w:val="24"/>
              </w:rPr>
            </w:pPr>
            <w:r>
              <w:rPr>
                <w:rFonts w:hint="eastAsia"/>
                <w:sz w:val="24"/>
                <w:szCs w:val="24"/>
              </w:rPr>
              <w:t>7）生活</w:t>
            </w:r>
            <w:r>
              <w:rPr>
                <w:sz w:val="24"/>
                <w:szCs w:val="24"/>
              </w:rPr>
              <w:t>污水预处理池污泥</w:t>
            </w:r>
          </w:p>
          <w:p>
            <w:pPr>
              <w:spacing w:line="360" w:lineRule="auto"/>
              <w:ind w:firstLine="480" w:firstLineChars="200"/>
              <w:rPr>
                <w:sz w:val="24"/>
                <w:szCs w:val="24"/>
              </w:rPr>
            </w:pPr>
            <w:r>
              <w:rPr>
                <w:rFonts w:hint="eastAsia"/>
                <w:sz w:val="24"/>
                <w:szCs w:val="24"/>
              </w:rPr>
              <w:t>生活</w:t>
            </w:r>
            <w:r>
              <w:rPr>
                <w:sz w:val="24"/>
                <w:szCs w:val="24"/>
              </w:rPr>
              <w:t>污水预处理设施产生的污泥产量为</w:t>
            </w:r>
            <w:r>
              <w:rPr>
                <w:rFonts w:hint="eastAsia"/>
                <w:sz w:val="24"/>
                <w:szCs w:val="24"/>
              </w:rPr>
              <w:t>1</w:t>
            </w:r>
            <w:r>
              <w:rPr>
                <w:sz w:val="24"/>
                <w:szCs w:val="24"/>
              </w:rPr>
              <w:t>t/a，定期清掏，清掏出的污泥由环卫部门统一清运。</w:t>
            </w:r>
          </w:p>
          <w:p>
            <w:pPr>
              <w:spacing w:line="360" w:lineRule="auto"/>
              <w:ind w:left="48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8）餐厨垃圾、隔油池产生的油渣</w:t>
            </w:r>
          </w:p>
          <w:p>
            <w:pPr>
              <w:keepNext w:val="0"/>
              <w:keepLines w:val="0"/>
              <w:widowControl/>
              <w:suppressLineNumbers w:val="0"/>
              <w:spacing w:line="360" w:lineRule="auto"/>
              <w:ind w:firstLine="480" w:firstLineChars="200"/>
              <w:jc w:val="left"/>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本项目设置职工食堂，餐厨垃圾、隔油池产生的油渣产生量约为</w:t>
            </w:r>
            <w:r>
              <w:rPr>
                <w:rFonts w:hint="default" w:ascii="Times New Roman" w:hAnsi="Times New Roman" w:eastAsia="宋体" w:cs="Times New Roman"/>
                <w:color w:val="000000"/>
                <w:kern w:val="0"/>
                <w:sz w:val="24"/>
                <w:szCs w:val="24"/>
                <w:lang w:val="en-US" w:eastAsia="zh-CN" w:bidi="ar"/>
              </w:rPr>
              <w:t>5t/a</w:t>
            </w:r>
            <w:r>
              <w:rPr>
                <w:rFonts w:hint="eastAsia" w:ascii="宋体" w:hAnsi="宋体" w:eastAsia="宋体" w:cs="宋体"/>
                <w:color w:val="000000"/>
                <w:kern w:val="0"/>
                <w:sz w:val="24"/>
                <w:szCs w:val="24"/>
                <w:lang w:val="en-US" w:eastAsia="zh-CN" w:bidi="ar"/>
              </w:rPr>
              <w:t>，设置专门的垃圾桶收集后，交由有餐厨垃圾处理资质的单位统一清运处理。</w:t>
            </w:r>
          </w:p>
          <w:p>
            <w:pPr>
              <w:spacing w:line="360" w:lineRule="auto"/>
              <w:ind w:firstLine="480" w:firstLineChars="200"/>
              <w:rPr>
                <w:rFonts w:hint="eastAsia"/>
                <w:sz w:val="24"/>
                <w:szCs w:val="24"/>
              </w:rPr>
            </w:pPr>
            <w:r>
              <w:rPr>
                <w:rFonts w:hint="eastAsia"/>
                <w:sz w:val="24"/>
                <w:szCs w:val="24"/>
              </w:rPr>
              <w:t>本项目固体废物产排情况如下表所示：</w:t>
            </w:r>
          </w:p>
          <w:p>
            <w:pPr>
              <w:wordWrap/>
              <w:autoSpaceDE w:val="0"/>
              <w:autoSpaceDN w:val="0"/>
              <w:adjustRightInd w:val="0"/>
              <w:snapToGrid w:val="0"/>
              <w:spacing w:before="156" w:beforeLines="50" w:line="240" w:lineRule="atLeast"/>
              <w:jc w:val="center"/>
              <w:rPr>
                <w:rFonts w:hint="eastAsia" w:ascii="Times New Roman" w:hAnsi="Times New Roman" w:eastAsia="宋体" w:cs="Times New Roman"/>
                <w:b/>
                <w:bCs/>
              </w:rPr>
            </w:pPr>
            <w:r>
              <w:rPr>
                <w:rFonts w:hint="eastAsia" w:ascii="Times New Roman" w:hAnsi="Times New Roman" w:eastAsia="宋体" w:cs="Times New Roman"/>
                <w:b/>
                <w:bCs/>
              </w:rPr>
              <w:t>表 4-</w:t>
            </w:r>
            <w:r>
              <w:rPr>
                <w:rFonts w:hint="eastAsia" w:ascii="Times New Roman" w:hAnsi="Times New Roman" w:eastAsia="宋体" w:cs="Times New Roman"/>
                <w:b/>
                <w:bCs/>
                <w:lang w:val="en-US" w:eastAsia="zh-CN"/>
              </w:rPr>
              <w:t>8</w:t>
            </w:r>
            <w:r>
              <w:rPr>
                <w:rFonts w:hint="eastAsia" w:ascii="Times New Roman" w:hAnsi="Times New Roman" w:eastAsia="宋体" w:cs="Times New Roman"/>
                <w:b/>
                <w:bCs/>
              </w:rPr>
              <w:t xml:space="preserve">  固废产生及处置情况表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984"/>
              <w:gridCol w:w="1804"/>
              <w:gridCol w:w="2381"/>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固体废物名称</w:t>
                  </w:r>
                </w:p>
              </w:tc>
              <w:tc>
                <w:tcPr>
                  <w:tcW w:w="992" w:type="dxa"/>
                  <w:noWrap w:val="0"/>
                  <w:vAlign w:val="center"/>
                </w:tcPr>
                <w:p>
                  <w:pPr>
                    <w:adjustRightInd w:val="0"/>
                    <w:snapToGrid w:val="0"/>
                    <w:jc w:val="center"/>
                    <w:rPr>
                      <w:rFonts w:hint="eastAsia"/>
                    </w:rPr>
                  </w:pPr>
                  <w:r>
                    <w:rPr>
                      <w:rFonts w:hint="eastAsia"/>
                    </w:rPr>
                    <w:t>产生量 (t/a)</w:t>
                  </w:r>
                </w:p>
              </w:tc>
              <w:tc>
                <w:tcPr>
                  <w:tcW w:w="1878" w:type="dxa"/>
                  <w:noWrap w:val="0"/>
                  <w:vAlign w:val="center"/>
                </w:tcPr>
                <w:p>
                  <w:pPr>
                    <w:adjustRightInd w:val="0"/>
                    <w:snapToGrid w:val="0"/>
                    <w:jc w:val="center"/>
                    <w:rPr>
                      <w:rFonts w:hint="eastAsia"/>
                    </w:rPr>
                  </w:pPr>
                  <w:r>
                    <w:rPr>
                      <w:rFonts w:hint="eastAsia"/>
                    </w:rPr>
                    <w:t>属性</w:t>
                  </w:r>
                </w:p>
              </w:tc>
              <w:tc>
                <w:tcPr>
                  <w:tcW w:w="2512" w:type="dxa"/>
                  <w:noWrap w:val="0"/>
                  <w:vAlign w:val="center"/>
                </w:tcPr>
                <w:p>
                  <w:pPr>
                    <w:adjustRightInd w:val="0"/>
                    <w:snapToGrid w:val="0"/>
                    <w:jc w:val="center"/>
                    <w:rPr>
                      <w:rFonts w:hint="eastAsia"/>
                    </w:rPr>
                  </w:pPr>
                  <w:r>
                    <w:rPr>
                      <w:rFonts w:hint="eastAsia"/>
                    </w:rPr>
                    <w:t>防治措施</w:t>
                  </w:r>
                </w:p>
              </w:tc>
              <w:tc>
                <w:tcPr>
                  <w:tcW w:w="1167" w:type="dxa"/>
                  <w:noWrap w:val="0"/>
                  <w:vAlign w:val="center"/>
                </w:tcPr>
                <w:p>
                  <w:pPr>
                    <w:adjustRightInd w:val="0"/>
                    <w:snapToGrid w:val="0"/>
                    <w:jc w:val="center"/>
                    <w:rPr>
                      <w:rFonts w:hint="eastAsia"/>
                    </w:rPr>
                  </w:pPr>
                  <w:r>
                    <w:rPr>
                      <w:rFonts w:hint="eastAsia"/>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lang w:val="en-US" w:eastAsia="zh-CN"/>
                    </w:rPr>
                    <w:t>沉淀</w:t>
                  </w:r>
                  <w:r>
                    <w:rPr>
                      <w:rFonts w:hint="eastAsia"/>
                    </w:rPr>
                    <w:t>池沉砂</w:t>
                  </w:r>
                </w:p>
              </w:tc>
              <w:tc>
                <w:tcPr>
                  <w:tcW w:w="992" w:type="dxa"/>
                  <w:noWrap w:val="0"/>
                  <w:vAlign w:val="center"/>
                </w:tcPr>
                <w:p>
                  <w:pPr>
                    <w:adjustRightInd w:val="0"/>
                    <w:snapToGrid w:val="0"/>
                    <w:jc w:val="center"/>
                    <w:rPr>
                      <w:rFonts w:hint="default"/>
                      <w:lang w:val="en-US" w:eastAsia="zh-CN"/>
                    </w:rPr>
                  </w:pPr>
                  <w:r>
                    <w:rPr>
                      <w:rFonts w:hint="eastAsia"/>
                      <w:lang w:val="en-US" w:eastAsia="zh-CN"/>
                    </w:rPr>
                    <w:t>345.44</w:t>
                  </w:r>
                </w:p>
              </w:tc>
              <w:tc>
                <w:tcPr>
                  <w:tcW w:w="1878" w:type="dxa"/>
                  <w:noWrap w:val="0"/>
                  <w:vAlign w:val="center"/>
                </w:tcPr>
                <w:p>
                  <w:pPr>
                    <w:adjustRightInd w:val="0"/>
                    <w:snapToGrid w:val="0"/>
                    <w:jc w:val="center"/>
                    <w:rPr>
                      <w:rFonts w:hint="eastAsia"/>
                    </w:rPr>
                  </w:pPr>
                  <w:r>
                    <w:rPr>
                      <w:rFonts w:hint="eastAsia"/>
                    </w:rPr>
                    <w:t>一般固废</w:t>
                  </w:r>
                </w:p>
              </w:tc>
              <w:tc>
                <w:tcPr>
                  <w:tcW w:w="2512" w:type="dxa"/>
                  <w:vMerge w:val="restart"/>
                  <w:noWrap w:val="0"/>
                  <w:vAlign w:val="center"/>
                </w:tcPr>
                <w:p>
                  <w:pPr>
                    <w:adjustRightInd w:val="0"/>
                    <w:snapToGrid w:val="0"/>
                    <w:jc w:val="center"/>
                    <w:rPr>
                      <w:rFonts w:hint="eastAsia"/>
                    </w:rPr>
                  </w:pPr>
                  <w:r>
                    <w:rPr>
                      <w:rFonts w:hint="eastAsia"/>
                    </w:rPr>
                    <w:t>回用于生产，不外排</w:t>
                  </w: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不合格产品</w:t>
                  </w:r>
                </w:p>
              </w:tc>
              <w:tc>
                <w:tcPr>
                  <w:tcW w:w="992" w:type="dxa"/>
                  <w:noWrap w:val="0"/>
                  <w:vAlign w:val="center"/>
                </w:tcPr>
                <w:p>
                  <w:pPr>
                    <w:adjustRightInd w:val="0"/>
                    <w:snapToGrid w:val="0"/>
                    <w:jc w:val="center"/>
                    <w:rPr>
                      <w:rFonts w:hint="eastAsia"/>
                    </w:rPr>
                  </w:pPr>
                  <w:r>
                    <w:rPr>
                      <w:rFonts w:hint="eastAsia"/>
                    </w:rPr>
                    <w:t>15</w:t>
                  </w:r>
                </w:p>
              </w:tc>
              <w:tc>
                <w:tcPr>
                  <w:tcW w:w="1878" w:type="dxa"/>
                  <w:noWrap w:val="0"/>
                  <w:vAlign w:val="center"/>
                </w:tcPr>
                <w:p>
                  <w:pPr>
                    <w:adjustRightInd w:val="0"/>
                    <w:snapToGrid w:val="0"/>
                    <w:jc w:val="center"/>
                    <w:rPr>
                      <w:rFonts w:hint="eastAsia"/>
                    </w:rPr>
                  </w:pPr>
                  <w:r>
                    <w:rPr>
                      <w:rFonts w:hint="eastAsia"/>
                    </w:rPr>
                    <w:t>一般固废</w:t>
                  </w:r>
                </w:p>
              </w:tc>
              <w:tc>
                <w:tcPr>
                  <w:tcW w:w="2512" w:type="dxa"/>
                  <w:vMerge w:val="continue"/>
                  <w:noWrap w:val="0"/>
                  <w:vAlign w:val="center"/>
                </w:tcPr>
                <w:p>
                  <w:pPr>
                    <w:adjustRightInd w:val="0"/>
                    <w:snapToGrid w:val="0"/>
                    <w:jc w:val="center"/>
                    <w:rPr>
                      <w:rFonts w:hint="eastAsia"/>
                    </w:rPr>
                  </w:pP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除尘器收尘灰</w:t>
                  </w:r>
                </w:p>
              </w:tc>
              <w:tc>
                <w:tcPr>
                  <w:tcW w:w="992" w:type="dxa"/>
                  <w:noWrap w:val="0"/>
                  <w:vAlign w:val="center"/>
                </w:tcPr>
                <w:p>
                  <w:pPr>
                    <w:adjustRightInd w:val="0"/>
                    <w:snapToGrid w:val="0"/>
                    <w:jc w:val="center"/>
                    <w:rPr>
                      <w:rFonts w:hint="default"/>
                      <w:lang w:val="en-US" w:eastAsia="zh-CN"/>
                    </w:rPr>
                  </w:pPr>
                  <w:r>
                    <w:rPr>
                      <w:rFonts w:hint="eastAsia"/>
                      <w:lang w:val="en-US" w:eastAsia="zh-CN"/>
                    </w:rPr>
                    <w:t>580.96</w:t>
                  </w:r>
                </w:p>
              </w:tc>
              <w:tc>
                <w:tcPr>
                  <w:tcW w:w="1878" w:type="dxa"/>
                  <w:noWrap w:val="0"/>
                  <w:vAlign w:val="center"/>
                </w:tcPr>
                <w:p>
                  <w:pPr>
                    <w:adjustRightInd w:val="0"/>
                    <w:snapToGrid w:val="0"/>
                    <w:jc w:val="center"/>
                    <w:rPr>
                      <w:rFonts w:hint="eastAsia"/>
                    </w:rPr>
                  </w:pPr>
                  <w:r>
                    <w:rPr>
                      <w:rFonts w:hint="eastAsia"/>
                    </w:rPr>
                    <w:t>一般固废</w:t>
                  </w:r>
                </w:p>
              </w:tc>
              <w:tc>
                <w:tcPr>
                  <w:tcW w:w="2512" w:type="dxa"/>
                  <w:vMerge w:val="continue"/>
                  <w:noWrap w:val="0"/>
                  <w:vAlign w:val="center"/>
                </w:tcPr>
                <w:p>
                  <w:pPr>
                    <w:adjustRightInd w:val="0"/>
                    <w:snapToGrid w:val="0"/>
                    <w:jc w:val="center"/>
                    <w:rPr>
                      <w:rFonts w:hint="eastAsia"/>
                    </w:rPr>
                  </w:pP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机修间废弃零部件</w:t>
                  </w:r>
                </w:p>
              </w:tc>
              <w:tc>
                <w:tcPr>
                  <w:tcW w:w="992" w:type="dxa"/>
                  <w:noWrap w:val="0"/>
                  <w:vAlign w:val="center"/>
                </w:tcPr>
                <w:p>
                  <w:pPr>
                    <w:adjustRightInd w:val="0"/>
                    <w:snapToGrid w:val="0"/>
                    <w:jc w:val="center"/>
                    <w:rPr>
                      <w:rFonts w:hint="eastAsia"/>
                    </w:rPr>
                  </w:pPr>
                  <w:r>
                    <w:rPr>
                      <w:rFonts w:hint="eastAsia"/>
                    </w:rPr>
                    <w:t>1.0</w:t>
                  </w:r>
                </w:p>
              </w:tc>
              <w:tc>
                <w:tcPr>
                  <w:tcW w:w="1878" w:type="dxa"/>
                  <w:noWrap w:val="0"/>
                  <w:vAlign w:val="center"/>
                </w:tcPr>
                <w:p>
                  <w:pPr>
                    <w:adjustRightInd w:val="0"/>
                    <w:snapToGrid w:val="0"/>
                    <w:jc w:val="center"/>
                    <w:rPr>
                      <w:rFonts w:hint="eastAsia"/>
                    </w:rPr>
                  </w:pPr>
                  <w:r>
                    <w:rPr>
                      <w:rFonts w:hint="eastAsia"/>
                    </w:rPr>
                    <w:t>一般固废</w:t>
                  </w:r>
                </w:p>
              </w:tc>
              <w:tc>
                <w:tcPr>
                  <w:tcW w:w="2512" w:type="dxa"/>
                  <w:noWrap w:val="0"/>
                  <w:vAlign w:val="center"/>
                </w:tcPr>
                <w:p>
                  <w:pPr>
                    <w:adjustRightInd w:val="0"/>
                    <w:snapToGrid w:val="0"/>
                    <w:jc w:val="center"/>
                    <w:rPr>
                      <w:rFonts w:hint="eastAsia"/>
                    </w:rPr>
                  </w:pPr>
                  <w:r>
                    <w:rPr>
                      <w:rFonts w:hint="eastAsia"/>
                    </w:rPr>
                    <w:t>由生产厂家回收利用</w:t>
                  </w: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办公生活垃圾</w:t>
                  </w:r>
                </w:p>
              </w:tc>
              <w:tc>
                <w:tcPr>
                  <w:tcW w:w="992" w:type="dxa"/>
                  <w:noWrap w:val="0"/>
                  <w:vAlign w:val="center"/>
                </w:tcPr>
                <w:p>
                  <w:pPr>
                    <w:adjustRightInd w:val="0"/>
                    <w:snapToGrid w:val="0"/>
                    <w:jc w:val="center"/>
                    <w:rPr>
                      <w:rFonts w:hint="default" w:eastAsia="宋体"/>
                      <w:lang w:val="en-US" w:eastAsia="zh-CN"/>
                    </w:rPr>
                  </w:pPr>
                  <w:r>
                    <w:rPr>
                      <w:rFonts w:hint="eastAsia"/>
                      <w:lang w:val="en-US" w:eastAsia="zh-CN"/>
                    </w:rPr>
                    <w:t>15</w:t>
                  </w:r>
                </w:p>
              </w:tc>
              <w:tc>
                <w:tcPr>
                  <w:tcW w:w="1878" w:type="dxa"/>
                  <w:noWrap w:val="0"/>
                  <w:vAlign w:val="center"/>
                </w:tcPr>
                <w:p>
                  <w:pPr>
                    <w:adjustRightInd w:val="0"/>
                    <w:snapToGrid w:val="0"/>
                    <w:jc w:val="center"/>
                    <w:rPr>
                      <w:rFonts w:hint="eastAsia"/>
                    </w:rPr>
                  </w:pPr>
                  <w:r>
                    <w:rPr>
                      <w:rFonts w:hint="eastAsia"/>
                    </w:rPr>
                    <w:t>一般固废</w:t>
                  </w:r>
                </w:p>
              </w:tc>
              <w:tc>
                <w:tcPr>
                  <w:tcW w:w="2512" w:type="dxa"/>
                  <w:noWrap w:val="0"/>
                  <w:vAlign w:val="center"/>
                </w:tcPr>
                <w:p>
                  <w:pPr>
                    <w:adjustRightInd w:val="0"/>
                    <w:snapToGrid w:val="0"/>
                    <w:jc w:val="center"/>
                    <w:rPr>
                      <w:rFonts w:hint="eastAsia"/>
                    </w:rPr>
                  </w:pPr>
                  <w:r>
                    <w:rPr>
                      <w:rFonts w:hint="eastAsia"/>
                    </w:rPr>
                    <w:t>分类收集后由环卫部门统一清运至当地垃圾处理厂</w:t>
                  </w: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t>污水预处理池污泥</w:t>
                  </w:r>
                </w:p>
              </w:tc>
              <w:tc>
                <w:tcPr>
                  <w:tcW w:w="992" w:type="dxa"/>
                  <w:noWrap w:val="0"/>
                  <w:vAlign w:val="center"/>
                </w:tcPr>
                <w:p>
                  <w:pPr>
                    <w:adjustRightInd w:val="0"/>
                    <w:snapToGrid w:val="0"/>
                    <w:jc w:val="center"/>
                    <w:rPr>
                      <w:rFonts w:hint="eastAsia"/>
                    </w:rPr>
                  </w:pPr>
                  <w:r>
                    <w:rPr>
                      <w:rFonts w:hint="eastAsia"/>
                    </w:rPr>
                    <w:t>1</w:t>
                  </w:r>
                </w:p>
              </w:tc>
              <w:tc>
                <w:tcPr>
                  <w:tcW w:w="1878" w:type="dxa"/>
                  <w:noWrap w:val="0"/>
                  <w:vAlign w:val="center"/>
                </w:tcPr>
                <w:p>
                  <w:pPr>
                    <w:adjustRightInd w:val="0"/>
                    <w:snapToGrid w:val="0"/>
                    <w:jc w:val="center"/>
                    <w:rPr>
                      <w:rFonts w:hint="eastAsia"/>
                    </w:rPr>
                  </w:pPr>
                  <w:r>
                    <w:rPr>
                      <w:rFonts w:hint="eastAsia"/>
                    </w:rPr>
                    <w:t>一般固废</w:t>
                  </w:r>
                </w:p>
              </w:tc>
              <w:tc>
                <w:tcPr>
                  <w:tcW w:w="2512" w:type="dxa"/>
                  <w:noWrap w:val="0"/>
                  <w:vAlign w:val="center"/>
                </w:tcPr>
                <w:p>
                  <w:pPr>
                    <w:adjustRightInd w:val="0"/>
                    <w:snapToGrid w:val="0"/>
                    <w:jc w:val="center"/>
                    <w:rPr>
                      <w:rFonts w:hint="eastAsia"/>
                    </w:rPr>
                  </w:pPr>
                  <w:r>
                    <w:t>环卫部门统一清运</w:t>
                  </w: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pPr>
                  <w:r>
                    <w:rPr>
                      <w:rFonts w:hint="eastAsia" w:ascii="宋体" w:hAnsi="宋体" w:cs="宋体"/>
                      <w:color w:val="000000"/>
                      <w:kern w:val="0"/>
                      <w:sz w:val="21"/>
                      <w:szCs w:val="21"/>
                      <w:vertAlign w:val="baseline"/>
                      <w:lang w:val="en-US" w:eastAsia="zh-CN" w:bidi="ar"/>
                    </w:rPr>
                    <w:t>餐厨垃圾</w:t>
                  </w:r>
                </w:p>
              </w:tc>
              <w:tc>
                <w:tcPr>
                  <w:tcW w:w="992" w:type="dxa"/>
                  <w:noWrap w:val="0"/>
                  <w:vAlign w:val="center"/>
                </w:tcPr>
                <w:p>
                  <w:pPr>
                    <w:adjustRightInd w:val="0"/>
                    <w:snapToGrid w:val="0"/>
                    <w:jc w:val="center"/>
                    <w:rPr>
                      <w:rFonts w:hint="eastAsia" w:eastAsia="宋体"/>
                      <w:lang w:val="en-US" w:eastAsia="zh-CN"/>
                    </w:rPr>
                  </w:pPr>
                  <w:r>
                    <w:rPr>
                      <w:rFonts w:hint="eastAsia"/>
                      <w:lang w:val="en-US" w:eastAsia="zh-CN"/>
                    </w:rPr>
                    <w:t>5</w:t>
                  </w:r>
                </w:p>
              </w:tc>
              <w:tc>
                <w:tcPr>
                  <w:tcW w:w="1878" w:type="dxa"/>
                  <w:noWrap w:val="0"/>
                  <w:vAlign w:val="center"/>
                </w:tcPr>
                <w:p>
                  <w:pPr>
                    <w:adjustRightInd w:val="0"/>
                    <w:snapToGrid w:val="0"/>
                    <w:jc w:val="center"/>
                    <w:rPr>
                      <w:rFonts w:hint="eastAsia"/>
                    </w:rPr>
                  </w:pPr>
                  <w:r>
                    <w:rPr>
                      <w:rFonts w:hint="eastAsia"/>
                    </w:rPr>
                    <w:t>一般固废</w:t>
                  </w:r>
                </w:p>
              </w:tc>
              <w:tc>
                <w:tcPr>
                  <w:tcW w:w="2512" w:type="dxa"/>
                  <w:noWrap w:val="0"/>
                  <w:vAlign w:val="center"/>
                </w:tcPr>
                <w:p>
                  <w:pPr>
                    <w:adjustRightInd w:val="0"/>
                    <w:snapToGrid w:val="0"/>
                    <w:jc w:val="center"/>
                  </w:pPr>
                  <w:r>
                    <w:rPr>
                      <w:rFonts w:hint="eastAsia" w:ascii="宋体" w:hAnsi="宋体" w:eastAsia="宋体" w:cs="宋体"/>
                      <w:color w:val="000000"/>
                      <w:kern w:val="0"/>
                      <w:sz w:val="21"/>
                      <w:szCs w:val="21"/>
                      <w:lang w:val="en-US" w:eastAsia="zh-CN" w:bidi="ar"/>
                    </w:rPr>
                    <w:t>有厨余垃圾清理资质的单位统一清运处理</w:t>
                  </w:r>
                </w:p>
              </w:tc>
              <w:tc>
                <w:tcPr>
                  <w:tcW w:w="1167" w:type="dxa"/>
                  <w:noWrap w:val="0"/>
                  <w:vAlign w:val="center"/>
                </w:tcPr>
                <w:p>
                  <w:pPr>
                    <w:adjustRightInd w:val="0"/>
                    <w:snapToGrid w:val="0"/>
                    <w:jc w:val="center"/>
                    <w:rPr>
                      <w:rFonts w:hint="eastAsia" w:eastAsia="宋体"/>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废机油</w:t>
                  </w:r>
                </w:p>
              </w:tc>
              <w:tc>
                <w:tcPr>
                  <w:tcW w:w="992" w:type="dxa"/>
                  <w:noWrap w:val="0"/>
                  <w:vAlign w:val="center"/>
                </w:tcPr>
                <w:p>
                  <w:pPr>
                    <w:adjustRightInd w:val="0"/>
                    <w:snapToGrid w:val="0"/>
                    <w:jc w:val="center"/>
                    <w:rPr>
                      <w:rFonts w:hint="eastAsia"/>
                    </w:rPr>
                  </w:pPr>
                  <w:r>
                    <w:rPr>
                      <w:rFonts w:hint="eastAsia"/>
                    </w:rPr>
                    <w:t>0.1</w:t>
                  </w:r>
                </w:p>
              </w:tc>
              <w:tc>
                <w:tcPr>
                  <w:tcW w:w="1878" w:type="dxa"/>
                  <w:vMerge w:val="restart"/>
                  <w:noWrap w:val="0"/>
                  <w:vAlign w:val="center"/>
                </w:tcPr>
                <w:p>
                  <w:pPr>
                    <w:adjustRightInd w:val="0"/>
                    <w:snapToGrid w:val="0"/>
                    <w:jc w:val="center"/>
                    <w:rPr>
                      <w:rFonts w:hint="eastAsia"/>
                    </w:rPr>
                  </w:pPr>
                  <w:r>
                    <w:rPr>
                      <w:rFonts w:hint="eastAsia"/>
                    </w:rPr>
                    <w:t>HW08危险废物</w:t>
                  </w:r>
                </w:p>
              </w:tc>
              <w:tc>
                <w:tcPr>
                  <w:tcW w:w="2512" w:type="dxa"/>
                  <w:vMerge w:val="restart"/>
                  <w:noWrap w:val="0"/>
                  <w:vAlign w:val="center"/>
                </w:tcPr>
                <w:p>
                  <w:pPr>
                    <w:adjustRightInd w:val="0"/>
                    <w:snapToGrid w:val="0"/>
                    <w:jc w:val="center"/>
                    <w:rPr>
                      <w:rFonts w:hint="eastAsia"/>
                    </w:rPr>
                  </w:pPr>
                  <w:r>
                    <w:rPr>
                      <w:rFonts w:hint="eastAsia"/>
                    </w:rPr>
                    <w:t>由有资质的单位回收</w:t>
                  </w:r>
                </w:p>
              </w:tc>
              <w:tc>
                <w:tcPr>
                  <w:tcW w:w="1167" w:type="dxa"/>
                  <w:noWrap w:val="0"/>
                  <w:vAlign w:val="center"/>
                </w:tcPr>
                <w:p>
                  <w:pPr>
                    <w:adjustRightInd w:val="0"/>
                    <w:snapToGrid w:val="0"/>
                    <w:jc w:val="center"/>
                    <w:rPr>
                      <w:rFonts w:hint="eastAsia"/>
                    </w:rP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dxa"/>
                  <w:noWrap w:val="0"/>
                  <w:vAlign w:val="center"/>
                </w:tcPr>
                <w:p>
                  <w:pPr>
                    <w:adjustRightInd w:val="0"/>
                    <w:snapToGrid w:val="0"/>
                    <w:jc w:val="center"/>
                    <w:rPr>
                      <w:rFonts w:hint="eastAsia"/>
                    </w:rPr>
                  </w:pPr>
                  <w:r>
                    <w:rPr>
                      <w:rFonts w:hint="eastAsia"/>
                    </w:rPr>
                    <w:t>废润滑油</w:t>
                  </w:r>
                </w:p>
              </w:tc>
              <w:tc>
                <w:tcPr>
                  <w:tcW w:w="992" w:type="dxa"/>
                  <w:noWrap w:val="0"/>
                  <w:vAlign w:val="center"/>
                </w:tcPr>
                <w:p>
                  <w:pPr>
                    <w:adjustRightInd w:val="0"/>
                    <w:snapToGrid w:val="0"/>
                    <w:jc w:val="center"/>
                    <w:rPr>
                      <w:rFonts w:hint="eastAsia"/>
                    </w:rPr>
                  </w:pPr>
                  <w:r>
                    <w:rPr>
                      <w:rFonts w:hint="eastAsia"/>
                    </w:rPr>
                    <w:t>0.1</w:t>
                  </w:r>
                </w:p>
              </w:tc>
              <w:tc>
                <w:tcPr>
                  <w:tcW w:w="1878" w:type="dxa"/>
                  <w:vMerge w:val="continue"/>
                  <w:noWrap w:val="0"/>
                  <w:vAlign w:val="center"/>
                </w:tcPr>
                <w:p>
                  <w:pPr>
                    <w:adjustRightInd w:val="0"/>
                    <w:snapToGrid w:val="0"/>
                    <w:jc w:val="center"/>
                    <w:rPr>
                      <w:rFonts w:hint="eastAsia"/>
                    </w:rPr>
                  </w:pPr>
                </w:p>
              </w:tc>
              <w:tc>
                <w:tcPr>
                  <w:tcW w:w="2512" w:type="dxa"/>
                  <w:vMerge w:val="continue"/>
                  <w:noWrap w:val="0"/>
                  <w:vAlign w:val="center"/>
                </w:tcPr>
                <w:p>
                  <w:pPr>
                    <w:adjustRightInd w:val="0"/>
                    <w:snapToGrid w:val="0"/>
                    <w:jc w:val="center"/>
                    <w:rPr>
                      <w:rFonts w:hint="eastAsia"/>
                    </w:rPr>
                  </w:pPr>
                </w:p>
              </w:tc>
              <w:tc>
                <w:tcPr>
                  <w:tcW w:w="1167" w:type="dxa"/>
                  <w:noWrap w:val="0"/>
                  <w:vAlign w:val="center"/>
                </w:tcPr>
                <w:p>
                  <w:pPr>
                    <w:adjustRightInd w:val="0"/>
                    <w:snapToGrid w:val="0"/>
                    <w:jc w:val="center"/>
                    <w:rPr>
                      <w:rFonts w:hint="eastAsia"/>
                    </w:rPr>
                  </w:pPr>
                  <w:r>
                    <w:rPr>
                      <w:rFonts w:hint="eastAsia"/>
                    </w:rPr>
                    <w:t>0</w:t>
                  </w:r>
                </w:p>
              </w:tc>
            </w:tr>
          </w:tbl>
          <w:p>
            <w:pPr>
              <w:spacing w:line="360" w:lineRule="auto"/>
              <w:ind w:firstLine="482" w:firstLineChars="200"/>
              <w:rPr>
                <w:rFonts w:hint="eastAsia"/>
                <w:b/>
                <w:bCs/>
                <w:sz w:val="24"/>
                <w:szCs w:val="24"/>
              </w:rPr>
            </w:pPr>
            <w:r>
              <w:rPr>
                <w:rFonts w:hint="eastAsia"/>
                <w:b/>
                <w:bCs/>
                <w:sz w:val="24"/>
                <w:szCs w:val="24"/>
              </w:rPr>
              <w:t>（2）属性判定</w:t>
            </w:r>
          </w:p>
          <w:p>
            <w:pPr>
              <w:spacing w:line="360" w:lineRule="auto"/>
              <w:ind w:firstLine="480" w:firstLineChars="200"/>
              <w:rPr>
                <w:rFonts w:hint="eastAsia"/>
                <w:sz w:val="24"/>
                <w:szCs w:val="24"/>
              </w:rPr>
            </w:pPr>
            <w:r>
              <w:rPr>
                <w:rFonts w:hint="eastAsia"/>
                <w:sz w:val="24"/>
                <w:szCs w:val="24"/>
              </w:rPr>
              <w:t>根据项目生产工艺及《固体废物鉴别标准通则》（GB34330-2017）的规定，项目生产过程中副产物的产生情况及属性判定见下表：</w:t>
            </w:r>
          </w:p>
          <w:p>
            <w:pPr>
              <w:wordWrap/>
              <w:autoSpaceDE w:val="0"/>
              <w:autoSpaceDN w:val="0"/>
              <w:adjustRightInd w:val="0"/>
              <w:snapToGrid w:val="0"/>
              <w:spacing w:before="156" w:beforeLines="50" w:line="240" w:lineRule="atLeast"/>
              <w:jc w:val="center"/>
              <w:rPr>
                <w:rFonts w:hint="eastAsia" w:ascii="Times New Roman" w:hAnsi="Times New Roman" w:eastAsia="宋体" w:cs="Times New Roman"/>
                <w:b/>
                <w:bCs/>
              </w:rPr>
            </w:pPr>
            <w:r>
              <w:rPr>
                <w:rFonts w:hint="eastAsia" w:ascii="Times New Roman" w:hAnsi="Times New Roman" w:eastAsia="宋体" w:cs="Times New Roman"/>
                <w:b/>
                <w:bCs/>
              </w:rPr>
              <w:t>表4-</w:t>
            </w:r>
            <w:r>
              <w:rPr>
                <w:rFonts w:hint="eastAsia" w:ascii="Times New Roman" w:hAnsi="Times New Roman" w:eastAsia="宋体" w:cs="Times New Roman"/>
                <w:b/>
                <w:bCs/>
                <w:lang w:val="en-US" w:eastAsia="zh-CN"/>
              </w:rPr>
              <w:t>9</w:t>
            </w:r>
            <w:r>
              <w:rPr>
                <w:rFonts w:hint="eastAsia" w:ascii="Times New Roman" w:hAnsi="Times New Roman" w:eastAsia="宋体" w:cs="Times New Roman"/>
                <w:b/>
                <w:bCs/>
              </w:rPr>
              <w:t xml:space="preserve">  危险废物属性判定表</w:t>
            </w:r>
          </w:p>
          <w:tbl>
            <w:tblPr>
              <w:tblStyle w:val="38"/>
              <w:tblW w:w="485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8"/>
              <w:gridCol w:w="1689"/>
              <w:gridCol w:w="1372"/>
              <w:gridCol w:w="1101"/>
              <w:gridCol w:w="1516"/>
              <w:gridCol w:w="130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541" w:type="pct"/>
                  <w:noWrap w:val="0"/>
                  <w:vAlign w:val="center"/>
                </w:tcPr>
                <w:p>
                  <w:pPr>
                    <w:widowControl/>
                    <w:jc w:val="center"/>
                  </w:pPr>
                  <w:r>
                    <w:rPr>
                      <w:rFonts w:hint="eastAsia"/>
                    </w:rPr>
                    <w:t>序号</w:t>
                  </w:r>
                </w:p>
              </w:tc>
              <w:tc>
                <w:tcPr>
                  <w:tcW w:w="1078" w:type="pct"/>
                  <w:noWrap w:val="0"/>
                  <w:vAlign w:val="center"/>
                </w:tcPr>
                <w:p>
                  <w:pPr>
                    <w:widowControl/>
                    <w:jc w:val="center"/>
                  </w:pPr>
                  <w:r>
                    <w:rPr>
                      <w:rFonts w:hint="eastAsia"/>
                    </w:rPr>
                    <w:t>固体废物名称</w:t>
                  </w:r>
                </w:p>
              </w:tc>
              <w:tc>
                <w:tcPr>
                  <w:tcW w:w="876" w:type="pct"/>
                  <w:noWrap w:val="0"/>
                  <w:vAlign w:val="center"/>
                </w:tcPr>
                <w:p>
                  <w:pPr>
                    <w:widowControl/>
                    <w:jc w:val="center"/>
                  </w:pPr>
                  <w:r>
                    <w:rPr>
                      <w:rFonts w:hint="eastAsia"/>
                    </w:rPr>
                    <w:t>是否属于危险废物</w:t>
                  </w:r>
                </w:p>
              </w:tc>
              <w:tc>
                <w:tcPr>
                  <w:tcW w:w="703" w:type="pct"/>
                  <w:noWrap w:val="0"/>
                  <w:vAlign w:val="center"/>
                </w:tcPr>
                <w:p>
                  <w:pPr>
                    <w:widowControl/>
                    <w:jc w:val="center"/>
                  </w:pPr>
                  <w:r>
                    <w:rPr>
                      <w:rFonts w:hint="eastAsia"/>
                    </w:rPr>
                    <w:t>废物类别</w:t>
                  </w:r>
                </w:p>
              </w:tc>
              <w:tc>
                <w:tcPr>
                  <w:tcW w:w="968" w:type="pct"/>
                  <w:noWrap w:val="0"/>
                  <w:vAlign w:val="center"/>
                </w:tcPr>
                <w:p>
                  <w:pPr>
                    <w:widowControl/>
                    <w:jc w:val="center"/>
                  </w:pPr>
                  <w:r>
                    <w:rPr>
                      <w:rFonts w:hint="eastAsia"/>
                    </w:rPr>
                    <w:t>废物代码</w:t>
                  </w:r>
                </w:p>
              </w:tc>
              <w:tc>
                <w:tcPr>
                  <w:tcW w:w="834" w:type="pct"/>
                  <w:noWrap w:val="0"/>
                  <w:vAlign w:val="center"/>
                </w:tcPr>
                <w:p>
                  <w:pPr>
                    <w:widowControl/>
                    <w:jc w:val="center"/>
                  </w:pPr>
                  <w:r>
                    <w:rPr>
                      <w:rFonts w:hint="eastAsia"/>
                    </w:rPr>
                    <w:t>主要成分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541" w:type="pct"/>
                  <w:noWrap w:val="0"/>
                  <w:vAlign w:val="center"/>
                </w:tcPr>
                <w:p>
                  <w:pPr>
                    <w:widowControl/>
                    <w:jc w:val="center"/>
                  </w:pPr>
                  <w:r>
                    <w:rPr>
                      <w:rFonts w:hint="eastAsia"/>
                    </w:rPr>
                    <w:t>S1</w:t>
                  </w:r>
                </w:p>
              </w:tc>
              <w:tc>
                <w:tcPr>
                  <w:tcW w:w="1078" w:type="pct"/>
                  <w:noWrap w:val="0"/>
                  <w:vAlign w:val="center"/>
                </w:tcPr>
                <w:p>
                  <w:pPr>
                    <w:jc w:val="center"/>
                    <w:rPr>
                      <w:rFonts w:hint="eastAsia"/>
                    </w:rPr>
                  </w:pPr>
                  <w:r>
                    <w:rPr>
                      <w:rFonts w:hint="eastAsia"/>
                      <w:lang w:val="en-US" w:eastAsia="zh-CN"/>
                    </w:rPr>
                    <w:t>沉淀</w:t>
                  </w:r>
                  <w:r>
                    <w:rPr>
                      <w:rFonts w:hint="eastAsia"/>
                    </w:rPr>
                    <w:t>池沉砂</w:t>
                  </w:r>
                </w:p>
              </w:tc>
              <w:tc>
                <w:tcPr>
                  <w:tcW w:w="876" w:type="pct"/>
                  <w:noWrap w:val="0"/>
                  <w:vAlign w:val="center"/>
                </w:tcPr>
                <w:p>
                  <w:pPr>
                    <w:jc w:val="center"/>
                    <w:rPr>
                      <w:rFonts w:hint="eastAsia"/>
                    </w:rPr>
                  </w:pPr>
                  <w:r>
                    <w:rPr>
                      <w:rFonts w:hint="eastAsia"/>
                    </w:rPr>
                    <w:t>否</w:t>
                  </w:r>
                </w:p>
              </w:tc>
              <w:tc>
                <w:tcPr>
                  <w:tcW w:w="703" w:type="pct"/>
                  <w:noWrap w:val="0"/>
                  <w:vAlign w:val="center"/>
                </w:tcPr>
                <w:p>
                  <w:pPr>
                    <w:jc w:val="center"/>
                    <w:rPr>
                      <w:rFonts w:hint="eastAsia"/>
                    </w:rPr>
                  </w:pPr>
                  <w:r>
                    <w:rPr>
                      <w:rFonts w:hint="eastAsia"/>
                    </w:rPr>
                    <w:t>/</w:t>
                  </w:r>
                </w:p>
              </w:tc>
              <w:tc>
                <w:tcPr>
                  <w:tcW w:w="968" w:type="pct"/>
                  <w:noWrap w:val="0"/>
                  <w:vAlign w:val="center"/>
                </w:tcPr>
                <w:p>
                  <w:pPr>
                    <w:jc w:val="center"/>
                    <w:rPr>
                      <w:rFonts w:hint="eastAsia"/>
                    </w:rPr>
                  </w:pPr>
                  <w:r>
                    <w:rPr>
                      <w:rFonts w:hint="eastAsia"/>
                    </w:rPr>
                    <w:t>/</w:t>
                  </w:r>
                </w:p>
              </w:tc>
              <w:tc>
                <w:tcPr>
                  <w:tcW w:w="834" w:type="pct"/>
                  <w:noWrap w:val="0"/>
                  <w:vAlign w:val="center"/>
                </w:tcPr>
                <w:p>
                  <w:pPr>
                    <w:jc w:val="center"/>
                    <w:rPr>
                      <w:rFonts w:hint="eastAsia"/>
                    </w:rPr>
                  </w:pPr>
                  <w:r>
                    <w:rPr>
                      <w:rFonts w:hint="eastAsia"/>
                    </w:rPr>
                    <w:t>砂石沉淀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541" w:type="pct"/>
                  <w:noWrap w:val="0"/>
                  <w:vAlign w:val="center"/>
                </w:tcPr>
                <w:p>
                  <w:pPr>
                    <w:widowControl/>
                    <w:jc w:val="center"/>
                  </w:pPr>
                  <w:r>
                    <w:rPr>
                      <w:rFonts w:hint="eastAsia"/>
                    </w:rPr>
                    <w:t>S2</w:t>
                  </w:r>
                </w:p>
              </w:tc>
              <w:tc>
                <w:tcPr>
                  <w:tcW w:w="1078" w:type="pct"/>
                  <w:noWrap w:val="0"/>
                  <w:vAlign w:val="center"/>
                </w:tcPr>
                <w:p>
                  <w:pPr>
                    <w:jc w:val="center"/>
                    <w:rPr>
                      <w:rFonts w:hint="eastAsia"/>
                    </w:rPr>
                  </w:pPr>
                  <w:r>
                    <w:rPr>
                      <w:rFonts w:hint="eastAsia"/>
                    </w:rPr>
                    <w:t>不合格产品</w:t>
                  </w:r>
                </w:p>
              </w:tc>
              <w:tc>
                <w:tcPr>
                  <w:tcW w:w="876" w:type="pct"/>
                  <w:noWrap w:val="0"/>
                  <w:vAlign w:val="center"/>
                </w:tcPr>
                <w:p>
                  <w:pPr>
                    <w:jc w:val="center"/>
                    <w:rPr>
                      <w:rFonts w:hint="eastAsia"/>
                    </w:rPr>
                  </w:pPr>
                  <w:r>
                    <w:rPr>
                      <w:rFonts w:hint="eastAsia"/>
                    </w:rPr>
                    <w:t>否</w:t>
                  </w:r>
                </w:p>
              </w:tc>
              <w:tc>
                <w:tcPr>
                  <w:tcW w:w="703" w:type="pct"/>
                  <w:noWrap w:val="0"/>
                  <w:vAlign w:val="center"/>
                </w:tcPr>
                <w:p>
                  <w:pPr>
                    <w:jc w:val="center"/>
                    <w:rPr>
                      <w:rFonts w:hint="eastAsia"/>
                    </w:rPr>
                  </w:pPr>
                  <w:r>
                    <w:rPr>
                      <w:rFonts w:hint="eastAsia"/>
                    </w:rPr>
                    <w:t>/</w:t>
                  </w:r>
                </w:p>
              </w:tc>
              <w:tc>
                <w:tcPr>
                  <w:tcW w:w="968" w:type="pct"/>
                  <w:noWrap w:val="0"/>
                  <w:vAlign w:val="center"/>
                </w:tcPr>
                <w:p>
                  <w:pPr>
                    <w:jc w:val="center"/>
                    <w:rPr>
                      <w:rFonts w:hint="eastAsia"/>
                    </w:rPr>
                  </w:pPr>
                  <w:r>
                    <w:rPr>
                      <w:rFonts w:hint="eastAsia"/>
                    </w:rPr>
                    <w:t>/</w:t>
                  </w:r>
                </w:p>
              </w:tc>
              <w:tc>
                <w:tcPr>
                  <w:tcW w:w="834" w:type="pct"/>
                  <w:noWrap w:val="0"/>
                  <w:vAlign w:val="center"/>
                </w:tcPr>
                <w:p>
                  <w:pPr>
                    <w:jc w:val="center"/>
                    <w:rPr>
                      <w:rFonts w:hint="eastAsia"/>
                    </w:rPr>
                  </w:pPr>
                  <w:r>
                    <w:rPr>
                      <w:rFonts w:hint="eastAsia"/>
                    </w:rPr>
                    <w:t>废混凝土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0" w:hRule="atLeast"/>
                <w:jc w:val="center"/>
              </w:trPr>
              <w:tc>
                <w:tcPr>
                  <w:tcW w:w="541" w:type="pct"/>
                  <w:tcBorders>
                    <w:bottom w:val="single" w:color="auto" w:sz="4" w:space="0"/>
                  </w:tcBorders>
                  <w:noWrap w:val="0"/>
                  <w:vAlign w:val="center"/>
                </w:tcPr>
                <w:p>
                  <w:pPr>
                    <w:widowControl/>
                    <w:jc w:val="center"/>
                    <w:rPr>
                      <w:rFonts w:hint="eastAsia"/>
                    </w:rPr>
                  </w:pPr>
                  <w:r>
                    <w:rPr>
                      <w:rFonts w:hint="eastAsia"/>
                    </w:rPr>
                    <w:t>S3</w:t>
                  </w:r>
                </w:p>
              </w:tc>
              <w:tc>
                <w:tcPr>
                  <w:tcW w:w="1078" w:type="pct"/>
                  <w:tcBorders>
                    <w:bottom w:val="single" w:color="auto" w:sz="4" w:space="0"/>
                  </w:tcBorders>
                  <w:noWrap w:val="0"/>
                  <w:vAlign w:val="center"/>
                </w:tcPr>
                <w:p>
                  <w:pPr>
                    <w:jc w:val="center"/>
                    <w:rPr>
                      <w:rFonts w:hint="eastAsia"/>
                    </w:rPr>
                  </w:pPr>
                  <w:r>
                    <w:rPr>
                      <w:rFonts w:hint="eastAsia"/>
                    </w:rPr>
                    <w:t>除尘器收尘灰</w:t>
                  </w:r>
                </w:p>
              </w:tc>
              <w:tc>
                <w:tcPr>
                  <w:tcW w:w="876" w:type="pct"/>
                  <w:tcBorders>
                    <w:bottom w:val="single" w:color="auto" w:sz="4" w:space="0"/>
                  </w:tcBorders>
                  <w:noWrap w:val="0"/>
                  <w:vAlign w:val="center"/>
                </w:tcPr>
                <w:p>
                  <w:pPr>
                    <w:jc w:val="center"/>
                    <w:rPr>
                      <w:rFonts w:hint="eastAsia"/>
                    </w:rPr>
                  </w:pPr>
                  <w:r>
                    <w:rPr>
                      <w:rFonts w:hint="eastAsia"/>
                    </w:rPr>
                    <w:t>否</w:t>
                  </w:r>
                </w:p>
              </w:tc>
              <w:tc>
                <w:tcPr>
                  <w:tcW w:w="703" w:type="pct"/>
                  <w:tcBorders>
                    <w:bottom w:val="single" w:color="auto" w:sz="4" w:space="0"/>
                  </w:tcBorders>
                  <w:noWrap w:val="0"/>
                  <w:vAlign w:val="center"/>
                </w:tcPr>
                <w:p>
                  <w:pPr>
                    <w:jc w:val="center"/>
                    <w:rPr>
                      <w:rFonts w:hint="eastAsia"/>
                    </w:rPr>
                  </w:pPr>
                  <w:r>
                    <w:rPr>
                      <w:rFonts w:hint="eastAsia"/>
                    </w:rPr>
                    <w:t>/</w:t>
                  </w:r>
                </w:p>
              </w:tc>
              <w:tc>
                <w:tcPr>
                  <w:tcW w:w="968" w:type="pct"/>
                  <w:tcBorders>
                    <w:bottom w:val="single" w:color="auto" w:sz="4" w:space="0"/>
                  </w:tcBorders>
                  <w:noWrap w:val="0"/>
                  <w:vAlign w:val="center"/>
                </w:tcPr>
                <w:p>
                  <w:pPr>
                    <w:jc w:val="center"/>
                    <w:rPr>
                      <w:rFonts w:hint="eastAsia"/>
                    </w:rPr>
                  </w:pPr>
                  <w:r>
                    <w:rPr>
                      <w:rFonts w:hint="eastAsia"/>
                    </w:rPr>
                    <w:t>/</w:t>
                  </w:r>
                </w:p>
              </w:tc>
              <w:tc>
                <w:tcPr>
                  <w:tcW w:w="834" w:type="pct"/>
                  <w:tcBorders>
                    <w:bottom w:val="single" w:color="auto" w:sz="4" w:space="0"/>
                  </w:tcBorders>
                  <w:noWrap w:val="0"/>
                  <w:vAlign w:val="center"/>
                </w:tcPr>
                <w:p>
                  <w:pPr>
                    <w:jc w:val="center"/>
                    <w:rPr>
                      <w:rFonts w:hint="eastAsia"/>
                    </w:rPr>
                  </w:pPr>
                  <w:r>
                    <w:rPr>
                      <w:rFonts w:hint="eastAsia"/>
                    </w:rPr>
                    <w:t>粉尘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541" w:type="pct"/>
                  <w:tcBorders>
                    <w:top w:val="single" w:color="auto" w:sz="4" w:space="0"/>
                    <w:bottom w:val="single" w:color="auto" w:sz="4" w:space="0"/>
                  </w:tcBorders>
                  <w:noWrap w:val="0"/>
                  <w:vAlign w:val="center"/>
                </w:tcPr>
                <w:p>
                  <w:pPr>
                    <w:jc w:val="center"/>
                    <w:rPr>
                      <w:rFonts w:hint="eastAsia"/>
                    </w:rPr>
                  </w:pPr>
                  <w:r>
                    <w:rPr>
                      <w:rFonts w:hint="eastAsia"/>
                    </w:rPr>
                    <w:t>S4</w:t>
                  </w:r>
                </w:p>
              </w:tc>
              <w:tc>
                <w:tcPr>
                  <w:tcW w:w="1078" w:type="pct"/>
                  <w:tcBorders>
                    <w:top w:val="single" w:color="auto" w:sz="4" w:space="0"/>
                    <w:bottom w:val="single" w:color="auto" w:sz="4" w:space="0"/>
                  </w:tcBorders>
                  <w:noWrap w:val="0"/>
                  <w:vAlign w:val="center"/>
                </w:tcPr>
                <w:p>
                  <w:pPr>
                    <w:jc w:val="center"/>
                    <w:rPr>
                      <w:rFonts w:hint="eastAsia"/>
                    </w:rPr>
                  </w:pPr>
                  <w:r>
                    <w:rPr>
                      <w:rFonts w:hint="eastAsia"/>
                    </w:rPr>
                    <w:t>机修间废弃零部件</w:t>
                  </w:r>
                </w:p>
              </w:tc>
              <w:tc>
                <w:tcPr>
                  <w:tcW w:w="876" w:type="pct"/>
                  <w:tcBorders>
                    <w:top w:val="single" w:color="auto" w:sz="4" w:space="0"/>
                    <w:bottom w:val="single" w:color="auto" w:sz="4" w:space="0"/>
                  </w:tcBorders>
                  <w:noWrap w:val="0"/>
                  <w:vAlign w:val="center"/>
                </w:tcPr>
                <w:p>
                  <w:pPr>
                    <w:jc w:val="center"/>
                    <w:rPr>
                      <w:rFonts w:hint="eastAsia"/>
                    </w:rPr>
                  </w:pPr>
                  <w:r>
                    <w:rPr>
                      <w:rFonts w:hint="eastAsia"/>
                    </w:rPr>
                    <w:t>否</w:t>
                  </w:r>
                </w:p>
              </w:tc>
              <w:tc>
                <w:tcPr>
                  <w:tcW w:w="703" w:type="pct"/>
                  <w:tcBorders>
                    <w:top w:val="single" w:color="auto" w:sz="4" w:space="0"/>
                    <w:bottom w:val="single" w:color="auto" w:sz="4" w:space="0"/>
                  </w:tcBorders>
                  <w:noWrap w:val="0"/>
                  <w:vAlign w:val="center"/>
                </w:tcPr>
                <w:p>
                  <w:pPr>
                    <w:jc w:val="center"/>
                    <w:rPr>
                      <w:rFonts w:hint="eastAsia"/>
                    </w:rPr>
                  </w:pPr>
                  <w:r>
                    <w:rPr>
                      <w:rFonts w:hint="eastAsia"/>
                    </w:rPr>
                    <w:t>/</w:t>
                  </w:r>
                </w:p>
              </w:tc>
              <w:tc>
                <w:tcPr>
                  <w:tcW w:w="968" w:type="pct"/>
                  <w:tcBorders>
                    <w:top w:val="single" w:color="auto" w:sz="4" w:space="0"/>
                    <w:bottom w:val="single" w:color="auto" w:sz="4" w:space="0"/>
                  </w:tcBorders>
                  <w:noWrap w:val="0"/>
                  <w:vAlign w:val="center"/>
                </w:tcPr>
                <w:p>
                  <w:pPr>
                    <w:jc w:val="center"/>
                    <w:rPr>
                      <w:rFonts w:hint="eastAsia"/>
                    </w:rPr>
                  </w:pPr>
                  <w:r>
                    <w:rPr>
                      <w:rFonts w:hint="eastAsia"/>
                    </w:rPr>
                    <w:t>/</w:t>
                  </w:r>
                </w:p>
              </w:tc>
              <w:tc>
                <w:tcPr>
                  <w:tcW w:w="834" w:type="pct"/>
                  <w:tcBorders>
                    <w:top w:val="single" w:color="auto" w:sz="4" w:space="0"/>
                    <w:bottom w:val="single" w:color="auto" w:sz="4" w:space="0"/>
                  </w:tcBorders>
                  <w:noWrap w:val="0"/>
                  <w:vAlign w:val="center"/>
                </w:tcPr>
                <w:p>
                  <w:pPr>
                    <w:jc w:val="center"/>
                    <w:rPr>
                      <w:rFonts w:hint="eastAsia"/>
                    </w:rPr>
                  </w:pPr>
                  <w:r>
                    <w:rPr>
                      <w:rFonts w:hint="eastAsia"/>
                    </w:rPr>
                    <w:t>金属零件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0" w:hRule="atLeast"/>
                <w:jc w:val="center"/>
              </w:trPr>
              <w:tc>
                <w:tcPr>
                  <w:tcW w:w="541" w:type="pct"/>
                  <w:tcBorders>
                    <w:top w:val="single" w:color="auto" w:sz="4" w:space="0"/>
                    <w:bottom w:val="single" w:color="auto" w:sz="4" w:space="0"/>
                  </w:tcBorders>
                  <w:noWrap w:val="0"/>
                  <w:vAlign w:val="center"/>
                </w:tcPr>
                <w:p>
                  <w:pPr>
                    <w:jc w:val="center"/>
                    <w:rPr>
                      <w:rFonts w:hint="eastAsia"/>
                    </w:rPr>
                  </w:pPr>
                  <w:r>
                    <w:t>S</w:t>
                  </w:r>
                  <w:r>
                    <w:rPr>
                      <w:rFonts w:hint="eastAsia"/>
                    </w:rPr>
                    <w:t>5</w:t>
                  </w:r>
                </w:p>
              </w:tc>
              <w:tc>
                <w:tcPr>
                  <w:tcW w:w="1078" w:type="pct"/>
                  <w:tcBorders>
                    <w:top w:val="single" w:color="auto" w:sz="4" w:space="0"/>
                    <w:bottom w:val="single" w:color="auto" w:sz="4" w:space="0"/>
                  </w:tcBorders>
                  <w:noWrap w:val="0"/>
                  <w:vAlign w:val="center"/>
                </w:tcPr>
                <w:p>
                  <w:pPr>
                    <w:jc w:val="center"/>
                    <w:rPr>
                      <w:rFonts w:hint="eastAsia"/>
                    </w:rPr>
                  </w:pPr>
                  <w:r>
                    <w:rPr>
                      <w:rFonts w:hint="eastAsia"/>
                    </w:rPr>
                    <w:t>办公生活垃圾</w:t>
                  </w:r>
                </w:p>
              </w:tc>
              <w:tc>
                <w:tcPr>
                  <w:tcW w:w="876" w:type="pct"/>
                  <w:tcBorders>
                    <w:top w:val="single" w:color="auto" w:sz="4" w:space="0"/>
                    <w:bottom w:val="single" w:color="auto" w:sz="4" w:space="0"/>
                  </w:tcBorders>
                  <w:noWrap w:val="0"/>
                  <w:vAlign w:val="center"/>
                </w:tcPr>
                <w:p>
                  <w:pPr>
                    <w:jc w:val="center"/>
                    <w:rPr>
                      <w:rFonts w:hint="eastAsia"/>
                    </w:rPr>
                  </w:pPr>
                  <w:r>
                    <w:rPr>
                      <w:rFonts w:hint="eastAsia"/>
                    </w:rPr>
                    <w:t>否</w:t>
                  </w:r>
                </w:p>
              </w:tc>
              <w:tc>
                <w:tcPr>
                  <w:tcW w:w="703" w:type="pct"/>
                  <w:tcBorders>
                    <w:top w:val="single" w:color="auto" w:sz="4" w:space="0"/>
                    <w:bottom w:val="single" w:color="auto" w:sz="4" w:space="0"/>
                  </w:tcBorders>
                  <w:noWrap w:val="0"/>
                  <w:vAlign w:val="center"/>
                </w:tcPr>
                <w:p>
                  <w:pPr>
                    <w:jc w:val="center"/>
                    <w:rPr>
                      <w:rFonts w:hint="eastAsia"/>
                    </w:rPr>
                  </w:pPr>
                  <w:r>
                    <w:rPr>
                      <w:rFonts w:hint="eastAsia"/>
                    </w:rPr>
                    <w:t>/</w:t>
                  </w:r>
                </w:p>
              </w:tc>
              <w:tc>
                <w:tcPr>
                  <w:tcW w:w="968" w:type="pct"/>
                  <w:tcBorders>
                    <w:top w:val="single" w:color="auto" w:sz="4" w:space="0"/>
                    <w:bottom w:val="single" w:color="auto" w:sz="4" w:space="0"/>
                  </w:tcBorders>
                  <w:noWrap w:val="0"/>
                  <w:vAlign w:val="center"/>
                </w:tcPr>
                <w:p>
                  <w:pPr>
                    <w:jc w:val="center"/>
                    <w:rPr>
                      <w:rFonts w:hint="eastAsia"/>
                    </w:rPr>
                  </w:pPr>
                  <w:r>
                    <w:rPr>
                      <w:rFonts w:hint="eastAsia"/>
                    </w:rPr>
                    <w:t>/</w:t>
                  </w:r>
                </w:p>
              </w:tc>
              <w:tc>
                <w:tcPr>
                  <w:tcW w:w="834" w:type="pct"/>
                  <w:tcBorders>
                    <w:top w:val="single" w:color="auto" w:sz="4" w:space="0"/>
                    <w:bottom w:val="single" w:color="auto" w:sz="4" w:space="0"/>
                  </w:tcBorders>
                  <w:noWrap w:val="0"/>
                  <w:vAlign w:val="center"/>
                </w:tcPr>
                <w:p>
                  <w:pPr>
                    <w:jc w:val="center"/>
                    <w:rPr>
                      <w:rFonts w:hint="eastAsia" w:eastAsia="宋体"/>
                      <w:lang w:val="en-US" w:eastAsia="zh-CN"/>
                    </w:rPr>
                  </w:pPr>
                  <w:r>
                    <w:rPr>
                      <w:rFonts w:hint="eastAsia"/>
                    </w:rPr>
                    <w:t>纸张、塑料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541" w:type="pct"/>
                  <w:tcBorders>
                    <w:top w:val="single" w:color="auto" w:sz="4" w:space="0"/>
                    <w:bottom w:val="single" w:color="auto" w:sz="4" w:space="0"/>
                  </w:tcBorders>
                  <w:noWrap w:val="0"/>
                  <w:vAlign w:val="center"/>
                </w:tcPr>
                <w:p>
                  <w:pPr>
                    <w:jc w:val="center"/>
                    <w:rPr>
                      <w:rFonts w:hint="eastAsia"/>
                    </w:rPr>
                  </w:pPr>
                  <w:r>
                    <w:t>S</w:t>
                  </w:r>
                  <w:r>
                    <w:rPr>
                      <w:rFonts w:hint="eastAsia"/>
                    </w:rPr>
                    <w:t>6</w:t>
                  </w:r>
                </w:p>
              </w:tc>
              <w:tc>
                <w:tcPr>
                  <w:tcW w:w="1078" w:type="pct"/>
                  <w:tcBorders>
                    <w:top w:val="single" w:color="auto" w:sz="4" w:space="0"/>
                    <w:bottom w:val="single" w:color="auto" w:sz="4" w:space="0"/>
                  </w:tcBorders>
                  <w:noWrap w:val="0"/>
                  <w:vAlign w:val="center"/>
                </w:tcPr>
                <w:p>
                  <w:pPr>
                    <w:jc w:val="center"/>
                    <w:rPr>
                      <w:rFonts w:hint="eastAsia"/>
                    </w:rPr>
                  </w:pPr>
                  <w:r>
                    <w:t>污水预处理池污泥</w:t>
                  </w:r>
                </w:p>
              </w:tc>
              <w:tc>
                <w:tcPr>
                  <w:tcW w:w="876" w:type="pct"/>
                  <w:tcBorders>
                    <w:top w:val="single" w:color="auto" w:sz="4" w:space="0"/>
                    <w:bottom w:val="single" w:color="auto" w:sz="4" w:space="0"/>
                  </w:tcBorders>
                  <w:noWrap w:val="0"/>
                  <w:vAlign w:val="center"/>
                </w:tcPr>
                <w:p>
                  <w:pPr>
                    <w:jc w:val="center"/>
                    <w:rPr>
                      <w:rFonts w:hint="eastAsia"/>
                    </w:rPr>
                  </w:pPr>
                  <w:r>
                    <w:rPr>
                      <w:rFonts w:hint="eastAsia"/>
                    </w:rPr>
                    <w:t>否</w:t>
                  </w:r>
                </w:p>
              </w:tc>
              <w:tc>
                <w:tcPr>
                  <w:tcW w:w="703" w:type="pct"/>
                  <w:tcBorders>
                    <w:top w:val="single" w:color="auto" w:sz="4" w:space="0"/>
                    <w:bottom w:val="single" w:color="auto" w:sz="4" w:space="0"/>
                  </w:tcBorders>
                  <w:noWrap w:val="0"/>
                  <w:vAlign w:val="center"/>
                </w:tcPr>
                <w:p>
                  <w:pPr>
                    <w:jc w:val="center"/>
                    <w:rPr>
                      <w:rFonts w:hint="eastAsia"/>
                    </w:rPr>
                  </w:pPr>
                  <w:r>
                    <w:rPr>
                      <w:rFonts w:hint="eastAsia"/>
                    </w:rPr>
                    <w:t>/</w:t>
                  </w:r>
                </w:p>
              </w:tc>
              <w:tc>
                <w:tcPr>
                  <w:tcW w:w="968" w:type="pct"/>
                  <w:tcBorders>
                    <w:top w:val="single" w:color="auto" w:sz="4" w:space="0"/>
                    <w:bottom w:val="single" w:color="auto" w:sz="4" w:space="0"/>
                  </w:tcBorders>
                  <w:noWrap w:val="0"/>
                  <w:vAlign w:val="center"/>
                </w:tcPr>
                <w:p>
                  <w:pPr>
                    <w:jc w:val="center"/>
                    <w:rPr>
                      <w:rFonts w:hint="eastAsia"/>
                    </w:rPr>
                  </w:pPr>
                  <w:r>
                    <w:rPr>
                      <w:rFonts w:hint="eastAsia"/>
                    </w:rPr>
                    <w:t>/</w:t>
                  </w:r>
                </w:p>
              </w:tc>
              <w:tc>
                <w:tcPr>
                  <w:tcW w:w="834" w:type="pct"/>
                  <w:tcBorders>
                    <w:top w:val="single" w:color="auto" w:sz="4" w:space="0"/>
                    <w:bottom w:val="single" w:color="auto" w:sz="4" w:space="0"/>
                  </w:tcBorders>
                  <w:noWrap w:val="0"/>
                  <w:vAlign w:val="center"/>
                </w:tcPr>
                <w:p>
                  <w:pPr>
                    <w:jc w:val="center"/>
                    <w:rPr>
                      <w:rFonts w:hint="eastAsia"/>
                    </w:rPr>
                  </w:pPr>
                  <w:r>
                    <w:rPr>
                      <w:rFonts w:hint="eastAsia"/>
                    </w:rPr>
                    <w:t>污泥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541" w:type="pct"/>
                  <w:tcBorders>
                    <w:top w:val="single" w:color="auto" w:sz="4" w:space="0"/>
                    <w:bottom w:val="single" w:color="auto" w:sz="4" w:space="0"/>
                  </w:tcBorders>
                  <w:noWrap w:val="0"/>
                  <w:vAlign w:val="center"/>
                </w:tcPr>
                <w:p>
                  <w:pPr>
                    <w:jc w:val="center"/>
                    <w:rPr>
                      <w:rFonts w:hint="default" w:eastAsia="宋体"/>
                      <w:lang w:val="en-US" w:eastAsia="zh-CN"/>
                    </w:rPr>
                  </w:pPr>
                  <w:r>
                    <w:rPr>
                      <w:rFonts w:hint="eastAsia"/>
                      <w:lang w:val="en-US" w:eastAsia="zh-CN"/>
                    </w:rPr>
                    <w:t>S7</w:t>
                  </w:r>
                </w:p>
              </w:tc>
              <w:tc>
                <w:tcPr>
                  <w:tcW w:w="1078" w:type="pct"/>
                  <w:tcBorders>
                    <w:top w:val="single" w:color="auto" w:sz="4" w:space="0"/>
                    <w:bottom w:val="single" w:color="auto" w:sz="4" w:space="0"/>
                  </w:tcBorders>
                  <w:noWrap w:val="0"/>
                  <w:vAlign w:val="center"/>
                </w:tcPr>
                <w:p>
                  <w:pPr>
                    <w:jc w:val="center"/>
                  </w:pPr>
                  <w:r>
                    <w:rPr>
                      <w:rFonts w:hint="eastAsia" w:ascii="宋体" w:hAnsi="宋体" w:cs="宋体"/>
                      <w:color w:val="000000"/>
                      <w:kern w:val="0"/>
                      <w:sz w:val="21"/>
                      <w:szCs w:val="21"/>
                      <w:vertAlign w:val="baseline"/>
                      <w:lang w:val="en-US" w:eastAsia="zh-CN" w:bidi="ar"/>
                    </w:rPr>
                    <w:t>餐厨垃圾</w:t>
                  </w:r>
                </w:p>
              </w:tc>
              <w:tc>
                <w:tcPr>
                  <w:tcW w:w="876" w:type="pct"/>
                  <w:tcBorders>
                    <w:top w:val="single" w:color="auto" w:sz="4" w:space="0"/>
                    <w:bottom w:val="single" w:color="auto" w:sz="4" w:space="0"/>
                  </w:tcBorders>
                  <w:noWrap w:val="0"/>
                  <w:vAlign w:val="center"/>
                </w:tcPr>
                <w:p>
                  <w:pPr>
                    <w:jc w:val="center"/>
                    <w:rPr>
                      <w:rFonts w:hint="eastAsia"/>
                    </w:rPr>
                  </w:pPr>
                  <w:r>
                    <w:rPr>
                      <w:rFonts w:hint="eastAsia"/>
                    </w:rPr>
                    <w:t>否</w:t>
                  </w:r>
                </w:p>
              </w:tc>
              <w:tc>
                <w:tcPr>
                  <w:tcW w:w="703" w:type="pct"/>
                  <w:tcBorders>
                    <w:top w:val="single" w:color="auto" w:sz="4" w:space="0"/>
                    <w:bottom w:val="single" w:color="auto" w:sz="4" w:space="0"/>
                  </w:tcBorders>
                  <w:noWrap w:val="0"/>
                  <w:vAlign w:val="center"/>
                </w:tcPr>
                <w:p>
                  <w:pPr>
                    <w:jc w:val="center"/>
                    <w:rPr>
                      <w:rFonts w:hint="eastAsia" w:eastAsia="宋体"/>
                      <w:lang w:val="en-US" w:eastAsia="zh-CN"/>
                    </w:rPr>
                  </w:pPr>
                  <w:r>
                    <w:rPr>
                      <w:rFonts w:hint="eastAsia"/>
                      <w:lang w:val="en-US" w:eastAsia="zh-CN"/>
                    </w:rPr>
                    <w:t>/</w:t>
                  </w:r>
                </w:p>
              </w:tc>
              <w:tc>
                <w:tcPr>
                  <w:tcW w:w="968" w:type="pct"/>
                  <w:tcBorders>
                    <w:top w:val="single" w:color="auto" w:sz="4" w:space="0"/>
                    <w:bottom w:val="single" w:color="auto" w:sz="4" w:space="0"/>
                  </w:tcBorders>
                  <w:noWrap w:val="0"/>
                  <w:vAlign w:val="center"/>
                </w:tcPr>
                <w:p>
                  <w:pPr>
                    <w:jc w:val="center"/>
                    <w:rPr>
                      <w:rFonts w:hint="eastAsia" w:eastAsia="宋体"/>
                      <w:lang w:val="en-US" w:eastAsia="zh-CN"/>
                    </w:rPr>
                  </w:pPr>
                  <w:r>
                    <w:rPr>
                      <w:rFonts w:hint="eastAsia"/>
                      <w:lang w:val="en-US" w:eastAsia="zh-CN"/>
                    </w:rPr>
                    <w:t>/</w:t>
                  </w:r>
                </w:p>
              </w:tc>
              <w:tc>
                <w:tcPr>
                  <w:tcW w:w="834" w:type="pct"/>
                  <w:tcBorders>
                    <w:top w:val="single" w:color="auto" w:sz="4" w:space="0"/>
                    <w:bottom w:val="single" w:color="auto" w:sz="4" w:space="0"/>
                  </w:tcBorders>
                  <w:noWrap w:val="0"/>
                  <w:vAlign w:val="center"/>
                </w:tcPr>
                <w:p>
                  <w:pPr>
                    <w:jc w:val="center"/>
                    <w:rPr>
                      <w:rFonts w:hint="eastAsia"/>
                    </w:rPr>
                  </w:pPr>
                  <w:r>
                    <w:rPr>
                      <w:rFonts w:hint="eastAsia"/>
                    </w:rPr>
                    <w:t>餐厨废物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541" w:type="pct"/>
                  <w:tcBorders>
                    <w:top w:val="single" w:color="auto" w:sz="4" w:space="0"/>
                    <w:bottom w:val="single" w:color="auto" w:sz="4" w:space="0"/>
                  </w:tcBorders>
                  <w:noWrap w:val="0"/>
                  <w:vAlign w:val="center"/>
                </w:tcPr>
                <w:p>
                  <w:pPr>
                    <w:jc w:val="center"/>
                    <w:rPr>
                      <w:rFonts w:hint="eastAsia" w:eastAsia="宋体"/>
                      <w:lang w:eastAsia="zh-CN"/>
                    </w:rPr>
                  </w:pPr>
                  <w:r>
                    <w:t>S</w:t>
                  </w:r>
                  <w:r>
                    <w:rPr>
                      <w:rFonts w:hint="eastAsia"/>
                      <w:lang w:val="en-US" w:eastAsia="zh-CN"/>
                    </w:rPr>
                    <w:t>8</w:t>
                  </w:r>
                </w:p>
              </w:tc>
              <w:tc>
                <w:tcPr>
                  <w:tcW w:w="1078" w:type="pct"/>
                  <w:tcBorders>
                    <w:top w:val="single" w:color="auto" w:sz="4" w:space="0"/>
                    <w:bottom w:val="single" w:color="auto" w:sz="4" w:space="0"/>
                  </w:tcBorders>
                  <w:noWrap w:val="0"/>
                  <w:vAlign w:val="center"/>
                </w:tcPr>
                <w:p>
                  <w:pPr>
                    <w:jc w:val="center"/>
                    <w:rPr>
                      <w:rFonts w:hint="eastAsia"/>
                    </w:rPr>
                  </w:pPr>
                  <w:r>
                    <w:rPr>
                      <w:rFonts w:hint="eastAsia"/>
                    </w:rPr>
                    <w:t>废机油</w:t>
                  </w:r>
                </w:p>
              </w:tc>
              <w:tc>
                <w:tcPr>
                  <w:tcW w:w="876" w:type="pct"/>
                  <w:tcBorders>
                    <w:top w:val="single" w:color="auto" w:sz="4" w:space="0"/>
                    <w:bottom w:val="single" w:color="auto" w:sz="4" w:space="0"/>
                  </w:tcBorders>
                  <w:noWrap w:val="0"/>
                  <w:vAlign w:val="center"/>
                </w:tcPr>
                <w:p>
                  <w:pPr>
                    <w:jc w:val="center"/>
                    <w:rPr>
                      <w:rFonts w:hint="eastAsia"/>
                    </w:rPr>
                  </w:pPr>
                  <w:r>
                    <w:rPr>
                      <w:rFonts w:hint="eastAsia"/>
                    </w:rPr>
                    <w:t>是</w:t>
                  </w:r>
                </w:p>
              </w:tc>
              <w:tc>
                <w:tcPr>
                  <w:tcW w:w="703" w:type="pct"/>
                  <w:tcBorders>
                    <w:top w:val="single" w:color="auto" w:sz="4" w:space="0"/>
                    <w:bottom w:val="single" w:color="auto" w:sz="4" w:space="0"/>
                  </w:tcBorders>
                  <w:noWrap w:val="0"/>
                  <w:vAlign w:val="center"/>
                </w:tcPr>
                <w:p>
                  <w:pPr>
                    <w:jc w:val="center"/>
                    <w:rPr>
                      <w:rFonts w:hint="eastAsia"/>
                    </w:rPr>
                  </w:pPr>
                  <w:r>
                    <w:rPr>
                      <w:rFonts w:hint="eastAsia"/>
                    </w:rPr>
                    <w:t>HW08</w:t>
                  </w:r>
                </w:p>
              </w:tc>
              <w:tc>
                <w:tcPr>
                  <w:tcW w:w="968" w:type="pct"/>
                  <w:tcBorders>
                    <w:top w:val="single" w:color="auto" w:sz="4" w:space="0"/>
                    <w:bottom w:val="single" w:color="auto" w:sz="4" w:space="0"/>
                  </w:tcBorders>
                  <w:noWrap w:val="0"/>
                  <w:vAlign w:val="center"/>
                </w:tcPr>
                <w:p>
                  <w:pPr>
                    <w:jc w:val="center"/>
                  </w:pPr>
                  <w:r>
                    <w:t>900-249-08</w:t>
                  </w:r>
                </w:p>
              </w:tc>
              <w:tc>
                <w:tcPr>
                  <w:tcW w:w="834" w:type="pct"/>
                  <w:tcBorders>
                    <w:top w:val="single" w:color="auto" w:sz="4" w:space="0"/>
                    <w:bottom w:val="single" w:color="auto" w:sz="4" w:space="0"/>
                  </w:tcBorders>
                  <w:noWrap w:val="0"/>
                  <w:vAlign w:val="center"/>
                </w:tcPr>
                <w:p>
                  <w:pPr>
                    <w:jc w:val="center"/>
                    <w:rPr>
                      <w:rFonts w:hint="eastAsia"/>
                    </w:rPr>
                  </w:pPr>
                  <w:r>
                    <w:rPr>
                      <w:rFonts w:hint="eastAsia"/>
                    </w:rPr>
                    <w:t>矿物油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541" w:type="pct"/>
                  <w:tcBorders>
                    <w:top w:val="single" w:color="auto" w:sz="4" w:space="0"/>
                    <w:bottom w:val="single" w:color="auto" w:sz="4" w:space="0"/>
                  </w:tcBorders>
                  <w:noWrap w:val="0"/>
                  <w:vAlign w:val="center"/>
                </w:tcPr>
                <w:p>
                  <w:pPr>
                    <w:jc w:val="center"/>
                    <w:rPr>
                      <w:rFonts w:hint="eastAsia" w:eastAsia="宋体"/>
                      <w:lang w:eastAsia="zh-CN"/>
                    </w:rPr>
                  </w:pPr>
                  <w:r>
                    <w:t>S</w:t>
                  </w:r>
                  <w:r>
                    <w:rPr>
                      <w:rFonts w:hint="eastAsia"/>
                      <w:lang w:val="en-US" w:eastAsia="zh-CN"/>
                    </w:rPr>
                    <w:t>9</w:t>
                  </w:r>
                </w:p>
              </w:tc>
              <w:tc>
                <w:tcPr>
                  <w:tcW w:w="1078" w:type="pct"/>
                  <w:tcBorders>
                    <w:top w:val="single" w:color="auto" w:sz="4" w:space="0"/>
                    <w:bottom w:val="single" w:color="auto" w:sz="4" w:space="0"/>
                  </w:tcBorders>
                  <w:noWrap w:val="0"/>
                  <w:vAlign w:val="center"/>
                </w:tcPr>
                <w:p>
                  <w:pPr>
                    <w:jc w:val="center"/>
                    <w:rPr>
                      <w:rFonts w:hint="eastAsia"/>
                    </w:rPr>
                  </w:pPr>
                  <w:r>
                    <w:rPr>
                      <w:rFonts w:hint="eastAsia"/>
                    </w:rPr>
                    <w:t>废润滑油</w:t>
                  </w:r>
                </w:p>
              </w:tc>
              <w:tc>
                <w:tcPr>
                  <w:tcW w:w="876" w:type="pct"/>
                  <w:tcBorders>
                    <w:top w:val="single" w:color="auto" w:sz="4" w:space="0"/>
                    <w:bottom w:val="single" w:color="auto" w:sz="4" w:space="0"/>
                  </w:tcBorders>
                  <w:noWrap w:val="0"/>
                  <w:vAlign w:val="center"/>
                </w:tcPr>
                <w:p>
                  <w:pPr>
                    <w:jc w:val="center"/>
                    <w:rPr>
                      <w:rFonts w:hint="eastAsia"/>
                    </w:rPr>
                  </w:pPr>
                  <w:r>
                    <w:rPr>
                      <w:rFonts w:hint="eastAsia"/>
                    </w:rPr>
                    <w:t>是</w:t>
                  </w:r>
                </w:p>
              </w:tc>
              <w:tc>
                <w:tcPr>
                  <w:tcW w:w="703" w:type="pct"/>
                  <w:tcBorders>
                    <w:top w:val="single" w:color="auto" w:sz="4" w:space="0"/>
                    <w:bottom w:val="single" w:color="auto" w:sz="4" w:space="0"/>
                  </w:tcBorders>
                  <w:noWrap w:val="0"/>
                  <w:vAlign w:val="center"/>
                </w:tcPr>
                <w:p>
                  <w:pPr>
                    <w:jc w:val="center"/>
                    <w:rPr>
                      <w:rFonts w:hint="eastAsia"/>
                    </w:rPr>
                  </w:pPr>
                  <w:r>
                    <w:rPr>
                      <w:rFonts w:hint="eastAsia"/>
                    </w:rPr>
                    <w:t>HW08</w:t>
                  </w:r>
                </w:p>
              </w:tc>
              <w:tc>
                <w:tcPr>
                  <w:tcW w:w="968" w:type="pct"/>
                  <w:tcBorders>
                    <w:top w:val="single" w:color="auto" w:sz="4" w:space="0"/>
                    <w:bottom w:val="single" w:color="auto" w:sz="4" w:space="0"/>
                  </w:tcBorders>
                  <w:noWrap w:val="0"/>
                  <w:vAlign w:val="center"/>
                </w:tcPr>
                <w:p>
                  <w:pPr>
                    <w:jc w:val="center"/>
                  </w:pPr>
                  <w:r>
                    <w:t>900-249-08</w:t>
                  </w:r>
                </w:p>
              </w:tc>
              <w:tc>
                <w:tcPr>
                  <w:tcW w:w="834" w:type="pct"/>
                  <w:tcBorders>
                    <w:top w:val="single" w:color="auto" w:sz="4" w:space="0"/>
                    <w:bottom w:val="single" w:color="auto" w:sz="4" w:space="0"/>
                  </w:tcBorders>
                  <w:noWrap w:val="0"/>
                  <w:vAlign w:val="center"/>
                </w:tcPr>
                <w:p>
                  <w:pPr>
                    <w:jc w:val="center"/>
                    <w:rPr>
                      <w:rFonts w:hint="eastAsia"/>
                    </w:rPr>
                  </w:pPr>
                  <w:r>
                    <w:rPr>
                      <w:rFonts w:hint="eastAsia"/>
                    </w:rPr>
                    <w:t>矿物油</w:t>
                  </w:r>
                </w:p>
              </w:tc>
            </w:tr>
          </w:tbl>
          <w:p>
            <w:pPr>
              <w:tabs>
                <w:tab w:val="left" w:pos="5670"/>
              </w:tabs>
              <w:spacing w:line="360" w:lineRule="auto"/>
              <w:ind w:firstLine="480" w:firstLineChars="200"/>
              <w:rPr>
                <w:rFonts w:hint="eastAsia"/>
                <w:sz w:val="24"/>
                <w:szCs w:val="24"/>
              </w:rPr>
            </w:pPr>
            <w:r>
              <w:rPr>
                <w:rFonts w:hint="eastAsia"/>
                <w:sz w:val="24"/>
                <w:szCs w:val="24"/>
              </w:rPr>
              <w:t>由上述可知，本项目固体废物去向明确，均能得到妥善处置，不会产生二次污染，对项目周边环境影响较小。</w:t>
            </w:r>
          </w:p>
          <w:p>
            <w:pPr>
              <w:adjustRightInd w:val="0"/>
              <w:snapToGrid w:val="0"/>
              <w:spacing w:line="360" w:lineRule="auto"/>
              <w:ind w:firstLine="482" w:firstLineChars="200"/>
              <w:rPr>
                <w:rFonts w:hint="eastAsia"/>
                <w:b/>
                <w:bCs/>
                <w:sz w:val="24"/>
                <w:szCs w:val="24"/>
              </w:rPr>
            </w:pPr>
            <w:r>
              <w:rPr>
                <w:rFonts w:hint="eastAsia"/>
                <w:b/>
                <w:bCs/>
                <w:sz w:val="24"/>
                <w:szCs w:val="24"/>
              </w:rPr>
              <w:t>（3）危废处置</w:t>
            </w:r>
          </w:p>
          <w:p>
            <w:pPr>
              <w:adjustRightInd w:val="0"/>
              <w:snapToGrid w:val="0"/>
              <w:spacing w:line="360" w:lineRule="auto"/>
              <w:ind w:firstLine="480" w:firstLineChars="200"/>
              <w:rPr>
                <w:rFonts w:hint="eastAsia"/>
                <w:sz w:val="24"/>
                <w:szCs w:val="24"/>
              </w:rPr>
            </w:pPr>
            <w:r>
              <w:rPr>
                <w:rFonts w:hint="eastAsia"/>
                <w:sz w:val="24"/>
                <w:szCs w:val="24"/>
              </w:rPr>
              <w:t>项目拟设1个危废暂存间，用于全厂危废暂存。项目危废暂存间需按照《危险废物贮存污染控制标准》（GB13271-2001）的要求进行建设，具体如下：</w:t>
            </w:r>
          </w:p>
          <w:p>
            <w:pPr>
              <w:adjustRightInd w:val="0"/>
              <w:snapToGrid w:val="0"/>
              <w:spacing w:line="360" w:lineRule="auto"/>
              <w:ind w:firstLine="480" w:firstLineChars="200"/>
              <w:rPr>
                <w:rFonts w:hint="eastAsia"/>
                <w:sz w:val="24"/>
                <w:szCs w:val="24"/>
              </w:rPr>
            </w:pPr>
            <w:r>
              <w:rPr>
                <w:rFonts w:hint="eastAsia"/>
                <w:sz w:val="24"/>
                <w:szCs w:val="24"/>
              </w:rPr>
              <w:t>1）项目在机修间内设有1个危废暂存间，用于全厂危险废物分区、分类暂存，危废暂存间作为重点防渗区进行防渗，周围设截流沟等阻隔设施，内部配置火灾报警装置和导出静电的接地装置。其设计应满足标准规定的防渗、防风、防雨、防晒等相关要求，并设置危险废物识别标志。</w:t>
            </w:r>
          </w:p>
          <w:p>
            <w:pPr>
              <w:adjustRightInd w:val="0"/>
              <w:snapToGrid w:val="0"/>
              <w:spacing w:line="360" w:lineRule="auto"/>
              <w:ind w:firstLine="480" w:firstLineChars="200"/>
              <w:rPr>
                <w:rFonts w:hint="eastAsia"/>
                <w:sz w:val="24"/>
                <w:szCs w:val="24"/>
              </w:rPr>
            </w:pPr>
            <w:r>
              <w:rPr>
                <w:rFonts w:hint="eastAsia"/>
                <w:sz w:val="24"/>
                <w:szCs w:val="24"/>
              </w:rPr>
              <w:t>2）危废暂存间按危险废物的种类和特性进行分区贮存，每个贮存区域之间宜设置挡墙间隔。</w:t>
            </w:r>
          </w:p>
          <w:p>
            <w:pPr>
              <w:adjustRightInd w:val="0"/>
              <w:snapToGrid w:val="0"/>
              <w:spacing w:line="360" w:lineRule="auto"/>
              <w:ind w:firstLine="480" w:firstLineChars="200"/>
              <w:rPr>
                <w:rFonts w:hint="eastAsia"/>
                <w:sz w:val="24"/>
                <w:szCs w:val="24"/>
              </w:rPr>
            </w:pPr>
            <w:r>
              <w:rPr>
                <w:rFonts w:hint="eastAsia"/>
                <w:sz w:val="24"/>
                <w:szCs w:val="24"/>
              </w:rPr>
              <w:t>3）必须将危险废物装入符合标准的容器内，禁止将不相容的危险废物在同一容器内混装盛装。危险废物的容器材质和衬里要与危险废物相容，容器及材质要满足相应的强度要求，容器必须完好无损容、能有效隔断危险废物迁移扩散，并粘贴符合《危险废物贮存污染控制标准》（GB13271-2001）附录 A 所示的标签。</w:t>
            </w:r>
          </w:p>
          <w:p>
            <w:pPr>
              <w:adjustRightInd w:val="0"/>
              <w:snapToGrid w:val="0"/>
              <w:spacing w:line="360" w:lineRule="auto"/>
              <w:ind w:firstLine="480" w:firstLineChars="200"/>
              <w:rPr>
                <w:rFonts w:hint="eastAsia"/>
                <w:sz w:val="24"/>
                <w:szCs w:val="24"/>
              </w:rPr>
            </w:pPr>
            <w:r>
              <w:rPr>
                <w:rFonts w:hint="eastAsia"/>
                <w:sz w:val="24"/>
                <w:szCs w:val="24"/>
              </w:rPr>
              <w:t>4）必须定期对所贮存的危险废物包装容器及贮存设施进行检查，发现破损，应及时采取措施清理更换。</w:t>
            </w:r>
          </w:p>
          <w:p>
            <w:pPr>
              <w:adjustRightInd w:val="0"/>
              <w:snapToGrid w:val="0"/>
              <w:spacing w:line="360" w:lineRule="auto"/>
              <w:ind w:firstLine="480" w:firstLineChars="200"/>
              <w:rPr>
                <w:rFonts w:hint="eastAsia"/>
                <w:sz w:val="24"/>
                <w:szCs w:val="24"/>
              </w:rPr>
            </w:pPr>
            <w:r>
              <w:rPr>
                <w:rFonts w:hint="eastAsia"/>
                <w:sz w:val="24"/>
                <w:szCs w:val="24"/>
              </w:rPr>
              <w:t>5）危险废物转移过程应按《危险废物转移联单管理办法》执行。</w:t>
            </w:r>
          </w:p>
          <w:p>
            <w:pPr>
              <w:adjustRightInd w:val="0"/>
              <w:snapToGrid w:val="0"/>
              <w:spacing w:line="360" w:lineRule="auto"/>
              <w:ind w:firstLine="480" w:firstLineChars="200"/>
              <w:rPr>
                <w:rFonts w:hint="eastAsia"/>
                <w:sz w:val="24"/>
                <w:szCs w:val="24"/>
              </w:rPr>
            </w:pPr>
            <w:r>
              <w:rPr>
                <w:rFonts w:hint="eastAsia"/>
                <w:sz w:val="24"/>
                <w:szCs w:val="24"/>
              </w:rPr>
              <w:t>6）建立危险废物贮存的台帐制度，作好危险废物入库交接记录，记录上应注明危险废物的种类、名称、来源、数量、特性和包装容器的类别、入库日期、存放库位、出库日期及接收单位名称等。</w:t>
            </w:r>
          </w:p>
          <w:p>
            <w:pPr>
              <w:adjustRightInd w:val="0"/>
              <w:snapToGrid w:val="0"/>
              <w:spacing w:line="360" w:lineRule="auto"/>
              <w:ind w:firstLine="480" w:firstLineChars="200"/>
              <w:rPr>
                <w:rFonts w:hint="eastAsia"/>
                <w:sz w:val="24"/>
                <w:szCs w:val="24"/>
              </w:rPr>
            </w:pPr>
            <w:r>
              <w:rPr>
                <w:rFonts w:hint="eastAsia"/>
                <w:sz w:val="24"/>
                <w:szCs w:val="24"/>
              </w:rPr>
              <w:t>7）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pPr>
              <w:tabs>
                <w:tab w:val="left" w:pos="5670"/>
              </w:tabs>
              <w:spacing w:line="360" w:lineRule="auto"/>
              <w:ind w:firstLine="480" w:firstLineChars="200"/>
              <w:rPr>
                <w:rFonts w:hint="eastAsia"/>
                <w:sz w:val="24"/>
                <w:szCs w:val="24"/>
              </w:rPr>
            </w:pPr>
            <w:r>
              <w:rPr>
                <w:rFonts w:hint="eastAsia"/>
                <w:sz w:val="24"/>
                <w:szCs w:val="24"/>
              </w:rPr>
              <w:t>由上述可知，本项目固体废物去向明确，均能得到妥善处置，不会产生二次污染，对项目周边环境影响较小。</w:t>
            </w:r>
          </w:p>
          <w:p>
            <w:pPr>
              <w:spacing w:line="360" w:lineRule="auto"/>
              <w:rPr>
                <w:rFonts w:hint="eastAsia"/>
                <w:b/>
                <w:bCs/>
                <w:sz w:val="24"/>
                <w:szCs w:val="24"/>
              </w:rPr>
            </w:pPr>
            <w:r>
              <w:rPr>
                <w:rFonts w:hint="eastAsia"/>
                <w:b/>
                <w:bCs/>
                <w:sz w:val="24"/>
                <w:szCs w:val="24"/>
                <w:lang w:val="en-US" w:eastAsia="zh-CN"/>
              </w:rPr>
              <w:t>五</w:t>
            </w:r>
            <w:r>
              <w:rPr>
                <w:rFonts w:hint="eastAsia"/>
                <w:b/>
                <w:bCs/>
                <w:sz w:val="24"/>
                <w:szCs w:val="24"/>
              </w:rPr>
              <w:t>、地下水环境影响和保护措施</w:t>
            </w:r>
          </w:p>
          <w:p>
            <w:pPr>
              <w:tabs>
                <w:tab w:val="left" w:pos="5670"/>
              </w:tabs>
              <w:spacing w:line="360" w:lineRule="auto"/>
              <w:ind w:firstLine="480" w:firstLineChars="200"/>
              <w:rPr>
                <w:rFonts w:hint="eastAsia"/>
                <w:sz w:val="24"/>
                <w:szCs w:val="24"/>
              </w:rPr>
            </w:pPr>
            <w:r>
              <w:rPr>
                <w:sz w:val="24"/>
                <w:szCs w:val="24"/>
              </w:rPr>
              <w:t>根据《地下水环境影响评价技术导则（HJ 610-2016）》中“附录A 地下水环境影响评价行业分类表”，项目行业类别为“</w:t>
            </w:r>
            <w:r>
              <w:rPr>
                <w:rFonts w:hint="eastAsia"/>
                <w:sz w:val="24"/>
                <w:szCs w:val="24"/>
              </w:rPr>
              <w:t>J</w:t>
            </w:r>
            <w:r>
              <w:rPr>
                <w:sz w:val="24"/>
                <w:szCs w:val="24"/>
              </w:rPr>
              <w:t>、非金属矿采选</w:t>
            </w:r>
            <w:r>
              <w:rPr>
                <w:rFonts w:hint="eastAsia"/>
                <w:sz w:val="24"/>
                <w:szCs w:val="24"/>
              </w:rPr>
              <w:t>及制造</w:t>
            </w:r>
            <w:r>
              <w:rPr>
                <w:sz w:val="24"/>
                <w:szCs w:val="24"/>
              </w:rPr>
              <w:t>业”中 “</w:t>
            </w:r>
            <w:r>
              <w:rPr>
                <w:rFonts w:hint="eastAsia"/>
                <w:sz w:val="24"/>
                <w:szCs w:val="24"/>
              </w:rPr>
              <w:t>60、砼结构构件制造、商品混凝土加工</w:t>
            </w:r>
            <w:r>
              <w:rPr>
                <w:sz w:val="24"/>
                <w:szCs w:val="24"/>
              </w:rPr>
              <w:t>”，环评类别为“报告表”，对应地下水环境影响评价项目类别为“</w:t>
            </w:r>
            <w:r>
              <w:rPr>
                <w:rFonts w:hint="eastAsia"/>
                <w:sz w:val="24"/>
                <w:szCs w:val="24"/>
              </w:rPr>
              <w:t>Ⅳ</w:t>
            </w:r>
            <w:r>
              <w:rPr>
                <w:sz w:val="24"/>
                <w:szCs w:val="24"/>
              </w:rPr>
              <w:t>类”。</w:t>
            </w:r>
            <w:r>
              <w:rPr>
                <w:rFonts w:hint="eastAsia"/>
                <w:sz w:val="24"/>
                <w:szCs w:val="24"/>
              </w:rPr>
              <w:t>根据导则要求</w:t>
            </w:r>
            <w:r>
              <w:rPr>
                <w:sz w:val="24"/>
                <w:szCs w:val="24"/>
              </w:rPr>
              <w:t>无需进行地下水评价，本次</w:t>
            </w:r>
            <w:r>
              <w:rPr>
                <w:rFonts w:hint="eastAsia"/>
                <w:sz w:val="24"/>
                <w:szCs w:val="24"/>
              </w:rPr>
              <w:t>环评</w:t>
            </w:r>
            <w:r>
              <w:rPr>
                <w:sz w:val="24"/>
                <w:szCs w:val="24"/>
              </w:rPr>
              <w:t>只进行一般性分析。</w:t>
            </w:r>
          </w:p>
          <w:p>
            <w:pPr>
              <w:spacing w:line="360" w:lineRule="auto"/>
              <w:ind w:firstLine="480" w:firstLineChars="200"/>
              <w:rPr>
                <w:sz w:val="24"/>
                <w:szCs w:val="24"/>
              </w:rPr>
            </w:pPr>
            <w:r>
              <w:rPr>
                <w:sz w:val="24"/>
                <w:szCs w:val="24"/>
              </w:rPr>
              <w:t>项目所在区域无原有地下水污染源，且项目区域地下水水质较好，不存在地下水污染问题。</w:t>
            </w:r>
          </w:p>
          <w:p>
            <w:pPr>
              <w:spacing w:line="360" w:lineRule="auto"/>
              <w:ind w:firstLine="480" w:firstLineChars="200"/>
              <w:rPr>
                <w:sz w:val="24"/>
                <w:szCs w:val="24"/>
              </w:rPr>
            </w:pPr>
            <w:r>
              <w:rPr>
                <w:sz w:val="24"/>
                <w:szCs w:val="24"/>
              </w:rPr>
              <w:t xml:space="preserve">同时，本项目未取用地下水，也不向地下排水。本项目通过分区防渗处理后，防渗措施满足《环境影响评价技术导则  地下水环境》（HJ610-2016）中防渗技术要求，可从污染源头和途径上减少因废液或物料泄漏渗漏入地下水，正常情况下不会对地下水环境造成不利影响。 </w:t>
            </w:r>
          </w:p>
          <w:p>
            <w:pPr>
              <w:spacing w:line="360" w:lineRule="auto"/>
              <w:ind w:firstLine="480" w:firstLineChars="200"/>
              <w:rPr>
                <w:rFonts w:hint="eastAsia"/>
                <w:sz w:val="24"/>
                <w:szCs w:val="24"/>
              </w:rPr>
            </w:pPr>
            <w:r>
              <w:rPr>
                <w:rFonts w:hint="eastAsia"/>
                <w:sz w:val="24"/>
                <w:szCs w:val="24"/>
              </w:rPr>
              <w:t>为防止项目运行产生的废水及危险物质下渗污染地下水，环评要求本项目厂区设置重点防渗区、一般防渗区和简单防渗区，具体如下表所示：</w:t>
            </w:r>
          </w:p>
          <w:p>
            <w:pPr>
              <w:pStyle w:val="8"/>
              <w:ind w:firstLine="422"/>
              <w:jc w:val="center"/>
              <w:rPr>
                <w:rFonts w:hint="eastAsia"/>
                <w:b/>
                <w:bCs/>
                <w:sz w:val="21"/>
                <w:szCs w:val="21"/>
              </w:rPr>
            </w:pPr>
            <w:r>
              <w:rPr>
                <w:rFonts w:hint="eastAsia"/>
                <w:b/>
                <w:bCs/>
                <w:sz w:val="21"/>
                <w:szCs w:val="21"/>
              </w:rPr>
              <w:t>表 4-1</w:t>
            </w:r>
            <w:r>
              <w:rPr>
                <w:rFonts w:hint="eastAsia"/>
                <w:b/>
                <w:bCs/>
                <w:sz w:val="21"/>
                <w:szCs w:val="21"/>
                <w:lang w:val="en-US" w:eastAsia="zh-CN"/>
              </w:rPr>
              <w:t>0</w:t>
            </w:r>
            <w:r>
              <w:rPr>
                <w:rFonts w:hint="eastAsia"/>
                <w:b/>
                <w:bCs/>
                <w:sz w:val="21"/>
                <w:szCs w:val="21"/>
              </w:rPr>
              <w:t xml:space="preserve">  项目地下水防渗分区表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839"/>
              <w:gridCol w:w="1227"/>
              <w:gridCol w:w="4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noWrap w:val="0"/>
                  <w:vAlign w:val="center"/>
                </w:tcPr>
                <w:p>
                  <w:pPr>
                    <w:pStyle w:val="8"/>
                    <w:ind w:firstLine="0" w:firstLineChars="0"/>
                    <w:jc w:val="center"/>
                    <w:rPr>
                      <w:rFonts w:hint="eastAsia"/>
                      <w:sz w:val="21"/>
                      <w:szCs w:val="21"/>
                    </w:rPr>
                  </w:pPr>
                  <w:r>
                    <w:rPr>
                      <w:rFonts w:hint="eastAsia"/>
                      <w:sz w:val="21"/>
                      <w:szCs w:val="21"/>
                    </w:rPr>
                    <w:t>序号</w:t>
                  </w:r>
                </w:p>
              </w:tc>
              <w:tc>
                <w:tcPr>
                  <w:tcW w:w="1912" w:type="dxa"/>
                  <w:noWrap w:val="0"/>
                  <w:vAlign w:val="center"/>
                </w:tcPr>
                <w:p>
                  <w:pPr>
                    <w:pStyle w:val="8"/>
                    <w:ind w:firstLine="0" w:firstLineChars="0"/>
                    <w:jc w:val="center"/>
                    <w:rPr>
                      <w:rFonts w:hint="eastAsia"/>
                      <w:sz w:val="21"/>
                      <w:szCs w:val="21"/>
                    </w:rPr>
                  </w:pPr>
                  <w:r>
                    <w:rPr>
                      <w:rFonts w:hint="eastAsia"/>
                      <w:sz w:val="21"/>
                      <w:szCs w:val="21"/>
                    </w:rPr>
                    <w:t>名称</w:t>
                  </w:r>
                </w:p>
              </w:tc>
              <w:tc>
                <w:tcPr>
                  <w:tcW w:w="1276" w:type="dxa"/>
                  <w:noWrap w:val="0"/>
                  <w:vAlign w:val="center"/>
                </w:tcPr>
                <w:p>
                  <w:pPr>
                    <w:pStyle w:val="8"/>
                    <w:ind w:firstLine="0" w:firstLineChars="0"/>
                    <w:jc w:val="center"/>
                    <w:rPr>
                      <w:rFonts w:hint="eastAsia"/>
                      <w:sz w:val="21"/>
                      <w:szCs w:val="21"/>
                    </w:rPr>
                  </w:pPr>
                  <w:r>
                    <w:rPr>
                      <w:rFonts w:hint="eastAsia"/>
                      <w:sz w:val="21"/>
                      <w:szCs w:val="21"/>
                    </w:rPr>
                    <w:t>分区类别</w:t>
                  </w:r>
                </w:p>
              </w:tc>
              <w:tc>
                <w:tcPr>
                  <w:tcW w:w="4536" w:type="dxa"/>
                  <w:noWrap w:val="0"/>
                  <w:vAlign w:val="center"/>
                </w:tcPr>
                <w:p>
                  <w:pPr>
                    <w:pStyle w:val="8"/>
                    <w:ind w:firstLine="0" w:firstLineChars="0"/>
                    <w:jc w:val="center"/>
                    <w:rPr>
                      <w:rFonts w:hint="eastAsia"/>
                      <w:sz w:val="21"/>
                      <w:szCs w:val="21"/>
                    </w:rPr>
                  </w:pPr>
                  <w:r>
                    <w:rPr>
                      <w:rFonts w:hint="eastAsia"/>
                      <w:sz w:val="2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noWrap w:val="0"/>
                  <w:vAlign w:val="center"/>
                </w:tcPr>
                <w:p>
                  <w:pPr>
                    <w:pStyle w:val="8"/>
                    <w:ind w:firstLine="0" w:firstLineChars="0"/>
                    <w:jc w:val="center"/>
                    <w:rPr>
                      <w:rFonts w:hint="eastAsia"/>
                      <w:sz w:val="21"/>
                      <w:szCs w:val="21"/>
                    </w:rPr>
                  </w:pPr>
                  <w:r>
                    <w:rPr>
                      <w:rFonts w:hint="eastAsia"/>
                      <w:sz w:val="21"/>
                      <w:szCs w:val="21"/>
                    </w:rPr>
                    <w:t>1</w:t>
                  </w:r>
                </w:p>
              </w:tc>
              <w:tc>
                <w:tcPr>
                  <w:tcW w:w="1912" w:type="dxa"/>
                  <w:noWrap w:val="0"/>
                  <w:vAlign w:val="center"/>
                </w:tcPr>
                <w:p>
                  <w:pPr>
                    <w:pStyle w:val="8"/>
                    <w:ind w:firstLine="0" w:firstLineChars="0"/>
                    <w:jc w:val="center"/>
                    <w:rPr>
                      <w:rFonts w:hint="eastAsia"/>
                      <w:sz w:val="21"/>
                      <w:szCs w:val="21"/>
                    </w:rPr>
                  </w:pPr>
                  <w:r>
                    <w:rPr>
                      <w:rFonts w:hint="eastAsia"/>
                      <w:sz w:val="21"/>
                      <w:szCs w:val="21"/>
                    </w:rPr>
                    <w:t>办公室、值班室、厂区道路</w:t>
                  </w:r>
                </w:p>
              </w:tc>
              <w:tc>
                <w:tcPr>
                  <w:tcW w:w="1276" w:type="dxa"/>
                  <w:noWrap w:val="0"/>
                  <w:vAlign w:val="center"/>
                </w:tcPr>
                <w:p>
                  <w:pPr>
                    <w:pStyle w:val="8"/>
                    <w:ind w:firstLine="0" w:firstLineChars="0"/>
                    <w:jc w:val="center"/>
                    <w:rPr>
                      <w:rFonts w:hint="eastAsia"/>
                      <w:sz w:val="21"/>
                      <w:szCs w:val="21"/>
                    </w:rPr>
                  </w:pPr>
                  <w:r>
                    <w:rPr>
                      <w:rFonts w:hint="eastAsia"/>
                      <w:sz w:val="21"/>
                      <w:szCs w:val="21"/>
                    </w:rPr>
                    <w:t>简单防渗区</w:t>
                  </w:r>
                </w:p>
              </w:tc>
              <w:tc>
                <w:tcPr>
                  <w:tcW w:w="4536" w:type="dxa"/>
                  <w:noWrap w:val="0"/>
                  <w:vAlign w:val="center"/>
                </w:tcPr>
                <w:p>
                  <w:pPr>
                    <w:pStyle w:val="8"/>
                    <w:ind w:firstLine="0" w:firstLineChars="0"/>
                    <w:jc w:val="center"/>
                    <w:rPr>
                      <w:rFonts w:hint="eastAsia"/>
                      <w:sz w:val="21"/>
                      <w:szCs w:val="21"/>
                    </w:rPr>
                  </w:pPr>
                  <w:r>
                    <w:rPr>
                      <w:rFonts w:hint="eastAsia"/>
                      <w:sz w:val="21"/>
                      <w:szCs w:val="21"/>
                    </w:rPr>
                    <w:t>采用一般地面硬化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noWrap w:val="0"/>
                  <w:vAlign w:val="center"/>
                </w:tcPr>
                <w:p>
                  <w:pPr>
                    <w:pStyle w:val="8"/>
                    <w:ind w:firstLine="0" w:firstLineChars="0"/>
                    <w:jc w:val="center"/>
                    <w:rPr>
                      <w:rFonts w:hint="eastAsia"/>
                      <w:sz w:val="21"/>
                      <w:szCs w:val="21"/>
                    </w:rPr>
                  </w:pPr>
                  <w:r>
                    <w:rPr>
                      <w:rFonts w:hint="eastAsia"/>
                      <w:sz w:val="21"/>
                      <w:szCs w:val="21"/>
                    </w:rPr>
                    <w:t>2</w:t>
                  </w:r>
                </w:p>
              </w:tc>
              <w:tc>
                <w:tcPr>
                  <w:tcW w:w="1912" w:type="dxa"/>
                  <w:noWrap w:val="0"/>
                  <w:vAlign w:val="center"/>
                </w:tcPr>
                <w:p>
                  <w:pPr>
                    <w:pStyle w:val="8"/>
                    <w:ind w:firstLine="0" w:firstLineChars="0"/>
                    <w:jc w:val="center"/>
                    <w:rPr>
                      <w:rFonts w:hint="eastAsia"/>
                      <w:sz w:val="21"/>
                      <w:szCs w:val="21"/>
                    </w:rPr>
                  </w:pPr>
                  <w:r>
                    <w:rPr>
                      <w:rFonts w:hint="eastAsia"/>
                      <w:sz w:val="21"/>
                      <w:szCs w:val="21"/>
                    </w:rPr>
                    <w:t>砂石原料库、商品混凝土生产区、</w:t>
                  </w:r>
                  <w:r>
                    <w:rPr>
                      <w:rFonts w:hint="eastAsia"/>
                      <w:sz w:val="21"/>
                      <w:szCs w:val="21"/>
                      <w:lang w:val="en-US" w:eastAsia="zh-CN"/>
                    </w:rPr>
                    <w:t>沙石生产区、</w:t>
                  </w:r>
                  <w:r>
                    <w:rPr>
                      <w:rFonts w:hint="eastAsia"/>
                      <w:sz w:val="21"/>
                      <w:szCs w:val="21"/>
                    </w:rPr>
                    <w:t>生产实验室、机修间</w:t>
                  </w:r>
                </w:p>
              </w:tc>
              <w:tc>
                <w:tcPr>
                  <w:tcW w:w="1276" w:type="dxa"/>
                  <w:noWrap w:val="0"/>
                  <w:vAlign w:val="center"/>
                </w:tcPr>
                <w:p>
                  <w:pPr>
                    <w:pStyle w:val="8"/>
                    <w:ind w:firstLine="0" w:firstLineChars="0"/>
                    <w:jc w:val="center"/>
                    <w:rPr>
                      <w:rFonts w:hint="eastAsia"/>
                      <w:sz w:val="21"/>
                      <w:szCs w:val="21"/>
                    </w:rPr>
                  </w:pPr>
                  <w:r>
                    <w:rPr>
                      <w:rFonts w:hint="eastAsia"/>
                      <w:sz w:val="21"/>
                      <w:szCs w:val="21"/>
                    </w:rPr>
                    <w:t>一般防渗区</w:t>
                  </w:r>
                </w:p>
              </w:tc>
              <w:tc>
                <w:tcPr>
                  <w:tcW w:w="4536" w:type="dxa"/>
                  <w:noWrap w:val="0"/>
                  <w:vAlign w:val="center"/>
                </w:tcPr>
                <w:p>
                  <w:pPr>
                    <w:pStyle w:val="8"/>
                    <w:ind w:firstLine="0" w:firstLineChars="0"/>
                    <w:jc w:val="center"/>
                    <w:rPr>
                      <w:rFonts w:hint="eastAsia"/>
                      <w:sz w:val="21"/>
                      <w:szCs w:val="21"/>
                    </w:rPr>
                  </w:pPr>
                  <w:r>
                    <w:rPr>
                      <w:rFonts w:hint="eastAsia"/>
                      <w:sz w:val="21"/>
                      <w:szCs w:val="21"/>
                    </w:rPr>
                    <w:t>采用防渗性能与厚度 Mb≥1.5m、渗透系数K≤1×10</w:t>
                  </w:r>
                  <w:r>
                    <w:rPr>
                      <w:sz w:val="21"/>
                      <w:szCs w:val="21"/>
                    </w:rPr>
                    <w:t>-7</w:t>
                  </w:r>
                  <w:r>
                    <w:rPr>
                      <w:rFonts w:hint="eastAsia"/>
                      <w:sz w:val="21"/>
                      <w:szCs w:val="21"/>
                    </w:rPr>
                    <w:t>cm/s 粘土防渗层等效的防渗措施。具体防渗结构如下：抗渗混凝土面层（厚度300mm，抗渗等级为 P6）、原土压（夯）实。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8" w:type="dxa"/>
                  <w:noWrap w:val="0"/>
                  <w:vAlign w:val="center"/>
                </w:tcPr>
                <w:p>
                  <w:pPr>
                    <w:pStyle w:val="8"/>
                    <w:ind w:firstLine="0" w:firstLineChars="0"/>
                    <w:jc w:val="center"/>
                    <w:rPr>
                      <w:rFonts w:hint="eastAsia"/>
                      <w:sz w:val="21"/>
                      <w:szCs w:val="21"/>
                    </w:rPr>
                  </w:pPr>
                  <w:r>
                    <w:rPr>
                      <w:rFonts w:hint="eastAsia"/>
                      <w:sz w:val="21"/>
                      <w:szCs w:val="21"/>
                    </w:rPr>
                    <w:t>3</w:t>
                  </w:r>
                </w:p>
              </w:tc>
              <w:tc>
                <w:tcPr>
                  <w:tcW w:w="1912" w:type="dxa"/>
                  <w:noWrap w:val="0"/>
                  <w:vAlign w:val="center"/>
                </w:tcPr>
                <w:p>
                  <w:pPr>
                    <w:pStyle w:val="8"/>
                    <w:ind w:firstLine="0" w:firstLineChars="0"/>
                    <w:jc w:val="center"/>
                    <w:rPr>
                      <w:rFonts w:hint="eastAsia"/>
                      <w:sz w:val="21"/>
                      <w:szCs w:val="21"/>
                    </w:rPr>
                  </w:pPr>
                  <w:r>
                    <w:rPr>
                      <w:rFonts w:hint="eastAsia"/>
                      <w:sz w:val="21"/>
                      <w:szCs w:val="21"/>
                    </w:rPr>
                    <w:t>危废暂存间、生活污水预处理池、餐饮废水隔油池、</w:t>
                  </w:r>
                  <w:r>
                    <w:rPr>
                      <w:rFonts w:hint="eastAsia"/>
                      <w:sz w:val="21"/>
                      <w:szCs w:val="21"/>
                      <w:lang w:val="en-US" w:eastAsia="zh-CN"/>
                    </w:rPr>
                    <w:t>沉淀池</w:t>
                  </w:r>
                  <w:r>
                    <w:rPr>
                      <w:rFonts w:hint="eastAsia"/>
                      <w:sz w:val="21"/>
                      <w:szCs w:val="21"/>
                    </w:rPr>
                    <w:t>、初期雨水池、</w:t>
                  </w:r>
                </w:p>
              </w:tc>
              <w:tc>
                <w:tcPr>
                  <w:tcW w:w="1276" w:type="dxa"/>
                  <w:noWrap w:val="0"/>
                  <w:vAlign w:val="center"/>
                </w:tcPr>
                <w:p>
                  <w:pPr>
                    <w:pStyle w:val="8"/>
                    <w:ind w:firstLine="0" w:firstLineChars="0"/>
                    <w:jc w:val="center"/>
                    <w:rPr>
                      <w:rFonts w:hint="eastAsia"/>
                      <w:sz w:val="21"/>
                      <w:szCs w:val="21"/>
                    </w:rPr>
                  </w:pPr>
                  <w:r>
                    <w:rPr>
                      <w:rFonts w:hint="eastAsia"/>
                      <w:sz w:val="21"/>
                      <w:szCs w:val="21"/>
                    </w:rPr>
                    <w:t>重点防渗区</w:t>
                  </w:r>
                </w:p>
              </w:tc>
              <w:tc>
                <w:tcPr>
                  <w:tcW w:w="4536" w:type="dxa"/>
                  <w:noWrap w:val="0"/>
                  <w:vAlign w:val="center"/>
                </w:tcPr>
                <w:p>
                  <w:pPr>
                    <w:pStyle w:val="8"/>
                    <w:ind w:firstLine="0" w:firstLineChars="0"/>
                    <w:jc w:val="center"/>
                    <w:rPr>
                      <w:rFonts w:hint="eastAsia"/>
                      <w:sz w:val="21"/>
                      <w:szCs w:val="21"/>
                    </w:rPr>
                  </w:pPr>
                  <w:r>
                    <w:rPr>
                      <w:rFonts w:hint="eastAsia"/>
                      <w:sz w:val="21"/>
                      <w:szCs w:val="21"/>
                    </w:rPr>
                    <w:t>采用刚性+柔性防渗措施，即采用P8等级混凝土+2mmHDPE膜防渗结构，渗透系数 K≤1×10</w:t>
                  </w:r>
                  <w:r>
                    <w:rPr>
                      <w:sz w:val="21"/>
                      <w:szCs w:val="21"/>
                    </w:rPr>
                    <w:t>-10</w:t>
                  </w:r>
                  <w:r>
                    <w:rPr>
                      <w:rFonts w:hint="eastAsia"/>
                      <w:sz w:val="21"/>
                      <w:szCs w:val="21"/>
                    </w:rPr>
                    <w:t>cm/s。防渗结构由上至下依次为：水泥基渗透结晶型防渗涂层（≥0.8mm）、抗渗混凝土面层（厚度30cm，抗渗等级为P8）、600g/m</w:t>
                  </w:r>
                  <w:r>
                    <w:rPr>
                      <w:rFonts w:hint="eastAsia"/>
                      <w:sz w:val="21"/>
                      <w:szCs w:val="21"/>
                      <w:vertAlign w:val="superscript"/>
                    </w:rPr>
                    <w:t>2</w:t>
                  </w:r>
                  <w:r>
                    <w:rPr>
                      <w:rFonts w:hint="eastAsia"/>
                      <w:sz w:val="21"/>
                      <w:szCs w:val="21"/>
                    </w:rPr>
                    <w:t>长丝无纺土工布、2mm厚HDPE防渗膜、基层+垫层、600g/m2长丝无纺土工布、细砂保护层、原土压实。</w:t>
                  </w:r>
                </w:p>
              </w:tc>
            </w:tr>
          </w:tbl>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六、土壤环境影响和保护措施</w:t>
            </w:r>
          </w:p>
          <w:p>
            <w:pPr>
              <w:tabs>
                <w:tab w:val="left" w:pos="5670"/>
              </w:tabs>
              <w:spacing w:line="360" w:lineRule="auto"/>
              <w:ind w:firstLine="480" w:firstLineChars="200"/>
              <w:rPr>
                <w:sz w:val="24"/>
                <w:szCs w:val="24"/>
              </w:rPr>
            </w:pPr>
            <w:r>
              <w:rPr>
                <w:rFonts w:hint="eastAsia"/>
                <w:sz w:val="24"/>
                <w:szCs w:val="24"/>
              </w:rPr>
              <w:t>根据</w:t>
            </w:r>
            <w:r>
              <w:rPr>
                <w:sz w:val="24"/>
                <w:szCs w:val="24"/>
              </w:rPr>
              <w:t>《环境影响评价技术导则土壤环境（试行）》（HJ964-2018）附录 A，项目</w:t>
            </w:r>
            <w:r>
              <w:rPr>
                <w:rFonts w:hint="eastAsia"/>
                <w:sz w:val="24"/>
                <w:szCs w:val="24"/>
              </w:rPr>
              <w:t>作为商品混凝土加工项目，不属于该附录中的内容</w:t>
            </w:r>
            <w:r>
              <w:rPr>
                <w:sz w:val="24"/>
                <w:szCs w:val="24"/>
              </w:rPr>
              <w:t>，划分为</w:t>
            </w:r>
            <w:r>
              <w:rPr>
                <w:rFonts w:hint="eastAsia"/>
                <w:sz w:val="24"/>
                <w:szCs w:val="24"/>
              </w:rPr>
              <w:t>Ⅳ类</w:t>
            </w:r>
            <w:r>
              <w:rPr>
                <w:sz w:val="24"/>
                <w:szCs w:val="24"/>
              </w:rPr>
              <w:t>项目，</w:t>
            </w:r>
            <w:r>
              <w:rPr>
                <w:rFonts w:hint="eastAsia"/>
                <w:sz w:val="24"/>
                <w:szCs w:val="24"/>
              </w:rPr>
              <w:t>因此</w:t>
            </w:r>
            <w:r>
              <w:rPr>
                <w:sz w:val="24"/>
                <w:szCs w:val="24"/>
              </w:rPr>
              <w:t>本项目不需要开展土壤环境影响评价。</w:t>
            </w:r>
          </w:p>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七、生态环境影响分析</w:t>
            </w:r>
          </w:p>
          <w:p>
            <w:pPr>
              <w:spacing w:line="360" w:lineRule="auto"/>
              <w:ind w:firstLine="470" w:firstLineChars="196"/>
              <w:rPr>
                <w:rFonts w:hint="eastAsia"/>
                <w:sz w:val="24"/>
                <w:szCs w:val="24"/>
              </w:rPr>
            </w:pPr>
            <w:r>
              <w:rPr>
                <w:rFonts w:hint="eastAsia"/>
                <w:sz w:val="24"/>
                <w:szCs w:val="24"/>
              </w:rPr>
              <w:t>项目场地内</w:t>
            </w:r>
            <w:r>
              <w:rPr>
                <w:sz w:val="24"/>
                <w:szCs w:val="24"/>
              </w:rPr>
              <w:t>设置</w:t>
            </w:r>
            <w:r>
              <w:rPr>
                <w:rFonts w:hint="eastAsia"/>
                <w:sz w:val="24"/>
                <w:szCs w:val="24"/>
              </w:rPr>
              <w:t>封闭厂房并完成地面硬化，砂石料堆存于封闭的库房内，能够减轻雨水直接冲刷生产线和砂石堆场，项目场地内</w:t>
            </w:r>
            <w:r>
              <w:rPr>
                <w:sz w:val="24"/>
                <w:szCs w:val="24"/>
              </w:rPr>
              <w:t>设置雨水导流渠</w:t>
            </w:r>
            <w:r>
              <w:rPr>
                <w:rFonts w:hint="eastAsia"/>
                <w:sz w:val="24"/>
                <w:szCs w:val="24"/>
              </w:rPr>
              <w:t>进入雨水沉淀池</w:t>
            </w:r>
            <w:r>
              <w:rPr>
                <w:sz w:val="24"/>
                <w:szCs w:val="24"/>
              </w:rPr>
              <w:t>，</w:t>
            </w:r>
            <w:r>
              <w:rPr>
                <w:rFonts w:hint="eastAsia"/>
                <w:sz w:val="24"/>
                <w:szCs w:val="24"/>
              </w:rPr>
              <w:t>沉淀池低渣定期掏挖回用于生产，</w:t>
            </w:r>
            <w:r>
              <w:rPr>
                <w:sz w:val="24"/>
                <w:szCs w:val="24"/>
              </w:rPr>
              <w:t>防止因雨水冲刷造成水土流失</w:t>
            </w:r>
            <w:r>
              <w:rPr>
                <w:rFonts w:hint="eastAsia"/>
                <w:sz w:val="24"/>
                <w:szCs w:val="24"/>
              </w:rPr>
              <w:t>；此外，项目内植树种草，利用植被对噪声和粉尘的吸附能力降低环境影响。</w:t>
            </w:r>
          </w:p>
          <w:p>
            <w:pPr>
              <w:spacing w:line="360" w:lineRule="auto"/>
              <w:ind w:firstLine="470" w:firstLineChars="196"/>
              <w:rPr>
                <w:rFonts w:hint="eastAsia"/>
                <w:sz w:val="24"/>
                <w:szCs w:val="24"/>
              </w:rPr>
            </w:pPr>
            <w:r>
              <w:rPr>
                <w:rFonts w:hint="eastAsia"/>
                <w:sz w:val="24"/>
                <w:szCs w:val="24"/>
              </w:rPr>
              <w:t>因此在落实各项环保措施后，本项目不会对区域生态环境产生明显影响。</w:t>
            </w:r>
          </w:p>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八、环境风险</w:t>
            </w:r>
          </w:p>
          <w:p>
            <w:pPr>
              <w:adjustRightInd w:val="0"/>
              <w:snapToGrid w:val="0"/>
              <w:spacing w:line="360" w:lineRule="auto"/>
              <w:ind w:firstLine="482" w:firstLineChars="200"/>
              <w:rPr>
                <w:b/>
                <w:bCs/>
                <w:sz w:val="24"/>
                <w:szCs w:val="24"/>
              </w:rPr>
            </w:pPr>
            <w:r>
              <w:rPr>
                <w:b/>
                <w:bCs/>
                <w:sz w:val="24"/>
                <w:szCs w:val="24"/>
              </w:rPr>
              <w:t>（1）环境风险评价的目的</w:t>
            </w:r>
          </w:p>
          <w:p>
            <w:pPr>
              <w:adjustRightInd w:val="0"/>
              <w:snapToGrid w:val="0"/>
              <w:spacing w:line="360" w:lineRule="auto"/>
              <w:ind w:firstLine="480" w:firstLineChars="200"/>
              <w:rPr>
                <w:bCs/>
                <w:sz w:val="24"/>
                <w:szCs w:val="24"/>
              </w:rPr>
            </w:pPr>
            <w:r>
              <w:rPr>
                <w:bCs/>
                <w:sz w:val="24"/>
                <w:szCs w:val="24"/>
              </w:rPr>
              <w:t>环境风险评价的目的是分析和预测建设项目存在的潜在危险、有害因素，建设项目建设和运行期间可能发生的突发性事件或事故（一般不包括人为破坏或自然灾害），引起有毒有害和易燃易爆等物质泄漏，所造成的人身安全与环境影响和损害程度，提出合理可行的防范、应急与减缓措施，以使建设项目事故率、损失和环境影响达到可接受水平。</w:t>
            </w:r>
          </w:p>
          <w:p>
            <w:pPr>
              <w:adjustRightInd w:val="0"/>
              <w:snapToGrid w:val="0"/>
              <w:spacing w:line="360" w:lineRule="auto"/>
              <w:ind w:firstLine="480" w:firstLineChars="200"/>
              <w:rPr>
                <w:bCs/>
                <w:sz w:val="24"/>
                <w:szCs w:val="24"/>
              </w:rPr>
            </w:pPr>
            <w:r>
              <w:rPr>
                <w:bCs/>
                <w:sz w:val="24"/>
                <w:szCs w:val="24"/>
              </w:rPr>
              <w:t>环境风险评价把事故引起厂界外人群的伤害、环境质量的恶化及对生态系统影响的预测和防护作为评价工作的重点。环境风险评价在条件允许的情况下，可利用安全评价数据开展环境风险评价，环境风险评价关注点是事故对厂界外环境的影响。</w:t>
            </w:r>
          </w:p>
          <w:p>
            <w:pPr>
              <w:adjustRightInd w:val="0"/>
              <w:snapToGrid w:val="0"/>
              <w:spacing w:line="360" w:lineRule="auto"/>
              <w:ind w:firstLine="482" w:firstLineChars="200"/>
              <w:rPr>
                <w:b/>
                <w:bCs/>
                <w:sz w:val="24"/>
                <w:szCs w:val="24"/>
              </w:rPr>
            </w:pPr>
            <w:r>
              <w:rPr>
                <w:b/>
                <w:bCs/>
                <w:sz w:val="24"/>
                <w:szCs w:val="24"/>
              </w:rPr>
              <w:t>（2）环境风险潜势初判</w:t>
            </w:r>
          </w:p>
          <w:p>
            <w:pPr>
              <w:adjustRightInd w:val="0"/>
              <w:snapToGrid w:val="0"/>
              <w:spacing w:line="360" w:lineRule="auto"/>
              <w:ind w:firstLine="480" w:firstLineChars="200"/>
              <w:rPr>
                <w:bCs/>
                <w:sz w:val="24"/>
                <w:szCs w:val="24"/>
              </w:rPr>
            </w:pPr>
            <w:r>
              <w:rPr>
                <w:bCs/>
                <w:sz w:val="24"/>
                <w:szCs w:val="24"/>
              </w:rPr>
              <w:t>根据《建设项目环境风险评价技术导则》（HJ169-2018），项目涉及的突发环境事件风险物质为废机油</w:t>
            </w:r>
            <w:r>
              <w:rPr>
                <w:rFonts w:hint="eastAsia"/>
                <w:bCs/>
                <w:sz w:val="24"/>
                <w:szCs w:val="24"/>
              </w:rPr>
              <w:t>、</w:t>
            </w:r>
            <w:r>
              <w:rPr>
                <w:bCs/>
                <w:sz w:val="24"/>
                <w:szCs w:val="24"/>
              </w:rPr>
              <w:t>柴油。项目废机油</w:t>
            </w:r>
            <w:r>
              <w:rPr>
                <w:rFonts w:hint="eastAsia"/>
                <w:bCs/>
                <w:sz w:val="24"/>
                <w:szCs w:val="24"/>
              </w:rPr>
              <w:t>、</w:t>
            </w:r>
            <w:r>
              <w:rPr>
                <w:bCs/>
                <w:sz w:val="24"/>
                <w:szCs w:val="24"/>
              </w:rPr>
              <w:t>柴油年最大储存量如下表所示：</w:t>
            </w:r>
          </w:p>
          <w:p>
            <w:pPr>
              <w:pStyle w:val="8"/>
              <w:ind w:firstLine="422"/>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-11</w:t>
            </w:r>
            <w:r>
              <w:rPr>
                <w:rFonts w:hint="eastAsia" w:ascii="Times New Roman" w:hAnsi="Times New Roman" w:eastAsia="宋体" w:cs="Times New Roman"/>
                <w:b/>
                <w:bCs/>
                <w:sz w:val="21"/>
                <w:szCs w:val="21"/>
              </w:rPr>
              <w:t xml:space="preserve">   项目主要危险物质存储量一览表</w:t>
            </w:r>
          </w:p>
          <w:tbl>
            <w:tblPr>
              <w:tblStyle w:val="38"/>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1198"/>
              <w:gridCol w:w="1105"/>
              <w:gridCol w:w="1108"/>
              <w:gridCol w:w="899"/>
              <w:gridCol w:w="956"/>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18" w:type="dxa"/>
                  <w:noWrap w:val="0"/>
                  <w:vAlign w:val="center"/>
                </w:tcPr>
                <w:p>
                  <w:pPr>
                    <w:adjustRightInd w:val="0"/>
                    <w:snapToGrid w:val="0"/>
                    <w:jc w:val="center"/>
                    <w:rPr>
                      <w:bCs/>
                      <w:sz w:val="21"/>
                      <w:szCs w:val="21"/>
                    </w:rPr>
                  </w:pPr>
                  <w:r>
                    <w:rPr>
                      <w:bCs/>
                      <w:sz w:val="21"/>
                      <w:szCs w:val="21"/>
                    </w:rPr>
                    <w:t>原料名称</w:t>
                  </w:r>
                </w:p>
              </w:tc>
              <w:tc>
                <w:tcPr>
                  <w:tcW w:w="1212" w:type="dxa"/>
                  <w:noWrap w:val="0"/>
                  <w:vAlign w:val="center"/>
                </w:tcPr>
                <w:p>
                  <w:pPr>
                    <w:adjustRightInd w:val="0"/>
                    <w:snapToGrid w:val="0"/>
                    <w:jc w:val="center"/>
                    <w:rPr>
                      <w:bCs/>
                      <w:sz w:val="21"/>
                      <w:szCs w:val="21"/>
                    </w:rPr>
                  </w:pPr>
                  <w:r>
                    <w:rPr>
                      <w:bCs/>
                      <w:sz w:val="21"/>
                      <w:szCs w:val="21"/>
                    </w:rPr>
                    <w:t>危险性类别</w:t>
                  </w:r>
                </w:p>
              </w:tc>
              <w:tc>
                <w:tcPr>
                  <w:tcW w:w="1116" w:type="dxa"/>
                  <w:noWrap w:val="0"/>
                  <w:vAlign w:val="center"/>
                </w:tcPr>
                <w:p>
                  <w:pPr>
                    <w:adjustRightInd w:val="0"/>
                    <w:snapToGrid w:val="0"/>
                    <w:jc w:val="center"/>
                    <w:rPr>
                      <w:bCs/>
                      <w:sz w:val="21"/>
                      <w:szCs w:val="21"/>
                    </w:rPr>
                  </w:pPr>
                  <w:r>
                    <w:rPr>
                      <w:bCs/>
                      <w:sz w:val="21"/>
                      <w:szCs w:val="21"/>
                    </w:rPr>
                    <w:t>最大储存量</w:t>
                  </w:r>
                </w:p>
              </w:tc>
              <w:tc>
                <w:tcPr>
                  <w:tcW w:w="1116" w:type="dxa"/>
                  <w:noWrap w:val="0"/>
                  <w:vAlign w:val="center"/>
                </w:tcPr>
                <w:p>
                  <w:pPr>
                    <w:adjustRightInd w:val="0"/>
                    <w:snapToGrid w:val="0"/>
                    <w:jc w:val="center"/>
                    <w:rPr>
                      <w:bCs/>
                      <w:sz w:val="21"/>
                      <w:szCs w:val="21"/>
                    </w:rPr>
                  </w:pPr>
                  <w:r>
                    <w:rPr>
                      <w:bCs/>
                      <w:sz w:val="21"/>
                      <w:szCs w:val="21"/>
                    </w:rPr>
                    <w:t>临界量</w:t>
                  </w:r>
                </w:p>
              </w:tc>
              <w:tc>
                <w:tcPr>
                  <w:tcW w:w="834" w:type="dxa"/>
                  <w:noWrap w:val="0"/>
                  <w:vAlign w:val="center"/>
                </w:tcPr>
                <w:p>
                  <w:pPr>
                    <w:adjustRightInd w:val="0"/>
                    <w:snapToGrid w:val="0"/>
                    <w:jc w:val="center"/>
                    <w:rPr>
                      <w:bCs/>
                      <w:sz w:val="21"/>
                      <w:szCs w:val="21"/>
                    </w:rPr>
                  </w:pPr>
                  <w:r>
                    <w:rPr>
                      <w:bCs/>
                      <w:sz w:val="21"/>
                      <w:szCs w:val="21"/>
                    </w:rPr>
                    <w:t>Q</w:t>
                  </w:r>
                </w:p>
              </w:tc>
              <w:tc>
                <w:tcPr>
                  <w:tcW w:w="966" w:type="dxa"/>
                  <w:noWrap w:val="0"/>
                  <w:vAlign w:val="center"/>
                </w:tcPr>
                <w:p>
                  <w:pPr>
                    <w:adjustRightInd w:val="0"/>
                    <w:snapToGrid w:val="0"/>
                    <w:jc w:val="center"/>
                    <w:rPr>
                      <w:bCs/>
                      <w:sz w:val="21"/>
                      <w:szCs w:val="21"/>
                    </w:rPr>
                  </w:pPr>
                  <w:r>
                    <w:rPr>
                      <w:bCs/>
                      <w:sz w:val="21"/>
                      <w:szCs w:val="21"/>
                    </w:rPr>
                    <w:t>封装形式</w:t>
                  </w:r>
                </w:p>
              </w:tc>
              <w:tc>
                <w:tcPr>
                  <w:tcW w:w="1109" w:type="dxa"/>
                  <w:noWrap w:val="0"/>
                  <w:vAlign w:val="center"/>
                </w:tcPr>
                <w:p>
                  <w:pPr>
                    <w:adjustRightInd w:val="0"/>
                    <w:snapToGrid w:val="0"/>
                    <w:jc w:val="center"/>
                    <w:rPr>
                      <w:bCs/>
                      <w:sz w:val="21"/>
                      <w:szCs w:val="21"/>
                    </w:rPr>
                  </w:pPr>
                  <w:r>
                    <w:rPr>
                      <w:bCs/>
                      <w:sz w:val="21"/>
                      <w:szCs w:val="21"/>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18" w:type="dxa"/>
                  <w:noWrap w:val="0"/>
                  <w:vAlign w:val="center"/>
                </w:tcPr>
                <w:p>
                  <w:pPr>
                    <w:adjustRightInd w:val="0"/>
                    <w:snapToGrid w:val="0"/>
                    <w:jc w:val="center"/>
                    <w:rPr>
                      <w:sz w:val="21"/>
                      <w:szCs w:val="21"/>
                    </w:rPr>
                  </w:pPr>
                  <w:r>
                    <w:rPr>
                      <w:sz w:val="21"/>
                      <w:szCs w:val="21"/>
                    </w:rPr>
                    <w:t>废机油</w:t>
                  </w:r>
                </w:p>
              </w:tc>
              <w:tc>
                <w:tcPr>
                  <w:tcW w:w="1212" w:type="dxa"/>
                  <w:noWrap w:val="0"/>
                  <w:vAlign w:val="center"/>
                </w:tcPr>
                <w:p>
                  <w:pPr>
                    <w:adjustRightInd w:val="0"/>
                    <w:snapToGrid w:val="0"/>
                    <w:jc w:val="center"/>
                    <w:rPr>
                      <w:sz w:val="21"/>
                      <w:szCs w:val="21"/>
                    </w:rPr>
                  </w:pPr>
                  <w:r>
                    <w:rPr>
                      <w:sz w:val="21"/>
                      <w:szCs w:val="21"/>
                    </w:rPr>
                    <w:t>易燃</w:t>
                  </w:r>
                </w:p>
              </w:tc>
              <w:tc>
                <w:tcPr>
                  <w:tcW w:w="1116" w:type="dxa"/>
                  <w:noWrap w:val="0"/>
                  <w:vAlign w:val="center"/>
                </w:tcPr>
                <w:p>
                  <w:pPr>
                    <w:adjustRightInd w:val="0"/>
                    <w:snapToGrid w:val="0"/>
                    <w:jc w:val="center"/>
                    <w:rPr>
                      <w:sz w:val="21"/>
                      <w:szCs w:val="21"/>
                    </w:rPr>
                  </w:pPr>
                  <w:r>
                    <w:rPr>
                      <w:sz w:val="21"/>
                      <w:szCs w:val="21"/>
                    </w:rPr>
                    <w:t>0.2t</w:t>
                  </w:r>
                </w:p>
              </w:tc>
              <w:tc>
                <w:tcPr>
                  <w:tcW w:w="1116" w:type="dxa"/>
                  <w:noWrap w:val="0"/>
                  <w:vAlign w:val="center"/>
                </w:tcPr>
                <w:p>
                  <w:pPr>
                    <w:adjustRightInd w:val="0"/>
                    <w:snapToGrid w:val="0"/>
                    <w:jc w:val="center"/>
                    <w:rPr>
                      <w:sz w:val="21"/>
                      <w:szCs w:val="21"/>
                    </w:rPr>
                  </w:pPr>
                  <w:r>
                    <w:rPr>
                      <w:sz w:val="21"/>
                      <w:szCs w:val="21"/>
                    </w:rPr>
                    <w:t>2500t</w:t>
                  </w:r>
                </w:p>
              </w:tc>
              <w:tc>
                <w:tcPr>
                  <w:tcW w:w="834" w:type="dxa"/>
                  <w:noWrap w:val="0"/>
                  <w:vAlign w:val="center"/>
                </w:tcPr>
                <w:p>
                  <w:pPr>
                    <w:adjustRightInd w:val="0"/>
                    <w:snapToGrid w:val="0"/>
                    <w:jc w:val="center"/>
                    <w:rPr>
                      <w:sz w:val="21"/>
                      <w:szCs w:val="21"/>
                    </w:rPr>
                  </w:pPr>
                  <w:r>
                    <w:rPr>
                      <w:sz w:val="21"/>
                      <w:szCs w:val="21"/>
                    </w:rPr>
                    <w:t>0.00008</w:t>
                  </w:r>
                </w:p>
              </w:tc>
              <w:tc>
                <w:tcPr>
                  <w:tcW w:w="966" w:type="dxa"/>
                  <w:noWrap w:val="0"/>
                  <w:vAlign w:val="center"/>
                </w:tcPr>
                <w:p>
                  <w:pPr>
                    <w:adjustRightInd w:val="0"/>
                    <w:snapToGrid w:val="0"/>
                    <w:jc w:val="center"/>
                    <w:rPr>
                      <w:sz w:val="21"/>
                      <w:szCs w:val="21"/>
                    </w:rPr>
                  </w:pPr>
                  <w:r>
                    <w:rPr>
                      <w:sz w:val="21"/>
                      <w:szCs w:val="21"/>
                    </w:rPr>
                    <w:t>铁桶</w:t>
                  </w:r>
                </w:p>
              </w:tc>
              <w:tc>
                <w:tcPr>
                  <w:tcW w:w="1109" w:type="dxa"/>
                  <w:noWrap w:val="0"/>
                  <w:vAlign w:val="center"/>
                </w:tcPr>
                <w:p>
                  <w:pPr>
                    <w:adjustRightInd w:val="0"/>
                    <w:snapToGrid w:val="0"/>
                    <w:ind w:left="-115" w:leftChars="-48" w:right="-158" w:rightChars="-66"/>
                    <w:jc w:val="center"/>
                    <w:rPr>
                      <w:sz w:val="21"/>
                      <w:szCs w:val="21"/>
                    </w:rPr>
                  </w:pPr>
                  <w:r>
                    <w:rPr>
                      <w:sz w:val="21"/>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18" w:type="dxa"/>
                  <w:noWrap w:val="0"/>
                  <w:vAlign w:val="center"/>
                </w:tcPr>
                <w:p>
                  <w:pPr>
                    <w:adjustRightInd w:val="0"/>
                    <w:snapToGrid w:val="0"/>
                    <w:jc w:val="center"/>
                    <w:rPr>
                      <w:sz w:val="21"/>
                      <w:szCs w:val="21"/>
                    </w:rPr>
                  </w:pPr>
                  <w:r>
                    <w:rPr>
                      <w:rFonts w:hint="eastAsia"/>
                      <w:sz w:val="21"/>
                      <w:szCs w:val="21"/>
                    </w:rPr>
                    <w:t>柴油</w:t>
                  </w:r>
                </w:p>
              </w:tc>
              <w:tc>
                <w:tcPr>
                  <w:tcW w:w="1212" w:type="dxa"/>
                  <w:noWrap w:val="0"/>
                  <w:vAlign w:val="center"/>
                </w:tcPr>
                <w:p>
                  <w:pPr>
                    <w:adjustRightInd w:val="0"/>
                    <w:snapToGrid w:val="0"/>
                    <w:jc w:val="center"/>
                    <w:rPr>
                      <w:sz w:val="21"/>
                      <w:szCs w:val="21"/>
                    </w:rPr>
                  </w:pPr>
                  <w:r>
                    <w:rPr>
                      <w:sz w:val="21"/>
                      <w:szCs w:val="21"/>
                    </w:rPr>
                    <w:t>易燃</w:t>
                  </w:r>
                </w:p>
              </w:tc>
              <w:tc>
                <w:tcPr>
                  <w:tcW w:w="1116" w:type="dxa"/>
                  <w:noWrap w:val="0"/>
                  <w:vAlign w:val="center"/>
                </w:tcPr>
                <w:p>
                  <w:pPr>
                    <w:adjustRightInd w:val="0"/>
                    <w:snapToGrid w:val="0"/>
                    <w:jc w:val="center"/>
                    <w:rPr>
                      <w:rFonts w:hint="eastAsia" w:eastAsia="宋体"/>
                      <w:sz w:val="21"/>
                      <w:szCs w:val="21"/>
                      <w:lang w:val="en-US" w:eastAsia="zh-CN"/>
                    </w:rPr>
                  </w:pPr>
                  <w:r>
                    <w:rPr>
                      <w:rFonts w:hint="eastAsia"/>
                      <w:sz w:val="21"/>
                      <w:szCs w:val="21"/>
                    </w:rPr>
                    <w:t>0.2</w:t>
                  </w:r>
                  <w:r>
                    <w:rPr>
                      <w:rFonts w:hint="eastAsia"/>
                      <w:sz w:val="21"/>
                      <w:szCs w:val="21"/>
                      <w:lang w:val="en-US" w:eastAsia="zh-CN"/>
                    </w:rPr>
                    <w:t>t</w:t>
                  </w:r>
                </w:p>
              </w:tc>
              <w:tc>
                <w:tcPr>
                  <w:tcW w:w="1116" w:type="dxa"/>
                  <w:noWrap w:val="0"/>
                  <w:vAlign w:val="center"/>
                </w:tcPr>
                <w:p>
                  <w:pPr>
                    <w:adjustRightInd w:val="0"/>
                    <w:snapToGrid w:val="0"/>
                    <w:jc w:val="center"/>
                    <w:rPr>
                      <w:sz w:val="21"/>
                      <w:szCs w:val="21"/>
                    </w:rPr>
                  </w:pPr>
                  <w:r>
                    <w:rPr>
                      <w:sz w:val="21"/>
                      <w:szCs w:val="21"/>
                    </w:rPr>
                    <w:t>2500t</w:t>
                  </w:r>
                </w:p>
              </w:tc>
              <w:tc>
                <w:tcPr>
                  <w:tcW w:w="834" w:type="dxa"/>
                  <w:noWrap w:val="0"/>
                  <w:vAlign w:val="center"/>
                </w:tcPr>
                <w:p>
                  <w:pPr>
                    <w:adjustRightInd w:val="0"/>
                    <w:snapToGrid w:val="0"/>
                    <w:jc w:val="center"/>
                    <w:rPr>
                      <w:sz w:val="21"/>
                      <w:szCs w:val="21"/>
                    </w:rPr>
                  </w:pPr>
                  <w:r>
                    <w:rPr>
                      <w:rFonts w:hint="eastAsia"/>
                      <w:sz w:val="21"/>
                      <w:szCs w:val="21"/>
                    </w:rPr>
                    <w:t>0.00008</w:t>
                  </w:r>
                </w:p>
              </w:tc>
              <w:tc>
                <w:tcPr>
                  <w:tcW w:w="966" w:type="dxa"/>
                  <w:noWrap w:val="0"/>
                  <w:vAlign w:val="center"/>
                </w:tcPr>
                <w:p>
                  <w:pPr>
                    <w:adjustRightInd w:val="0"/>
                    <w:snapToGrid w:val="0"/>
                    <w:jc w:val="center"/>
                    <w:rPr>
                      <w:rFonts w:hint="eastAsia"/>
                      <w:sz w:val="21"/>
                      <w:szCs w:val="21"/>
                    </w:rPr>
                  </w:pPr>
                  <w:r>
                    <w:rPr>
                      <w:rFonts w:hint="eastAsia"/>
                      <w:sz w:val="21"/>
                      <w:szCs w:val="21"/>
                    </w:rPr>
                    <w:t>胶桶</w:t>
                  </w:r>
                </w:p>
              </w:tc>
              <w:tc>
                <w:tcPr>
                  <w:tcW w:w="1109" w:type="dxa"/>
                  <w:noWrap w:val="0"/>
                  <w:vAlign w:val="center"/>
                </w:tcPr>
                <w:p>
                  <w:pPr>
                    <w:adjustRightInd w:val="0"/>
                    <w:snapToGrid w:val="0"/>
                    <w:ind w:left="-115" w:leftChars="-48" w:right="-158" w:rightChars="-66"/>
                    <w:jc w:val="center"/>
                    <w:rPr>
                      <w:rFonts w:hint="eastAsia"/>
                      <w:sz w:val="21"/>
                      <w:szCs w:val="21"/>
                    </w:rPr>
                  </w:pPr>
                  <w:r>
                    <w:rPr>
                      <w:sz w:val="21"/>
                      <w:szCs w:val="21"/>
                    </w:rPr>
                    <w:t>发电机房</w:t>
                  </w:r>
                  <w:r>
                    <w:rPr>
                      <w:rFonts w:hint="eastAsia"/>
                      <w:sz w:val="21"/>
                      <w:szCs w:val="21"/>
                    </w:rPr>
                    <w:t>0.2t，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462" w:type="dxa"/>
                  <w:gridSpan w:val="4"/>
                  <w:noWrap w:val="0"/>
                  <w:vAlign w:val="center"/>
                </w:tcPr>
                <w:p>
                  <w:pPr>
                    <w:adjustRightInd w:val="0"/>
                    <w:snapToGrid w:val="0"/>
                    <w:jc w:val="center"/>
                    <w:rPr>
                      <w:sz w:val="21"/>
                      <w:szCs w:val="21"/>
                    </w:rPr>
                  </w:pPr>
                  <w:r>
                    <w:rPr>
                      <w:sz w:val="21"/>
                      <w:szCs w:val="21"/>
                    </w:rPr>
                    <w:t>合计</w:t>
                  </w:r>
                </w:p>
              </w:tc>
              <w:tc>
                <w:tcPr>
                  <w:tcW w:w="834" w:type="dxa"/>
                  <w:noWrap w:val="0"/>
                  <w:vAlign w:val="center"/>
                </w:tcPr>
                <w:p>
                  <w:pPr>
                    <w:adjustRightInd w:val="0"/>
                    <w:snapToGrid w:val="0"/>
                    <w:jc w:val="center"/>
                    <w:rPr>
                      <w:sz w:val="21"/>
                      <w:szCs w:val="21"/>
                    </w:rPr>
                  </w:pPr>
                  <w:r>
                    <w:rPr>
                      <w:sz w:val="21"/>
                      <w:szCs w:val="21"/>
                    </w:rPr>
                    <w:t>0.00016</w:t>
                  </w:r>
                </w:p>
              </w:tc>
              <w:tc>
                <w:tcPr>
                  <w:tcW w:w="2075" w:type="dxa"/>
                  <w:gridSpan w:val="2"/>
                  <w:noWrap w:val="0"/>
                  <w:vAlign w:val="center"/>
                </w:tcPr>
                <w:p>
                  <w:pPr>
                    <w:adjustRightInd w:val="0"/>
                    <w:snapToGrid w:val="0"/>
                    <w:jc w:val="center"/>
                    <w:rPr>
                      <w:sz w:val="21"/>
                      <w:szCs w:val="21"/>
                    </w:rPr>
                  </w:pPr>
                  <w:r>
                    <w:rPr>
                      <w:sz w:val="21"/>
                      <w:szCs w:val="21"/>
                    </w:rPr>
                    <w:t>/</w:t>
                  </w:r>
                </w:p>
              </w:tc>
            </w:tr>
          </w:tbl>
          <w:p>
            <w:pPr>
              <w:adjustRightInd w:val="0"/>
              <w:snapToGrid w:val="0"/>
              <w:spacing w:line="360" w:lineRule="auto"/>
              <w:ind w:firstLine="480" w:firstLineChars="200"/>
              <w:rPr>
                <w:bCs/>
                <w:sz w:val="24"/>
                <w:szCs w:val="24"/>
              </w:rPr>
            </w:pPr>
            <w:r>
              <w:rPr>
                <w:bCs/>
                <w:sz w:val="24"/>
                <w:szCs w:val="24"/>
              </w:rPr>
              <w:t>由上表可知，项目Q=0.00016＜1，即项目环境风险潜势为I。</w:t>
            </w:r>
          </w:p>
          <w:p>
            <w:pPr>
              <w:pStyle w:val="8"/>
              <w:ind w:firstLine="422"/>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4-12</w:t>
            </w:r>
            <w:r>
              <w:rPr>
                <w:rFonts w:hint="eastAsia" w:ascii="Times New Roman" w:hAnsi="Times New Roman" w:eastAsia="宋体" w:cs="Times New Roman"/>
                <w:b/>
                <w:bCs/>
                <w:sz w:val="21"/>
                <w:szCs w:val="21"/>
              </w:rPr>
              <w:t xml:space="preserve">    评价工作等级划分</w:t>
            </w:r>
          </w:p>
          <w:tbl>
            <w:tblPr>
              <w:tblStyle w:val="38"/>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500"/>
              <w:gridCol w:w="1468"/>
              <w:gridCol w:w="1467"/>
              <w:gridCol w:w="1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61" w:type="dxa"/>
                  <w:noWrap w:val="0"/>
                  <w:vAlign w:val="center"/>
                </w:tcPr>
                <w:p>
                  <w:pPr>
                    <w:adjustRightInd w:val="0"/>
                    <w:snapToGrid w:val="0"/>
                    <w:jc w:val="center"/>
                    <w:rPr>
                      <w:sz w:val="21"/>
                      <w:szCs w:val="21"/>
                    </w:rPr>
                  </w:pPr>
                  <w:r>
                    <w:rPr>
                      <w:sz w:val="21"/>
                      <w:szCs w:val="21"/>
                    </w:rPr>
                    <w:t>环境风险潜势</w:t>
                  </w:r>
                </w:p>
              </w:tc>
              <w:tc>
                <w:tcPr>
                  <w:tcW w:w="1660" w:type="dxa"/>
                  <w:noWrap w:val="0"/>
                  <w:vAlign w:val="center"/>
                </w:tcPr>
                <w:p>
                  <w:pPr>
                    <w:adjustRightInd w:val="0"/>
                    <w:snapToGrid w:val="0"/>
                    <w:jc w:val="center"/>
                    <w:rPr>
                      <w:sz w:val="21"/>
                      <w:szCs w:val="21"/>
                    </w:rPr>
                  </w:pPr>
                  <w:r>
                    <w:rPr>
                      <w:rFonts w:hint="eastAsia" w:ascii="宋体" w:hAnsi="宋体" w:cs="宋体"/>
                      <w:sz w:val="21"/>
                      <w:szCs w:val="21"/>
                    </w:rPr>
                    <w:t>Ⅳ</w:t>
                  </w:r>
                  <w:r>
                    <w:rPr>
                      <w:sz w:val="21"/>
                      <w:szCs w:val="21"/>
                    </w:rPr>
                    <w:t>、</w:t>
                  </w:r>
                  <w:r>
                    <w:rPr>
                      <w:rFonts w:hint="eastAsia" w:ascii="宋体" w:hAnsi="宋体" w:cs="宋体"/>
                      <w:sz w:val="21"/>
                      <w:szCs w:val="21"/>
                    </w:rPr>
                    <w:t>Ⅳ</w:t>
                  </w:r>
                </w:p>
              </w:tc>
              <w:tc>
                <w:tcPr>
                  <w:tcW w:w="1662" w:type="dxa"/>
                  <w:noWrap w:val="0"/>
                  <w:vAlign w:val="center"/>
                </w:tcPr>
                <w:p>
                  <w:pPr>
                    <w:adjustRightInd w:val="0"/>
                    <w:snapToGrid w:val="0"/>
                    <w:jc w:val="center"/>
                    <w:rPr>
                      <w:sz w:val="21"/>
                      <w:szCs w:val="21"/>
                    </w:rPr>
                  </w:pPr>
                  <w:r>
                    <w:rPr>
                      <w:rFonts w:hint="eastAsia" w:ascii="宋体" w:hAnsi="宋体" w:cs="宋体"/>
                      <w:sz w:val="21"/>
                      <w:szCs w:val="21"/>
                    </w:rPr>
                    <w:t>Ⅲ</w:t>
                  </w:r>
                </w:p>
              </w:tc>
              <w:tc>
                <w:tcPr>
                  <w:tcW w:w="1661" w:type="dxa"/>
                  <w:noWrap w:val="0"/>
                  <w:vAlign w:val="center"/>
                </w:tcPr>
                <w:p>
                  <w:pPr>
                    <w:adjustRightInd w:val="0"/>
                    <w:snapToGrid w:val="0"/>
                    <w:jc w:val="center"/>
                    <w:rPr>
                      <w:sz w:val="21"/>
                      <w:szCs w:val="21"/>
                    </w:rPr>
                  </w:pPr>
                  <w:r>
                    <w:rPr>
                      <w:rFonts w:hint="eastAsia" w:ascii="宋体" w:hAnsi="宋体" w:cs="宋体"/>
                      <w:sz w:val="21"/>
                      <w:szCs w:val="21"/>
                    </w:rPr>
                    <w:t>Ⅱ</w:t>
                  </w:r>
                </w:p>
              </w:tc>
              <w:tc>
                <w:tcPr>
                  <w:tcW w:w="1662" w:type="dxa"/>
                  <w:noWrap w:val="0"/>
                  <w:vAlign w:val="center"/>
                </w:tcPr>
                <w:p>
                  <w:pPr>
                    <w:adjustRightInd w:val="0"/>
                    <w:snapToGrid w:val="0"/>
                    <w:jc w:val="center"/>
                    <w:rPr>
                      <w:sz w:val="21"/>
                      <w:szCs w:val="21"/>
                    </w:rPr>
                  </w:pPr>
                  <w:r>
                    <w:rPr>
                      <w:rFonts w:hint="eastAsia" w:ascii="宋体" w:hAnsi="宋体" w:cs="宋体"/>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1661" w:type="dxa"/>
                  <w:tcBorders>
                    <w:bottom w:val="single" w:color="auto" w:sz="4" w:space="0"/>
                  </w:tcBorders>
                  <w:noWrap w:val="0"/>
                  <w:vAlign w:val="center"/>
                </w:tcPr>
                <w:p>
                  <w:pPr>
                    <w:adjustRightInd w:val="0"/>
                    <w:snapToGrid w:val="0"/>
                    <w:jc w:val="center"/>
                    <w:rPr>
                      <w:sz w:val="21"/>
                      <w:szCs w:val="21"/>
                    </w:rPr>
                  </w:pPr>
                  <w:r>
                    <w:rPr>
                      <w:sz w:val="21"/>
                      <w:szCs w:val="21"/>
                    </w:rPr>
                    <w:t>评价工作等级</w:t>
                  </w:r>
                </w:p>
              </w:tc>
              <w:tc>
                <w:tcPr>
                  <w:tcW w:w="1660" w:type="dxa"/>
                  <w:tcBorders>
                    <w:bottom w:val="single" w:color="auto" w:sz="4" w:space="0"/>
                  </w:tcBorders>
                  <w:noWrap w:val="0"/>
                  <w:vAlign w:val="center"/>
                </w:tcPr>
                <w:p>
                  <w:pPr>
                    <w:adjustRightInd w:val="0"/>
                    <w:snapToGrid w:val="0"/>
                    <w:jc w:val="center"/>
                    <w:rPr>
                      <w:sz w:val="21"/>
                      <w:szCs w:val="21"/>
                    </w:rPr>
                  </w:pPr>
                  <w:r>
                    <w:rPr>
                      <w:sz w:val="21"/>
                      <w:szCs w:val="21"/>
                    </w:rPr>
                    <w:t>一</w:t>
                  </w:r>
                </w:p>
              </w:tc>
              <w:tc>
                <w:tcPr>
                  <w:tcW w:w="1662" w:type="dxa"/>
                  <w:tcBorders>
                    <w:bottom w:val="single" w:color="auto" w:sz="4" w:space="0"/>
                  </w:tcBorders>
                  <w:noWrap w:val="0"/>
                  <w:vAlign w:val="center"/>
                </w:tcPr>
                <w:p>
                  <w:pPr>
                    <w:adjustRightInd w:val="0"/>
                    <w:snapToGrid w:val="0"/>
                    <w:jc w:val="center"/>
                    <w:rPr>
                      <w:sz w:val="21"/>
                      <w:szCs w:val="21"/>
                    </w:rPr>
                  </w:pPr>
                  <w:r>
                    <w:rPr>
                      <w:sz w:val="21"/>
                      <w:szCs w:val="21"/>
                    </w:rPr>
                    <w:t>二</w:t>
                  </w:r>
                </w:p>
              </w:tc>
              <w:tc>
                <w:tcPr>
                  <w:tcW w:w="1661" w:type="dxa"/>
                  <w:tcBorders>
                    <w:bottom w:val="single" w:color="auto" w:sz="4" w:space="0"/>
                  </w:tcBorders>
                  <w:noWrap w:val="0"/>
                  <w:vAlign w:val="center"/>
                </w:tcPr>
                <w:p>
                  <w:pPr>
                    <w:adjustRightInd w:val="0"/>
                    <w:snapToGrid w:val="0"/>
                    <w:jc w:val="center"/>
                    <w:rPr>
                      <w:sz w:val="21"/>
                      <w:szCs w:val="21"/>
                    </w:rPr>
                  </w:pPr>
                  <w:r>
                    <w:rPr>
                      <w:sz w:val="21"/>
                      <w:szCs w:val="21"/>
                    </w:rPr>
                    <w:t>三</w:t>
                  </w:r>
                </w:p>
              </w:tc>
              <w:tc>
                <w:tcPr>
                  <w:tcW w:w="1662" w:type="dxa"/>
                  <w:tcBorders>
                    <w:bottom w:val="single" w:color="auto" w:sz="4" w:space="0"/>
                  </w:tcBorders>
                  <w:noWrap w:val="0"/>
                  <w:vAlign w:val="center"/>
                </w:tcPr>
                <w:p>
                  <w:pPr>
                    <w:adjustRightInd w:val="0"/>
                    <w:snapToGrid w:val="0"/>
                    <w:jc w:val="center"/>
                    <w:rPr>
                      <w:sz w:val="21"/>
                      <w:szCs w:val="21"/>
                    </w:rPr>
                  </w:pPr>
                  <w:r>
                    <w:rPr>
                      <w:sz w:val="21"/>
                      <w:szCs w:val="21"/>
                    </w:rPr>
                    <w:t>简单分析</w:t>
                  </w:r>
                  <w:r>
                    <w:rPr>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306" w:type="dxa"/>
                  <w:gridSpan w:val="5"/>
                  <w:tcBorders>
                    <w:left w:val="nil"/>
                    <w:bottom w:val="nil"/>
                    <w:right w:val="nil"/>
                  </w:tcBorders>
                  <w:noWrap w:val="0"/>
                  <w:vAlign w:val="top"/>
                </w:tcPr>
                <w:p>
                  <w:pPr>
                    <w:widowControl/>
                    <w:adjustRightInd w:val="0"/>
                    <w:snapToGrid w:val="0"/>
                    <w:spacing w:line="240" w:lineRule="exact"/>
                    <w:ind w:left="320" w:hanging="320" w:hangingChars="200"/>
                    <w:rPr>
                      <w:sz w:val="16"/>
                      <w:szCs w:val="21"/>
                    </w:rPr>
                  </w:pPr>
                  <w:r>
                    <w:rPr>
                      <w:kern w:val="0"/>
                      <w:sz w:val="16"/>
                      <w:szCs w:val="21"/>
                      <w:lang w:bidi="ar"/>
                    </w:rPr>
                    <w:t>注：a是相对于详细评价工作内容而言，在描述危险物质、环境影响途径、环境危害后果、风险防范措施等方面给出定性的说明。见附录A。</w:t>
                  </w:r>
                </w:p>
              </w:tc>
            </w:tr>
          </w:tbl>
          <w:p>
            <w:pPr>
              <w:adjustRightInd w:val="0"/>
              <w:snapToGrid w:val="0"/>
              <w:spacing w:line="360" w:lineRule="auto"/>
              <w:ind w:firstLine="480" w:firstLineChars="200"/>
              <w:rPr>
                <w:bCs/>
                <w:sz w:val="24"/>
                <w:szCs w:val="24"/>
              </w:rPr>
            </w:pPr>
            <w:r>
              <w:rPr>
                <w:bCs/>
                <w:sz w:val="24"/>
                <w:szCs w:val="24"/>
              </w:rPr>
              <w:t>根据《建设项目环境风险评价技术导则》（HJ169-2018）中评价工作等级划分可知，本项目环境风险潜势为I，不涉及重大风险源，仅进行简单分析。</w:t>
            </w:r>
          </w:p>
          <w:p>
            <w:pPr>
              <w:adjustRightInd w:val="0"/>
              <w:snapToGrid w:val="0"/>
              <w:spacing w:line="360" w:lineRule="auto"/>
              <w:ind w:firstLine="482" w:firstLineChars="200"/>
              <w:rPr>
                <w:b/>
                <w:bCs/>
                <w:sz w:val="24"/>
                <w:szCs w:val="24"/>
              </w:rPr>
            </w:pPr>
            <w:r>
              <w:rPr>
                <w:b/>
                <w:bCs/>
                <w:sz w:val="24"/>
                <w:szCs w:val="24"/>
              </w:rPr>
              <w:t>（3）风险识别</w:t>
            </w:r>
          </w:p>
          <w:p>
            <w:pPr>
              <w:adjustRightInd w:val="0"/>
              <w:snapToGrid w:val="0"/>
              <w:spacing w:line="360" w:lineRule="auto"/>
              <w:ind w:firstLine="480" w:firstLineChars="200"/>
              <w:rPr>
                <w:bCs/>
                <w:sz w:val="24"/>
                <w:szCs w:val="24"/>
              </w:rPr>
            </w:pPr>
            <w:r>
              <w:rPr>
                <w:bCs/>
                <w:sz w:val="24"/>
                <w:szCs w:val="24"/>
              </w:rPr>
              <w:t>本项目为商品混凝土项目，从其物理化学性质来看，这些原材料均无毒、无害，不会对环境敏感目标带来严重危害，造成环境污染。生产工艺为物理加工工艺，生产工艺中无有害工序。</w:t>
            </w:r>
          </w:p>
          <w:p>
            <w:pPr>
              <w:adjustRightInd w:val="0"/>
              <w:snapToGrid w:val="0"/>
              <w:spacing w:line="360" w:lineRule="auto"/>
              <w:ind w:firstLine="480" w:firstLineChars="200"/>
              <w:rPr>
                <w:bCs/>
                <w:sz w:val="24"/>
                <w:szCs w:val="24"/>
              </w:rPr>
            </w:pPr>
            <w:r>
              <w:rPr>
                <w:bCs/>
                <w:sz w:val="24"/>
                <w:szCs w:val="24"/>
              </w:rPr>
              <w:t>根据项目生产特点，可能发生的风险主要为：</w:t>
            </w:r>
          </w:p>
          <w:p>
            <w:pPr>
              <w:adjustRightInd w:val="0"/>
              <w:snapToGrid w:val="0"/>
              <w:spacing w:line="360" w:lineRule="auto"/>
              <w:ind w:firstLine="480" w:firstLineChars="200"/>
              <w:rPr>
                <w:bCs/>
                <w:sz w:val="24"/>
                <w:szCs w:val="24"/>
              </w:rPr>
            </w:pPr>
            <w:r>
              <w:rPr>
                <w:rFonts w:hint="eastAsia" w:ascii="宋体" w:hAnsi="宋体" w:cs="宋体"/>
                <w:bCs/>
                <w:sz w:val="24"/>
                <w:szCs w:val="24"/>
              </w:rPr>
              <w:t>①</w:t>
            </w:r>
            <w:r>
              <w:rPr>
                <w:bCs/>
                <w:sz w:val="24"/>
                <w:szCs w:val="24"/>
              </w:rPr>
              <w:t>废水事故排放：由于本项目废水沉淀池清理不及时、沉淀池垮塌导致废水溢流直接外排，进入自然冲沟，造成污染事故。</w:t>
            </w:r>
          </w:p>
          <w:p>
            <w:pPr>
              <w:adjustRightInd w:val="0"/>
              <w:snapToGrid w:val="0"/>
              <w:spacing w:line="360" w:lineRule="auto"/>
              <w:ind w:firstLine="480" w:firstLineChars="200"/>
              <w:rPr>
                <w:bCs/>
                <w:sz w:val="24"/>
                <w:szCs w:val="24"/>
              </w:rPr>
            </w:pPr>
            <w:r>
              <w:rPr>
                <w:rFonts w:hint="eastAsia" w:ascii="宋体" w:hAnsi="宋体" w:cs="宋体"/>
                <w:bCs/>
                <w:sz w:val="24"/>
                <w:szCs w:val="24"/>
              </w:rPr>
              <w:t>②</w:t>
            </w:r>
            <w:r>
              <w:rPr>
                <w:bCs/>
                <w:sz w:val="24"/>
                <w:szCs w:val="24"/>
              </w:rPr>
              <w:t>环保设施等故障而造成的粉尘超标排放。</w:t>
            </w:r>
          </w:p>
          <w:p>
            <w:pPr>
              <w:adjustRightInd w:val="0"/>
              <w:snapToGrid w:val="0"/>
              <w:spacing w:line="360" w:lineRule="auto"/>
              <w:ind w:firstLine="480" w:firstLineChars="200"/>
              <w:rPr>
                <w:bCs/>
                <w:sz w:val="24"/>
                <w:szCs w:val="24"/>
              </w:rPr>
            </w:pPr>
            <w:r>
              <w:rPr>
                <w:rFonts w:hint="eastAsia" w:ascii="宋体" w:hAnsi="宋体" w:cs="宋体"/>
                <w:bCs/>
                <w:sz w:val="24"/>
                <w:szCs w:val="24"/>
              </w:rPr>
              <w:t>③</w:t>
            </w:r>
            <w:r>
              <w:rPr>
                <w:bCs/>
                <w:sz w:val="24"/>
                <w:szCs w:val="24"/>
              </w:rPr>
              <w:t>油类物质的泄漏及火灾风险。</w:t>
            </w:r>
          </w:p>
          <w:p>
            <w:pPr>
              <w:adjustRightInd w:val="0"/>
              <w:snapToGrid w:val="0"/>
              <w:spacing w:line="360" w:lineRule="auto"/>
              <w:ind w:firstLine="480" w:firstLineChars="200"/>
              <w:rPr>
                <w:bCs/>
                <w:sz w:val="24"/>
                <w:szCs w:val="24"/>
              </w:rPr>
            </w:pPr>
            <w:r>
              <w:rPr>
                <w:bCs/>
                <w:sz w:val="24"/>
                <w:szCs w:val="24"/>
              </w:rPr>
              <w:t>具体环境风险识别见表</w:t>
            </w:r>
            <w:r>
              <w:rPr>
                <w:rFonts w:hint="eastAsia"/>
                <w:bCs/>
                <w:sz w:val="24"/>
                <w:szCs w:val="24"/>
                <w:lang w:val="en-US" w:eastAsia="zh-CN"/>
              </w:rPr>
              <w:t>4-13</w:t>
            </w:r>
            <w:r>
              <w:rPr>
                <w:bCs/>
                <w:sz w:val="24"/>
                <w:szCs w:val="24"/>
              </w:rPr>
              <w:t>。</w:t>
            </w:r>
          </w:p>
          <w:p>
            <w:pPr>
              <w:pStyle w:val="8"/>
              <w:ind w:firstLine="422"/>
              <w:jc w:val="center"/>
              <w:rPr>
                <w:rFonts w:hint="eastAsia" w:ascii="Times New Roman" w:hAnsi="Times New Roman" w:eastAsia="宋体" w:cs="Times New Roman"/>
                <w:b/>
                <w:bCs/>
                <w:sz w:val="21"/>
                <w:szCs w:val="21"/>
              </w:rPr>
            </w:pPr>
          </w:p>
          <w:p>
            <w:pPr>
              <w:pStyle w:val="8"/>
              <w:ind w:firstLine="422"/>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hint="eastAsia" w:ascii="Times New Roman" w:hAnsi="Times New Roman" w:eastAsia="宋体" w:cs="Times New Roman"/>
                <w:b/>
                <w:bCs/>
                <w:sz w:val="21"/>
                <w:szCs w:val="21"/>
                <w:lang w:val="en-US" w:eastAsia="zh-CN"/>
              </w:rPr>
              <w:t>-13</w:t>
            </w:r>
            <w:r>
              <w:rPr>
                <w:rFonts w:hint="eastAsia" w:ascii="Times New Roman" w:hAnsi="Times New Roman" w:eastAsia="宋体" w:cs="Times New Roman"/>
                <w:b/>
                <w:bCs/>
                <w:sz w:val="21"/>
                <w:szCs w:val="21"/>
              </w:rPr>
              <w:t xml:space="preserve">   主要生产设施危险识别表</w:t>
            </w:r>
          </w:p>
          <w:tbl>
            <w:tblPr>
              <w:tblStyle w:val="38"/>
              <w:tblW w:w="75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8"/>
              <w:gridCol w:w="1024"/>
              <w:gridCol w:w="1204"/>
              <w:gridCol w:w="1016"/>
              <w:gridCol w:w="1031"/>
              <w:gridCol w:w="1473"/>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noWrap w:val="0"/>
                  <w:vAlign w:val="center"/>
                </w:tcPr>
                <w:p>
                  <w:pPr>
                    <w:jc w:val="center"/>
                    <w:rPr>
                      <w:sz w:val="21"/>
                      <w:szCs w:val="21"/>
                    </w:rPr>
                  </w:pPr>
                  <w:r>
                    <w:rPr>
                      <w:sz w:val="21"/>
                      <w:szCs w:val="21"/>
                      <w:lang w:bidi="zh-CN"/>
                    </w:rPr>
                    <w:t>序号</w:t>
                  </w:r>
                </w:p>
              </w:tc>
              <w:tc>
                <w:tcPr>
                  <w:tcW w:w="679" w:type="pct"/>
                  <w:noWrap w:val="0"/>
                  <w:vAlign w:val="center"/>
                </w:tcPr>
                <w:p>
                  <w:pPr>
                    <w:jc w:val="center"/>
                    <w:rPr>
                      <w:sz w:val="21"/>
                      <w:szCs w:val="21"/>
                    </w:rPr>
                  </w:pPr>
                  <w:r>
                    <w:rPr>
                      <w:sz w:val="21"/>
                      <w:szCs w:val="21"/>
                      <w:lang w:bidi="zh-CN"/>
                    </w:rPr>
                    <w:t>危险单元</w:t>
                  </w:r>
                </w:p>
              </w:tc>
              <w:tc>
                <w:tcPr>
                  <w:tcW w:w="798" w:type="pct"/>
                  <w:noWrap w:val="0"/>
                  <w:vAlign w:val="center"/>
                </w:tcPr>
                <w:p>
                  <w:pPr>
                    <w:jc w:val="center"/>
                    <w:rPr>
                      <w:sz w:val="21"/>
                      <w:szCs w:val="21"/>
                    </w:rPr>
                  </w:pPr>
                  <w:r>
                    <w:rPr>
                      <w:sz w:val="21"/>
                      <w:szCs w:val="21"/>
                      <w:lang w:bidi="zh-CN"/>
                    </w:rPr>
                    <w:t>风险源</w:t>
                  </w:r>
                </w:p>
              </w:tc>
              <w:tc>
                <w:tcPr>
                  <w:tcW w:w="673" w:type="pct"/>
                  <w:noWrap w:val="0"/>
                  <w:vAlign w:val="center"/>
                </w:tcPr>
                <w:p>
                  <w:pPr>
                    <w:jc w:val="center"/>
                    <w:rPr>
                      <w:sz w:val="21"/>
                      <w:szCs w:val="21"/>
                    </w:rPr>
                  </w:pPr>
                  <w:r>
                    <w:rPr>
                      <w:sz w:val="21"/>
                      <w:szCs w:val="21"/>
                      <w:lang w:bidi="zh-CN"/>
                    </w:rPr>
                    <w:t>主要风险物质</w:t>
                  </w:r>
                </w:p>
              </w:tc>
              <w:tc>
                <w:tcPr>
                  <w:tcW w:w="683" w:type="pct"/>
                  <w:noWrap w:val="0"/>
                  <w:vAlign w:val="center"/>
                </w:tcPr>
                <w:p>
                  <w:pPr>
                    <w:jc w:val="center"/>
                    <w:rPr>
                      <w:sz w:val="21"/>
                      <w:szCs w:val="21"/>
                    </w:rPr>
                  </w:pPr>
                  <w:r>
                    <w:rPr>
                      <w:sz w:val="21"/>
                      <w:szCs w:val="21"/>
                      <w:lang w:bidi="zh-CN"/>
                    </w:rPr>
                    <w:t>环境风险类型</w:t>
                  </w:r>
                </w:p>
              </w:tc>
              <w:tc>
                <w:tcPr>
                  <w:tcW w:w="976" w:type="pct"/>
                  <w:noWrap w:val="0"/>
                  <w:vAlign w:val="center"/>
                </w:tcPr>
                <w:p>
                  <w:pPr>
                    <w:jc w:val="center"/>
                    <w:rPr>
                      <w:sz w:val="21"/>
                      <w:szCs w:val="21"/>
                    </w:rPr>
                  </w:pPr>
                  <w:r>
                    <w:rPr>
                      <w:sz w:val="21"/>
                      <w:szCs w:val="21"/>
                      <w:lang w:bidi="zh-CN"/>
                    </w:rPr>
                    <w:t>环境影响途径</w:t>
                  </w:r>
                </w:p>
              </w:tc>
              <w:tc>
                <w:tcPr>
                  <w:tcW w:w="811" w:type="pct"/>
                  <w:noWrap w:val="0"/>
                  <w:vAlign w:val="center"/>
                </w:tcPr>
                <w:p>
                  <w:pPr>
                    <w:jc w:val="center"/>
                    <w:rPr>
                      <w:sz w:val="21"/>
                      <w:szCs w:val="21"/>
                    </w:rPr>
                  </w:pPr>
                  <w:r>
                    <w:rPr>
                      <w:sz w:val="21"/>
                      <w:szCs w:val="21"/>
                      <w:lang w:bidi="zh-CN"/>
                    </w:rPr>
                    <w:t>可能受影响的环境敏感目标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noWrap w:val="0"/>
                  <w:vAlign w:val="center"/>
                </w:tcPr>
                <w:p>
                  <w:pPr>
                    <w:jc w:val="center"/>
                    <w:rPr>
                      <w:sz w:val="21"/>
                      <w:szCs w:val="21"/>
                    </w:rPr>
                  </w:pPr>
                  <w:r>
                    <w:rPr>
                      <w:sz w:val="21"/>
                      <w:szCs w:val="21"/>
                      <w:lang w:bidi="zh-CN"/>
                    </w:rPr>
                    <w:t>1</w:t>
                  </w:r>
                </w:p>
              </w:tc>
              <w:tc>
                <w:tcPr>
                  <w:tcW w:w="679" w:type="pct"/>
                  <w:noWrap w:val="0"/>
                  <w:vAlign w:val="center"/>
                </w:tcPr>
                <w:p>
                  <w:pPr>
                    <w:jc w:val="center"/>
                    <w:rPr>
                      <w:sz w:val="21"/>
                      <w:szCs w:val="21"/>
                    </w:rPr>
                  </w:pPr>
                  <w:r>
                    <w:rPr>
                      <w:sz w:val="21"/>
                      <w:szCs w:val="21"/>
                      <w:lang w:bidi="zh-CN"/>
                    </w:rPr>
                    <w:t>废水处理设施</w:t>
                  </w:r>
                </w:p>
              </w:tc>
              <w:tc>
                <w:tcPr>
                  <w:tcW w:w="798" w:type="pct"/>
                  <w:noWrap w:val="0"/>
                  <w:vAlign w:val="center"/>
                </w:tcPr>
                <w:p>
                  <w:pPr>
                    <w:jc w:val="center"/>
                    <w:rPr>
                      <w:sz w:val="21"/>
                      <w:szCs w:val="21"/>
                    </w:rPr>
                  </w:pPr>
                  <w:r>
                    <w:rPr>
                      <w:sz w:val="21"/>
                      <w:szCs w:val="21"/>
                    </w:rPr>
                    <w:t>废水</w:t>
                  </w:r>
                </w:p>
              </w:tc>
              <w:tc>
                <w:tcPr>
                  <w:tcW w:w="673" w:type="pct"/>
                  <w:noWrap w:val="0"/>
                  <w:vAlign w:val="center"/>
                </w:tcPr>
                <w:p>
                  <w:pPr>
                    <w:jc w:val="center"/>
                    <w:rPr>
                      <w:sz w:val="21"/>
                      <w:szCs w:val="21"/>
                    </w:rPr>
                  </w:pPr>
                  <w:r>
                    <w:rPr>
                      <w:sz w:val="21"/>
                      <w:szCs w:val="21"/>
                    </w:rPr>
                    <w:t>SS</w:t>
                  </w:r>
                </w:p>
              </w:tc>
              <w:tc>
                <w:tcPr>
                  <w:tcW w:w="683" w:type="pct"/>
                  <w:noWrap w:val="0"/>
                  <w:vAlign w:val="center"/>
                </w:tcPr>
                <w:p>
                  <w:pPr>
                    <w:jc w:val="center"/>
                    <w:rPr>
                      <w:sz w:val="21"/>
                      <w:szCs w:val="21"/>
                    </w:rPr>
                  </w:pPr>
                  <w:r>
                    <w:rPr>
                      <w:sz w:val="21"/>
                      <w:szCs w:val="21"/>
                      <w:lang w:bidi="zh-CN"/>
                    </w:rPr>
                    <w:t>超标排放</w:t>
                  </w:r>
                </w:p>
              </w:tc>
              <w:tc>
                <w:tcPr>
                  <w:tcW w:w="976" w:type="pct"/>
                  <w:noWrap w:val="0"/>
                  <w:vAlign w:val="center"/>
                </w:tcPr>
                <w:p>
                  <w:pPr>
                    <w:jc w:val="center"/>
                    <w:rPr>
                      <w:sz w:val="21"/>
                      <w:szCs w:val="21"/>
                    </w:rPr>
                  </w:pPr>
                  <w:r>
                    <w:rPr>
                      <w:sz w:val="21"/>
                      <w:szCs w:val="21"/>
                      <w:lang w:val="zh-CN" w:bidi="zh-CN"/>
                    </w:rPr>
                    <w:t>操作不当导致设备故障，引发</w:t>
                  </w:r>
                  <w:r>
                    <w:rPr>
                      <w:sz w:val="21"/>
                      <w:szCs w:val="21"/>
                      <w:lang w:bidi="zh-CN"/>
                    </w:rPr>
                    <w:t>废水超标排放</w:t>
                  </w:r>
                </w:p>
              </w:tc>
              <w:tc>
                <w:tcPr>
                  <w:tcW w:w="811" w:type="pct"/>
                  <w:noWrap w:val="0"/>
                  <w:vAlign w:val="center"/>
                </w:tcPr>
                <w:p>
                  <w:pPr>
                    <w:jc w:val="center"/>
                    <w:rPr>
                      <w:sz w:val="21"/>
                      <w:szCs w:val="21"/>
                    </w:rPr>
                  </w:pPr>
                  <w:r>
                    <w:rPr>
                      <w:sz w:val="21"/>
                      <w:szCs w:val="21"/>
                      <w:lang w:bidi="zh-CN"/>
                    </w:rPr>
                    <w:t>水环境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noWrap w:val="0"/>
                  <w:vAlign w:val="center"/>
                </w:tcPr>
                <w:p>
                  <w:pPr>
                    <w:jc w:val="center"/>
                    <w:rPr>
                      <w:sz w:val="21"/>
                      <w:szCs w:val="21"/>
                    </w:rPr>
                  </w:pPr>
                  <w:r>
                    <w:rPr>
                      <w:sz w:val="21"/>
                      <w:szCs w:val="21"/>
                      <w:lang w:bidi="zh-CN"/>
                    </w:rPr>
                    <w:t>2</w:t>
                  </w:r>
                </w:p>
              </w:tc>
              <w:tc>
                <w:tcPr>
                  <w:tcW w:w="679" w:type="pct"/>
                  <w:noWrap w:val="0"/>
                  <w:vAlign w:val="center"/>
                </w:tcPr>
                <w:p>
                  <w:pPr>
                    <w:jc w:val="center"/>
                    <w:rPr>
                      <w:sz w:val="21"/>
                      <w:szCs w:val="21"/>
                    </w:rPr>
                  </w:pPr>
                  <w:r>
                    <w:rPr>
                      <w:sz w:val="21"/>
                      <w:szCs w:val="21"/>
                      <w:lang w:bidi="zh-CN"/>
                    </w:rPr>
                    <w:t>废气处理设施</w:t>
                  </w:r>
                </w:p>
              </w:tc>
              <w:tc>
                <w:tcPr>
                  <w:tcW w:w="798" w:type="pct"/>
                  <w:noWrap w:val="0"/>
                  <w:vAlign w:val="center"/>
                </w:tcPr>
                <w:p>
                  <w:pPr>
                    <w:jc w:val="center"/>
                    <w:rPr>
                      <w:sz w:val="21"/>
                      <w:szCs w:val="21"/>
                    </w:rPr>
                  </w:pPr>
                  <w:r>
                    <w:rPr>
                      <w:sz w:val="21"/>
                      <w:szCs w:val="21"/>
                      <w:lang w:bidi="zh-CN"/>
                    </w:rPr>
                    <w:t>废气</w:t>
                  </w:r>
                </w:p>
              </w:tc>
              <w:tc>
                <w:tcPr>
                  <w:tcW w:w="673" w:type="pct"/>
                  <w:noWrap w:val="0"/>
                  <w:vAlign w:val="center"/>
                </w:tcPr>
                <w:p>
                  <w:pPr>
                    <w:jc w:val="center"/>
                    <w:rPr>
                      <w:sz w:val="21"/>
                      <w:szCs w:val="21"/>
                    </w:rPr>
                  </w:pPr>
                  <w:r>
                    <w:rPr>
                      <w:sz w:val="21"/>
                      <w:szCs w:val="21"/>
                    </w:rPr>
                    <w:t>颗粒物</w:t>
                  </w:r>
                </w:p>
              </w:tc>
              <w:tc>
                <w:tcPr>
                  <w:tcW w:w="683" w:type="pct"/>
                  <w:noWrap w:val="0"/>
                  <w:vAlign w:val="center"/>
                </w:tcPr>
                <w:p>
                  <w:pPr>
                    <w:jc w:val="center"/>
                    <w:rPr>
                      <w:sz w:val="21"/>
                      <w:szCs w:val="21"/>
                    </w:rPr>
                  </w:pPr>
                  <w:r>
                    <w:rPr>
                      <w:sz w:val="21"/>
                      <w:szCs w:val="21"/>
                      <w:lang w:bidi="zh-CN"/>
                    </w:rPr>
                    <w:t>超标排放</w:t>
                  </w:r>
                </w:p>
              </w:tc>
              <w:tc>
                <w:tcPr>
                  <w:tcW w:w="976" w:type="pct"/>
                  <w:noWrap w:val="0"/>
                  <w:vAlign w:val="center"/>
                </w:tcPr>
                <w:p>
                  <w:pPr>
                    <w:jc w:val="center"/>
                    <w:rPr>
                      <w:sz w:val="21"/>
                      <w:szCs w:val="21"/>
                    </w:rPr>
                  </w:pPr>
                  <w:r>
                    <w:rPr>
                      <w:sz w:val="21"/>
                      <w:szCs w:val="21"/>
                      <w:lang w:bidi="zh-CN"/>
                    </w:rPr>
                    <w:t>废气处理设施故障，引发废气超标排放</w:t>
                  </w:r>
                </w:p>
              </w:tc>
              <w:tc>
                <w:tcPr>
                  <w:tcW w:w="811" w:type="pct"/>
                  <w:noWrap w:val="0"/>
                  <w:vAlign w:val="center"/>
                </w:tcPr>
                <w:p>
                  <w:pPr>
                    <w:jc w:val="center"/>
                    <w:rPr>
                      <w:sz w:val="21"/>
                      <w:szCs w:val="21"/>
                    </w:rPr>
                  </w:pPr>
                  <w:r>
                    <w:rPr>
                      <w:sz w:val="21"/>
                      <w:szCs w:val="21"/>
                      <w:lang w:bidi="zh-CN"/>
                    </w:rPr>
                    <w:t>空气环境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noWrap w:val="0"/>
                  <w:vAlign w:val="center"/>
                </w:tcPr>
                <w:p>
                  <w:pPr>
                    <w:jc w:val="center"/>
                    <w:rPr>
                      <w:sz w:val="21"/>
                      <w:szCs w:val="21"/>
                    </w:rPr>
                  </w:pPr>
                  <w:r>
                    <w:rPr>
                      <w:sz w:val="21"/>
                      <w:szCs w:val="21"/>
                      <w:lang w:bidi="zh-CN"/>
                    </w:rPr>
                    <w:t>3</w:t>
                  </w:r>
                </w:p>
              </w:tc>
              <w:tc>
                <w:tcPr>
                  <w:tcW w:w="679" w:type="pct"/>
                  <w:noWrap w:val="0"/>
                  <w:vAlign w:val="center"/>
                </w:tcPr>
                <w:p>
                  <w:pPr>
                    <w:jc w:val="center"/>
                    <w:rPr>
                      <w:sz w:val="21"/>
                      <w:szCs w:val="21"/>
                    </w:rPr>
                  </w:pPr>
                  <w:r>
                    <w:rPr>
                      <w:sz w:val="21"/>
                      <w:szCs w:val="21"/>
                      <w:lang w:bidi="zh-CN"/>
                    </w:rPr>
                    <w:t>危废暂存间</w:t>
                  </w:r>
                </w:p>
              </w:tc>
              <w:tc>
                <w:tcPr>
                  <w:tcW w:w="798" w:type="pct"/>
                  <w:noWrap w:val="0"/>
                  <w:vAlign w:val="center"/>
                </w:tcPr>
                <w:p>
                  <w:pPr>
                    <w:jc w:val="center"/>
                    <w:rPr>
                      <w:sz w:val="21"/>
                      <w:szCs w:val="21"/>
                    </w:rPr>
                  </w:pPr>
                  <w:r>
                    <w:rPr>
                      <w:sz w:val="21"/>
                      <w:szCs w:val="21"/>
                      <w:lang w:bidi="zh-CN"/>
                    </w:rPr>
                    <w:t>危险废物</w:t>
                  </w:r>
                </w:p>
              </w:tc>
              <w:tc>
                <w:tcPr>
                  <w:tcW w:w="673" w:type="pct"/>
                  <w:noWrap w:val="0"/>
                  <w:vAlign w:val="center"/>
                </w:tcPr>
                <w:p>
                  <w:pPr>
                    <w:jc w:val="center"/>
                    <w:rPr>
                      <w:sz w:val="21"/>
                      <w:szCs w:val="21"/>
                    </w:rPr>
                  </w:pPr>
                  <w:r>
                    <w:rPr>
                      <w:sz w:val="21"/>
                      <w:szCs w:val="21"/>
                      <w:lang w:val="zh-CN" w:bidi="zh-CN"/>
                    </w:rPr>
                    <w:t>油类物质</w:t>
                  </w:r>
                </w:p>
              </w:tc>
              <w:tc>
                <w:tcPr>
                  <w:tcW w:w="683" w:type="pct"/>
                  <w:noWrap w:val="0"/>
                  <w:vAlign w:val="center"/>
                </w:tcPr>
                <w:p>
                  <w:pPr>
                    <w:jc w:val="center"/>
                    <w:rPr>
                      <w:sz w:val="21"/>
                      <w:szCs w:val="21"/>
                    </w:rPr>
                  </w:pPr>
                  <w:r>
                    <w:rPr>
                      <w:sz w:val="21"/>
                      <w:szCs w:val="21"/>
                      <w:lang w:bidi="zh-CN"/>
                    </w:rPr>
                    <w:t>明火引发火灾、物料泄露</w:t>
                  </w:r>
                </w:p>
              </w:tc>
              <w:tc>
                <w:tcPr>
                  <w:tcW w:w="976" w:type="pct"/>
                  <w:noWrap w:val="0"/>
                  <w:vAlign w:val="center"/>
                </w:tcPr>
                <w:p>
                  <w:pPr>
                    <w:jc w:val="center"/>
                    <w:rPr>
                      <w:sz w:val="21"/>
                      <w:szCs w:val="21"/>
                    </w:rPr>
                  </w:pPr>
                  <w:r>
                    <w:rPr>
                      <w:sz w:val="21"/>
                      <w:szCs w:val="21"/>
                      <w:lang w:bidi="zh-CN"/>
                    </w:rPr>
                    <w:t>管理不当引发火灾、存储不当产生泄露</w:t>
                  </w:r>
                </w:p>
              </w:tc>
              <w:tc>
                <w:tcPr>
                  <w:tcW w:w="811" w:type="pct"/>
                  <w:noWrap w:val="0"/>
                  <w:vAlign w:val="center"/>
                </w:tcPr>
                <w:p>
                  <w:pPr>
                    <w:jc w:val="center"/>
                    <w:rPr>
                      <w:sz w:val="21"/>
                      <w:szCs w:val="21"/>
                    </w:rPr>
                  </w:pPr>
                  <w:r>
                    <w:rPr>
                      <w:sz w:val="21"/>
                      <w:szCs w:val="21"/>
                      <w:lang w:bidi="zh-CN"/>
                    </w:rPr>
                    <w:t>环境空气、地表水、地下水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7" w:type="pct"/>
                  <w:noWrap w:val="0"/>
                  <w:vAlign w:val="center"/>
                </w:tcPr>
                <w:p>
                  <w:pPr>
                    <w:jc w:val="center"/>
                    <w:rPr>
                      <w:sz w:val="21"/>
                      <w:szCs w:val="21"/>
                      <w:lang w:bidi="zh-CN"/>
                    </w:rPr>
                  </w:pPr>
                  <w:r>
                    <w:rPr>
                      <w:rFonts w:hint="eastAsia"/>
                      <w:sz w:val="21"/>
                      <w:szCs w:val="21"/>
                      <w:lang w:bidi="zh-CN"/>
                    </w:rPr>
                    <w:t>4</w:t>
                  </w:r>
                </w:p>
              </w:tc>
              <w:tc>
                <w:tcPr>
                  <w:tcW w:w="679" w:type="pct"/>
                  <w:noWrap w:val="0"/>
                  <w:vAlign w:val="center"/>
                </w:tcPr>
                <w:p>
                  <w:pPr>
                    <w:jc w:val="center"/>
                    <w:rPr>
                      <w:rFonts w:hint="default"/>
                      <w:sz w:val="21"/>
                      <w:szCs w:val="21"/>
                      <w:lang w:val="en-US" w:bidi="zh-CN"/>
                    </w:rPr>
                  </w:pPr>
                  <w:r>
                    <w:rPr>
                      <w:rFonts w:hint="eastAsia"/>
                      <w:sz w:val="21"/>
                      <w:szCs w:val="21"/>
                      <w:lang w:bidi="zh-CN"/>
                    </w:rPr>
                    <w:t>柴油发电机</w:t>
                  </w:r>
                  <w:r>
                    <w:rPr>
                      <w:rFonts w:hint="eastAsia"/>
                      <w:sz w:val="21"/>
                      <w:szCs w:val="21"/>
                      <w:lang w:val="en-US" w:bidi="zh-CN"/>
                    </w:rPr>
                    <w:t>房</w:t>
                  </w:r>
                </w:p>
              </w:tc>
              <w:tc>
                <w:tcPr>
                  <w:tcW w:w="798" w:type="pct"/>
                  <w:noWrap w:val="0"/>
                  <w:vAlign w:val="center"/>
                </w:tcPr>
                <w:p>
                  <w:pPr>
                    <w:jc w:val="center"/>
                    <w:rPr>
                      <w:sz w:val="21"/>
                      <w:szCs w:val="21"/>
                      <w:lang w:bidi="zh-CN"/>
                    </w:rPr>
                  </w:pPr>
                  <w:r>
                    <w:rPr>
                      <w:rFonts w:hint="eastAsia"/>
                      <w:sz w:val="21"/>
                      <w:szCs w:val="21"/>
                      <w:lang w:bidi="zh-CN"/>
                    </w:rPr>
                    <w:t>柴油</w:t>
                  </w:r>
                </w:p>
              </w:tc>
              <w:tc>
                <w:tcPr>
                  <w:tcW w:w="673" w:type="pct"/>
                  <w:noWrap w:val="0"/>
                  <w:vAlign w:val="center"/>
                </w:tcPr>
                <w:p>
                  <w:pPr>
                    <w:jc w:val="center"/>
                    <w:rPr>
                      <w:sz w:val="21"/>
                      <w:szCs w:val="21"/>
                    </w:rPr>
                  </w:pPr>
                  <w:r>
                    <w:rPr>
                      <w:sz w:val="21"/>
                      <w:szCs w:val="21"/>
                      <w:lang w:val="zh-CN" w:bidi="zh-CN"/>
                    </w:rPr>
                    <w:t>油类物质</w:t>
                  </w:r>
                </w:p>
              </w:tc>
              <w:tc>
                <w:tcPr>
                  <w:tcW w:w="683" w:type="pct"/>
                  <w:noWrap w:val="0"/>
                  <w:vAlign w:val="center"/>
                </w:tcPr>
                <w:p>
                  <w:pPr>
                    <w:jc w:val="center"/>
                    <w:rPr>
                      <w:sz w:val="21"/>
                      <w:szCs w:val="21"/>
                    </w:rPr>
                  </w:pPr>
                  <w:r>
                    <w:rPr>
                      <w:sz w:val="21"/>
                      <w:szCs w:val="21"/>
                      <w:lang w:bidi="zh-CN"/>
                    </w:rPr>
                    <w:t>明火引发火灾、物料泄露</w:t>
                  </w:r>
                </w:p>
              </w:tc>
              <w:tc>
                <w:tcPr>
                  <w:tcW w:w="976" w:type="pct"/>
                  <w:noWrap w:val="0"/>
                  <w:vAlign w:val="center"/>
                </w:tcPr>
                <w:p>
                  <w:pPr>
                    <w:jc w:val="center"/>
                    <w:rPr>
                      <w:sz w:val="21"/>
                      <w:szCs w:val="21"/>
                    </w:rPr>
                  </w:pPr>
                  <w:r>
                    <w:rPr>
                      <w:sz w:val="21"/>
                      <w:szCs w:val="21"/>
                      <w:lang w:bidi="zh-CN"/>
                    </w:rPr>
                    <w:t>管理不当引发火灾、存储不当产生泄露</w:t>
                  </w:r>
                </w:p>
              </w:tc>
              <w:tc>
                <w:tcPr>
                  <w:tcW w:w="811" w:type="pct"/>
                  <w:noWrap w:val="0"/>
                  <w:vAlign w:val="center"/>
                </w:tcPr>
                <w:p>
                  <w:pPr>
                    <w:jc w:val="center"/>
                    <w:rPr>
                      <w:sz w:val="21"/>
                      <w:szCs w:val="21"/>
                    </w:rPr>
                  </w:pPr>
                  <w:r>
                    <w:rPr>
                      <w:sz w:val="21"/>
                      <w:szCs w:val="21"/>
                      <w:lang w:bidi="zh-CN"/>
                    </w:rPr>
                    <w:t>环境空气、地表水、地下水</w:t>
                  </w:r>
                </w:p>
              </w:tc>
            </w:tr>
          </w:tbl>
          <w:p>
            <w:pPr>
              <w:adjustRightInd w:val="0"/>
              <w:snapToGrid w:val="0"/>
              <w:spacing w:line="360" w:lineRule="auto"/>
              <w:ind w:firstLine="482" w:firstLineChars="200"/>
              <w:rPr>
                <w:b/>
                <w:bCs/>
                <w:sz w:val="24"/>
                <w:szCs w:val="24"/>
              </w:rPr>
            </w:pPr>
            <w:r>
              <w:rPr>
                <w:b/>
                <w:bCs/>
                <w:sz w:val="24"/>
                <w:szCs w:val="24"/>
              </w:rPr>
              <w:t>（4）环境风险简介</w:t>
            </w:r>
          </w:p>
          <w:p>
            <w:pPr>
              <w:adjustRightInd w:val="0"/>
              <w:snapToGrid w:val="0"/>
              <w:spacing w:line="360" w:lineRule="auto"/>
              <w:ind w:firstLine="480" w:firstLineChars="200"/>
              <w:rPr>
                <w:bCs/>
                <w:sz w:val="24"/>
                <w:szCs w:val="24"/>
              </w:rPr>
            </w:pPr>
            <w:r>
              <w:rPr>
                <w:rFonts w:hint="eastAsia" w:ascii="宋体" w:hAnsi="宋体" w:cs="宋体"/>
                <w:bCs/>
                <w:sz w:val="24"/>
                <w:szCs w:val="24"/>
              </w:rPr>
              <w:t>①</w:t>
            </w:r>
            <w:r>
              <w:rPr>
                <w:bCs/>
                <w:sz w:val="24"/>
                <w:szCs w:val="24"/>
              </w:rPr>
              <w:t>风险事故发生原因</w:t>
            </w:r>
          </w:p>
          <w:p>
            <w:pPr>
              <w:adjustRightInd w:val="0"/>
              <w:snapToGrid w:val="0"/>
              <w:spacing w:line="360" w:lineRule="auto"/>
              <w:ind w:firstLine="480" w:firstLineChars="200"/>
              <w:rPr>
                <w:bCs/>
                <w:sz w:val="24"/>
                <w:szCs w:val="24"/>
              </w:rPr>
            </w:pPr>
            <w:r>
              <w:rPr>
                <w:bCs/>
                <w:sz w:val="24"/>
                <w:szCs w:val="24"/>
              </w:rPr>
              <w:t>本项目主要环境风险事故是火灾、废水、废气超标排放，火灾事故和废气超标排放发生的主要原因有：</w:t>
            </w:r>
          </w:p>
          <w:p>
            <w:pPr>
              <w:adjustRightInd w:val="0"/>
              <w:snapToGrid w:val="0"/>
              <w:spacing w:line="360" w:lineRule="auto"/>
              <w:ind w:firstLine="480" w:firstLineChars="200"/>
              <w:rPr>
                <w:bCs/>
                <w:sz w:val="24"/>
                <w:szCs w:val="24"/>
              </w:rPr>
            </w:pPr>
            <w:r>
              <w:rPr>
                <w:bCs/>
                <w:sz w:val="24"/>
                <w:szCs w:val="24"/>
              </w:rPr>
              <w:t>A、设备的不可靠度。不可靠度是设备本身所具有的，它只与设备及其零部件的设计水平、制造能力、检测手段、安装质量、自身损耗及设计寿命有关。</w:t>
            </w:r>
          </w:p>
          <w:p>
            <w:pPr>
              <w:adjustRightInd w:val="0"/>
              <w:snapToGrid w:val="0"/>
              <w:spacing w:line="360" w:lineRule="auto"/>
              <w:ind w:firstLine="480" w:firstLineChars="200"/>
              <w:rPr>
                <w:bCs/>
                <w:sz w:val="24"/>
                <w:szCs w:val="24"/>
              </w:rPr>
            </w:pPr>
            <w:r>
              <w:rPr>
                <w:bCs/>
                <w:sz w:val="24"/>
                <w:szCs w:val="24"/>
              </w:rPr>
              <w:t>B、危废暂存间</w:t>
            </w:r>
            <w:r>
              <w:rPr>
                <w:rFonts w:hint="eastAsia"/>
                <w:bCs/>
                <w:sz w:val="24"/>
                <w:szCs w:val="24"/>
              </w:rPr>
              <w:t>、</w:t>
            </w:r>
            <w:r>
              <w:rPr>
                <w:bCs/>
                <w:sz w:val="24"/>
                <w:szCs w:val="24"/>
              </w:rPr>
              <w:t>柴油管理不当。本项目油类等属于可燃物质，可能因高温、明火引发火灾。</w:t>
            </w:r>
          </w:p>
          <w:p>
            <w:pPr>
              <w:adjustRightInd w:val="0"/>
              <w:snapToGrid w:val="0"/>
              <w:spacing w:line="360" w:lineRule="auto"/>
              <w:ind w:firstLine="480" w:firstLineChars="200"/>
              <w:rPr>
                <w:bCs/>
                <w:sz w:val="24"/>
                <w:szCs w:val="24"/>
              </w:rPr>
            </w:pPr>
            <w:r>
              <w:rPr>
                <w:bCs/>
                <w:sz w:val="24"/>
                <w:szCs w:val="24"/>
              </w:rPr>
              <w:t>C、废气、废水处理设施故障。处理设施故障，导致废气、废水未经处理超标排入外环境，对大气环境造成影响。</w:t>
            </w:r>
          </w:p>
          <w:p>
            <w:pPr>
              <w:adjustRightInd w:val="0"/>
              <w:snapToGrid w:val="0"/>
              <w:spacing w:line="360" w:lineRule="auto"/>
              <w:ind w:firstLine="480" w:firstLineChars="200"/>
              <w:rPr>
                <w:bCs/>
                <w:sz w:val="24"/>
                <w:szCs w:val="24"/>
              </w:rPr>
            </w:pPr>
            <w:r>
              <w:rPr>
                <w:bCs/>
                <w:sz w:val="24"/>
                <w:szCs w:val="24"/>
              </w:rPr>
              <w:t>D、企业安全管理水平。事故的发生都可以认为是人的不安全行为和物的不安全状态造成的，而人的不安全行为和物的不安全状态又是由于管理不善造成的。因此，一切事故都可归结为管理上的原因。主要包括管理上没有制度完善的安全操作规程和监督检查制度，不能及时发现问题或发现问题不及时解决，使设备带病运转。</w:t>
            </w:r>
          </w:p>
          <w:p>
            <w:pPr>
              <w:adjustRightInd w:val="0"/>
              <w:snapToGrid w:val="0"/>
              <w:spacing w:line="360" w:lineRule="auto"/>
              <w:ind w:firstLine="480" w:firstLineChars="200"/>
              <w:rPr>
                <w:bCs/>
                <w:sz w:val="24"/>
                <w:szCs w:val="24"/>
              </w:rPr>
            </w:pPr>
            <w:r>
              <w:rPr>
                <w:rFonts w:hint="eastAsia" w:ascii="宋体" w:hAnsi="宋体" w:cs="宋体"/>
                <w:bCs/>
                <w:sz w:val="24"/>
                <w:szCs w:val="24"/>
              </w:rPr>
              <w:t>②</w:t>
            </w:r>
            <w:r>
              <w:rPr>
                <w:bCs/>
                <w:sz w:val="24"/>
                <w:szCs w:val="24"/>
              </w:rPr>
              <w:t>风险事故影响分析</w:t>
            </w:r>
          </w:p>
          <w:p>
            <w:pPr>
              <w:adjustRightInd w:val="0"/>
              <w:snapToGrid w:val="0"/>
              <w:spacing w:line="360" w:lineRule="auto"/>
              <w:ind w:firstLine="480" w:firstLineChars="200"/>
              <w:rPr>
                <w:bCs/>
                <w:sz w:val="24"/>
                <w:szCs w:val="24"/>
              </w:rPr>
            </w:pPr>
            <w:r>
              <w:rPr>
                <w:bCs/>
                <w:sz w:val="24"/>
                <w:szCs w:val="24"/>
              </w:rPr>
              <w:t>项目运营过程中的主要风险为管理与操作不当导致设备漏电引起火灾，废气、废水处理设施故障导致超标排入外环境，造成局部区域环境空气污染，对周围环境造成污染。</w:t>
            </w:r>
          </w:p>
          <w:p>
            <w:pPr>
              <w:adjustRightInd w:val="0"/>
              <w:snapToGrid w:val="0"/>
              <w:spacing w:line="360" w:lineRule="auto"/>
              <w:ind w:firstLine="472" w:firstLineChars="196"/>
              <w:rPr>
                <w:bCs/>
                <w:sz w:val="24"/>
                <w:szCs w:val="24"/>
              </w:rPr>
            </w:pPr>
            <w:r>
              <w:rPr>
                <w:b/>
                <w:bCs/>
                <w:sz w:val="24"/>
                <w:szCs w:val="24"/>
              </w:rPr>
              <w:t>（5）风险防范措施</w:t>
            </w:r>
          </w:p>
          <w:p>
            <w:pPr>
              <w:adjustRightInd w:val="0"/>
              <w:snapToGrid w:val="0"/>
              <w:spacing w:line="360" w:lineRule="auto"/>
              <w:ind w:firstLine="480" w:firstLineChars="200"/>
              <w:rPr>
                <w:bCs/>
                <w:sz w:val="24"/>
                <w:szCs w:val="24"/>
              </w:rPr>
            </w:pPr>
            <w:r>
              <w:rPr>
                <w:bCs/>
                <w:sz w:val="24"/>
                <w:szCs w:val="24"/>
              </w:rPr>
              <w:t>对于本项目环境风险，本环评要求建设方开展以下防范措施：</w:t>
            </w:r>
          </w:p>
          <w:p>
            <w:pPr>
              <w:adjustRightInd w:val="0"/>
              <w:snapToGrid w:val="0"/>
              <w:spacing w:line="360" w:lineRule="auto"/>
              <w:ind w:firstLine="480" w:firstLineChars="200"/>
              <w:rPr>
                <w:bCs/>
                <w:sz w:val="24"/>
                <w:szCs w:val="24"/>
              </w:rPr>
            </w:pPr>
            <w:r>
              <w:rPr>
                <w:bCs/>
                <w:sz w:val="24"/>
                <w:szCs w:val="24"/>
              </w:rPr>
              <w:t>火灾处置：当发生火灾时，应立即上报消防部门及上级主管部门，切断火源和泄漏源，隔离现场，疏散周围群众。使用水管、灭火器等消防设施对可能发生危险的地方进行降温、灭火，扑灭火灾后，应继续洒水降温、消灭余火，同时需对火灾现场进行保护，接受事故调查。</w:t>
            </w:r>
          </w:p>
          <w:p>
            <w:pPr>
              <w:adjustRightInd w:val="0"/>
              <w:snapToGrid w:val="0"/>
              <w:spacing w:line="360" w:lineRule="auto"/>
              <w:ind w:firstLine="480" w:firstLineChars="200"/>
              <w:rPr>
                <w:rFonts w:hint="eastAsia"/>
                <w:bCs/>
                <w:sz w:val="24"/>
                <w:szCs w:val="24"/>
              </w:rPr>
            </w:pPr>
            <w:r>
              <w:rPr>
                <w:bCs/>
                <w:sz w:val="24"/>
                <w:szCs w:val="24"/>
              </w:rPr>
              <w:t>废水事故排放</w:t>
            </w:r>
            <w:r>
              <w:rPr>
                <w:rFonts w:hint="eastAsia"/>
                <w:bCs/>
                <w:sz w:val="24"/>
                <w:szCs w:val="24"/>
              </w:rPr>
              <w:t>：项目</w:t>
            </w:r>
            <w:r>
              <w:rPr>
                <w:bCs/>
                <w:sz w:val="24"/>
                <w:szCs w:val="24"/>
              </w:rPr>
              <w:t>生产废水</w:t>
            </w:r>
            <w:r>
              <w:rPr>
                <w:rFonts w:hint="eastAsia"/>
                <w:bCs/>
                <w:sz w:val="24"/>
                <w:szCs w:val="24"/>
              </w:rPr>
              <w:t>含有大量</w:t>
            </w:r>
            <w:r>
              <w:rPr>
                <w:bCs/>
                <w:sz w:val="24"/>
                <w:szCs w:val="24"/>
              </w:rPr>
              <w:t>泥沙</w:t>
            </w:r>
            <w:r>
              <w:rPr>
                <w:rFonts w:hint="eastAsia"/>
                <w:bCs/>
                <w:sz w:val="24"/>
                <w:szCs w:val="24"/>
              </w:rPr>
              <w:t>，</w:t>
            </w:r>
            <w:r>
              <w:rPr>
                <w:bCs/>
                <w:sz w:val="24"/>
                <w:szCs w:val="24"/>
              </w:rPr>
              <w:t>若</w:t>
            </w:r>
            <w:r>
              <w:rPr>
                <w:rFonts w:hint="eastAsia"/>
                <w:bCs/>
                <w:sz w:val="24"/>
                <w:szCs w:val="24"/>
              </w:rPr>
              <w:t>发生</w:t>
            </w:r>
            <w:r>
              <w:rPr>
                <w:bCs/>
                <w:sz w:val="24"/>
                <w:szCs w:val="24"/>
              </w:rPr>
              <w:t>池体</w:t>
            </w:r>
            <w:r>
              <w:rPr>
                <w:rFonts w:hint="eastAsia"/>
                <w:bCs/>
                <w:sz w:val="24"/>
                <w:szCs w:val="24"/>
              </w:rPr>
              <w:t>破损</w:t>
            </w:r>
            <w:r>
              <w:rPr>
                <w:bCs/>
                <w:sz w:val="24"/>
                <w:szCs w:val="24"/>
              </w:rPr>
              <w:t>泄漏，废水事故排放将对周围环境造成环境风险。</w:t>
            </w:r>
            <w:r>
              <w:rPr>
                <w:rFonts w:hint="eastAsia"/>
                <w:bCs/>
                <w:sz w:val="24"/>
                <w:szCs w:val="24"/>
              </w:rPr>
              <w:t>本项目</w:t>
            </w:r>
            <w:r>
              <w:rPr>
                <w:bCs/>
                <w:sz w:val="24"/>
                <w:szCs w:val="24"/>
              </w:rPr>
              <w:t>生产废水沉淀池为</w:t>
            </w:r>
            <w:r>
              <w:rPr>
                <w:rFonts w:hint="eastAsia"/>
                <w:bCs/>
                <w:sz w:val="24"/>
                <w:szCs w:val="24"/>
              </w:rPr>
              <w:t>三级沉淀池、</w:t>
            </w:r>
            <w:r>
              <w:rPr>
                <w:bCs/>
                <w:sz w:val="24"/>
                <w:szCs w:val="24"/>
              </w:rPr>
              <w:t>一个清水池，为3</w:t>
            </w:r>
            <w:r>
              <w:rPr>
                <w:rFonts w:hint="eastAsia"/>
                <w:bCs/>
                <w:sz w:val="24"/>
                <w:szCs w:val="24"/>
              </w:rPr>
              <w:t>个</w:t>
            </w:r>
            <w:r>
              <w:rPr>
                <w:bCs/>
                <w:sz w:val="24"/>
                <w:szCs w:val="24"/>
              </w:rPr>
              <w:t>单个池体共同构成，若单个池体发生</w:t>
            </w:r>
            <w:r>
              <w:rPr>
                <w:rFonts w:hint="eastAsia"/>
                <w:bCs/>
                <w:sz w:val="24"/>
                <w:szCs w:val="24"/>
              </w:rPr>
              <w:t>破损</w:t>
            </w:r>
            <w:r>
              <w:rPr>
                <w:bCs/>
                <w:sz w:val="24"/>
                <w:szCs w:val="24"/>
              </w:rPr>
              <w:t>泄漏，其余池体仍能有效对生产废水进行处理</w:t>
            </w:r>
            <w:r>
              <w:rPr>
                <w:rFonts w:hint="eastAsia"/>
                <w:bCs/>
                <w:sz w:val="24"/>
                <w:szCs w:val="24"/>
              </w:rPr>
              <w:t>，</w:t>
            </w:r>
            <w:r>
              <w:rPr>
                <w:bCs/>
                <w:sz w:val="24"/>
                <w:szCs w:val="24"/>
              </w:rPr>
              <w:t>废水不会直接外排，影响周边环境。</w:t>
            </w:r>
            <w:r>
              <w:rPr>
                <w:rFonts w:hint="eastAsia"/>
                <w:bCs/>
                <w:sz w:val="24"/>
                <w:szCs w:val="24"/>
              </w:rPr>
              <w:t>项目</w:t>
            </w:r>
            <w:r>
              <w:rPr>
                <w:bCs/>
                <w:sz w:val="24"/>
                <w:szCs w:val="24"/>
              </w:rPr>
              <w:t>生产废水产生量为</w:t>
            </w:r>
            <w:r>
              <w:rPr>
                <w:rFonts w:hint="eastAsia"/>
                <w:bCs/>
                <w:sz w:val="24"/>
                <w:szCs w:val="24"/>
                <w:lang w:val="en-US" w:eastAsia="zh-CN"/>
              </w:rPr>
              <w:t>48.67</w:t>
            </w:r>
            <w:r>
              <w:rPr>
                <w:rFonts w:hint="eastAsia"/>
                <w:bCs/>
                <w:sz w:val="24"/>
                <w:szCs w:val="24"/>
              </w:rPr>
              <w:t>m</w:t>
            </w:r>
            <w:r>
              <w:rPr>
                <w:rFonts w:hint="eastAsia"/>
                <w:bCs/>
                <w:sz w:val="24"/>
                <w:szCs w:val="24"/>
                <w:vertAlign w:val="superscript"/>
              </w:rPr>
              <w:t>3</w:t>
            </w:r>
            <w:r>
              <w:rPr>
                <w:rFonts w:hint="eastAsia"/>
                <w:bCs/>
                <w:sz w:val="24"/>
                <w:szCs w:val="24"/>
              </w:rPr>
              <w:t>/d，</w:t>
            </w:r>
            <w:r>
              <w:rPr>
                <w:bCs/>
                <w:sz w:val="24"/>
                <w:szCs w:val="24"/>
              </w:rPr>
              <w:t>沉淀池</w:t>
            </w:r>
            <w:r>
              <w:rPr>
                <w:rFonts w:hint="eastAsia"/>
                <w:bCs/>
                <w:sz w:val="24"/>
                <w:szCs w:val="24"/>
              </w:rPr>
              <w:t>与</w:t>
            </w:r>
            <w:r>
              <w:rPr>
                <w:bCs/>
                <w:sz w:val="24"/>
                <w:szCs w:val="24"/>
              </w:rPr>
              <w:t>清水池</w:t>
            </w:r>
            <w:r>
              <w:rPr>
                <w:rFonts w:hint="eastAsia"/>
                <w:bCs/>
                <w:sz w:val="24"/>
                <w:szCs w:val="24"/>
              </w:rPr>
              <w:t>容积</w:t>
            </w:r>
            <w:r>
              <w:rPr>
                <w:bCs/>
                <w:sz w:val="24"/>
                <w:szCs w:val="24"/>
              </w:rPr>
              <w:t>为</w:t>
            </w:r>
            <w:r>
              <w:rPr>
                <w:rFonts w:hint="eastAsia"/>
                <w:bCs/>
                <w:sz w:val="24"/>
                <w:szCs w:val="24"/>
                <w:lang w:val="en-US" w:eastAsia="zh-CN"/>
              </w:rPr>
              <w:t>100</w:t>
            </w:r>
            <w:r>
              <w:rPr>
                <w:rFonts w:hint="eastAsia"/>
                <w:bCs/>
                <w:sz w:val="24"/>
                <w:szCs w:val="24"/>
              </w:rPr>
              <w:t>m</w:t>
            </w:r>
            <w:r>
              <w:rPr>
                <w:rFonts w:hint="eastAsia"/>
                <w:bCs/>
                <w:sz w:val="24"/>
                <w:szCs w:val="24"/>
                <w:vertAlign w:val="superscript"/>
              </w:rPr>
              <w:t>3</w:t>
            </w:r>
            <w:r>
              <w:rPr>
                <w:rFonts w:hint="eastAsia"/>
                <w:bCs/>
                <w:sz w:val="24"/>
                <w:szCs w:val="24"/>
              </w:rPr>
              <w:t>，最大储存</w:t>
            </w:r>
            <w:r>
              <w:rPr>
                <w:bCs/>
                <w:sz w:val="24"/>
                <w:szCs w:val="24"/>
              </w:rPr>
              <w:t>、处理</w:t>
            </w:r>
            <w:r>
              <w:rPr>
                <w:rFonts w:hint="eastAsia"/>
                <w:bCs/>
                <w:sz w:val="24"/>
                <w:szCs w:val="24"/>
                <w:lang w:val="en-US" w:eastAsia="zh-CN"/>
              </w:rPr>
              <w:t>2</w:t>
            </w:r>
            <w:r>
              <w:rPr>
                <w:rFonts w:hint="eastAsia"/>
                <w:bCs/>
                <w:sz w:val="24"/>
                <w:szCs w:val="24"/>
              </w:rPr>
              <w:t>天</w:t>
            </w:r>
            <w:r>
              <w:rPr>
                <w:bCs/>
                <w:sz w:val="24"/>
                <w:szCs w:val="24"/>
              </w:rPr>
              <w:t>的生产废水</w:t>
            </w:r>
            <w:r>
              <w:rPr>
                <w:rFonts w:hint="eastAsia"/>
                <w:bCs/>
                <w:sz w:val="24"/>
                <w:szCs w:val="24"/>
              </w:rPr>
              <w:t>，故项目</w:t>
            </w:r>
            <w:r>
              <w:rPr>
                <w:bCs/>
                <w:sz w:val="24"/>
                <w:szCs w:val="24"/>
              </w:rPr>
              <w:t>发生事故排放的</w:t>
            </w:r>
            <w:r>
              <w:rPr>
                <w:rFonts w:hint="eastAsia"/>
                <w:bCs/>
                <w:sz w:val="24"/>
                <w:szCs w:val="24"/>
              </w:rPr>
              <w:t>风险</w:t>
            </w:r>
            <w:r>
              <w:rPr>
                <w:bCs/>
                <w:sz w:val="24"/>
                <w:szCs w:val="24"/>
              </w:rPr>
              <w:t>较小。</w:t>
            </w:r>
          </w:p>
          <w:p>
            <w:pPr>
              <w:adjustRightInd w:val="0"/>
              <w:snapToGrid w:val="0"/>
              <w:spacing w:line="360" w:lineRule="auto"/>
              <w:ind w:firstLine="480" w:firstLineChars="200"/>
              <w:rPr>
                <w:bCs/>
                <w:sz w:val="24"/>
                <w:szCs w:val="24"/>
              </w:rPr>
            </w:pPr>
            <w:r>
              <w:rPr>
                <w:bCs/>
                <w:sz w:val="24"/>
                <w:szCs w:val="24"/>
              </w:rPr>
              <w:t>废气事故排放：项目废气主要为搅拌主机粉尘和筒仓粉尘，当粉尘收集处置措施损坏时，运营单位应立即停止生产，安排工作人员立即对废气治理措施进行检修，设备正常运营后方可生产。</w:t>
            </w:r>
          </w:p>
          <w:p>
            <w:pPr>
              <w:adjustRightInd w:val="0"/>
              <w:snapToGrid w:val="0"/>
              <w:spacing w:line="360" w:lineRule="auto"/>
              <w:ind w:firstLine="480" w:firstLineChars="200"/>
              <w:rPr>
                <w:bCs/>
                <w:sz w:val="24"/>
                <w:szCs w:val="24"/>
              </w:rPr>
            </w:pPr>
            <w:r>
              <w:rPr>
                <w:bCs/>
                <w:sz w:val="24"/>
                <w:szCs w:val="24"/>
              </w:rPr>
              <w:t>针对本项目可能出现的事故，本环评建议采取以下防范措施：</w:t>
            </w:r>
          </w:p>
          <w:p>
            <w:pPr>
              <w:adjustRightInd w:val="0"/>
              <w:snapToGrid w:val="0"/>
              <w:spacing w:line="360" w:lineRule="auto"/>
              <w:ind w:firstLine="480" w:firstLineChars="200"/>
              <w:rPr>
                <w:bCs/>
                <w:sz w:val="24"/>
                <w:szCs w:val="24"/>
              </w:rPr>
            </w:pPr>
            <w:r>
              <w:rPr>
                <w:bCs/>
                <w:sz w:val="24"/>
                <w:szCs w:val="24"/>
              </w:rPr>
              <w:t>1）建设单位应综合考虑风向、安全防护、消防等因素，储存场所尽量采取开敞式，设备通风应良好。</w:t>
            </w:r>
          </w:p>
          <w:p>
            <w:pPr>
              <w:adjustRightInd w:val="0"/>
              <w:snapToGrid w:val="0"/>
              <w:spacing w:line="360" w:lineRule="auto"/>
              <w:ind w:firstLine="480" w:firstLineChars="200"/>
              <w:rPr>
                <w:bCs/>
                <w:sz w:val="24"/>
                <w:szCs w:val="24"/>
              </w:rPr>
            </w:pPr>
            <w:r>
              <w:rPr>
                <w:bCs/>
                <w:sz w:val="24"/>
                <w:szCs w:val="24"/>
              </w:rPr>
              <w:t>2）储存间安装安全门，做好防渗、防漏措施，并配备灭火器，指定专人进行严格管理，并建立相关档案。</w:t>
            </w:r>
          </w:p>
          <w:p>
            <w:pPr>
              <w:adjustRightInd w:val="0"/>
              <w:snapToGrid w:val="0"/>
              <w:spacing w:line="360" w:lineRule="auto"/>
              <w:ind w:firstLine="480" w:firstLineChars="200"/>
              <w:rPr>
                <w:bCs/>
                <w:sz w:val="24"/>
                <w:szCs w:val="24"/>
              </w:rPr>
            </w:pPr>
            <w:r>
              <w:rPr>
                <w:bCs/>
                <w:sz w:val="24"/>
                <w:szCs w:val="24"/>
              </w:rPr>
              <w:t>3）加强安全管理，建立完善的管理制度，严格禁止生产车间内吸烟。</w:t>
            </w:r>
          </w:p>
          <w:p>
            <w:pPr>
              <w:adjustRightInd w:val="0"/>
              <w:snapToGrid w:val="0"/>
              <w:spacing w:line="360" w:lineRule="auto"/>
              <w:ind w:firstLine="480" w:firstLineChars="200"/>
              <w:rPr>
                <w:bCs/>
                <w:sz w:val="24"/>
                <w:szCs w:val="24"/>
              </w:rPr>
            </w:pPr>
            <w:r>
              <w:rPr>
                <w:bCs/>
                <w:sz w:val="24"/>
                <w:szCs w:val="24"/>
              </w:rPr>
              <w:t>4）定期组织员工安全知识和技能培训，提高员工安全防护意识和专业技能。</w:t>
            </w:r>
          </w:p>
          <w:p>
            <w:pPr>
              <w:adjustRightInd w:val="0"/>
              <w:snapToGrid w:val="0"/>
              <w:spacing w:line="360" w:lineRule="auto"/>
              <w:ind w:firstLine="480" w:firstLineChars="200"/>
              <w:rPr>
                <w:bCs/>
                <w:sz w:val="24"/>
                <w:szCs w:val="24"/>
              </w:rPr>
            </w:pPr>
            <w:r>
              <w:rPr>
                <w:bCs/>
                <w:sz w:val="24"/>
                <w:szCs w:val="24"/>
              </w:rPr>
              <w:t>5）加强道路运输时的安全管理，严格杜绝泄漏事故的发生。</w:t>
            </w:r>
          </w:p>
          <w:p>
            <w:pPr>
              <w:adjustRightInd w:val="0"/>
              <w:snapToGrid w:val="0"/>
              <w:spacing w:line="360" w:lineRule="auto"/>
              <w:ind w:firstLine="480" w:firstLineChars="200"/>
              <w:rPr>
                <w:bCs/>
                <w:sz w:val="24"/>
                <w:szCs w:val="24"/>
              </w:rPr>
            </w:pPr>
            <w:r>
              <w:rPr>
                <w:bCs/>
                <w:sz w:val="24"/>
                <w:szCs w:val="24"/>
              </w:rPr>
              <w:t>6）在满足生产需要的前提下，尽量减少危险物品的储存量。</w:t>
            </w:r>
          </w:p>
          <w:p>
            <w:pPr>
              <w:adjustRightInd w:val="0"/>
              <w:snapToGrid w:val="0"/>
              <w:spacing w:line="360" w:lineRule="auto"/>
              <w:ind w:firstLine="480" w:firstLineChars="200"/>
              <w:rPr>
                <w:bCs/>
                <w:sz w:val="24"/>
                <w:szCs w:val="24"/>
              </w:rPr>
            </w:pPr>
            <w:r>
              <w:rPr>
                <w:bCs/>
                <w:sz w:val="24"/>
                <w:szCs w:val="24"/>
              </w:rPr>
              <w:t>7）保障生产废水处理设施正常运行，若出现故障，必须立即停产，切断排放源，禁止外排。</w:t>
            </w:r>
          </w:p>
          <w:p>
            <w:pPr>
              <w:adjustRightInd w:val="0"/>
              <w:snapToGrid w:val="0"/>
              <w:spacing w:line="360" w:lineRule="auto"/>
              <w:ind w:firstLine="482" w:firstLineChars="200"/>
              <w:rPr>
                <w:b/>
                <w:bCs/>
                <w:sz w:val="24"/>
                <w:szCs w:val="24"/>
              </w:rPr>
            </w:pPr>
            <w:r>
              <w:rPr>
                <w:b/>
                <w:bCs/>
                <w:sz w:val="24"/>
                <w:szCs w:val="24"/>
              </w:rPr>
              <w:t>（6）环境风险分析结论</w:t>
            </w:r>
          </w:p>
          <w:p>
            <w:pPr>
              <w:adjustRightInd w:val="0"/>
              <w:snapToGrid w:val="0"/>
              <w:spacing w:line="360" w:lineRule="auto"/>
              <w:ind w:firstLine="480" w:firstLineChars="200"/>
              <w:rPr>
                <w:rFonts w:hint="eastAsia"/>
                <w:sz w:val="24"/>
                <w:szCs w:val="24"/>
              </w:rPr>
            </w:pPr>
            <w:r>
              <w:rPr>
                <w:bCs/>
                <w:sz w:val="24"/>
                <w:szCs w:val="24"/>
              </w:rPr>
              <w:t>本项目应通过采取加强管理，制定切实有效的环境风险事故防范措施和环境风险事故应急预案，建立环境风险事故报警系统体系，并严格按照相关规定要求和落实本评价提出的环境风险防范措施及应急预案，可有效减少环境风险事故对环境造成的影响，采取的环境风险管理措施可行，应急预案操作性强，项目建设从环境风险角度是可行的。</w:t>
            </w:r>
          </w:p>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九、电磁辐射</w:t>
            </w:r>
          </w:p>
          <w:p>
            <w:pPr>
              <w:tabs>
                <w:tab w:val="left" w:pos="5670"/>
              </w:tabs>
              <w:spacing w:line="360" w:lineRule="auto"/>
              <w:ind w:firstLine="480" w:firstLineChars="200"/>
              <w:rPr>
                <w:rFonts w:hint="eastAsia"/>
                <w:sz w:val="24"/>
                <w:szCs w:val="24"/>
              </w:rPr>
            </w:pPr>
            <w:r>
              <w:rPr>
                <w:rFonts w:hint="eastAsia"/>
                <w:sz w:val="24"/>
                <w:szCs w:val="24"/>
              </w:rPr>
              <w:t>本项目不涉及电磁辐射相关内容。</w:t>
            </w:r>
          </w:p>
          <w:p>
            <w:pPr>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十、项目主要环保投资一览表</w:t>
            </w:r>
          </w:p>
          <w:p>
            <w:pPr>
              <w:spacing w:line="360" w:lineRule="auto"/>
              <w:ind w:firstLine="480" w:firstLineChars="200"/>
              <w:jc w:val="left"/>
              <w:rPr>
                <w:sz w:val="24"/>
                <w:szCs w:val="24"/>
              </w:rPr>
            </w:pPr>
            <w:r>
              <w:rPr>
                <w:sz w:val="24"/>
                <w:szCs w:val="24"/>
              </w:rPr>
              <w:t>本项目总投资</w:t>
            </w:r>
            <w:r>
              <w:rPr>
                <w:rFonts w:hint="eastAsia"/>
                <w:sz w:val="24"/>
                <w:szCs w:val="24"/>
                <w:lang w:val="en-US" w:eastAsia="zh-CN"/>
              </w:rPr>
              <w:t>14000</w:t>
            </w:r>
            <w:r>
              <w:rPr>
                <w:sz w:val="24"/>
                <w:szCs w:val="24"/>
              </w:rPr>
              <w:t>万元，为确保污染物达标排放，项目环保投资</w:t>
            </w:r>
            <w:r>
              <w:rPr>
                <w:rFonts w:hint="eastAsia"/>
                <w:sz w:val="24"/>
                <w:szCs w:val="24"/>
                <w:lang w:val="en-US" w:eastAsia="zh-CN"/>
              </w:rPr>
              <w:t>434</w:t>
            </w:r>
            <w:r>
              <w:rPr>
                <w:sz w:val="24"/>
                <w:szCs w:val="24"/>
              </w:rPr>
              <w:t>万元，占总投资的</w:t>
            </w:r>
            <w:r>
              <w:rPr>
                <w:rFonts w:hint="eastAsia"/>
                <w:sz w:val="24"/>
                <w:szCs w:val="24"/>
                <w:lang w:val="en-US" w:eastAsia="zh-CN"/>
              </w:rPr>
              <w:t>3.1</w:t>
            </w:r>
            <w:r>
              <w:rPr>
                <w:sz w:val="24"/>
                <w:szCs w:val="24"/>
              </w:rPr>
              <w:t>%。项目环保投资见表5-</w:t>
            </w:r>
            <w:r>
              <w:rPr>
                <w:rFonts w:hint="eastAsia"/>
                <w:sz w:val="24"/>
                <w:szCs w:val="24"/>
              </w:rPr>
              <w:t>8</w:t>
            </w:r>
            <w:r>
              <w:rPr>
                <w:sz w:val="24"/>
                <w:szCs w:val="24"/>
              </w:rPr>
              <w:t>。</w:t>
            </w:r>
          </w:p>
          <w:p>
            <w:pPr>
              <w:autoSpaceDE w:val="0"/>
              <w:autoSpaceDN w:val="0"/>
              <w:adjustRightInd w:val="0"/>
              <w:snapToGrid w:val="0"/>
              <w:spacing w:before="156" w:beforeLines="50" w:line="240" w:lineRule="atLeast"/>
              <w:jc w:val="center"/>
              <w:rPr>
                <w:b/>
                <w:bCs/>
                <w:color w:val="auto"/>
              </w:rPr>
            </w:pPr>
            <w:r>
              <w:rPr>
                <w:b/>
                <w:bCs/>
                <w:color w:val="auto"/>
              </w:rPr>
              <w:t>表</w:t>
            </w:r>
            <w:r>
              <w:rPr>
                <w:rFonts w:hint="eastAsia"/>
                <w:b/>
                <w:bCs/>
                <w:color w:val="auto"/>
                <w:lang w:val="en-US" w:eastAsia="zh-CN"/>
              </w:rPr>
              <w:t>4</w:t>
            </w:r>
            <w:r>
              <w:rPr>
                <w:b/>
                <w:bCs/>
                <w:color w:val="auto"/>
              </w:rPr>
              <w:t>-</w:t>
            </w:r>
            <w:r>
              <w:rPr>
                <w:rFonts w:hint="eastAsia"/>
                <w:b/>
                <w:bCs/>
                <w:color w:val="auto"/>
                <w:lang w:val="en-US" w:eastAsia="zh-CN"/>
              </w:rPr>
              <w:t>11</w:t>
            </w:r>
            <w:r>
              <w:rPr>
                <w:b/>
                <w:bCs/>
                <w:color w:val="auto"/>
              </w:rPr>
              <w:t xml:space="preserve"> </w:t>
            </w:r>
            <w:r>
              <w:rPr>
                <w:rFonts w:hint="eastAsia"/>
                <w:b/>
                <w:bCs/>
                <w:color w:val="auto"/>
              </w:rPr>
              <w:t>项目主要</w:t>
            </w:r>
            <w:r>
              <w:rPr>
                <w:b/>
                <w:bCs/>
                <w:color w:val="auto"/>
              </w:rPr>
              <w:t>环保设施（措施）及投资估算一览表</w:t>
            </w:r>
          </w:p>
          <w:tbl>
            <w:tblPr>
              <w:tblStyle w:val="38"/>
              <w:tblW w:w="4991"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682"/>
              <w:gridCol w:w="1465"/>
              <w:gridCol w:w="3063"/>
              <w:gridCol w:w="1058"/>
              <w:gridCol w:w="10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noWrap w:val="0"/>
                  <w:vAlign w:val="center"/>
                </w:tcPr>
                <w:p>
                  <w:pPr>
                    <w:widowControl/>
                    <w:ind w:firstLine="10" w:firstLineChars="5"/>
                    <w:jc w:val="center"/>
                    <w:rPr>
                      <w:rFonts w:hint="eastAsia" w:eastAsia="宋体"/>
                      <w:sz w:val="21"/>
                      <w:szCs w:val="21"/>
                      <w:lang w:val="en-US" w:eastAsia="zh-CN"/>
                    </w:rPr>
                  </w:pPr>
                  <w:r>
                    <w:rPr>
                      <w:rFonts w:hint="eastAsia"/>
                      <w:sz w:val="21"/>
                      <w:szCs w:val="21"/>
                      <w:lang w:val="en-US" w:eastAsia="zh-CN"/>
                    </w:rPr>
                    <w:t>时段</w:t>
                  </w:r>
                </w:p>
              </w:tc>
              <w:tc>
                <w:tcPr>
                  <w:tcW w:w="424" w:type="pct"/>
                  <w:noWrap w:val="0"/>
                  <w:vAlign w:val="center"/>
                </w:tcPr>
                <w:p>
                  <w:pPr>
                    <w:widowControl/>
                    <w:ind w:firstLine="10" w:firstLineChars="5"/>
                    <w:jc w:val="center"/>
                    <w:rPr>
                      <w:sz w:val="21"/>
                      <w:szCs w:val="21"/>
                    </w:rPr>
                  </w:pPr>
                  <w:r>
                    <w:rPr>
                      <w:sz w:val="21"/>
                      <w:szCs w:val="21"/>
                    </w:rPr>
                    <w:t>项目</w:t>
                  </w:r>
                </w:p>
              </w:tc>
              <w:tc>
                <w:tcPr>
                  <w:tcW w:w="911" w:type="pct"/>
                  <w:noWrap w:val="0"/>
                  <w:vAlign w:val="center"/>
                </w:tcPr>
                <w:p>
                  <w:pPr>
                    <w:widowControl/>
                    <w:ind w:leftChars="-8" w:hanging="16" w:hangingChars="8"/>
                    <w:jc w:val="center"/>
                    <w:rPr>
                      <w:sz w:val="21"/>
                      <w:szCs w:val="21"/>
                    </w:rPr>
                  </w:pPr>
                  <w:r>
                    <w:rPr>
                      <w:sz w:val="21"/>
                      <w:szCs w:val="21"/>
                    </w:rPr>
                    <w:t>污染源</w:t>
                  </w:r>
                </w:p>
              </w:tc>
              <w:tc>
                <w:tcPr>
                  <w:tcW w:w="1903" w:type="pct"/>
                  <w:noWrap w:val="0"/>
                  <w:vAlign w:val="center"/>
                </w:tcPr>
                <w:p>
                  <w:pPr>
                    <w:widowControl/>
                    <w:ind w:firstLine="25" w:firstLineChars="12"/>
                    <w:jc w:val="center"/>
                    <w:rPr>
                      <w:sz w:val="21"/>
                      <w:szCs w:val="21"/>
                    </w:rPr>
                  </w:pPr>
                  <w:r>
                    <w:rPr>
                      <w:rFonts w:hint="eastAsia"/>
                      <w:sz w:val="21"/>
                      <w:szCs w:val="21"/>
                    </w:rPr>
                    <w:t>环保</w:t>
                  </w:r>
                  <w:r>
                    <w:rPr>
                      <w:sz w:val="21"/>
                      <w:szCs w:val="21"/>
                    </w:rPr>
                    <w:t>措施</w:t>
                  </w:r>
                </w:p>
              </w:tc>
              <w:tc>
                <w:tcPr>
                  <w:tcW w:w="658" w:type="pct"/>
                  <w:noWrap w:val="0"/>
                  <w:vAlign w:val="center"/>
                </w:tcPr>
                <w:p>
                  <w:pPr>
                    <w:widowControl/>
                    <w:ind w:hanging="2"/>
                    <w:jc w:val="center"/>
                    <w:rPr>
                      <w:sz w:val="21"/>
                      <w:szCs w:val="21"/>
                    </w:rPr>
                  </w:pPr>
                  <w:r>
                    <w:rPr>
                      <w:sz w:val="21"/>
                      <w:szCs w:val="21"/>
                    </w:rPr>
                    <w:t>环保投资（万元）</w:t>
                  </w:r>
                </w:p>
              </w:tc>
              <w:tc>
                <w:tcPr>
                  <w:tcW w:w="678" w:type="pct"/>
                  <w:noWrap w:val="0"/>
                  <w:vAlign w:val="center"/>
                </w:tcPr>
                <w:p>
                  <w:pPr>
                    <w:widowControl/>
                    <w:ind w:hanging="2"/>
                    <w:jc w:val="center"/>
                    <w:rPr>
                      <w:sz w:val="21"/>
                      <w:szCs w:val="21"/>
                    </w:rPr>
                  </w:pPr>
                  <w:r>
                    <w:rPr>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sz w:val="21"/>
                      <w:szCs w:val="21"/>
                      <w:lang w:val="en-US" w:eastAsia="zh-CN"/>
                    </w:rPr>
                  </w:pPr>
                  <w:r>
                    <w:rPr>
                      <w:rFonts w:hint="default" w:ascii="Times New Roman" w:hAnsi="Times New Roman" w:cs="Times New Roman"/>
                      <w:color w:val="auto"/>
                      <w:sz w:val="21"/>
                      <w:szCs w:val="21"/>
                    </w:rPr>
                    <w:t>期</w:t>
                  </w:r>
                </w:p>
              </w:tc>
              <w:tc>
                <w:tcPr>
                  <w:tcW w:w="424" w:type="pc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废水</w:t>
                  </w:r>
                </w:p>
              </w:tc>
              <w:tc>
                <w:tcPr>
                  <w:tcW w:w="911"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机械冲洗水</w:t>
                  </w:r>
                </w:p>
              </w:tc>
              <w:tc>
                <w:tcPr>
                  <w:tcW w:w="1903"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default" w:ascii="Times New Roman" w:hAnsi="Times New Roman" w:cs="Times New Roman"/>
                      <w:color w:val="auto"/>
                      <w:sz w:val="21"/>
                      <w:szCs w:val="21"/>
                    </w:rPr>
                    <w:t>沉淀池</w:t>
                  </w:r>
                </w:p>
              </w:tc>
              <w:tc>
                <w:tcPr>
                  <w:tcW w:w="658"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w:t>
                  </w:r>
                </w:p>
              </w:tc>
              <w:tc>
                <w:tcPr>
                  <w:tcW w:w="678" w:type="pct"/>
                  <w:noWrap w:val="0"/>
                  <w:vAlign w:val="center"/>
                </w:tcPr>
                <w:p>
                  <w:pPr>
                    <w:widowControl/>
                    <w:ind w:hanging="2"/>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sz w:val="21"/>
                      <w:szCs w:val="21"/>
                      <w:lang w:val="en-US" w:eastAsia="zh-CN"/>
                    </w:rPr>
                  </w:pPr>
                </w:p>
              </w:tc>
              <w:tc>
                <w:tcPr>
                  <w:tcW w:w="424"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废气</w:t>
                  </w:r>
                </w:p>
              </w:tc>
              <w:tc>
                <w:tcPr>
                  <w:tcW w:w="911" w:type="pct"/>
                  <w:vMerge w:val="restar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施工扬尘</w:t>
                  </w:r>
                </w:p>
              </w:tc>
              <w:tc>
                <w:tcPr>
                  <w:tcW w:w="1903"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default" w:ascii="Times New Roman" w:hAnsi="Times New Roman" w:cs="Times New Roman"/>
                      <w:color w:val="auto"/>
                      <w:sz w:val="21"/>
                      <w:szCs w:val="21"/>
                    </w:rPr>
                    <w:t>场地围挡</w:t>
                  </w:r>
                </w:p>
              </w:tc>
              <w:tc>
                <w:tcPr>
                  <w:tcW w:w="658"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20.0</w:t>
                  </w:r>
                </w:p>
              </w:tc>
              <w:tc>
                <w:tcPr>
                  <w:tcW w:w="678" w:type="pct"/>
                  <w:noWrap w:val="0"/>
                  <w:vAlign w:val="center"/>
                </w:tcPr>
                <w:p>
                  <w:pPr>
                    <w:widowControl/>
                    <w:ind w:hanging="2"/>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sz w:val="21"/>
                      <w:szCs w:val="21"/>
                      <w:lang w:val="en-US" w:eastAsia="zh-CN"/>
                    </w:rPr>
                  </w:pPr>
                </w:p>
              </w:tc>
              <w:tc>
                <w:tcPr>
                  <w:tcW w:w="424"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sz w:val="21"/>
                      <w:szCs w:val="21"/>
                    </w:rPr>
                  </w:pPr>
                </w:p>
              </w:tc>
              <w:tc>
                <w:tcPr>
                  <w:tcW w:w="911"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p>
              </w:tc>
              <w:tc>
                <w:tcPr>
                  <w:tcW w:w="1903"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default" w:ascii="Times New Roman" w:hAnsi="Times New Roman" w:cs="Times New Roman"/>
                      <w:color w:val="auto"/>
                      <w:sz w:val="21"/>
                      <w:szCs w:val="21"/>
                    </w:rPr>
                    <w:t>洒水</w:t>
                  </w:r>
                </w:p>
              </w:tc>
              <w:tc>
                <w:tcPr>
                  <w:tcW w:w="658"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w:t>
                  </w:r>
                </w:p>
              </w:tc>
              <w:tc>
                <w:tcPr>
                  <w:tcW w:w="678" w:type="pct"/>
                  <w:noWrap w:val="0"/>
                  <w:vAlign w:val="center"/>
                </w:tcPr>
                <w:p>
                  <w:pPr>
                    <w:widowControl/>
                    <w:ind w:hanging="2"/>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lang w:val="en-US" w:eastAsia="zh-CN"/>
                    </w:rPr>
                  </w:pPr>
                </w:p>
              </w:tc>
              <w:tc>
                <w:tcPr>
                  <w:tcW w:w="424"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固废</w:t>
                  </w:r>
                </w:p>
              </w:tc>
              <w:tc>
                <w:tcPr>
                  <w:tcW w:w="911"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w:t>
                  </w:r>
                </w:p>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生活垃圾</w:t>
                  </w:r>
                </w:p>
              </w:tc>
              <w:tc>
                <w:tcPr>
                  <w:tcW w:w="1903"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default" w:ascii="Times New Roman" w:hAnsi="Times New Roman" w:cs="Times New Roman"/>
                      <w:color w:val="auto"/>
                      <w:sz w:val="21"/>
                      <w:szCs w:val="21"/>
                    </w:rPr>
                    <w:t>设置堆场、定期清运</w:t>
                  </w:r>
                </w:p>
              </w:tc>
              <w:tc>
                <w:tcPr>
                  <w:tcW w:w="658"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20.0</w:t>
                  </w:r>
                </w:p>
              </w:tc>
              <w:tc>
                <w:tcPr>
                  <w:tcW w:w="678" w:type="pct"/>
                  <w:noWrap w:val="0"/>
                  <w:vAlign w:val="center"/>
                </w:tcPr>
                <w:p>
                  <w:pPr>
                    <w:widowControl/>
                    <w:ind w:hanging="2"/>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lang w:val="en-US" w:eastAsia="zh-CN"/>
                    </w:rPr>
                  </w:pPr>
                </w:p>
              </w:tc>
              <w:tc>
                <w:tcPr>
                  <w:tcW w:w="424"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噪声</w:t>
                  </w:r>
                </w:p>
              </w:tc>
              <w:tc>
                <w:tcPr>
                  <w:tcW w:w="911"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施工噪声</w:t>
                  </w:r>
                </w:p>
              </w:tc>
              <w:tc>
                <w:tcPr>
                  <w:tcW w:w="1903"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default" w:ascii="Times New Roman" w:hAnsi="Times New Roman" w:cs="Times New Roman"/>
                      <w:sz w:val="21"/>
                      <w:szCs w:val="21"/>
                    </w:rPr>
                    <w:t>加强管理、禁止夜间施工</w:t>
                  </w:r>
                </w:p>
              </w:tc>
              <w:tc>
                <w:tcPr>
                  <w:tcW w:w="658"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w:t>
                  </w:r>
                </w:p>
              </w:tc>
              <w:tc>
                <w:tcPr>
                  <w:tcW w:w="678" w:type="pct"/>
                  <w:noWrap w:val="0"/>
                  <w:vAlign w:val="center"/>
                </w:tcPr>
                <w:p>
                  <w:pPr>
                    <w:widowControl/>
                    <w:ind w:hanging="2"/>
                    <w:jc w:val="center"/>
                    <w:rPr>
                      <w:rFonts w:hint="eastAsia" w:eastAsia="宋体"/>
                      <w:sz w:val="21"/>
                      <w:szCs w:val="21"/>
                      <w:lang w:val="en-US" w:eastAsia="zh-CN"/>
                    </w:rPr>
                  </w:pPr>
                  <w:r>
                    <w:rPr>
                      <w:rFonts w:hint="eastAsia"/>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424" w:type="pct"/>
                  <w:vMerge w:val="restart"/>
                  <w:noWrap w:val="0"/>
                  <w:vAlign w:val="center"/>
                </w:tcPr>
                <w:p>
                  <w:pPr>
                    <w:widowControl/>
                    <w:ind w:firstLine="29" w:firstLineChars="14"/>
                    <w:jc w:val="center"/>
                    <w:rPr>
                      <w:rFonts w:hint="eastAsia"/>
                      <w:sz w:val="21"/>
                      <w:szCs w:val="21"/>
                      <w:lang w:val="en-US" w:eastAsia="zh-CN"/>
                    </w:rPr>
                  </w:pPr>
                  <w:r>
                    <w:rPr>
                      <w:rFonts w:hint="eastAsia"/>
                      <w:sz w:val="21"/>
                      <w:szCs w:val="21"/>
                      <w:lang w:val="en-US" w:eastAsia="zh-CN"/>
                    </w:rPr>
                    <w:t>运</w:t>
                  </w:r>
                </w:p>
                <w:p>
                  <w:pPr>
                    <w:widowControl/>
                    <w:ind w:firstLine="29" w:firstLineChars="14"/>
                    <w:jc w:val="center"/>
                    <w:rPr>
                      <w:rFonts w:hint="eastAsia"/>
                      <w:sz w:val="21"/>
                      <w:szCs w:val="21"/>
                      <w:lang w:val="en-US" w:eastAsia="zh-CN"/>
                    </w:rPr>
                  </w:pPr>
                  <w:r>
                    <w:rPr>
                      <w:rFonts w:hint="eastAsia"/>
                      <w:sz w:val="21"/>
                      <w:szCs w:val="21"/>
                      <w:lang w:val="en-US" w:eastAsia="zh-CN"/>
                    </w:rPr>
                    <w:t>营</w:t>
                  </w:r>
                </w:p>
                <w:p>
                  <w:pPr>
                    <w:widowControl/>
                    <w:ind w:firstLine="29" w:firstLineChars="14"/>
                    <w:jc w:val="center"/>
                    <w:rPr>
                      <w:rFonts w:hint="eastAsia" w:eastAsia="宋体"/>
                      <w:sz w:val="21"/>
                      <w:szCs w:val="21"/>
                      <w:lang w:val="en-US" w:eastAsia="zh-CN"/>
                    </w:rPr>
                  </w:pPr>
                  <w:r>
                    <w:rPr>
                      <w:rFonts w:hint="eastAsia"/>
                      <w:sz w:val="21"/>
                      <w:szCs w:val="21"/>
                      <w:lang w:val="en-US" w:eastAsia="zh-CN"/>
                    </w:rPr>
                    <w:t>期</w:t>
                  </w:r>
                </w:p>
              </w:tc>
              <w:tc>
                <w:tcPr>
                  <w:tcW w:w="424" w:type="pct"/>
                  <w:vMerge w:val="restart"/>
                  <w:noWrap w:val="0"/>
                  <w:vAlign w:val="center"/>
                </w:tcPr>
                <w:p>
                  <w:pPr>
                    <w:widowControl/>
                    <w:ind w:firstLine="29" w:firstLineChars="14"/>
                    <w:jc w:val="center"/>
                    <w:rPr>
                      <w:sz w:val="21"/>
                      <w:szCs w:val="21"/>
                    </w:rPr>
                  </w:pPr>
                  <w:r>
                    <w:rPr>
                      <w:sz w:val="21"/>
                      <w:szCs w:val="21"/>
                    </w:rPr>
                    <w:t>废水</w:t>
                  </w:r>
                </w:p>
              </w:tc>
              <w:tc>
                <w:tcPr>
                  <w:tcW w:w="911" w:type="pct"/>
                  <w:noWrap w:val="0"/>
                  <w:vAlign w:val="center"/>
                </w:tcPr>
                <w:p>
                  <w:pPr>
                    <w:jc w:val="center"/>
                    <w:rPr>
                      <w:sz w:val="21"/>
                      <w:szCs w:val="21"/>
                    </w:rPr>
                  </w:pPr>
                  <w:r>
                    <w:rPr>
                      <w:rFonts w:hint="eastAsia"/>
                      <w:sz w:val="21"/>
                      <w:szCs w:val="21"/>
                    </w:rPr>
                    <w:t>生活污水</w:t>
                  </w:r>
                </w:p>
              </w:tc>
              <w:tc>
                <w:tcPr>
                  <w:tcW w:w="1903" w:type="pct"/>
                  <w:noWrap w:val="0"/>
                  <w:vAlign w:val="center"/>
                </w:tcPr>
                <w:p>
                  <w:pPr>
                    <w:ind w:firstLine="10" w:firstLineChars="5"/>
                    <w:jc w:val="center"/>
                    <w:rPr>
                      <w:sz w:val="21"/>
                      <w:szCs w:val="21"/>
                    </w:rPr>
                  </w:pPr>
                  <w:r>
                    <w:rPr>
                      <w:rFonts w:hint="default" w:ascii="Times New Roman" w:hAnsi="Times New Roman" w:cs="Times New Roman"/>
                      <w:color w:val="auto"/>
                      <w:sz w:val="21"/>
                      <w:szCs w:val="21"/>
                      <w:lang w:eastAsia="zh-CN"/>
                    </w:rPr>
                    <w:t>污水预处理池</w:t>
                  </w:r>
                  <w:r>
                    <w:rPr>
                      <w:rFonts w:hint="default" w:ascii="Times New Roman" w:hAnsi="Times New Roman" w:cs="Times New Roman"/>
                      <w:color w:val="auto"/>
                      <w:sz w:val="21"/>
                      <w:szCs w:val="21"/>
                      <w:lang w:val="en-US" w:eastAsia="zh-CN"/>
                    </w:rPr>
                    <w:t>1个，有效容积</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，厨房设置隔油池1个</w:t>
                  </w:r>
                  <w:r>
                    <w:rPr>
                      <w:rFonts w:hint="default" w:ascii="Times New Roman" w:hAnsi="Times New Roman" w:cs="Times New Roman"/>
                      <w:color w:val="auto"/>
                      <w:sz w:val="21"/>
                      <w:szCs w:val="21"/>
                      <w:lang w:val="en-US" w:eastAsia="zh-CN"/>
                    </w:rPr>
                    <w:t>，有效容积</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，采取防渗措施，</w:t>
                  </w:r>
                </w:p>
              </w:tc>
              <w:tc>
                <w:tcPr>
                  <w:tcW w:w="658" w:type="pct"/>
                  <w:noWrap w:val="0"/>
                  <w:vAlign w:val="center"/>
                </w:tcPr>
                <w:p>
                  <w:pPr>
                    <w:ind w:firstLine="10" w:firstLineChars="5"/>
                    <w:jc w:val="center"/>
                    <w:rPr>
                      <w:sz w:val="21"/>
                      <w:szCs w:val="21"/>
                    </w:rPr>
                  </w:pPr>
                  <w:r>
                    <w:rPr>
                      <w:rFonts w:hint="eastAsia"/>
                      <w:sz w:val="21"/>
                      <w:szCs w:val="21"/>
                    </w:rPr>
                    <w:t>3</w:t>
                  </w:r>
                </w:p>
              </w:tc>
              <w:tc>
                <w:tcPr>
                  <w:tcW w:w="678" w:type="pct"/>
                  <w:noWrap w:val="0"/>
                  <w:vAlign w:val="center"/>
                </w:tcPr>
                <w:p>
                  <w:pPr>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noWrap w:val="0"/>
                  <w:vAlign w:val="center"/>
                </w:tcPr>
                <w:p>
                  <w:pPr>
                    <w:jc w:val="center"/>
                    <w:rPr>
                      <w:sz w:val="21"/>
                      <w:szCs w:val="21"/>
                    </w:rPr>
                  </w:pPr>
                  <w:r>
                    <w:rPr>
                      <w:rFonts w:hint="eastAsia"/>
                      <w:sz w:val="21"/>
                      <w:szCs w:val="21"/>
                    </w:rPr>
                    <w:t>初期</w:t>
                  </w:r>
                  <w:r>
                    <w:rPr>
                      <w:sz w:val="21"/>
                      <w:szCs w:val="21"/>
                    </w:rPr>
                    <w:t>雨水</w:t>
                  </w:r>
                </w:p>
              </w:tc>
              <w:tc>
                <w:tcPr>
                  <w:tcW w:w="1903" w:type="pct"/>
                  <w:noWrap w:val="0"/>
                  <w:vAlign w:val="center"/>
                </w:tcPr>
                <w:p>
                  <w:pPr>
                    <w:jc w:val="center"/>
                    <w:rPr>
                      <w:sz w:val="21"/>
                      <w:szCs w:val="21"/>
                    </w:rPr>
                  </w:pPr>
                  <w:r>
                    <w:rPr>
                      <w:rFonts w:hint="default" w:ascii="Times New Roman" w:hAnsi="Times New Roman" w:eastAsia="宋体" w:cs="Times New Roman"/>
                      <w:color w:val="auto"/>
                      <w:sz w:val="21"/>
                      <w:lang w:val="en-US" w:eastAsia="zh-CN"/>
                    </w:rPr>
                    <w:t>初期雨水收集池1个（100m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lang w:val="en-US" w:eastAsia="zh-CN"/>
                    </w:rPr>
                    <w:t>）</w:t>
                  </w:r>
                </w:p>
              </w:tc>
              <w:tc>
                <w:tcPr>
                  <w:tcW w:w="658" w:type="pct"/>
                  <w:noWrap w:val="0"/>
                  <w:vAlign w:val="center"/>
                </w:tcPr>
                <w:p>
                  <w:pPr>
                    <w:ind w:firstLine="10" w:firstLineChars="5"/>
                    <w:jc w:val="center"/>
                    <w:rPr>
                      <w:sz w:val="21"/>
                      <w:szCs w:val="21"/>
                    </w:rPr>
                  </w:pPr>
                  <w:r>
                    <w:rPr>
                      <w:rFonts w:hint="eastAsia"/>
                      <w:sz w:val="21"/>
                      <w:szCs w:val="21"/>
                    </w:rPr>
                    <w:t>8</w:t>
                  </w:r>
                </w:p>
              </w:tc>
              <w:tc>
                <w:tcPr>
                  <w:tcW w:w="678" w:type="pct"/>
                  <w:noWrap w:val="0"/>
                  <w:vAlign w:val="center"/>
                </w:tcPr>
                <w:p>
                  <w:pPr>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noWrap w:val="0"/>
                  <w:vAlign w:val="center"/>
                </w:tcPr>
                <w:p>
                  <w:pPr>
                    <w:jc w:val="center"/>
                    <w:rPr>
                      <w:sz w:val="21"/>
                      <w:szCs w:val="21"/>
                    </w:rPr>
                  </w:pPr>
                  <w:r>
                    <w:rPr>
                      <w:rFonts w:hint="eastAsia"/>
                      <w:sz w:val="21"/>
                      <w:szCs w:val="21"/>
                    </w:rPr>
                    <w:t>生产废水</w:t>
                  </w:r>
                </w:p>
              </w:tc>
              <w:tc>
                <w:tcPr>
                  <w:tcW w:w="1903" w:type="pct"/>
                  <w:noWrap w:val="0"/>
                  <w:vAlign w:val="center"/>
                </w:tcPr>
                <w:p>
                  <w:pPr>
                    <w:jc w:val="center"/>
                    <w:rPr>
                      <w:sz w:val="21"/>
                      <w:szCs w:val="21"/>
                    </w:rPr>
                  </w:pPr>
                  <w:r>
                    <w:rPr>
                      <w:rFonts w:hint="default" w:ascii="Times New Roman" w:hAnsi="Times New Roman" w:eastAsia="宋体" w:cs="Times New Roman"/>
                      <w:color w:val="auto"/>
                      <w:sz w:val="21"/>
                      <w:szCs w:val="21"/>
                      <w:vertAlign w:val="baseline"/>
                      <w:lang w:val="en-US" w:eastAsia="zh-CN"/>
                    </w:rPr>
                    <w:t>砂石生产废水处理系统1套，混凝土洗罐废水沉淀池（</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w:t>
                  </w:r>
                </w:p>
              </w:tc>
              <w:tc>
                <w:tcPr>
                  <w:tcW w:w="658" w:type="pct"/>
                  <w:noWrap w:val="0"/>
                  <w:vAlign w:val="center"/>
                </w:tcPr>
                <w:p>
                  <w:pPr>
                    <w:ind w:firstLine="10" w:firstLineChars="5"/>
                    <w:jc w:val="center"/>
                    <w:rPr>
                      <w:sz w:val="21"/>
                      <w:szCs w:val="21"/>
                    </w:rPr>
                  </w:pPr>
                  <w:r>
                    <w:rPr>
                      <w:rFonts w:hint="eastAsia"/>
                      <w:sz w:val="21"/>
                      <w:szCs w:val="21"/>
                      <w:lang w:val="en-US" w:eastAsia="zh-CN"/>
                    </w:rPr>
                    <w:t>1</w:t>
                  </w:r>
                  <w:r>
                    <w:rPr>
                      <w:rFonts w:hint="eastAsia"/>
                      <w:sz w:val="21"/>
                      <w:szCs w:val="21"/>
                    </w:rPr>
                    <w:t>30</w:t>
                  </w:r>
                </w:p>
              </w:tc>
              <w:tc>
                <w:tcPr>
                  <w:tcW w:w="678" w:type="pct"/>
                  <w:noWrap w:val="0"/>
                  <w:vAlign w:val="center"/>
                </w:tcPr>
                <w:p>
                  <w:pPr>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noWrap w:val="0"/>
                  <w:vAlign w:val="center"/>
                </w:tcPr>
                <w:p>
                  <w:pPr>
                    <w:jc w:val="center"/>
                    <w:rPr>
                      <w:sz w:val="21"/>
                      <w:szCs w:val="21"/>
                    </w:rPr>
                  </w:pPr>
                  <w:r>
                    <w:rPr>
                      <w:rFonts w:hint="eastAsia"/>
                      <w:sz w:val="21"/>
                      <w:szCs w:val="21"/>
                    </w:rPr>
                    <w:t>轮胎冲洗废水</w:t>
                  </w:r>
                </w:p>
              </w:tc>
              <w:tc>
                <w:tcPr>
                  <w:tcW w:w="1903" w:type="pct"/>
                  <w:noWrap w:val="0"/>
                  <w:vAlign w:val="center"/>
                </w:tcPr>
                <w:p>
                  <w:pPr>
                    <w:jc w:val="center"/>
                    <w:rPr>
                      <w:sz w:val="21"/>
                      <w:szCs w:val="21"/>
                    </w:rPr>
                  </w:pPr>
                  <w:r>
                    <w:rPr>
                      <w:rFonts w:hint="eastAsia"/>
                      <w:sz w:val="21"/>
                      <w:szCs w:val="21"/>
                    </w:rPr>
                    <w:t>车辆轮胎冲洗废水排入生产废水搅拌分离池，作为生产用水循环使用不外排</w:t>
                  </w:r>
                </w:p>
              </w:tc>
              <w:tc>
                <w:tcPr>
                  <w:tcW w:w="658" w:type="pct"/>
                  <w:noWrap w:val="0"/>
                  <w:vAlign w:val="center"/>
                </w:tcPr>
                <w:p>
                  <w:pPr>
                    <w:ind w:firstLine="10" w:firstLineChars="5"/>
                    <w:jc w:val="center"/>
                    <w:rPr>
                      <w:sz w:val="21"/>
                      <w:szCs w:val="21"/>
                    </w:rPr>
                  </w:pPr>
                  <w:r>
                    <w:rPr>
                      <w:rFonts w:hint="eastAsia"/>
                      <w:sz w:val="21"/>
                      <w:szCs w:val="21"/>
                    </w:rPr>
                    <w:t>5</w:t>
                  </w:r>
                </w:p>
              </w:tc>
              <w:tc>
                <w:tcPr>
                  <w:tcW w:w="678" w:type="pct"/>
                  <w:noWrap w:val="0"/>
                  <w:vAlign w:val="center"/>
                </w:tcPr>
                <w:p>
                  <w:pPr>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9"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restart"/>
                  <w:noWrap w:val="0"/>
                  <w:vAlign w:val="center"/>
                </w:tcPr>
                <w:p>
                  <w:pPr>
                    <w:widowControl/>
                    <w:ind w:firstLine="29" w:firstLineChars="14"/>
                    <w:jc w:val="center"/>
                    <w:rPr>
                      <w:sz w:val="21"/>
                      <w:szCs w:val="21"/>
                    </w:rPr>
                  </w:pPr>
                  <w:r>
                    <w:rPr>
                      <w:sz w:val="21"/>
                      <w:szCs w:val="21"/>
                    </w:rPr>
                    <w:t>废气</w:t>
                  </w:r>
                </w:p>
              </w:tc>
              <w:tc>
                <w:tcPr>
                  <w:tcW w:w="911"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sz w:val="21"/>
                      <w:szCs w:val="21"/>
                    </w:rPr>
                  </w:pPr>
                  <w:r>
                    <w:rPr>
                      <w:rFonts w:hint="default" w:ascii="Times New Roman" w:hAnsi="Times New Roman" w:cs="Times New Roman"/>
                      <w:sz w:val="21"/>
                      <w:szCs w:val="21"/>
                    </w:rPr>
                    <w:t>原料破碎筛分产生的粉尘</w:t>
                  </w:r>
                </w:p>
              </w:tc>
              <w:tc>
                <w:tcPr>
                  <w:tcW w:w="19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z w:val="21"/>
                      <w:szCs w:val="21"/>
                    </w:rPr>
                  </w:pPr>
                  <w:r>
                    <w:rPr>
                      <w:rFonts w:hint="default" w:ascii="Times New Roman" w:hAnsi="Times New Roman" w:cs="Times New Roman"/>
                      <w:b w:val="0"/>
                      <w:bCs/>
                      <w:sz w:val="21"/>
                      <w:szCs w:val="21"/>
                    </w:rPr>
                    <w:t>采用</w:t>
                  </w:r>
                  <w:r>
                    <w:rPr>
                      <w:rFonts w:hint="default" w:ascii="Times New Roman" w:hAnsi="Times New Roman" w:cs="Times New Roman"/>
                      <w:b w:val="0"/>
                      <w:bCs/>
                      <w:sz w:val="21"/>
                      <w:szCs w:val="21"/>
                      <w:lang w:val="en-US" w:eastAsia="zh-CN"/>
                    </w:rPr>
                    <w:t>全</w:t>
                  </w:r>
                  <w:r>
                    <w:rPr>
                      <w:rFonts w:hint="default" w:ascii="Times New Roman" w:hAnsi="Times New Roman" w:cs="Times New Roman"/>
                      <w:b w:val="0"/>
                      <w:bCs/>
                      <w:sz w:val="21"/>
                      <w:szCs w:val="21"/>
                    </w:rPr>
                    <w:t>封闭式布置生产设备，四周及顶部设置彩钢棚，分别预留原料输入口、成品运输口、车间出入口</w:t>
                  </w:r>
                  <w:r>
                    <w:rPr>
                      <w:rFonts w:hint="default" w:ascii="Times New Roman" w:hAnsi="Times New Roman" w:cs="Times New Roman"/>
                      <w:b w:val="0"/>
                      <w:bCs/>
                      <w:sz w:val="21"/>
                      <w:szCs w:val="21"/>
                      <w:lang w:eastAsia="zh-CN"/>
                    </w:rPr>
                    <w:t>，</w:t>
                  </w:r>
                  <w:r>
                    <w:rPr>
                      <w:rFonts w:hint="default" w:ascii="Times New Roman" w:hAnsi="Times New Roman" w:cs="Times New Roman"/>
                      <w:sz w:val="21"/>
                      <w:szCs w:val="21"/>
                    </w:rPr>
                    <w:t>颚式破碎机、圆锥式破碎机、振动筛、制砂机、分筛机进料口与出料口分别安装水雾喷头，通过洒水抑尘降低粉尘产生</w:t>
                  </w:r>
                </w:p>
              </w:tc>
              <w:tc>
                <w:tcPr>
                  <w:tcW w:w="658" w:type="pct"/>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00.0</w:t>
                  </w:r>
                </w:p>
              </w:tc>
              <w:tc>
                <w:tcPr>
                  <w:tcW w:w="678" w:type="pct"/>
                  <w:noWrap w:val="0"/>
                  <w:vAlign w:val="center"/>
                </w:tcPr>
                <w:p>
                  <w:pPr>
                    <w:ind w:firstLine="10" w:firstLineChars="5"/>
                    <w:jc w:val="center"/>
                    <w:rPr>
                      <w:rFonts w:hint="eastAsia"/>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noWrap w:val="0"/>
                  <w:vAlign w:val="center"/>
                </w:tcPr>
                <w:p>
                  <w:pPr>
                    <w:jc w:val="center"/>
                    <w:rPr>
                      <w:sz w:val="21"/>
                      <w:szCs w:val="21"/>
                    </w:rPr>
                  </w:pPr>
                  <w:r>
                    <w:rPr>
                      <w:rFonts w:hint="eastAsia"/>
                      <w:sz w:val="21"/>
                      <w:szCs w:val="21"/>
                    </w:rPr>
                    <w:t>筒仓呼吸</w:t>
                  </w:r>
                  <w:r>
                    <w:rPr>
                      <w:sz w:val="21"/>
                      <w:szCs w:val="21"/>
                    </w:rPr>
                    <w:t>粉尘</w:t>
                  </w:r>
                </w:p>
              </w:tc>
              <w:tc>
                <w:tcPr>
                  <w:tcW w:w="1903" w:type="pct"/>
                  <w:noWrap w:val="0"/>
                  <w:vAlign w:val="center"/>
                </w:tcPr>
                <w:p>
                  <w:pPr>
                    <w:widowControl/>
                    <w:ind w:firstLine="10" w:firstLineChars="5"/>
                    <w:jc w:val="center"/>
                    <w:rPr>
                      <w:sz w:val="21"/>
                      <w:szCs w:val="21"/>
                    </w:rPr>
                  </w:pPr>
                  <w:r>
                    <w:rPr>
                      <w:rFonts w:hint="eastAsia"/>
                      <w:sz w:val="21"/>
                      <w:szCs w:val="21"/>
                    </w:rPr>
                    <w:t>水泥及粉煤灰筒仓均自带脉冲除尘器，共</w:t>
                  </w:r>
                  <w:r>
                    <w:rPr>
                      <w:rFonts w:hint="eastAsia"/>
                      <w:sz w:val="21"/>
                      <w:szCs w:val="21"/>
                      <w:lang w:val="en-US" w:eastAsia="zh-CN"/>
                    </w:rPr>
                    <w:t>10</w:t>
                  </w:r>
                  <w:r>
                    <w:rPr>
                      <w:rFonts w:hint="eastAsia"/>
                      <w:sz w:val="21"/>
                      <w:szCs w:val="21"/>
                    </w:rPr>
                    <w:t>套除尘器</w:t>
                  </w:r>
                </w:p>
              </w:tc>
              <w:tc>
                <w:tcPr>
                  <w:tcW w:w="658" w:type="pct"/>
                  <w:noWrap w:val="0"/>
                  <w:vAlign w:val="center"/>
                </w:tcPr>
                <w:p>
                  <w:pPr>
                    <w:widowControl/>
                    <w:ind w:firstLine="10" w:firstLineChars="5"/>
                    <w:jc w:val="center"/>
                    <w:rPr>
                      <w:sz w:val="21"/>
                      <w:szCs w:val="21"/>
                    </w:rPr>
                  </w:pPr>
                  <w:r>
                    <w:rPr>
                      <w:rFonts w:hint="eastAsia"/>
                      <w:sz w:val="21"/>
                      <w:szCs w:val="21"/>
                    </w:rPr>
                    <w:t>30</w:t>
                  </w:r>
                </w:p>
              </w:tc>
              <w:tc>
                <w:tcPr>
                  <w:tcW w:w="678" w:type="pct"/>
                  <w:noWrap w:val="0"/>
                  <w:vAlign w:val="center"/>
                </w:tcPr>
                <w:p>
                  <w:pPr>
                    <w:widowControl/>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tcBorders>
                    <w:bottom w:val="single" w:color="auto" w:sz="4" w:space="0"/>
                  </w:tcBorders>
                  <w:noWrap w:val="0"/>
                  <w:vAlign w:val="center"/>
                </w:tcPr>
                <w:p>
                  <w:pPr>
                    <w:jc w:val="center"/>
                    <w:rPr>
                      <w:sz w:val="21"/>
                      <w:szCs w:val="21"/>
                    </w:rPr>
                  </w:pPr>
                  <w:r>
                    <w:rPr>
                      <w:rFonts w:hint="eastAsia"/>
                      <w:sz w:val="21"/>
                      <w:szCs w:val="21"/>
                    </w:rPr>
                    <w:t>搅拌作业粉尘</w:t>
                  </w:r>
                </w:p>
              </w:tc>
              <w:tc>
                <w:tcPr>
                  <w:tcW w:w="1903" w:type="pct"/>
                  <w:tcBorders>
                    <w:bottom w:val="single" w:color="auto" w:sz="4" w:space="0"/>
                  </w:tcBorders>
                  <w:noWrap w:val="0"/>
                  <w:vAlign w:val="center"/>
                </w:tcPr>
                <w:p>
                  <w:pPr>
                    <w:widowControl/>
                    <w:ind w:firstLine="10" w:firstLineChars="5"/>
                    <w:jc w:val="center"/>
                    <w:rPr>
                      <w:sz w:val="21"/>
                      <w:szCs w:val="21"/>
                    </w:rPr>
                  </w:pPr>
                  <w:r>
                    <w:rPr>
                      <w:rFonts w:hint="eastAsia"/>
                      <w:sz w:val="21"/>
                      <w:szCs w:val="21"/>
                      <w:lang w:val="en-US" w:eastAsia="zh-CN"/>
                    </w:rPr>
                    <w:t>2</w:t>
                  </w:r>
                  <w:r>
                    <w:rPr>
                      <w:rFonts w:hint="eastAsia"/>
                      <w:sz w:val="21"/>
                      <w:szCs w:val="21"/>
                    </w:rPr>
                    <w:t>座搅拌机各配置</w:t>
                  </w:r>
                  <w:r>
                    <w:rPr>
                      <w:rFonts w:hint="eastAsia"/>
                      <w:sz w:val="21"/>
                      <w:szCs w:val="21"/>
                      <w:lang w:val="en-US" w:eastAsia="zh-CN"/>
                    </w:rPr>
                    <w:t>2</w:t>
                  </w:r>
                  <w:r>
                    <w:rPr>
                      <w:rFonts w:hint="eastAsia"/>
                      <w:sz w:val="21"/>
                      <w:szCs w:val="21"/>
                    </w:rPr>
                    <w:t>台脉冲除尘器，</w:t>
                  </w:r>
                </w:p>
              </w:tc>
              <w:tc>
                <w:tcPr>
                  <w:tcW w:w="658" w:type="pct"/>
                  <w:tcBorders>
                    <w:bottom w:val="single" w:color="auto" w:sz="4" w:space="0"/>
                  </w:tcBorders>
                  <w:noWrap w:val="0"/>
                  <w:vAlign w:val="center"/>
                </w:tcPr>
                <w:p>
                  <w:pPr>
                    <w:widowControl/>
                    <w:ind w:firstLine="10" w:firstLineChars="5"/>
                    <w:jc w:val="center"/>
                    <w:rPr>
                      <w:sz w:val="21"/>
                      <w:szCs w:val="21"/>
                    </w:rPr>
                  </w:pPr>
                  <w:r>
                    <w:rPr>
                      <w:rFonts w:hint="eastAsia"/>
                      <w:sz w:val="21"/>
                      <w:szCs w:val="21"/>
                    </w:rPr>
                    <w:t>12</w:t>
                  </w:r>
                </w:p>
              </w:tc>
              <w:tc>
                <w:tcPr>
                  <w:tcW w:w="678" w:type="pct"/>
                  <w:tcBorders>
                    <w:bottom w:val="single" w:color="auto" w:sz="4" w:space="0"/>
                  </w:tcBorders>
                  <w:noWrap w:val="0"/>
                  <w:vAlign w:val="center"/>
                </w:tcPr>
                <w:p>
                  <w:pPr>
                    <w:widowControl/>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tcBorders>
                    <w:top w:val="single" w:color="auto" w:sz="4" w:space="0"/>
                    <w:bottom w:val="single" w:color="auto" w:sz="4" w:space="0"/>
                  </w:tcBorders>
                  <w:noWrap w:val="0"/>
                  <w:vAlign w:val="center"/>
                </w:tcPr>
                <w:p>
                  <w:pPr>
                    <w:jc w:val="center"/>
                    <w:rPr>
                      <w:sz w:val="21"/>
                      <w:szCs w:val="21"/>
                    </w:rPr>
                  </w:pPr>
                  <w:r>
                    <w:rPr>
                      <w:rFonts w:hint="eastAsia"/>
                      <w:sz w:val="21"/>
                      <w:szCs w:val="21"/>
                    </w:rPr>
                    <w:t>密闭系统</w:t>
                  </w:r>
                </w:p>
              </w:tc>
              <w:tc>
                <w:tcPr>
                  <w:tcW w:w="1903" w:type="pct"/>
                  <w:tcBorders>
                    <w:top w:val="single" w:color="auto" w:sz="4" w:space="0"/>
                    <w:bottom w:val="single" w:color="auto" w:sz="4" w:space="0"/>
                  </w:tcBorders>
                  <w:noWrap w:val="0"/>
                  <w:vAlign w:val="center"/>
                </w:tcPr>
                <w:p>
                  <w:pPr>
                    <w:ind w:firstLine="10" w:firstLineChars="5"/>
                    <w:jc w:val="center"/>
                    <w:rPr>
                      <w:sz w:val="21"/>
                      <w:szCs w:val="21"/>
                    </w:rPr>
                  </w:pPr>
                  <w:r>
                    <w:rPr>
                      <w:rFonts w:hint="eastAsia"/>
                      <w:sz w:val="21"/>
                      <w:szCs w:val="21"/>
                    </w:rPr>
                    <w:t>生产车间、筒仓车间、砂石堆存均设置封闭式车间</w:t>
                  </w:r>
                </w:p>
              </w:tc>
              <w:tc>
                <w:tcPr>
                  <w:tcW w:w="658" w:type="pct"/>
                  <w:tcBorders>
                    <w:top w:val="single" w:color="auto" w:sz="4" w:space="0"/>
                    <w:bottom w:val="single" w:color="auto" w:sz="4" w:space="0"/>
                  </w:tcBorders>
                  <w:noWrap w:val="0"/>
                  <w:vAlign w:val="center"/>
                </w:tcPr>
                <w:p>
                  <w:pPr>
                    <w:ind w:firstLine="10" w:firstLineChars="5"/>
                    <w:jc w:val="center"/>
                    <w:rPr>
                      <w:rFonts w:hint="eastAsia" w:eastAsia="宋体"/>
                      <w:sz w:val="21"/>
                      <w:szCs w:val="21"/>
                      <w:lang w:eastAsia="zh-CN"/>
                    </w:rPr>
                  </w:pPr>
                  <w:r>
                    <w:rPr>
                      <w:rFonts w:hint="eastAsia"/>
                      <w:sz w:val="21"/>
                      <w:szCs w:val="21"/>
                      <w:lang w:val="en-US" w:eastAsia="zh-CN"/>
                    </w:rPr>
                    <w:t>/</w:t>
                  </w:r>
                </w:p>
              </w:tc>
              <w:tc>
                <w:tcPr>
                  <w:tcW w:w="678" w:type="pct"/>
                  <w:tcBorders>
                    <w:top w:val="single" w:color="auto" w:sz="4" w:space="0"/>
                    <w:bottom w:val="single" w:color="auto" w:sz="4" w:space="0"/>
                  </w:tcBorders>
                  <w:noWrap w:val="0"/>
                  <w:vAlign w:val="center"/>
                </w:tcPr>
                <w:p>
                  <w:pPr>
                    <w:ind w:firstLine="10" w:firstLineChars="5"/>
                    <w:jc w:val="center"/>
                    <w:rPr>
                      <w:sz w:val="21"/>
                      <w:szCs w:val="21"/>
                    </w:rPr>
                  </w:pPr>
                  <w:r>
                    <w:rPr>
                      <w:rFonts w:hint="eastAsia"/>
                      <w:sz w:val="21"/>
                      <w:szCs w:val="21"/>
                    </w:rPr>
                    <w:t>计入基础工程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tcBorders>
                    <w:top w:val="single" w:color="auto" w:sz="4" w:space="0"/>
                  </w:tcBorders>
                  <w:noWrap w:val="0"/>
                  <w:vAlign w:val="center"/>
                </w:tcPr>
                <w:p>
                  <w:pPr>
                    <w:jc w:val="center"/>
                    <w:rPr>
                      <w:sz w:val="21"/>
                      <w:szCs w:val="21"/>
                    </w:rPr>
                  </w:pPr>
                  <w:r>
                    <w:rPr>
                      <w:rFonts w:hint="eastAsia"/>
                      <w:sz w:val="21"/>
                      <w:szCs w:val="21"/>
                    </w:rPr>
                    <w:t>砂石</w:t>
                  </w:r>
                  <w:r>
                    <w:rPr>
                      <w:sz w:val="21"/>
                      <w:szCs w:val="21"/>
                    </w:rPr>
                    <w:t>装卸</w:t>
                  </w:r>
                  <w:r>
                    <w:rPr>
                      <w:rFonts w:hint="eastAsia"/>
                      <w:sz w:val="21"/>
                      <w:szCs w:val="21"/>
                    </w:rPr>
                    <w:t>、堆场</w:t>
                  </w:r>
                  <w:r>
                    <w:rPr>
                      <w:sz w:val="21"/>
                      <w:szCs w:val="21"/>
                    </w:rPr>
                    <w:t>粉尘</w:t>
                  </w:r>
                </w:p>
              </w:tc>
              <w:tc>
                <w:tcPr>
                  <w:tcW w:w="1903" w:type="pct"/>
                  <w:tcBorders>
                    <w:top w:val="single" w:color="auto" w:sz="4" w:space="0"/>
                  </w:tcBorders>
                  <w:noWrap w:val="0"/>
                  <w:vAlign w:val="center"/>
                </w:tcPr>
                <w:p>
                  <w:pPr>
                    <w:widowControl/>
                    <w:ind w:firstLine="10" w:firstLineChars="5"/>
                    <w:jc w:val="center"/>
                    <w:rPr>
                      <w:sz w:val="21"/>
                      <w:szCs w:val="21"/>
                    </w:rPr>
                  </w:pPr>
                  <w:r>
                    <w:rPr>
                      <w:rFonts w:hint="eastAsia"/>
                      <w:sz w:val="21"/>
                      <w:szCs w:val="21"/>
                    </w:rPr>
                    <w:t>砂石堆存于封闭钢结构库房内，设置封闭式传输带和喷淋装置，湿法作业</w:t>
                  </w:r>
                </w:p>
              </w:tc>
              <w:tc>
                <w:tcPr>
                  <w:tcW w:w="658" w:type="pct"/>
                  <w:tcBorders>
                    <w:top w:val="single" w:color="auto" w:sz="4" w:space="0"/>
                  </w:tcBorders>
                  <w:noWrap w:val="0"/>
                  <w:vAlign w:val="center"/>
                </w:tcPr>
                <w:p>
                  <w:pPr>
                    <w:widowControl/>
                    <w:ind w:firstLine="10" w:firstLineChars="5"/>
                    <w:jc w:val="center"/>
                    <w:rPr>
                      <w:sz w:val="21"/>
                      <w:szCs w:val="21"/>
                    </w:rPr>
                  </w:pPr>
                  <w:r>
                    <w:rPr>
                      <w:rFonts w:hint="eastAsia"/>
                      <w:sz w:val="21"/>
                      <w:szCs w:val="21"/>
                    </w:rPr>
                    <w:t>10</w:t>
                  </w:r>
                </w:p>
              </w:tc>
              <w:tc>
                <w:tcPr>
                  <w:tcW w:w="678" w:type="pct"/>
                  <w:tcBorders>
                    <w:top w:val="single" w:color="auto" w:sz="4" w:space="0"/>
                  </w:tcBorders>
                  <w:noWrap w:val="0"/>
                  <w:vAlign w:val="center"/>
                </w:tcPr>
                <w:p>
                  <w:pPr>
                    <w:widowControl/>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tcBorders>
                    <w:top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sz w:val="21"/>
                      <w:szCs w:val="21"/>
                    </w:rPr>
                  </w:pPr>
                  <w:r>
                    <w:rPr>
                      <w:rFonts w:hint="default" w:ascii="Times New Roman" w:hAnsi="Times New Roman" w:eastAsia="宋体" w:cs="Times New Roman"/>
                      <w:color w:val="auto"/>
                      <w:sz w:val="21"/>
                      <w:szCs w:val="21"/>
                      <w:lang w:val="en-US" w:eastAsia="zh-CN"/>
                    </w:rPr>
                    <w:t>皮带输送粉尘</w:t>
                  </w:r>
                </w:p>
              </w:tc>
              <w:tc>
                <w:tcPr>
                  <w:tcW w:w="1903" w:type="pct"/>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sz w:val="21"/>
                      <w:szCs w:val="21"/>
                    </w:rPr>
                  </w:pPr>
                  <w:r>
                    <w:rPr>
                      <w:rFonts w:hint="default" w:ascii="Times New Roman" w:hAnsi="Times New Roman" w:cs="Times New Roman"/>
                      <w:b w:val="0"/>
                      <w:bCs/>
                      <w:color w:val="auto"/>
                      <w:sz w:val="21"/>
                      <w:szCs w:val="21"/>
                      <w:vertAlign w:val="baseline"/>
                      <w:lang w:val="en-US" w:eastAsia="zh-CN"/>
                    </w:rPr>
                    <w:t>皮带输送机采用全密封，并在皮带输送机进料口设置喷雾系统</w:t>
                  </w:r>
                </w:p>
              </w:tc>
              <w:tc>
                <w:tcPr>
                  <w:tcW w:w="658" w:type="pct"/>
                  <w:tcBorders>
                    <w:top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sz w:val="21"/>
                      <w:szCs w:val="21"/>
                    </w:rPr>
                  </w:pPr>
                  <w:r>
                    <w:rPr>
                      <w:rFonts w:hint="default" w:ascii="Times New Roman" w:hAnsi="Times New Roman" w:cs="Times New Roman"/>
                      <w:color w:val="auto"/>
                      <w:sz w:val="21"/>
                      <w:szCs w:val="21"/>
                      <w:lang w:val="en-US" w:eastAsia="zh-CN"/>
                    </w:rPr>
                    <w:t>20.0</w:t>
                  </w:r>
                </w:p>
              </w:tc>
              <w:tc>
                <w:tcPr>
                  <w:tcW w:w="678" w:type="pct"/>
                  <w:tcBorders>
                    <w:top w:val="single" w:color="auto" w:sz="4" w:space="0"/>
                  </w:tcBorders>
                  <w:noWrap w:val="0"/>
                  <w:vAlign w:val="center"/>
                </w:tcPr>
                <w:p>
                  <w:pPr>
                    <w:widowControl/>
                    <w:ind w:firstLine="10" w:firstLineChars="5"/>
                    <w:jc w:val="center"/>
                    <w:rPr>
                      <w:rFonts w:hint="eastAsia"/>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noWrap w:val="0"/>
                  <w:vAlign w:val="center"/>
                </w:tcPr>
                <w:p>
                  <w:pPr>
                    <w:jc w:val="center"/>
                    <w:rPr>
                      <w:sz w:val="21"/>
                      <w:szCs w:val="21"/>
                    </w:rPr>
                  </w:pPr>
                  <w:r>
                    <w:rPr>
                      <w:sz w:val="21"/>
                      <w:szCs w:val="21"/>
                    </w:rPr>
                    <w:t>汽车运输扬尘</w:t>
                  </w:r>
                </w:p>
              </w:tc>
              <w:tc>
                <w:tcPr>
                  <w:tcW w:w="1903" w:type="pct"/>
                  <w:noWrap w:val="0"/>
                  <w:vAlign w:val="center"/>
                </w:tcPr>
                <w:p>
                  <w:pPr>
                    <w:widowControl/>
                    <w:ind w:firstLine="10" w:firstLineChars="5"/>
                    <w:jc w:val="center"/>
                    <w:rPr>
                      <w:sz w:val="21"/>
                      <w:szCs w:val="21"/>
                    </w:rPr>
                  </w:pPr>
                  <w:r>
                    <w:rPr>
                      <w:rFonts w:hint="eastAsia"/>
                      <w:sz w:val="21"/>
                      <w:szCs w:val="21"/>
                    </w:rPr>
                    <w:t>落实遮盖运输、地面硬化、洒水降尘、轮胎冲洗</w:t>
                  </w:r>
                </w:p>
              </w:tc>
              <w:tc>
                <w:tcPr>
                  <w:tcW w:w="658" w:type="pct"/>
                  <w:noWrap w:val="0"/>
                  <w:vAlign w:val="center"/>
                </w:tcPr>
                <w:p>
                  <w:pPr>
                    <w:widowControl/>
                    <w:ind w:firstLine="10" w:firstLineChars="5"/>
                    <w:jc w:val="center"/>
                    <w:rPr>
                      <w:sz w:val="21"/>
                      <w:szCs w:val="21"/>
                    </w:rPr>
                  </w:pPr>
                  <w:r>
                    <w:rPr>
                      <w:rFonts w:hint="eastAsia"/>
                      <w:sz w:val="21"/>
                      <w:szCs w:val="21"/>
                    </w:rPr>
                    <w:t>5</w:t>
                  </w:r>
                </w:p>
              </w:tc>
              <w:tc>
                <w:tcPr>
                  <w:tcW w:w="678" w:type="pct"/>
                  <w:noWrap w:val="0"/>
                  <w:vAlign w:val="center"/>
                </w:tcPr>
                <w:p>
                  <w:pPr>
                    <w:widowControl/>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restart"/>
                  <w:noWrap w:val="0"/>
                  <w:vAlign w:val="center"/>
                </w:tcPr>
                <w:p>
                  <w:pPr>
                    <w:widowControl/>
                    <w:ind w:firstLine="29" w:firstLineChars="14"/>
                    <w:jc w:val="center"/>
                    <w:rPr>
                      <w:sz w:val="21"/>
                      <w:szCs w:val="21"/>
                    </w:rPr>
                  </w:pPr>
                  <w:r>
                    <w:rPr>
                      <w:sz w:val="21"/>
                      <w:szCs w:val="21"/>
                    </w:rPr>
                    <w:t>噪声</w:t>
                  </w:r>
                </w:p>
              </w:tc>
              <w:tc>
                <w:tcPr>
                  <w:tcW w:w="911" w:type="pct"/>
                  <w:tcBorders>
                    <w:bottom w:val="single" w:color="auto" w:sz="4" w:space="0"/>
                  </w:tcBorders>
                  <w:noWrap w:val="0"/>
                  <w:vAlign w:val="center"/>
                </w:tcPr>
                <w:p>
                  <w:pPr>
                    <w:jc w:val="center"/>
                    <w:rPr>
                      <w:sz w:val="21"/>
                      <w:szCs w:val="21"/>
                    </w:rPr>
                  </w:pPr>
                  <w:r>
                    <w:rPr>
                      <w:sz w:val="21"/>
                      <w:szCs w:val="21"/>
                    </w:rPr>
                    <w:t>设备</w:t>
                  </w:r>
                  <w:r>
                    <w:rPr>
                      <w:rFonts w:hint="eastAsia"/>
                      <w:sz w:val="21"/>
                      <w:szCs w:val="21"/>
                    </w:rPr>
                    <w:t>噪声</w:t>
                  </w:r>
                </w:p>
              </w:tc>
              <w:tc>
                <w:tcPr>
                  <w:tcW w:w="1903" w:type="pct"/>
                  <w:tcBorders>
                    <w:bottom w:val="single" w:color="auto" w:sz="4" w:space="0"/>
                  </w:tcBorders>
                  <w:noWrap w:val="0"/>
                  <w:vAlign w:val="center"/>
                </w:tcPr>
                <w:p>
                  <w:pPr>
                    <w:widowControl/>
                    <w:ind w:firstLine="10" w:firstLineChars="5"/>
                    <w:jc w:val="center"/>
                    <w:rPr>
                      <w:sz w:val="21"/>
                      <w:szCs w:val="21"/>
                    </w:rPr>
                  </w:pPr>
                  <w:r>
                    <w:rPr>
                      <w:rFonts w:hint="default" w:ascii="Times New Roman" w:hAnsi="Times New Roman" w:eastAsia="宋体" w:cs="Times New Roman"/>
                      <w:snapToGrid w:val="0"/>
                      <w:color w:val="auto"/>
                      <w:kern w:val="0"/>
                      <w:sz w:val="21"/>
                      <w:szCs w:val="21"/>
                    </w:rPr>
                    <w:t>基础减震、厂房隔声、距离衰减</w:t>
                  </w:r>
                  <w:r>
                    <w:rPr>
                      <w:rFonts w:hint="default" w:ascii="Times New Roman" w:hAnsi="Times New Roman" w:eastAsia="宋体" w:cs="Times New Roman"/>
                      <w:snapToGrid w:val="0"/>
                      <w:color w:val="auto"/>
                      <w:kern w:val="0"/>
                      <w:sz w:val="21"/>
                      <w:szCs w:val="21"/>
                      <w:lang w:eastAsia="zh-CN"/>
                    </w:rPr>
                    <w:t>、</w:t>
                  </w:r>
                  <w:r>
                    <w:rPr>
                      <w:rFonts w:hint="default" w:ascii="Times New Roman" w:hAnsi="Times New Roman" w:eastAsia="宋体" w:cs="Times New Roman"/>
                      <w:snapToGrid w:val="0"/>
                      <w:color w:val="auto"/>
                      <w:kern w:val="0"/>
                      <w:sz w:val="21"/>
                      <w:szCs w:val="21"/>
                      <w:lang w:val="en-US" w:eastAsia="zh-CN"/>
                    </w:rPr>
                    <w:t>选用低噪设备</w:t>
                  </w:r>
                  <w:r>
                    <w:rPr>
                      <w:rFonts w:hint="eastAsia" w:ascii="Times New Roman" w:hAnsi="Times New Roman" w:eastAsia="宋体" w:cs="Times New Roman"/>
                      <w:snapToGrid w:val="0"/>
                      <w:color w:val="auto"/>
                      <w:kern w:val="0"/>
                      <w:sz w:val="21"/>
                      <w:szCs w:val="21"/>
                      <w:lang w:val="en-US" w:eastAsia="zh-CN"/>
                    </w:rPr>
                    <w:t>，</w:t>
                  </w:r>
                  <w:r>
                    <w:rPr>
                      <w:rFonts w:hint="eastAsia"/>
                      <w:sz w:val="21"/>
                      <w:szCs w:val="21"/>
                    </w:rPr>
                    <w:t>合理布置噪声源，生产厂房封闭</w:t>
                  </w:r>
                </w:p>
              </w:tc>
              <w:tc>
                <w:tcPr>
                  <w:tcW w:w="658" w:type="pct"/>
                  <w:tcBorders>
                    <w:bottom w:val="single" w:color="auto" w:sz="4" w:space="0"/>
                  </w:tcBorders>
                  <w:noWrap w:val="0"/>
                  <w:vAlign w:val="center"/>
                </w:tcPr>
                <w:p>
                  <w:pPr>
                    <w:widowControl/>
                    <w:ind w:firstLine="10" w:firstLineChars="5"/>
                    <w:jc w:val="center"/>
                    <w:rPr>
                      <w:sz w:val="21"/>
                      <w:szCs w:val="21"/>
                    </w:rPr>
                  </w:pPr>
                  <w:r>
                    <w:rPr>
                      <w:rFonts w:hint="eastAsia"/>
                      <w:sz w:val="21"/>
                      <w:szCs w:val="21"/>
                      <w:lang w:val="en-US" w:eastAsia="zh-CN"/>
                    </w:rPr>
                    <w:t>5</w:t>
                  </w:r>
                  <w:r>
                    <w:rPr>
                      <w:rFonts w:hint="eastAsia"/>
                      <w:sz w:val="21"/>
                      <w:szCs w:val="21"/>
                    </w:rPr>
                    <w:t>0</w:t>
                  </w:r>
                </w:p>
              </w:tc>
              <w:tc>
                <w:tcPr>
                  <w:tcW w:w="678" w:type="pct"/>
                  <w:tcBorders>
                    <w:bottom w:val="single" w:color="auto" w:sz="4" w:space="0"/>
                  </w:tcBorders>
                  <w:noWrap w:val="0"/>
                  <w:vAlign w:val="center"/>
                </w:tcPr>
                <w:p>
                  <w:pPr>
                    <w:widowControl/>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tcBorders>
                    <w:top w:val="single" w:color="auto" w:sz="4" w:space="0"/>
                  </w:tcBorders>
                  <w:noWrap w:val="0"/>
                  <w:vAlign w:val="center"/>
                </w:tcPr>
                <w:p>
                  <w:pPr>
                    <w:jc w:val="center"/>
                    <w:rPr>
                      <w:sz w:val="21"/>
                      <w:szCs w:val="21"/>
                    </w:rPr>
                  </w:pPr>
                  <w:r>
                    <w:rPr>
                      <w:rFonts w:hint="eastAsia"/>
                      <w:sz w:val="21"/>
                      <w:szCs w:val="21"/>
                    </w:rPr>
                    <w:t>车辆噪声</w:t>
                  </w:r>
                </w:p>
              </w:tc>
              <w:tc>
                <w:tcPr>
                  <w:tcW w:w="1903" w:type="pct"/>
                  <w:tcBorders>
                    <w:top w:val="single" w:color="auto" w:sz="4" w:space="0"/>
                  </w:tcBorders>
                  <w:noWrap w:val="0"/>
                  <w:vAlign w:val="center"/>
                </w:tcPr>
                <w:p>
                  <w:pPr>
                    <w:ind w:firstLine="10" w:firstLineChars="5"/>
                    <w:jc w:val="center"/>
                    <w:rPr>
                      <w:sz w:val="21"/>
                      <w:szCs w:val="21"/>
                    </w:rPr>
                  </w:pPr>
                  <w:r>
                    <w:rPr>
                      <w:rFonts w:hint="eastAsia"/>
                      <w:sz w:val="21"/>
                      <w:szCs w:val="21"/>
                    </w:rPr>
                    <w:t>合理安排运输时间，路面硬化、场内禁止鸣笛、限制车速，静止夜间运输</w:t>
                  </w:r>
                </w:p>
              </w:tc>
              <w:tc>
                <w:tcPr>
                  <w:tcW w:w="658" w:type="pct"/>
                  <w:tcBorders>
                    <w:top w:val="single" w:color="auto" w:sz="4" w:space="0"/>
                  </w:tcBorders>
                  <w:noWrap w:val="0"/>
                  <w:vAlign w:val="center"/>
                </w:tcPr>
                <w:p>
                  <w:pPr>
                    <w:ind w:firstLine="10" w:firstLineChars="5"/>
                    <w:jc w:val="center"/>
                    <w:rPr>
                      <w:rFonts w:hint="eastAsia" w:eastAsia="宋体"/>
                      <w:sz w:val="21"/>
                      <w:szCs w:val="21"/>
                      <w:lang w:eastAsia="zh-CN"/>
                    </w:rPr>
                  </w:pPr>
                  <w:r>
                    <w:rPr>
                      <w:rFonts w:hint="eastAsia"/>
                      <w:sz w:val="21"/>
                      <w:szCs w:val="21"/>
                      <w:lang w:val="en-US" w:eastAsia="zh-CN"/>
                    </w:rPr>
                    <w:t>/</w:t>
                  </w:r>
                </w:p>
              </w:tc>
              <w:tc>
                <w:tcPr>
                  <w:tcW w:w="678" w:type="pct"/>
                  <w:tcBorders>
                    <w:top w:val="single" w:color="auto" w:sz="4" w:space="0"/>
                  </w:tcBorders>
                  <w:noWrap w:val="0"/>
                  <w:vAlign w:val="center"/>
                </w:tcPr>
                <w:p>
                  <w:pPr>
                    <w:ind w:firstLine="10" w:firstLineChars="5"/>
                    <w:jc w:val="center"/>
                    <w:rPr>
                      <w:rFonts w:hint="eastAsia"/>
                      <w:sz w:val="21"/>
                      <w:szCs w:val="21"/>
                    </w:rPr>
                  </w:pPr>
                  <w:r>
                    <w:rPr>
                      <w:rFonts w:hint="eastAsia"/>
                      <w:sz w:val="21"/>
                      <w:szCs w:val="21"/>
                    </w:rPr>
                    <w:t>管理措施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restart"/>
                  <w:noWrap w:val="0"/>
                  <w:vAlign w:val="center"/>
                </w:tcPr>
                <w:p>
                  <w:pPr>
                    <w:widowControl/>
                    <w:ind w:firstLine="29" w:firstLineChars="14"/>
                    <w:jc w:val="center"/>
                    <w:rPr>
                      <w:sz w:val="21"/>
                      <w:szCs w:val="21"/>
                    </w:rPr>
                  </w:pPr>
                  <w:r>
                    <w:rPr>
                      <w:sz w:val="21"/>
                      <w:szCs w:val="21"/>
                    </w:rPr>
                    <w:t>固废</w:t>
                  </w:r>
                </w:p>
              </w:tc>
              <w:tc>
                <w:tcPr>
                  <w:tcW w:w="911" w:type="pct"/>
                  <w:noWrap w:val="0"/>
                  <w:vAlign w:val="center"/>
                </w:tcPr>
                <w:p>
                  <w:pPr>
                    <w:jc w:val="center"/>
                    <w:rPr>
                      <w:sz w:val="21"/>
                      <w:szCs w:val="21"/>
                    </w:rPr>
                  </w:pPr>
                  <w:r>
                    <w:rPr>
                      <w:sz w:val="21"/>
                      <w:szCs w:val="21"/>
                    </w:rPr>
                    <w:t>生活垃圾</w:t>
                  </w:r>
                </w:p>
              </w:tc>
              <w:tc>
                <w:tcPr>
                  <w:tcW w:w="1903" w:type="pct"/>
                  <w:noWrap w:val="0"/>
                  <w:vAlign w:val="center"/>
                </w:tcPr>
                <w:p>
                  <w:pPr>
                    <w:widowControl/>
                    <w:ind w:firstLine="10" w:firstLineChars="5"/>
                    <w:jc w:val="center"/>
                    <w:rPr>
                      <w:sz w:val="21"/>
                      <w:szCs w:val="21"/>
                    </w:rPr>
                  </w:pPr>
                  <w:r>
                    <w:rPr>
                      <w:sz w:val="21"/>
                      <w:szCs w:val="21"/>
                    </w:rPr>
                    <w:t>厂区垃圾桶收集后</w:t>
                  </w:r>
                  <w:r>
                    <w:rPr>
                      <w:rFonts w:hint="eastAsia"/>
                      <w:sz w:val="21"/>
                      <w:szCs w:val="21"/>
                    </w:rPr>
                    <w:t>，</w:t>
                  </w:r>
                  <w:r>
                    <w:rPr>
                      <w:sz w:val="21"/>
                      <w:szCs w:val="21"/>
                    </w:rPr>
                    <w:t>交环卫部门清运</w:t>
                  </w:r>
                </w:p>
              </w:tc>
              <w:tc>
                <w:tcPr>
                  <w:tcW w:w="658" w:type="pct"/>
                  <w:noWrap w:val="0"/>
                  <w:vAlign w:val="center"/>
                </w:tcPr>
                <w:p>
                  <w:pPr>
                    <w:widowControl/>
                    <w:ind w:firstLine="10" w:firstLineChars="5"/>
                    <w:jc w:val="center"/>
                    <w:rPr>
                      <w:rFonts w:hint="eastAsia" w:eastAsia="宋体"/>
                      <w:sz w:val="21"/>
                      <w:szCs w:val="21"/>
                      <w:lang w:eastAsia="zh-CN"/>
                    </w:rPr>
                  </w:pPr>
                  <w:r>
                    <w:rPr>
                      <w:rFonts w:hint="eastAsia"/>
                      <w:sz w:val="21"/>
                      <w:szCs w:val="21"/>
                      <w:lang w:val="en-US" w:eastAsia="zh-CN"/>
                    </w:rPr>
                    <w:t>1</w:t>
                  </w:r>
                </w:p>
              </w:tc>
              <w:tc>
                <w:tcPr>
                  <w:tcW w:w="678" w:type="pct"/>
                  <w:noWrap w:val="0"/>
                  <w:vAlign w:val="center"/>
                </w:tcPr>
                <w:p>
                  <w:pPr>
                    <w:widowControl/>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1463" w:type="dxa"/>
                  <w:noWrap w:val="0"/>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餐厨垃圾及油渣</w:t>
                  </w:r>
                </w:p>
              </w:tc>
              <w:tc>
                <w:tcPr>
                  <w:tcW w:w="3057" w:type="dxa"/>
                  <w:noWrap w:val="0"/>
                  <w:vAlign w:val="center"/>
                </w:tcPr>
                <w:p>
                  <w:pPr>
                    <w:keepNext w:val="0"/>
                    <w:keepLines w:val="0"/>
                    <w:widowControl/>
                    <w:suppressLineNumbers w:val="0"/>
                    <w:jc w:val="center"/>
                    <w:rPr>
                      <w:sz w:val="21"/>
                      <w:szCs w:val="21"/>
                    </w:rPr>
                  </w:pPr>
                  <w:r>
                    <w:rPr>
                      <w:rFonts w:hint="eastAsia" w:ascii="宋体" w:hAnsi="宋体" w:eastAsia="宋体" w:cs="宋体"/>
                      <w:color w:val="000000"/>
                      <w:kern w:val="0"/>
                      <w:sz w:val="21"/>
                      <w:szCs w:val="21"/>
                      <w:lang w:val="en-US" w:eastAsia="zh-CN" w:bidi="ar"/>
                    </w:rPr>
                    <w:t>有厨余垃圾清理资质的单位统一清运处理</w:t>
                  </w:r>
                </w:p>
              </w:tc>
              <w:tc>
                <w:tcPr>
                  <w:tcW w:w="658" w:type="pct"/>
                  <w:noWrap w:val="0"/>
                  <w:vAlign w:val="center"/>
                </w:tcPr>
                <w:p>
                  <w:pPr>
                    <w:widowControl/>
                    <w:ind w:firstLine="10" w:firstLineChars="5"/>
                    <w:jc w:val="center"/>
                    <w:rPr>
                      <w:rFonts w:hint="default"/>
                      <w:sz w:val="21"/>
                      <w:szCs w:val="21"/>
                      <w:lang w:val="en-US" w:eastAsia="zh-CN"/>
                    </w:rPr>
                  </w:pPr>
                  <w:r>
                    <w:rPr>
                      <w:rFonts w:hint="eastAsia"/>
                      <w:sz w:val="21"/>
                      <w:szCs w:val="21"/>
                      <w:lang w:val="en-US" w:eastAsia="zh-CN"/>
                    </w:rPr>
                    <w:t>2</w:t>
                  </w:r>
                </w:p>
              </w:tc>
              <w:tc>
                <w:tcPr>
                  <w:tcW w:w="678" w:type="pct"/>
                  <w:noWrap w:val="0"/>
                  <w:vAlign w:val="center"/>
                </w:tcPr>
                <w:p>
                  <w:pPr>
                    <w:widowControl/>
                    <w:ind w:firstLine="10" w:firstLineChars="5"/>
                    <w:jc w:val="center"/>
                    <w:rPr>
                      <w:rFonts w:hint="eastAsia"/>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6" w:hRule="atLeast"/>
                <w:jc w:val="center"/>
              </w:trPr>
              <w:tc>
                <w:tcPr>
                  <w:tcW w:w="424" w:type="pct"/>
                  <w:vMerge w:val="continue"/>
                  <w:noWrap w:val="0"/>
                  <w:vAlign w:val="center"/>
                </w:tcPr>
                <w:p>
                  <w:pPr>
                    <w:widowControl/>
                    <w:ind w:firstLine="29" w:firstLineChars="14"/>
                    <w:jc w:val="center"/>
                    <w:rPr>
                      <w:sz w:val="21"/>
                      <w:szCs w:val="21"/>
                    </w:rPr>
                  </w:pPr>
                </w:p>
              </w:tc>
              <w:tc>
                <w:tcPr>
                  <w:tcW w:w="424" w:type="pct"/>
                  <w:vMerge w:val="continue"/>
                  <w:noWrap w:val="0"/>
                  <w:vAlign w:val="center"/>
                </w:tcPr>
                <w:p>
                  <w:pPr>
                    <w:widowControl/>
                    <w:ind w:firstLine="29" w:firstLineChars="14"/>
                    <w:jc w:val="center"/>
                    <w:rPr>
                      <w:sz w:val="21"/>
                      <w:szCs w:val="21"/>
                    </w:rPr>
                  </w:pPr>
                </w:p>
              </w:tc>
              <w:tc>
                <w:tcPr>
                  <w:tcW w:w="911" w:type="pct"/>
                  <w:tcBorders>
                    <w:bottom w:val="single" w:color="auto" w:sz="4" w:space="0"/>
                  </w:tcBorders>
                  <w:noWrap w:val="0"/>
                  <w:vAlign w:val="center"/>
                </w:tcPr>
                <w:p>
                  <w:pPr>
                    <w:jc w:val="center"/>
                    <w:rPr>
                      <w:sz w:val="21"/>
                      <w:szCs w:val="21"/>
                    </w:rPr>
                  </w:pPr>
                  <w:r>
                    <w:rPr>
                      <w:sz w:val="21"/>
                      <w:szCs w:val="21"/>
                    </w:rPr>
                    <w:t>一般固废</w:t>
                  </w:r>
                </w:p>
              </w:tc>
              <w:tc>
                <w:tcPr>
                  <w:tcW w:w="1903" w:type="pct"/>
                  <w:tcBorders>
                    <w:bottom w:val="single" w:color="auto" w:sz="4" w:space="0"/>
                  </w:tcBorders>
                  <w:noWrap w:val="0"/>
                  <w:vAlign w:val="center"/>
                </w:tcPr>
                <w:p>
                  <w:pPr>
                    <w:widowControl/>
                    <w:ind w:firstLine="10" w:firstLineChars="5"/>
                    <w:jc w:val="center"/>
                    <w:rPr>
                      <w:rFonts w:hint="eastAsia"/>
                      <w:sz w:val="21"/>
                      <w:szCs w:val="21"/>
                    </w:rPr>
                  </w:pPr>
                  <w:r>
                    <w:rPr>
                      <w:rFonts w:hint="eastAsia"/>
                      <w:sz w:val="21"/>
                      <w:szCs w:val="21"/>
                    </w:rPr>
                    <w:t>除尘器收尘、不合格产品作原料回用</w:t>
                  </w:r>
                </w:p>
                <w:p>
                  <w:pPr>
                    <w:widowControl/>
                    <w:ind w:firstLine="10" w:firstLineChars="5"/>
                    <w:jc w:val="center"/>
                    <w:rPr>
                      <w:sz w:val="21"/>
                      <w:szCs w:val="21"/>
                    </w:rPr>
                  </w:pPr>
                  <w:r>
                    <w:rPr>
                      <w:rFonts w:hint="eastAsia"/>
                      <w:sz w:val="21"/>
                      <w:szCs w:val="21"/>
                    </w:rPr>
                    <w:t>搅拌分离池砂石沉淀物</w:t>
                  </w:r>
                  <w:r>
                    <w:rPr>
                      <w:sz w:val="21"/>
                      <w:szCs w:val="21"/>
                    </w:rPr>
                    <w:t>清掏后</w:t>
                  </w:r>
                  <w:r>
                    <w:rPr>
                      <w:rFonts w:hint="eastAsia"/>
                      <w:sz w:val="21"/>
                      <w:szCs w:val="21"/>
                    </w:rPr>
                    <w:t>回用于生产</w:t>
                  </w:r>
                </w:p>
              </w:tc>
              <w:tc>
                <w:tcPr>
                  <w:tcW w:w="658" w:type="pct"/>
                  <w:tcBorders>
                    <w:bottom w:val="single" w:color="auto" w:sz="4" w:space="0"/>
                  </w:tcBorders>
                  <w:noWrap w:val="0"/>
                  <w:vAlign w:val="center"/>
                </w:tcPr>
                <w:p>
                  <w:pPr>
                    <w:widowControl/>
                    <w:ind w:firstLine="10" w:firstLineChars="5"/>
                    <w:jc w:val="center"/>
                    <w:rPr>
                      <w:rFonts w:hint="eastAsia" w:eastAsia="宋体"/>
                      <w:sz w:val="21"/>
                      <w:szCs w:val="21"/>
                      <w:lang w:eastAsia="zh-CN"/>
                    </w:rPr>
                  </w:pPr>
                  <w:r>
                    <w:rPr>
                      <w:rFonts w:hint="eastAsia"/>
                      <w:sz w:val="21"/>
                      <w:szCs w:val="21"/>
                      <w:lang w:val="en-US" w:eastAsia="zh-CN"/>
                    </w:rPr>
                    <w:t>/</w:t>
                  </w:r>
                </w:p>
              </w:tc>
              <w:tc>
                <w:tcPr>
                  <w:tcW w:w="678" w:type="pct"/>
                  <w:tcBorders>
                    <w:bottom w:val="single" w:color="auto" w:sz="4" w:space="0"/>
                  </w:tcBorders>
                  <w:noWrap w:val="0"/>
                  <w:vAlign w:val="center"/>
                </w:tcPr>
                <w:p>
                  <w:pPr>
                    <w:widowControl/>
                    <w:ind w:firstLine="10" w:firstLineChars="5"/>
                    <w:jc w:val="center"/>
                    <w:rPr>
                      <w:sz w:val="21"/>
                      <w:szCs w:val="21"/>
                    </w:rPr>
                  </w:pPr>
                  <w:r>
                    <w:rPr>
                      <w:rFonts w:hint="eastAsia"/>
                      <w:sz w:val="21"/>
                      <w:szCs w:val="21"/>
                    </w:rPr>
                    <w:t>管理措施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424" w:type="pct"/>
                  <w:vMerge w:val="continue"/>
                  <w:tcBorders>
                    <w:bottom w:val="single" w:color="auto" w:sz="4" w:space="0"/>
                  </w:tcBorders>
                  <w:noWrap w:val="0"/>
                  <w:vAlign w:val="center"/>
                </w:tcPr>
                <w:p>
                  <w:pPr>
                    <w:widowControl/>
                    <w:ind w:firstLine="29" w:firstLineChars="14"/>
                    <w:jc w:val="center"/>
                    <w:rPr>
                      <w:sz w:val="21"/>
                      <w:szCs w:val="21"/>
                    </w:rPr>
                  </w:pPr>
                </w:p>
              </w:tc>
              <w:tc>
                <w:tcPr>
                  <w:tcW w:w="424" w:type="pct"/>
                  <w:vMerge w:val="continue"/>
                  <w:tcBorders>
                    <w:bottom w:val="single" w:color="auto" w:sz="4" w:space="0"/>
                  </w:tcBorders>
                  <w:noWrap w:val="0"/>
                  <w:vAlign w:val="center"/>
                </w:tcPr>
                <w:p>
                  <w:pPr>
                    <w:widowControl/>
                    <w:ind w:firstLine="29" w:firstLineChars="14"/>
                    <w:jc w:val="center"/>
                    <w:rPr>
                      <w:sz w:val="21"/>
                      <w:szCs w:val="21"/>
                    </w:rPr>
                  </w:pPr>
                </w:p>
              </w:tc>
              <w:tc>
                <w:tcPr>
                  <w:tcW w:w="1463"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rPr>
                    <w:t>危险废物</w:t>
                  </w:r>
                </w:p>
              </w:tc>
              <w:tc>
                <w:tcPr>
                  <w:tcW w:w="3057"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sz w:val="21"/>
                      <w:szCs w:val="21"/>
                    </w:rPr>
                  </w:pPr>
                  <w:r>
                    <w:rPr>
                      <w:rFonts w:hint="default" w:ascii="Times New Roman" w:hAnsi="Times New Roman" w:cs="Times New Roman"/>
                      <w:color w:val="auto"/>
                      <w:sz w:val="21"/>
                      <w:szCs w:val="21"/>
                      <w:lang w:val="en-US" w:eastAsia="zh-CN"/>
                    </w:rPr>
                    <w:t>新增危废暂存间1间，采取三防措施，</w:t>
                  </w:r>
                  <w:r>
                    <w:rPr>
                      <w:rFonts w:hint="default" w:ascii="Times New Roman" w:hAnsi="Times New Roman" w:cs="Times New Roman"/>
                      <w:color w:val="auto"/>
                      <w:sz w:val="21"/>
                      <w:szCs w:val="21"/>
                    </w:rPr>
                    <w:t>防渗层渗透系数≤1.0×10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r>
                    <w:rPr>
                      <w:rFonts w:hint="default" w:ascii="Times New Roman" w:hAnsi="Times New Roman" w:cs="Times New Roman"/>
                      <w:lang w:val="en-US" w:eastAsia="zh-CN"/>
                    </w:rPr>
                    <w:t>定期交由具有危险废物处理资质单位进行处理</w:t>
                  </w:r>
                </w:p>
              </w:tc>
              <w:tc>
                <w:tcPr>
                  <w:tcW w:w="1057"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sz w:val="21"/>
                      <w:szCs w:val="21"/>
                      <w:lang w:val="en-US"/>
                    </w:rPr>
                  </w:pPr>
                  <w:r>
                    <w:rPr>
                      <w:rFonts w:hint="eastAsia" w:ascii="Times New Roman" w:hAnsi="Times New Roman" w:cs="Times New Roman"/>
                      <w:color w:val="auto"/>
                      <w:sz w:val="21"/>
                      <w:szCs w:val="21"/>
                      <w:lang w:val="en-US" w:eastAsia="zh-CN"/>
                    </w:rPr>
                    <w:t>8</w:t>
                  </w:r>
                </w:p>
              </w:tc>
              <w:tc>
                <w:tcPr>
                  <w:tcW w:w="678" w:type="pct"/>
                  <w:tcBorders>
                    <w:top w:val="single" w:color="auto" w:sz="4" w:space="0"/>
                    <w:bottom w:val="single" w:color="auto" w:sz="4" w:space="0"/>
                  </w:tcBorders>
                  <w:noWrap w:val="0"/>
                  <w:vAlign w:val="center"/>
                </w:tcPr>
                <w:p>
                  <w:pPr>
                    <w:ind w:firstLine="10" w:firstLineChars="5"/>
                    <w:jc w:val="center"/>
                    <w:rPr>
                      <w:sz w:val="21"/>
                      <w:szCs w:val="21"/>
                    </w:rPr>
                  </w:pPr>
                  <w:r>
                    <w:rPr>
                      <w:rFonts w:hint="eastAsia"/>
                      <w:sz w:val="21"/>
                      <w:szCs w:val="21"/>
                    </w:rPr>
                    <w:t>新建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24" w:type="pct"/>
                  <w:tcBorders>
                    <w:top w:val="single" w:color="auto" w:sz="4" w:space="0"/>
                  </w:tcBorders>
                  <w:noWrap w:val="0"/>
                  <w:vAlign w:val="center"/>
                </w:tcPr>
                <w:p>
                  <w:pPr>
                    <w:jc w:val="center"/>
                    <w:rPr>
                      <w:rFonts w:hint="eastAsia"/>
                      <w:sz w:val="21"/>
                      <w:szCs w:val="21"/>
                    </w:rPr>
                  </w:pPr>
                </w:p>
              </w:tc>
              <w:tc>
                <w:tcPr>
                  <w:tcW w:w="1335" w:type="pct"/>
                  <w:gridSpan w:val="2"/>
                  <w:tcBorders>
                    <w:top w:val="single" w:color="auto" w:sz="4" w:space="0"/>
                  </w:tcBorders>
                  <w:noWrap w:val="0"/>
                  <w:vAlign w:val="center"/>
                </w:tcPr>
                <w:p>
                  <w:pPr>
                    <w:jc w:val="center"/>
                    <w:rPr>
                      <w:rFonts w:hint="eastAsia"/>
                      <w:sz w:val="21"/>
                      <w:szCs w:val="21"/>
                    </w:rPr>
                  </w:pPr>
                  <w:r>
                    <w:rPr>
                      <w:rFonts w:hint="eastAsia"/>
                      <w:sz w:val="21"/>
                      <w:szCs w:val="21"/>
                    </w:rPr>
                    <w:t>地下水污染防治</w:t>
                  </w:r>
                </w:p>
              </w:tc>
              <w:tc>
                <w:tcPr>
                  <w:tcW w:w="1903" w:type="pct"/>
                  <w:tcBorders>
                    <w:top w:val="single" w:color="auto" w:sz="4" w:space="0"/>
                  </w:tcBorders>
                  <w:noWrap w:val="0"/>
                  <w:vAlign w:val="center"/>
                </w:tcPr>
                <w:p>
                  <w:pPr>
                    <w:rPr>
                      <w:rFonts w:hint="eastAsia"/>
                      <w:sz w:val="21"/>
                      <w:szCs w:val="21"/>
                    </w:rPr>
                  </w:pPr>
                  <w:r>
                    <w:rPr>
                      <w:rFonts w:hint="eastAsia"/>
                      <w:sz w:val="21"/>
                      <w:szCs w:val="21"/>
                    </w:rPr>
                    <w:t xml:space="preserve">简单防渗区：一般地面硬化 </w:t>
                  </w:r>
                </w:p>
                <w:p>
                  <w:pPr>
                    <w:rPr>
                      <w:rFonts w:hint="eastAsia"/>
                      <w:sz w:val="21"/>
                      <w:szCs w:val="21"/>
                    </w:rPr>
                  </w:pPr>
                  <w:r>
                    <w:rPr>
                      <w:rFonts w:hint="eastAsia"/>
                      <w:sz w:val="21"/>
                      <w:szCs w:val="21"/>
                    </w:rPr>
                    <w:t xml:space="preserve">一般防渗区：粘土+水泥 </w:t>
                  </w:r>
                </w:p>
                <w:p>
                  <w:pPr>
                    <w:ind w:firstLine="10" w:firstLineChars="5"/>
                    <w:jc w:val="center"/>
                    <w:rPr>
                      <w:rFonts w:hint="eastAsia"/>
                      <w:sz w:val="21"/>
                      <w:szCs w:val="21"/>
                    </w:rPr>
                  </w:pPr>
                  <w:r>
                    <w:rPr>
                      <w:rFonts w:hint="eastAsia"/>
                      <w:sz w:val="21"/>
                      <w:szCs w:val="21"/>
                    </w:rPr>
                    <w:t>重点防渗区：钢筋混凝土+2mmHDP</w:t>
                  </w:r>
                </w:p>
              </w:tc>
              <w:tc>
                <w:tcPr>
                  <w:tcW w:w="658" w:type="pct"/>
                  <w:tcBorders>
                    <w:top w:val="single" w:color="auto" w:sz="4" w:space="0"/>
                  </w:tcBorders>
                  <w:noWrap w:val="0"/>
                  <w:vAlign w:val="center"/>
                </w:tcPr>
                <w:p>
                  <w:pPr>
                    <w:ind w:firstLine="10" w:firstLineChars="5"/>
                    <w:jc w:val="center"/>
                    <w:rPr>
                      <w:rFonts w:hint="eastAsia"/>
                      <w:sz w:val="21"/>
                      <w:szCs w:val="21"/>
                    </w:rPr>
                  </w:pPr>
                  <w:r>
                    <w:rPr>
                      <w:rFonts w:hint="eastAsia"/>
                      <w:sz w:val="21"/>
                      <w:szCs w:val="21"/>
                    </w:rPr>
                    <w:t>-</w:t>
                  </w:r>
                </w:p>
              </w:tc>
              <w:tc>
                <w:tcPr>
                  <w:tcW w:w="678" w:type="pct"/>
                  <w:tcBorders>
                    <w:top w:val="single" w:color="auto" w:sz="4" w:space="0"/>
                  </w:tcBorders>
                  <w:noWrap w:val="0"/>
                  <w:vAlign w:val="center"/>
                </w:tcPr>
                <w:p>
                  <w:pPr>
                    <w:ind w:firstLine="10" w:firstLineChars="5"/>
                    <w:jc w:val="center"/>
                    <w:rPr>
                      <w:sz w:val="21"/>
                      <w:szCs w:val="21"/>
                    </w:rPr>
                  </w:pPr>
                  <w:r>
                    <w:rPr>
                      <w:rFonts w:hint="eastAsia"/>
                      <w:sz w:val="21"/>
                      <w:szCs w:val="21"/>
                    </w:rPr>
                    <w:t>计入基础工程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424" w:type="pct"/>
                  <w:noWrap w:val="0"/>
                  <w:vAlign w:val="center"/>
                </w:tcPr>
                <w:p>
                  <w:pPr>
                    <w:jc w:val="center"/>
                    <w:rPr>
                      <w:sz w:val="21"/>
                      <w:szCs w:val="21"/>
                    </w:rPr>
                  </w:pPr>
                </w:p>
              </w:tc>
              <w:tc>
                <w:tcPr>
                  <w:tcW w:w="1335" w:type="pct"/>
                  <w:gridSpan w:val="2"/>
                  <w:noWrap w:val="0"/>
                  <w:vAlign w:val="center"/>
                </w:tcPr>
                <w:p>
                  <w:pPr>
                    <w:jc w:val="center"/>
                    <w:rPr>
                      <w:sz w:val="21"/>
                      <w:szCs w:val="21"/>
                    </w:rPr>
                  </w:pPr>
                  <w:r>
                    <w:rPr>
                      <w:sz w:val="21"/>
                      <w:szCs w:val="21"/>
                    </w:rPr>
                    <w:t>环境风险</w:t>
                  </w:r>
                </w:p>
              </w:tc>
              <w:tc>
                <w:tcPr>
                  <w:tcW w:w="1903" w:type="pct"/>
                  <w:noWrap w:val="0"/>
                  <w:vAlign w:val="center"/>
                </w:tcPr>
                <w:p>
                  <w:pPr>
                    <w:widowControl/>
                    <w:ind w:firstLine="10" w:firstLineChars="5"/>
                    <w:jc w:val="center"/>
                    <w:rPr>
                      <w:sz w:val="21"/>
                      <w:szCs w:val="21"/>
                    </w:rPr>
                  </w:pPr>
                  <w:r>
                    <w:rPr>
                      <w:rFonts w:hint="eastAsia"/>
                      <w:sz w:val="21"/>
                      <w:szCs w:val="21"/>
                    </w:rPr>
                    <w:t>消防设施、灭火器材、初期雨水截流沟</w:t>
                  </w:r>
                </w:p>
              </w:tc>
              <w:tc>
                <w:tcPr>
                  <w:tcW w:w="658" w:type="pct"/>
                  <w:noWrap w:val="0"/>
                  <w:vAlign w:val="center"/>
                </w:tcPr>
                <w:p>
                  <w:pPr>
                    <w:ind w:firstLine="10" w:firstLineChars="5"/>
                    <w:jc w:val="center"/>
                    <w:rPr>
                      <w:rFonts w:hint="eastAsia"/>
                      <w:sz w:val="21"/>
                      <w:szCs w:val="21"/>
                    </w:rPr>
                  </w:pPr>
                  <w:r>
                    <w:rPr>
                      <w:rFonts w:hint="eastAsia"/>
                      <w:sz w:val="21"/>
                      <w:szCs w:val="21"/>
                    </w:rPr>
                    <w:t>-</w:t>
                  </w:r>
                </w:p>
              </w:tc>
              <w:tc>
                <w:tcPr>
                  <w:tcW w:w="678" w:type="pct"/>
                  <w:noWrap w:val="0"/>
                  <w:vAlign w:val="center"/>
                </w:tcPr>
                <w:p>
                  <w:pPr>
                    <w:ind w:firstLine="10" w:firstLineChars="5"/>
                    <w:jc w:val="center"/>
                    <w:rPr>
                      <w:sz w:val="21"/>
                      <w:szCs w:val="21"/>
                    </w:rPr>
                  </w:pPr>
                  <w:r>
                    <w:rPr>
                      <w:rFonts w:hint="eastAsia"/>
                      <w:sz w:val="21"/>
                      <w:szCs w:val="21"/>
                    </w:rPr>
                    <w:t>计入基础工程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 w:type="pct"/>
                  <w:noWrap w:val="0"/>
                  <w:vAlign w:val="center"/>
                </w:tcPr>
                <w:p>
                  <w:pPr>
                    <w:widowControl/>
                    <w:ind w:firstLine="420"/>
                    <w:jc w:val="center"/>
                    <w:rPr>
                      <w:sz w:val="21"/>
                      <w:szCs w:val="21"/>
                    </w:rPr>
                  </w:pPr>
                </w:p>
              </w:tc>
              <w:tc>
                <w:tcPr>
                  <w:tcW w:w="3239" w:type="pct"/>
                  <w:gridSpan w:val="3"/>
                  <w:noWrap w:val="0"/>
                  <w:vAlign w:val="center"/>
                </w:tcPr>
                <w:p>
                  <w:pPr>
                    <w:widowControl/>
                    <w:ind w:firstLine="420"/>
                    <w:jc w:val="center"/>
                    <w:rPr>
                      <w:sz w:val="21"/>
                      <w:szCs w:val="21"/>
                    </w:rPr>
                  </w:pPr>
                  <w:r>
                    <w:rPr>
                      <w:sz w:val="21"/>
                      <w:szCs w:val="21"/>
                    </w:rPr>
                    <w:t>合计</w:t>
                  </w:r>
                </w:p>
              </w:tc>
              <w:tc>
                <w:tcPr>
                  <w:tcW w:w="1336" w:type="pct"/>
                  <w:gridSpan w:val="2"/>
                  <w:noWrap w:val="0"/>
                  <w:vAlign w:val="center"/>
                </w:tcPr>
                <w:p>
                  <w:pPr>
                    <w:widowControl/>
                    <w:jc w:val="center"/>
                    <w:rPr>
                      <w:rFonts w:hint="default" w:eastAsia="宋体"/>
                      <w:sz w:val="21"/>
                      <w:szCs w:val="21"/>
                      <w:lang w:val="en-US" w:eastAsia="zh-CN"/>
                    </w:rPr>
                  </w:pPr>
                  <w:r>
                    <w:rPr>
                      <w:rFonts w:hint="eastAsia"/>
                      <w:sz w:val="21"/>
                      <w:szCs w:val="21"/>
                      <w:lang w:val="en-US" w:eastAsia="zh-CN"/>
                    </w:rPr>
                    <w:t>434</w:t>
                  </w:r>
                </w:p>
              </w:tc>
            </w:tr>
          </w:tbl>
          <w:p>
            <w:pPr>
              <w:adjustRightInd w:val="0"/>
              <w:snapToGrid w:val="0"/>
              <w:spacing w:line="360" w:lineRule="auto"/>
              <w:rPr>
                <w:rFonts w:hint="eastAsia"/>
              </w:rPr>
            </w:pPr>
          </w:p>
          <w:p>
            <w:pPr>
              <w:pStyle w:val="2"/>
              <w:ind w:left="0" w:leftChars="0" w:firstLine="0" w:firstLineChars="0"/>
              <w:rPr>
                <w:rFonts w:hint="eastAsia"/>
              </w:rPr>
            </w:pPr>
          </w:p>
        </w:tc>
      </w:tr>
    </w:tbl>
    <w:p>
      <w:pPr>
        <w:adjustRightInd w:val="0"/>
        <w:snapToGrid w:val="0"/>
        <w:spacing w:line="360" w:lineRule="auto"/>
        <w:rPr>
          <w:b/>
          <w:kern w:val="0"/>
          <w:sz w:val="28"/>
          <w:szCs w:val="28"/>
        </w:rPr>
        <w:sectPr>
          <w:pgSz w:w="11907" w:h="16840"/>
          <w:pgMar w:top="1701" w:right="1531" w:bottom="2127" w:left="1531" w:header="851" w:footer="851" w:gutter="0"/>
          <w:cols w:space="720" w:num="1"/>
          <w:docGrid w:linePitch="312" w:charSpace="0"/>
        </w:sectPr>
      </w:pPr>
    </w:p>
    <w:p>
      <w:pPr>
        <w:pStyle w:val="34"/>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w:t>
      </w:r>
      <w:bookmarkStart w:id="4" w:name="_Hlk54167917"/>
      <w:r>
        <w:rPr>
          <w:rFonts w:ascii="Times New Roman" w:hAnsi="Times New Roman" w:eastAsia="黑体"/>
          <w:snapToGrid w:val="0"/>
          <w:sz w:val="30"/>
          <w:szCs w:val="30"/>
        </w:rPr>
        <w:t>环境保护措施监督检查清单</w:t>
      </w:r>
      <w:bookmarkEnd w:id="4"/>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701"/>
        <w:gridCol w:w="1418"/>
        <w:gridCol w:w="3260"/>
        <w:gridCol w:w="1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l2br w:val="single" w:color="auto" w:sz="4" w:space="0"/>
            </w:tcBorders>
            <w:noWrap w:val="0"/>
            <w:vAlign w:val="top"/>
          </w:tcPr>
          <w:p>
            <w:pPr>
              <w:adjustRightInd w:val="0"/>
              <w:snapToGrid w:val="0"/>
              <w:ind w:firstLine="600" w:firstLineChars="250"/>
              <w:rPr>
                <w:szCs w:val="21"/>
              </w:rPr>
            </w:pPr>
            <w:r>
              <w:rPr>
                <w:szCs w:val="21"/>
              </w:rPr>
              <w:t>内容</w:t>
            </w:r>
          </w:p>
          <w:p>
            <w:pPr>
              <w:adjustRightInd w:val="0"/>
              <w:snapToGrid w:val="0"/>
              <w:rPr>
                <w:szCs w:val="21"/>
              </w:rPr>
            </w:pPr>
            <w:r>
              <w:rPr>
                <w:szCs w:val="21"/>
              </w:rPr>
              <w:t>要素</w:t>
            </w:r>
          </w:p>
        </w:tc>
        <w:tc>
          <w:tcPr>
            <w:tcW w:w="1701" w:type="dxa"/>
            <w:noWrap w:val="0"/>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418" w:type="dxa"/>
            <w:noWrap w:val="0"/>
            <w:vAlign w:val="center"/>
          </w:tcPr>
          <w:p>
            <w:pPr>
              <w:adjustRightInd w:val="0"/>
              <w:snapToGrid w:val="0"/>
              <w:jc w:val="center"/>
              <w:rPr>
                <w:szCs w:val="21"/>
              </w:rPr>
            </w:pPr>
            <w:r>
              <w:rPr>
                <w:szCs w:val="21"/>
              </w:rPr>
              <w:t>污染物项目</w:t>
            </w:r>
          </w:p>
        </w:tc>
        <w:tc>
          <w:tcPr>
            <w:tcW w:w="3260" w:type="dxa"/>
            <w:noWrap w:val="0"/>
            <w:vAlign w:val="center"/>
          </w:tcPr>
          <w:p>
            <w:pPr>
              <w:adjustRightInd w:val="0"/>
              <w:snapToGrid w:val="0"/>
              <w:jc w:val="center"/>
              <w:rPr>
                <w:szCs w:val="21"/>
              </w:rPr>
            </w:pPr>
            <w:r>
              <w:rPr>
                <w:szCs w:val="21"/>
              </w:rPr>
              <w:t>环境保护措施</w:t>
            </w:r>
          </w:p>
        </w:tc>
        <w:tc>
          <w:tcPr>
            <w:tcW w:w="1167" w:type="dxa"/>
            <w:noWrap w:val="0"/>
            <w:vAlign w:val="center"/>
          </w:tcPr>
          <w:p>
            <w:pPr>
              <w:adjustRightInd w:val="0"/>
              <w:snapToGrid w:val="0"/>
              <w:jc w:val="center"/>
              <w:rPr>
                <w:szCs w:val="21"/>
              </w:rPr>
            </w:pPr>
            <w:r>
              <w:rPr>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restart"/>
            <w:noWrap w:val="0"/>
            <w:vAlign w:val="center"/>
          </w:tcPr>
          <w:p>
            <w:pPr>
              <w:adjustRightInd w:val="0"/>
              <w:snapToGrid w:val="0"/>
              <w:jc w:val="center"/>
              <w:rPr>
                <w:szCs w:val="21"/>
              </w:rPr>
            </w:pPr>
            <w:r>
              <w:rPr>
                <w:szCs w:val="21"/>
              </w:rPr>
              <w:t>大气环</w:t>
            </w:r>
          </w:p>
          <w:p>
            <w:pPr>
              <w:adjustRightInd w:val="0"/>
              <w:snapToGrid w:val="0"/>
              <w:jc w:val="center"/>
              <w:rPr>
                <w:szCs w:val="21"/>
              </w:rPr>
            </w:pPr>
            <w:r>
              <w:rPr>
                <w:szCs w:val="21"/>
              </w:rPr>
              <w:t>境</w:t>
            </w:r>
          </w:p>
        </w:tc>
        <w:tc>
          <w:tcPr>
            <w:tcW w:w="1701" w:type="dxa"/>
            <w:noWrap w:val="0"/>
            <w:vAlign w:val="center"/>
          </w:tcPr>
          <w:p>
            <w:pPr>
              <w:jc w:val="center"/>
              <w:rPr>
                <w:szCs w:val="21"/>
              </w:rPr>
            </w:pPr>
            <w:r>
              <w:rPr>
                <w:rFonts w:hint="eastAsia"/>
              </w:rPr>
              <w:t>筒仓粉尘</w:t>
            </w:r>
          </w:p>
        </w:tc>
        <w:tc>
          <w:tcPr>
            <w:tcW w:w="1418" w:type="dxa"/>
            <w:noWrap w:val="0"/>
            <w:vAlign w:val="center"/>
          </w:tcPr>
          <w:p>
            <w:pPr>
              <w:adjustRightInd w:val="0"/>
              <w:snapToGrid w:val="0"/>
              <w:jc w:val="center"/>
              <w:rPr>
                <w:szCs w:val="21"/>
              </w:rPr>
            </w:pPr>
            <w:r>
              <w:rPr>
                <w:rFonts w:hint="eastAsia" w:ascii="宋体" w:hAnsi="宋体" w:cs="宋体"/>
                <w:szCs w:val="21"/>
                <w:lang w:eastAsia="zh-CN"/>
              </w:rPr>
              <w:t>颗粒物</w:t>
            </w:r>
          </w:p>
        </w:tc>
        <w:tc>
          <w:tcPr>
            <w:tcW w:w="3260" w:type="dxa"/>
            <w:noWrap w:val="0"/>
            <w:vAlign w:val="center"/>
          </w:tcPr>
          <w:p>
            <w:pPr>
              <w:jc w:val="center"/>
              <w:rPr>
                <w:szCs w:val="21"/>
              </w:rPr>
            </w:pPr>
            <w:r>
              <w:t>脉冲反吹收尘器</w:t>
            </w:r>
            <w:r>
              <w:rPr>
                <w:rFonts w:hint="eastAsia"/>
              </w:rPr>
              <w:t>，封闭厂房</w:t>
            </w:r>
          </w:p>
        </w:tc>
        <w:tc>
          <w:tcPr>
            <w:tcW w:w="1167" w:type="dxa"/>
            <w:vMerge w:val="restart"/>
            <w:noWrap w:val="0"/>
            <w:vAlign w:val="center"/>
          </w:tcPr>
          <w:p>
            <w:pPr>
              <w:adjustRightInd w:val="0"/>
              <w:snapToGrid w:val="0"/>
              <w:jc w:val="center"/>
              <w:rPr>
                <w:szCs w:val="21"/>
              </w:rPr>
            </w:pPr>
            <w:r>
              <w:rPr>
                <w:rFonts w:hint="eastAsia" w:ascii="宋体" w:hAnsi="宋体" w:eastAsia="宋体" w:cs="宋体"/>
                <w:color w:val="000000"/>
                <w:kern w:val="0"/>
                <w:sz w:val="21"/>
                <w:szCs w:val="21"/>
                <w:lang w:val="en-US" w:eastAsia="zh-CN" w:bidi="ar"/>
              </w:rPr>
              <w:t>《四川省水泥工业大气污染物排放标准》（</w:t>
            </w:r>
            <w:r>
              <w:rPr>
                <w:rFonts w:hint="default" w:ascii="Times New Roman" w:hAnsi="Times New Roman" w:eastAsia="宋体" w:cs="Times New Roman"/>
                <w:color w:val="000000"/>
                <w:kern w:val="0"/>
                <w:sz w:val="21"/>
                <w:szCs w:val="21"/>
                <w:lang w:val="en-US" w:eastAsia="zh-CN" w:bidi="ar"/>
              </w:rPr>
              <w:t>DB51/2</w:t>
            </w:r>
            <w:r>
              <w:rPr>
                <w:rFonts w:hint="eastAsia" w:ascii="Times New Roman" w:hAnsi="Times New Roman" w:eastAsia="宋体" w:cs="Times New Roman"/>
                <w:color w:val="000000"/>
                <w:kern w:val="0"/>
                <w:sz w:val="21"/>
                <w:szCs w:val="21"/>
                <w:lang w:val="en-US" w:eastAsia="zh-CN" w:bidi="ar"/>
              </w:rPr>
              <w:t>864</w:t>
            </w:r>
            <w:r>
              <w:rPr>
                <w:rFonts w:hint="default" w:ascii="Times New Roman" w:hAnsi="Times New Roman" w:eastAsia="宋体" w:cs="Times New Roman"/>
                <w:color w:val="000000"/>
                <w:kern w:val="0"/>
                <w:sz w:val="21"/>
                <w:szCs w:val="21"/>
                <w:lang w:val="en-US" w:eastAsia="zh-CN" w:bidi="ar"/>
              </w:rPr>
              <w:t>-202</w:t>
            </w:r>
            <w:r>
              <w:rPr>
                <w:rFonts w:hint="eastAsia"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jc w:val="center"/>
              <w:rPr>
                <w:rFonts w:hint="eastAsia" w:ascii="宋体" w:hAnsi="宋体" w:cs="宋体"/>
                <w:szCs w:val="21"/>
                <w:lang w:eastAsia="zh-CN"/>
              </w:rPr>
            </w:pPr>
            <w:r>
              <w:rPr>
                <w:rFonts w:hint="eastAsia"/>
              </w:rPr>
              <w:t>搅拌主机粉尘</w:t>
            </w:r>
          </w:p>
        </w:tc>
        <w:tc>
          <w:tcPr>
            <w:tcW w:w="1418"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颗粒物</w:t>
            </w:r>
          </w:p>
        </w:tc>
        <w:tc>
          <w:tcPr>
            <w:tcW w:w="3260" w:type="dxa"/>
            <w:noWrap w:val="0"/>
            <w:vAlign w:val="center"/>
          </w:tcPr>
          <w:p>
            <w:pPr>
              <w:jc w:val="center"/>
              <w:rPr>
                <w:rFonts w:hint="eastAsia" w:ascii="宋体" w:hAnsi="宋体" w:cs="宋体"/>
                <w:szCs w:val="21"/>
                <w:lang w:val="en-US" w:eastAsia="zh-CN"/>
              </w:rPr>
            </w:pPr>
            <w:r>
              <w:t>脉冲反吹收尘器</w:t>
            </w:r>
            <w:r>
              <w:rPr>
                <w:rFonts w:hint="eastAsia"/>
              </w:rPr>
              <w:t>，封闭厂房</w:t>
            </w:r>
          </w:p>
        </w:tc>
        <w:tc>
          <w:tcPr>
            <w:tcW w:w="1167" w:type="dxa"/>
            <w:vMerge w:val="continue"/>
            <w:noWrap w:val="0"/>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jc w:val="center"/>
              <w:rPr>
                <w:rFonts w:hint="eastAsia" w:ascii="宋体" w:hAnsi="宋体" w:cs="宋体"/>
                <w:szCs w:val="21"/>
                <w:lang w:eastAsia="zh-CN"/>
              </w:rPr>
            </w:pPr>
            <w:r>
              <w:rPr>
                <w:rFonts w:hint="default"/>
              </w:rPr>
              <w:t>砂石破碎</w:t>
            </w:r>
            <w:r>
              <w:rPr>
                <w:rFonts w:hint="default"/>
                <w:lang w:eastAsia="zh-CN"/>
              </w:rPr>
              <w:t>、</w:t>
            </w:r>
            <w:r>
              <w:rPr>
                <w:rFonts w:hint="default"/>
              </w:rPr>
              <w:t>筛分粉尘</w:t>
            </w:r>
          </w:p>
        </w:tc>
        <w:tc>
          <w:tcPr>
            <w:tcW w:w="1418"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颗粒物</w:t>
            </w:r>
          </w:p>
        </w:tc>
        <w:tc>
          <w:tcPr>
            <w:tcW w:w="3260" w:type="dxa"/>
            <w:noWrap w:val="0"/>
            <w:vAlign w:val="center"/>
          </w:tcPr>
          <w:p>
            <w:pPr>
              <w:jc w:val="center"/>
              <w:rPr>
                <w:rFonts w:hint="eastAsia" w:ascii="宋体" w:hAnsi="宋体" w:cs="宋体"/>
                <w:szCs w:val="21"/>
                <w:lang w:val="en-US" w:eastAsia="zh-CN"/>
              </w:rPr>
            </w:pPr>
            <w:r>
              <w:rPr>
                <w:rFonts w:hint="default"/>
                <w:lang w:val="en-US" w:eastAsia="zh-CN"/>
              </w:rPr>
              <w:t>水雾除尘</w:t>
            </w:r>
            <w:r>
              <w:rPr>
                <w:rFonts w:hint="eastAsia"/>
              </w:rPr>
              <w:t>，封闭厂房</w:t>
            </w:r>
          </w:p>
        </w:tc>
        <w:tc>
          <w:tcPr>
            <w:tcW w:w="1167" w:type="dxa"/>
            <w:vMerge w:val="continue"/>
            <w:noWrap w:val="0"/>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jc w:val="center"/>
              <w:rPr>
                <w:rFonts w:hint="eastAsia" w:ascii="宋体" w:hAnsi="宋体" w:cs="宋体"/>
                <w:szCs w:val="21"/>
                <w:lang w:eastAsia="zh-CN"/>
              </w:rPr>
            </w:pPr>
            <w:r>
              <w:rPr>
                <w:rFonts w:hint="eastAsia"/>
              </w:rPr>
              <w:t>砂石原料库粉尘</w:t>
            </w:r>
          </w:p>
        </w:tc>
        <w:tc>
          <w:tcPr>
            <w:tcW w:w="1418"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颗粒物</w:t>
            </w:r>
          </w:p>
        </w:tc>
        <w:tc>
          <w:tcPr>
            <w:tcW w:w="3260" w:type="dxa"/>
            <w:noWrap w:val="0"/>
            <w:vAlign w:val="center"/>
          </w:tcPr>
          <w:p>
            <w:pPr>
              <w:jc w:val="center"/>
              <w:rPr>
                <w:rFonts w:hint="eastAsia" w:ascii="宋体" w:hAnsi="宋体" w:cs="宋体"/>
                <w:szCs w:val="21"/>
                <w:lang w:val="en-US" w:eastAsia="zh-CN"/>
              </w:rPr>
            </w:pPr>
            <w:r>
              <w:rPr>
                <w:rFonts w:hint="eastAsia"/>
              </w:rPr>
              <w:t>洒水降尘，封闭库房</w:t>
            </w:r>
          </w:p>
        </w:tc>
        <w:tc>
          <w:tcPr>
            <w:tcW w:w="1167" w:type="dxa"/>
            <w:vMerge w:val="continue"/>
            <w:noWrap w:val="0"/>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jc w:val="center"/>
              <w:rPr>
                <w:szCs w:val="21"/>
              </w:rPr>
            </w:pPr>
            <w:r>
              <w:rPr>
                <w:rFonts w:hint="eastAsia"/>
              </w:rPr>
              <w:t>厂内装载车辆运输粉尘</w:t>
            </w:r>
          </w:p>
        </w:tc>
        <w:tc>
          <w:tcPr>
            <w:tcW w:w="1418" w:type="dxa"/>
            <w:noWrap w:val="0"/>
            <w:vAlign w:val="center"/>
          </w:tcPr>
          <w:p>
            <w:pPr>
              <w:adjustRightInd w:val="0"/>
              <w:snapToGrid w:val="0"/>
              <w:jc w:val="center"/>
              <w:rPr>
                <w:szCs w:val="21"/>
              </w:rPr>
            </w:pPr>
            <w:r>
              <w:rPr>
                <w:rFonts w:hint="eastAsia" w:ascii="宋体" w:hAnsi="宋体" w:cs="宋体"/>
                <w:szCs w:val="21"/>
                <w:lang w:eastAsia="zh-CN"/>
              </w:rPr>
              <w:t>颗粒物</w:t>
            </w:r>
          </w:p>
        </w:tc>
        <w:tc>
          <w:tcPr>
            <w:tcW w:w="3260" w:type="dxa"/>
            <w:noWrap w:val="0"/>
            <w:vAlign w:val="center"/>
          </w:tcPr>
          <w:p>
            <w:pPr>
              <w:jc w:val="center"/>
              <w:rPr>
                <w:szCs w:val="21"/>
              </w:rPr>
            </w:pPr>
            <w:r>
              <w:rPr>
                <w:rFonts w:hint="eastAsia"/>
              </w:rPr>
              <w:t>遮盖运输、地面硬化、洒水降尘、轮胎冲洗</w:t>
            </w:r>
          </w:p>
        </w:tc>
        <w:tc>
          <w:tcPr>
            <w:tcW w:w="1167" w:type="dxa"/>
            <w:vMerge w:val="continue"/>
            <w:noWrap w:val="0"/>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jc w:val="center"/>
              <w:rPr>
                <w:szCs w:val="21"/>
              </w:rPr>
            </w:pPr>
            <w:r>
              <w:rPr>
                <w:rFonts w:hint="default"/>
              </w:rPr>
              <w:t>给料机及输送带产生的粉尘</w:t>
            </w:r>
          </w:p>
        </w:tc>
        <w:tc>
          <w:tcPr>
            <w:tcW w:w="1418" w:type="dxa"/>
            <w:noWrap w:val="0"/>
            <w:vAlign w:val="center"/>
          </w:tcPr>
          <w:p>
            <w:pPr>
              <w:adjustRightInd w:val="0"/>
              <w:snapToGrid w:val="0"/>
              <w:jc w:val="center"/>
              <w:rPr>
                <w:szCs w:val="21"/>
              </w:rPr>
            </w:pPr>
            <w:r>
              <w:rPr>
                <w:rFonts w:hint="eastAsia"/>
                <w:lang w:val="en-US" w:eastAsia="zh-CN"/>
              </w:rPr>
              <w:t>颗粒物</w:t>
            </w:r>
          </w:p>
        </w:tc>
        <w:tc>
          <w:tcPr>
            <w:tcW w:w="3260" w:type="dxa"/>
            <w:noWrap w:val="0"/>
            <w:vAlign w:val="center"/>
          </w:tcPr>
          <w:p>
            <w:pPr>
              <w:jc w:val="center"/>
              <w:rPr>
                <w:bCs/>
                <w:szCs w:val="21"/>
              </w:rPr>
            </w:pPr>
            <w:r>
              <w:rPr>
                <w:rFonts w:hint="eastAsia"/>
              </w:rPr>
              <w:t>湿法作业、全封闭式输送带、封闭厂房</w:t>
            </w:r>
          </w:p>
        </w:tc>
        <w:tc>
          <w:tcPr>
            <w:tcW w:w="1167" w:type="dxa"/>
            <w:vMerge w:val="continue"/>
            <w:noWrap w:val="0"/>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adjustRightInd w:val="0"/>
              <w:snapToGrid w:val="0"/>
              <w:jc w:val="center"/>
              <w:rPr>
                <w:szCs w:val="21"/>
              </w:rPr>
            </w:pPr>
            <w:r>
              <w:rPr>
                <w:rFonts w:hint="eastAsia" w:ascii="宋体" w:hAnsi="宋体" w:cs="宋体"/>
                <w:szCs w:val="21"/>
                <w:lang w:eastAsia="zh-CN"/>
              </w:rPr>
              <w:t>汽车尾气</w:t>
            </w:r>
          </w:p>
        </w:tc>
        <w:tc>
          <w:tcPr>
            <w:tcW w:w="1418" w:type="dxa"/>
            <w:noWrap w:val="0"/>
            <w:vAlign w:val="center"/>
          </w:tcPr>
          <w:p>
            <w:pPr>
              <w:adjustRightInd w:val="0"/>
              <w:snapToGrid w:val="0"/>
              <w:jc w:val="center"/>
              <w:rPr>
                <w:szCs w:val="21"/>
              </w:rPr>
            </w:pPr>
            <w:r>
              <w:rPr>
                <w:rFonts w:hint="eastAsia" w:ascii="宋体" w:hAnsi="宋体" w:cs="宋体"/>
                <w:szCs w:val="21"/>
                <w:lang w:eastAsia="zh-CN"/>
              </w:rPr>
              <w:t>颗粒物</w:t>
            </w:r>
          </w:p>
        </w:tc>
        <w:tc>
          <w:tcPr>
            <w:tcW w:w="3260" w:type="dxa"/>
            <w:noWrap w:val="0"/>
            <w:vAlign w:val="center"/>
          </w:tcPr>
          <w:p>
            <w:pPr>
              <w:adjustRightInd w:val="0"/>
              <w:snapToGrid w:val="0"/>
              <w:jc w:val="center"/>
              <w:rPr>
                <w:szCs w:val="21"/>
              </w:rPr>
            </w:pPr>
            <w:r>
              <w:rPr>
                <w:rFonts w:hint="eastAsia" w:ascii="宋体" w:hAnsi="宋体" w:cs="宋体"/>
                <w:szCs w:val="21"/>
                <w:lang w:eastAsia="zh-CN"/>
              </w:rPr>
              <w:t>注意车辆维护和保养</w:t>
            </w:r>
          </w:p>
        </w:tc>
        <w:tc>
          <w:tcPr>
            <w:tcW w:w="1167" w:type="dxa"/>
            <w:vMerge w:val="continue"/>
            <w:noWrap w:val="0"/>
            <w:vAlign w:val="center"/>
          </w:tcPr>
          <w:p>
            <w:pPr>
              <w:adjustRightInd w:val="0"/>
              <w:snapToGrid w:val="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厨房油烟</w:t>
            </w:r>
          </w:p>
        </w:tc>
        <w:tc>
          <w:tcPr>
            <w:tcW w:w="1418"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颗粒物</w:t>
            </w:r>
          </w:p>
        </w:tc>
        <w:tc>
          <w:tcPr>
            <w:tcW w:w="3260" w:type="dxa"/>
            <w:noWrap w:val="0"/>
            <w:vAlign w:val="center"/>
          </w:tcPr>
          <w:p>
            <w:pPr>
              <w:adjustRightInd w:val="0"/>
              <w:snapToGrid w:val="0"/>
              <w:jc w:val="center"/>
              <w:rPr>
                <w:rFonts w:hint="eastAsia" w:ascii="宋体" w:hAnsi="宋体" w:cs="宋体"/>
                <w:szCs w:val="21"/>
                <w:lang w:eastAsia="zh-CN"/>
              </w:rPr>
            </w:pPr>
            <w:r>
              <w:rPr>
                <w:rFonts w:hint="eastAsia" w:ascii="宋体" w:hAnsi="宋体" w:cs="宋体"/>
                <w:szCs w:val="21"/>
                <w:lang w:eastAsia="zh-CN"/>
              </w:rPr>
              <w:t>抽油烟净化器</w:t>
            </w:r>
          </w:p>
        </w:tc>
        <w:tc>
          <w:tcPr>
            <w:tcW w:w="1167" w:type="dxa"/>
            <w:noWrap w:val="0"/>
            <w:vAlign w:val="center"/>
          </w:tcPr>
          <w:p>
            <w:pPr>
              <w:adjustRightInd w:val="0"/>
              <w:snapToGrid w:val="0"/>
              <w:jc w:val="center"/>
              <w:rPr>
                <w:szCs w:val="21"/>
              </w:rPr>
            </w:pPr>
            <w:r>
              <w:rPr>
                <w:rFonts w:hint="eastAsia" w:ascii="宋体" w:hAnsi="宋体" w:eastAsia="宋体" w:cs="宋体"/>
                <w:color w:val="000000"/>
                <w:kern w:val="0"/>
                <w:sz w:val="21"/>
                <w:szCs w:val="21"/>
                <w:lang w:val="en-US" w:eastAsia="zh-CN" w:bidi="ar"/>
              </w:rPr>
              <w:t>《饮食业油烟排放标准》（试行）（</w:t>
            </w:r>
            <w:r>
              <w:rPr>
                <w:rFonts w:hint="default" w:ascii="Times New Roman" w:hAnsi="Times New Roman" w:eastAsia="宋体" w:cs="Times New Roman"/>
                <w:color w:val="000000"/>
                <w:kern w:val="0"/>
                <w:sz w:val="21"/>
                <w:szCs w:val="21"/>
                <w:lang w:val="en-US" w:eastAsia="zh-CN" w:bidi="ar"/>
              </w:rPr>
              <w:t>GB18483-2001</w:t>
            </w:r>
            <w:r>
              <w:rPr>
                <w:rFonts w:hint="eastAsia" w:ascii="宋体" w:hAnsi="宋体" w:eastAsia="宋体" w:cs="宋体"/>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restart"/>
            <w:noWrap w:val="0"/>
            <w:vAlign w:val="center"/>
          </w:tcPr>
          <w:p>
            <w:pPr>
              <w:adjustRightInd w:val="0"/>
              <w:snapToGrid w:val="0"/>
              <w:jc w:val="center"/>
              <w:rPr>
                <w:szCs w:val="21"/>
              </w:rPr>
            </w:pPr>
            <w:r>
              <w:rPr>
                <w:szCs w:val="21"/>
              </w:rPr>
              <w:t>地表水环境</w:t>
            </w:r>
          </w:p>
        </w:tc>
        <w:tc>
          <w:tcPr>
            <w:tcW w:w="1701" w:type="dxa"/>
            <w:noWrap w:val="0"/>
            <w:vAlign w:val="center"/>
          </w:tcPr>
          <w:p>
            <w:pPr>
              <w:adjustRightInd w:val="0"/>
              <w:snapToGrid w:val="0"/>
              <w:spacing w:line="280" w:lineRule="exact"/>
              <w:jc w:val="center"/>
              <w:rPr>
                <w:szCs w:val="21"/>
              </w:rPr>
            </w:pPr>
            <w:r>
              <w:rPr>
                <w:szCs w:val="21"/>
              </w:rPr>
              <w:t>生产废水</w:t>
            </w:r>
          </w:p>
        </w:tc>
        <w:tc>
          <w:tcPr>
            <w:tcW w:w="1418" w:type="dxa"/>
            <w:vMerge w:val="restart"/>
            <w:noWrap w:val="0"/>
            <w:vAlign w:val="center"/>
          </w:tcPr>
          <w:p>
            <w:pPr>
              <w:adjustRightInd w:val="0"/>
              <w:snapToGrid w:val="0"/>
              <w:spacing w:line="280" w:lineRule="exact"/>
              <w:jc w:val="center"/>
              <w:rPr>
                <w:szCs w:val="21"/>
              </w:rPr>
            </w:pPr>
            <w:r>
              <w:rPr>
                <w:szCs w:val="21"/>
              </w:rPr>
              <w:t>SS</w:t>
            </w:r>
          </w:p>
          <w:p>
            <w:pPr>
              <w:adjustRightInd w:val="0"/>
              <w:snapToGrid w:val="0"/>
              <w:spacing w:line="280" w:lineRule="exact"/>
              <w:jc w:val="center"/>
              <w:rPr>
                <w:szCs w:val="21"/>
              </w:rPr>
            </w:pPr>
            <w:r>
              <w:rPr>
                <w:szCs w:val="21"/>
              </w:rPr>
              <w:t>石油类</w:t>
            </w:r>
          </w:p>
        </w:tc>
        <w:tc>
          <w:tcPr>
            <w:tcW w:w="3260" w:type="dxa"/>
            <w:noWrap w:val="0"/>
            <w:vAlign w:val="center"/>
          </w:tcPr>
          <w:p>
            <w:pPr>
              <w:adjustRightInd w:val="0"/>
              <w:snapToGrid w:val="0"/>
              <w:spacing w:line="280" w:lineRule="exact"/>
              <w:jc w:val="center"/>
              <w:rPr>
                <w:szCs w:val="21"/>
              </w:rPr>
            </w:pPr>
            <w:r>
              <w:rPr>
                <w:rFonts w:hint="eastAsia"/>
                <w:szCs w:val="21"/>
              </w:rPr>
              <w:t>厂区</w:t>
            </w:r>
            <w:r>
              <w:rPr>
                <w:szCs w:val="21"/>
              </w:rPr>
              <w:t>建设1个</w:t>
            </w:r>
            <w:r>
              <w:rPr>
                <w:rFonts w:hint="eastAsia"/>
                <w:szCs w:val="21"/>
              </w:rPr>
              <w:t>3</w:t>
            </w:r>
            <w:r>
              <w:rPr>
                <w:szCs w:val="21"/>
              </w:rPr>
              <w:t>级沉淀池65.61m</w:t>
            </w:r>
            <w:r>
              <w:rPr>
                <w:szCs w:val="21"/>
                <w:vertAlign w:val="superscript"/>
              </w:rPr>
              <w:t>3</w:t>
            </w:r>
            <w:r>
              <w:rPr>
                <w:szCs w:val="21"/>
              </w:rPr>
              <w:t>；</w:t>
            </w:r>
            <w:r>
              <w:rPr>
                <w:rFonts w:hint="eastAsia"/>
                <w:szCs w:val="21"/>
              </w:rPr>
              <w:t>1个</w:t>
            </w:r>
            <w:r>
              <w:rPr>
                <w:szCs w:val="21"/>
              </w:rPr>
              <w:t>清水池</w:t>
            </w:r>
            <w:r>
              <w:rPr>
                <w:rFonts w:hint="eastAsia"/>
                <w:szCs w:val="21"/>
              </w:rPr>
              <w:t>36</w:t>
            </w:r>
            <w:r>
              <w:rPr>
                <w:szCs w:val="21"/>
              </w:rPr>
              <w:t>m</w:t>
            </w:r>
            <w:r>
              <w:rPr>
                <w:szCs w:val="21"/>
                <w:vertAlign w:val="superscript"/>
              </w:rPr>
              <w:t>3</w:t>
            </w:r>
            <w:r>
              <w:rPr>
                <w:szCs w:val="21"/>
              </w:rPr>
              <w:t>，并</w:t>
            </w:r>
            <w:r>
              <w:rPr>
                <w:rFonts w:hint="eastAsia"/>
                <w:szCs w:val="21"/>
              </w:rPr>
              <w:t>在</w:t>
            </w:r>
            <w:r>
              <w:rPr>
                <w:szCs w:val="21"/>
              </w:rPr>
              <w:t>沉淀池旁配套</w:t>
            </w:r>
            <w:r>
              <w:rPr>
                <w:rFonts w:hint="eastAsia"/>
                <w:szCs w:val="21"/>
              </w:rPr>
              <w:t>1套板框压滤机</w:t>
            </w:r>
            <w:r>
              <w:rPr>
                <w:szCs w:val="21"/>
              </w:rPr>
              <w:t>；</w:t>
            </w:r>
            <w:r>
              <w:rPr>
                <w:rFonts w:hint="eastAsia"/>
                <w:szCs w:val="21"/>
              </w:rPr>
              <w:t>生产废水经沉淀处理后用于场地冲洗和降尘</w:t>
            </w:r>
          </w:p>
        </w:tc>
        <w:tc>
          <w:tcPr>
            <w:tcW w:w="1167" w:type="dxa"/>
            <w:vMerge w:val="restart"/>
            <w:noWrap w:val="0"/>
            <w:vAlign w:val="center"/>
          </w:tcPr>
          <w:p>
            <w:pPr>
              <w:adjustRightInd w:val="0"/>
              <w:snapToGrid w:val="0"/>
              <w:spacing w:line="280" w:lineRule="exact"/>
              <w:jc w:val="center"/>
              <w:rPr>
                <w:szCs w:val="21"/>
              </w:rPr>
            </w:pPr>
            <w:r>
              <w:rPr>
                <w:bCs/>
                <w:snapToGrid w:val="0"/>
                <w:kern w:val="0"/>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pStyle w:val="120"/>
              <w:rPr>
                <w:szCs w:val="21"/>
              </w:rPr>
            </w:pPr>
            <w:r>
              <w:rPr>
                <w:rFonts w:hint="eastAsia"/>
                <w:lang w:val="en-US" w:eastAsia="zh-CN"/>
              </w:rPr>
              <w:t>轮胎冲洗废水</w:t>
            </w:r>
          </w:p>
        </w:tc>
        <w:tc>
          <w:tcPr>
            <w:tcW w:w="1418" w:type="dxa"/>
            <w:vMerge w:val="continue"/>
            <w:noWrap w:val="0"/>
            <w:vAlign w:val="center"/>
          </w:tcPr>
          <w:p>
            <w:pPr>
              <w:adjustRightInd w:val="0"/>
              <w:snapToGrid w:val="0"/>
              <w:spacing w:line="280" w:lineRule="exact"/>
              <w:jc w:val="center"/>
              <w:rPr>
                <w:szCs w:val="21"/>
              </w:rPr>
            </w:pPr>
          </w:p>
        </w:tc>
        <w:tc>
          <w:tcPr>
            <w:tcW w:w="3260" w:type="dxa"/>
            <w:noWrap w:val="0"/>
            <w:vAlign w:val="center"/>
          </w:tcPr>
          <w:p>
            <w:pPr>
              <w:pStyle w:val="120"/>
              <w:rPr>
                <w:rFonts w:hint="eastAsia"/>
                <w:szCs w:val="21"/>
              </w:rPr>
            </w:pPr>
            <w:r>
              <w:rPr>
                <w:rFonts w:hint="eastAsia"/>
                <w:bCs/>
                <w:kern w:val="0"/>
              </w:rPr>
              <w:t>排入</w:t>
            </w:r>
            <w:r>
              <w:rPr>
                <w:rFonts w:hint="eastAsia"/>
                <w:szCs w:val="21"/>
              </w:rPr>
              <w:t>沉淀</w:t>
            </w:r>
            <w:r>
              <w:rPr>
                <w:rFonts w:hint="eastAsia"/>
                <w:bCs/>
                <w:kern w:val="0"/>
              </w:rPr>
              <w:t>池，</w:t>
            </w:r>
            <w:r>
              <w:rPr>
                <w:rFonts w:hint="eastAsia"/>
                <w:bCs/>
                <w:kern w:val="0"/>
                <w:lang w:val="en-US" w:eastAsia="zh-CN"/>
              </w:rPr>
              <w:t>处理后</w:t>
            </w:r>
            <w:r>
              <w:rPr>
                <w:rFonts w:hint="eastAsia"/>
                <w:bCs/>
                <w:kern w:val="0"/>
              </w:rPr>
              <w:t>作为生产用水循环使用不外排</w:t>
            </w:r>
          </w:p>
        </w:tc>
        <w:tc>
          <w:tcPr>
            <w:tcW w:w="1167" w:type="dxa"/>
            <w:vMerge w:val="continue"/>
            <w:noWrap w:val="0"/>
            <w:vAlign w:val="center"/>
          </w:tcPr>
          <w:p>
            <w:pPr>
              <w:adjustRightInd w:val="0"/>
              <w:snapToGrid w:val="0"/>
              <w:spacing w:line="280" w:lineRule="exact"/>
              <w:jc w:val="center"/>
              <w:rPr>
                <w:bCs/>
                <w:snapToGrid w:val="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pStyle w:val="120"/>
              <w:rPr>
                <w:szCs w:val="21"/>
              </w:rPr>
            </w:pPr>
            <w:r>
              <w:rPr>
                <w:rFonts w:hint="eastAsia"/>
                <w:lang w:val="en-US" w:eastAsia="zh-CN"/>
              </w:rPr>
              <w:t>初期雨水</w:t>
            </w:r>
          </w:p>
        </w:tc>
        <w:tc>
          <w:tcPr>
            <w:tcW w:w="1418" w:type="dxa"/>
            <w:vMerge w:val="continue"/>
            <w:noWrap w:val="0"/>
            <w:vAlign w:val="center"/>
          </w:tcPr>
          <w:p>
            <w:pPr>
              <w:adjustRightInd w:val="0"/>
              <w:snapToGrid w:val="0"/>
              <w:spacing w:line="280" w:lineRule="exact"/>
              <w:jc w:val="center"/>
              <w:rPr>
                <w:szCs w:val="21"/>
              </w:rPr>
            </w:pPr>
          </w:p>
        </w:tc>
        <w:tc>
          <w:tcPr>
            <w:tcW w:w="3260" w:type="dxa"/>
            <w:noWrap w:val="0"/>
            <w:vAlign w:val="center"/>
          </w:tcPr>
          <w:p>
            <w:pPr>
              <w:pStyle w:val="120"/>
              <w:rPr>
                <w:rFonts w:hint="eastAsia"/>
                <w:szCs w:val="21"/>
              </w:rPr>
            </w:pPr>
            <w:r>
              <w:rPr>
                <w:rFonts w:hint="eastAsia"/>
                <w:bCs/>
                <w:kern w:val="0"/>
              </w:rPr>
              <w:t>雨污分流、</w:t>
            </w:r>
            <w:r>
              <w:rPr>
                <w:bCs/>
                <w:kern w:val="0"/>
              </w:rPr>
              <w:t>设置截排水沟，将雨水导排至</w:t>
            </w:r>
            <w:r>
              <w:rPr>
                <w:rFonts w:hint="eastAsia"/>
                <w:bCs/>
                <w:kern w:val="0"/>
              </w:rPr>
              <w:t>初期雨水</w:t>
            </w:r>
            <w:r>
              <w:rPr>
                <w:bCs/>
                <w:kern w:val="0"/>
              </w:rPr>
              <w:t>沉淀水池</w:t>
            </w:r>
            <w:r>
              <w:rPr>
                <w:rFonts w:hint="eastAsia"/>
                <w:bCs/>
                <w:kern w:val="0"/>
              </w:rPr>
              <w:t>处理后，作为生产用水回用</w:t>
            </w:r>
          </w:p>
        </w:tc>
        <w:tc>
          <w:tcPr>
            <w:tcW w:w="1167" w:type="dxa"/>
            <w:vMerge w:val="continue"/>
            <w:noWrap w:val="0"/>
            <w:vAlign w:val="center"/>
          </w:tcPr>
          <w:p>
            <w:pPr>
              <w:adjustRightInd w:val="0"/>
              <w:snapToGrid w:val="0"/>
              <w:spacing w:line="280" w:lineRule="exact"/>
              <w:jc w:val="center"/>
              <w:rPr>
                <w:bCs/>
                <w:snapToGrid w:val="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vMerge w:val="continue"/>
            <w:noWrap w:val="0"/>
            <w:vAlign w:val="center"/>
          </w:tcPr>
          <w:p>
            <w:pPr>
              <w:adjustRightInd w:val="0"/>
              <w:snapToGrid w:val="0"/>
              <w:jc w:val="center"/>
              <w:rPr>
                <w:szCs w:val="21"/>
              </w:rPr>
            </w:pPr>
          </w:p>
        </w:tc>
        <w:tc>
          <w:tcPr>
            <w:tcW w:w="1701" w:type="dxa"/>
            <w:noWrap w:val="0"/>
            <w:vAlign w:val="center"/>
          </w:tcPr>
          <w:p>
            <w:pPr>
              <w:adjustRightInd w:val="0"/>
              <w:snapToGrid w:val="0"/>
              <w:spacing w:line="280" w:lineRule="exact"/>
              <w:jc w:val="center"/>
              <w:rPr>
                <w:rFonts w:hint="eastAsia"/>
                <w:szCs w:val="21"/>
              </w:rPr>
            </w:pPr>
            <w:r>
              <w:rPr>
                <w:rFonts w:hint="eastAsia"/>
                <w:szCs w:val="21"/>
              </w:rPr>
              <w:t>生活</w:t>
            </w:r>
            <w:r>
              <w:rPr>
                <w:szCs w:val="21"/>
              </w:rPr>
              <w:t>废水</w:t>
            </w:r>
          </w:p>
        </w:tc>
        <w:tc>
          <w:tcPr>
            <w:tcW w:w="1418" w:type="dxa"/>
            <w:noWrap w:val="0"/>
            <w:vAlign w:val="center"/>
          </w:tcPr>
          <w:p>
            <w:pPr>
              <w:adjustRightInd w:val="0"/>
              <w:snapToGrid w:val="0"/>
              <w:spacing w:line="280" w:lineRule="exact"/>
              <w:jc w:val="center"/>
              <w:rPr>
                <w:rFonts w:hint="eastAsia"/>
                <w:szCs w:val="21"/>
              </w:rPr>
            </w:pPr>
            <w:r>
              <w:rPr>
                <w:szCs w:val="21"/>
              </w:rPr>
              <w:t>COD</w:t>
            </w:r>
            <w:r>
              <w:rPr>
                <w:rFonts w:hint="eastAsia"/>
                <w:szCs w:val="21"/>
              </w:rPr>
              <w:t>、</w:t>
            </w:r>
            <w:r>
              <w:rPr>
                <w:szCs w:val="21"/>
              </w:rPr>
              <w:t>BOD</w:t>
            </w:r>
            <w:r>
              <w:rPr>
                <w:szCs w:val="21"/>
                <w:vertAlign w:val="subscript"/>
              </w:rPr>
              <w:t>5</w:t>
            </w:r>
            <w:r>
              <w:rPr>
                <w:szCs w:val="21"/>
              </w:rPr>
              <w:t>、氨氮</w:t>
            </w:r>
            <w:r>
              <w:rPr>
                <w:rFonts w:hint="eastAsia"/>
                <w:szCs w:val="21"/>
              </w:rPr>
              <w:t>、</w:t>
            </w:r>
            <w:r>
              <w:rPr>
                <w:szCs w:val="21"/>
              </w:rPr>
              <w:t>磷酸盐、动植物油</w:t>
            </w:r>
          </w:p>
        </w:tc>
        <w:tc>
          <w:tcPr>
            <w:tcW w:w="3260" w:type="dxa"/>
            <w:noWrap w:val="0"/>
            <w:vAlign w:val="center"/>
          </w:tcPr>
          <w:p>
            <w:pPr>
              <w:adjustRightInd w:val="0"/>
              <w:snapToGrid w:val="0"/>
              <w:spacing w:line="280" w:lineRule="exact"/>
              <w:jc w:val="center"/>
              <w:rPr>
                <w:rFonts w:hint="eastAsia"/>
                <w:szCs w:val="21"/>
              </w:rPr>
            </w:pPr>
            <w:r>
              <w:rPr>
                <w:rFonts w:hint="eastAsia"/>
                <w:lang w:val="en-US" w:eastAsia="zh-CN"/>
              </w:rPr>
              <w:t>厨废水经隔油池处理，汇同其他生活污水进入厂内厌氧预处理池处理后，排入水工园区污水管网及园区污水处理厂处置</w:t>
            </w:r>
          </w:p>
        </w:tc>
        <w:tc>
          <w:tcPr>
            <w:tcW w:w="1167" w:type="dxa"/>
            <w:vMerge w:val="continue"/>
            <w:noWrap w:val="0"/>
            <w:vAlign w:val="center"/>
          </w:tcPr>
          <w:p>
            <w:pPr>
              <w:adjustRightInd w:val="0"/>
              <w:snapToGrid w:val="0"/>
              <w:spacing w:line="280" w:lineRule="exact"/>
              <w:jc w:val="center"/>
              <w:rPr>
                <w:bCs/>
                <w:snapToGrid w:val="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noWrap w:val="0"/>
            <w:vAlign w:val="center"/>
          </w:tcPr>
          <w:p>
            <w:pPr>
              <w:adjustRightInd w:val="0"/>
              <w:snapToGrid w:val="0"/>
              <w:jc w:val="center"/>
              <w:rPr>
                <w:szCs w:val="21"/>
              </w:rPr>
            </w:pPr>
            <w:r>
              <w:rPr>
                <w:szCs w:val="21"/>
              </w:rPr>
              <w:t>声环境</w:t>
            </w:r>
          </w:p>
        </w:tc>
        <w:tc>
          <w:tcPr>
            <w:tcW w:w="1701" w:type="dxa"/>
            <w:noWrap w:val="0"/>
            <w:vAlign w:val="center"/>
          </w:tcPr>
          <w:p>
            <w:pPr>
              <w:adjustRightInd w:val="0"/>
              <w:snapToGrid w:val="0"/>
              <w:spacing w:line="280" w:lineRule="exact"/>
              <w:jc w:val="center"/>
              <w:rPr>
                <w:szCs w:val="21"/>
              </w:rPr>
            </w:pPr>
            <w:r>
              <w:rPr>
                <w:szCs w:val="21"/>
              </w:rPr>
              <w:t>厂界四周</w:t>
            </w:r>
          </w:p>
        </w:tc>
        <w:tc>
          <w:tcPr>
            <w:tcW w:w="1418" w:type="dxa"/>
            <w:noWrap w:val="0"/>
            <w:vAlign w:val="center"/>
          </w:tcPr>
          <w:p>
            <w:pPr>
              <w:adjustRightInd w:val="0"/>
              <w:snapToGrid w:val="0"/>
              <w:jc w:val="center"/>
              <w:rPr>
                <w:szCs w:val="21"/>
              </w:rPr>
            </w:pPr>
            <w:r>
              <w:rPr>
                <w:rFonts w:hint="eastAsia" w:ascii="宋体" w:hAnsi="宋体" w:cs="宋体"/>
                <w:szCs w:val="21"/>
                <w:lang w:eastAsia="zh-CN"/>
              </w:rPr>
              <w:t>设备运行噪声</w:t>
            </w:r>
          </w:p>
        </w:tc>
        <w:tc>
          <w:tcPr>
            <w:tcW w:w="3260" w:type="dxa"/>
            <w:noWrap w:val="0"/>
            <w:vAlign w:val="center"/>
          </w:tcPr>
          <w:p>
            <w:pPr>
              <w:adjustRightInd w:val="0"/>
              <w:snapToGrid w:val="0"/>
              <w:jc w:val="center"/>
              <w:rPr>
                <w:szCs w:val="21"/>
              </w:rPr>
            </w:pPr>
            <w:r>
              <w:rPr>
                <w:rFonts w:hint="eastAsia" w:ascii="宋体" w:hAnsi="宋体" w:cs="宋体"/>
                <w:szCs w:val="21"/>
                <w:lang w:eastAsia="zh-CN"/>
              </w:rPr>
              <w:t>合理布局，选用低噪声设备，基础减震，确保设备正常运行等</w:t>
            </w:r>
          </w:p>
        </w:tc>
        <w:tc>
          <w:tcPr>
            <w:tcW w:w="1167" w:type="dxa"/>
            <w:noWrap w:val="0"/>
            <w:vAlign w:val="center"/>
          </w:tcPr>
          <w:p>
            <w:pPr>
              <w:adjustRightInd w:val="0"/>
              <w:snapToGrid w:val="0"/>
              <w:spacing w:line="280" w:lineRule="exact"/>
              <w:jc w:val="center"/>
              <w:rPr>
                <w:szCs w:val="21"/>
              </w:rPr>
            </w:pPr>
            <w:r>
              <w:rPr>
                <w:szCs w:val="21"/>
              </w:rPr>
              <w:t>《工业企业厂界环境噪声排放标准》（GB12348-2008）2类标准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noWrap w:val="0"/>
            <w:vAlign w:val="center"/>
          </w:tcPr>
          <w:p>
            <w:pPr>
              <w:adjustRightInd w:val="0"/>
              <w:snapToGrid w:val="0"/>
              <w:spacing w:line="360" w:lineRule="auto"/>
              <w:jc w:val="center"/>
              <w:rPr>
                <w:szCs w:val="21"/>
              </w:rPr>
            </w:pPr>
            <w:r>
              <w:rPr>
                <w:szCs w:val="21"/>
              </w:rPr>
              <w:t>电磁辐射</w:t>
            </w:r>
          </w:p>
        </w:tc>
        <w:tc>
          <w:tcPr>
            <w:tcW w:w="1701" w:type="dxa"/>
            <w:noWrap w:val="0"/>
            <w:vAlign w:val="center"/>
          </w:tcPr>
          <w:p>
            <w:pPr>
              <w:adjustRightInd w:val="0"/>
              <w:snapToGrid w:val="0"/>
              <w:spacing w:line="360" w:lineRule="auto"/>
              <w:jc w:val="center"/>
              <w:rPr>
                <w:szCs w:val="21"/>
              </w:rPr>
            </w:pPr>
            <w:r>
              <w:rPr>
                <w:szCs w:val="21"/>
              </w:rPr>
              <w:t>/</w:t>
            </w:r>
          </w:p>
        </w:tc>
        <w:tc>
          <w:tcPr>
            <w:tcW w:w="1418" w:type="dxa"/>
            <w:noWrap w:val="0"/>
            <w:vAlign w:val="center"/>
          </w:tcPr>
          <w:p>
            <w:pPr>
              <w:adjustRightInd w:val="0"/>
              <w:snapToGrid w:val="0"/>
              <w:spacing w:line="360" w:lineRule="auto"/>
              <w:jc w:val="center"/>
              <w:rPr>
                <w:szCs w:val="21"/>
              </w:rPr>
            </w:pPr>
            <w:r>
              <w:rPr>
                <w:szCs w:val="21"/>
              </w:rPr>
              <w:t>/</w:t>
            </w:r>
          </w:p>
        </w:tc>
        <w:tc>
          <w:tcPr>
            <w:tcW w:w="3260" w:type="dxa"/>
            <w:noWrap w:val="0"/>
            <w:vAlign w:val="center"/>
          </w:tcPr>
          <w:p>
            <w:pPr>
              <w:adjustRightInd w:val="0"/>
              <w:snapToGrid w:val="0"/>
              <w:spacing w:line="360" w:lineRule="auto"/>
              <w:jc w:val="center"/>
              <w:rPr>
                <w:szCs w:val="21"/>
              </w:rPr>
            </w:pPr>
            <w:r>
              <w:rPr>
                <w:szCs w:val="21"/>
              </w:rPr>
              <w:t>/</w:t>
            </w:r>
          </w:p>
        </w:tc>
        <w:tc>
          <w:tcPr>
            <w:tcW w:w="1167" w:type="dxa"/>
            <w:noWrap w:val="0"/>
            <w:vAlign w:val="center"/>
          </w:tcPr>
          <w:p>
            <w:pPr>
              <w:adjustRightInd w:val="0"/>
              <w:snapToGrid w:val="0"/>
              <w:spacing w:line="360" w:lineRule="auto"/>
              <w:jc w:val="center"/>
              <w:rPr>
                <w:szCs w:val="21"/>
              </w:rPr>
            </w:pPr>
            <w:r>
              <w:rPr>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noWrap w:val="0"/>
            <w:vAlign w:val="center"/>
          </w:tcPr>
          <w:p>
            <w:pPr>
              <w:adjustRightInd w:val="0"/>
              <w:snapToGrid w:val="0"/>
              <w:spacing w:line="360" w:lineRule="auto"/>
              <w:jc w:val="center"/>
              <w:rPr>
                <w:szCs w:val="21"/>
              </w:rPr>
            </w:pPr>
            <w:r>
              <w:rPr>
                <w:szCs w:val="21"/>
              </w:rPr>
              <w:t>固体废物</w:t>
            </w:r>
          </w:p>
        </w:tc>
        <w:tc>
          <w:tcPr>
            <w:tcW w:w="7546" w:type="dxa"/>
            <w:gridSpan w:val="4"/>
            <w:noWrap w:val="0"/>
            <w:vAlign w:val="center"/>
          </w:tcPr>
          <w:p>
            <w:pPr>
              <w:keepNext w:val="0"/>
              <w:keepLines w:val="0"/>
              <w:widowControl/>
              <w:suppressLineNumbers w:val="0"/>
              <w:spacing w:line="240" w:lineRule="auto"/>
              <w:jc w:val="left"/>
              <w:rPr>
                <w:sz w:val="21"/>
                <w:szCs w:val="21"/>
              </w:rPr>
            </w:pPr>
            <w:r>
              <w:rPr>
                <w:rFonts w:hint="eastAsia" w:ascii="宋体" w:hAnsi="宋体" w:eastAsia="宋体" w:cs="宋体"/>
                <w:color w:val="000000"/>
                <w:kern w:val="0"/>
                <w:sz w:val="21"/>
                <w:szCs w:val="21"/>
                <w:lang w:val="en-US" w:eastAsia="zh-CN" w:bidi="ar"/>
              </w:rPr>
              <w:t>①生活垃圾收集后由环卫部门统一清运处理</w:t>
            </w:r>
            <w:r>
              <w:rPr>
                <w:rFonts w:hint="eastAsia" w:ascii="宋体" w:hAnsi="宋体" w:cs="宋体"/>
                <w:color w:val="000000"/>
                <w:kern w:val="0"/>
                <w:sz w:val="21"/>
                <w:szCs w:val="21"/>
                <w:lang w:val="en-US" w:eastAsia="zh-CN" w:bidi="ar"/>
              </w:rPr>
              <w:t>。</w:t>
            </w:r>
          </w:p>
          <w:p>
            <w:pPr>
              <w:adjustRightInd w:val="0"/>
              <w:snapToGrid w:val="0"/>
              <w:spacing w:line="240" w:lineRule="auto"/>
              <w:jc w:val="left"/>
              <w:rPr>
                <w:rFonts w:hint="eastAsia" w:ascii="宋体" w:hAnsi="宋体" w:cs="宋体"/>
                <w:sz w:val="21"/>
                <w:szCs w:val="21"/>
                <w:lang w:val="en-US" w:eastAsia="zh-CN"/>
              </w:rPr>
            </w:pPr>
            <w:r>
              <w:rPr>
                <w:rFonts w:hint="eastAsia" w:ascii="宋体" w:hAnsi="宋体" w:cs="宋体"/>
                <w:sz w:val="21"/>
                <w:szCs w:val="21"/>
                <w:lang w:val="en-US" w:eastAsia="zh-CN"/>
              </w:rPr>
              <w:t>②污水预处理池污泥通过定期清掏，交由当地环卫部门统一清运处理。</w:t>
            </w:r>
          </w:p>
          <w:p>
            <w:pPr>
              <w:keepNext w:val="0"/>
              <w:keepLines w:val="0"/>
              <w:widowControl/>
              <w:suppressLineNumbers w:val="0"/>
              <w:spacing w:line="240" w:lineRule="auto"/>
              <w:jc w:val="left"/>
              <w:rPr>
                <w:sz w:val="21"/>
                <w:szCs w:val="21"/>
              </w:rPr>
            </w:pPr>
            <w:r>
              <w:rPr>
                <w:rFonts w:hint="eastAsia" w:ascii="宋体" w:hAnsi="宋体" w:eastAsia="宋体" w:cs="宋体"/>
                <w:color w:val="000000"/>
                <w:kern w:val="0"/>
                <w:sz w:val="21"/>
                <w:szCs w:val="21"/>
                <w:lang w:val="en-US" w:eastAsia="zh-CN" w:bidi="ar"/>
              </w:rPr>
              <w:t>③餐厨垃圾、隔油池产生的油渣</w:t>
            </w:r>
            <w:r>
              <w:rPr>
                <w:rFonts w:hint="eastAsia" w:ascii="宋体" w:hAnsi="宋体" w:cs="宋体"/>
                <w:color w:val="000000"/>
                <w:kern w:val="0"/>
                <w:sz w:val="21"/>
                <w:szCs w:val="21"/>
                <w:lang w:val="en-US" w:eastAsia="zh-CN" w:bidi="ar"/>
              </w:rPr>
              <w:t>交由有</w:t>
            </w:r>
            <w:r>
              <w:rPr>
                <w:rFonts w:hint="eastAsia" w:ascii="宋体" w:hAnsi="宋体" w:eastAsia="宋体" w:cs="宋体"/>
                <w:color w:val="000000"/>
                <w:kern w:val="0"/>
                <w:sz w:val="21"/>
                <w:szCs w:val="21"/>
                <w:lang w:val="en-US" w:eastAsia="zh-CN" w:bidi="ar"/>
              </w:rPr>
              <w:t>餐厨垃圾处理资质的单位统一清运处理</w:t>
            </w:r>
            <w:r>
              <w:rPr>
                <w:rFonts w:hint="eastAsia" w:ascii="宋体" w:hAnsi="宋体" w:cs="宋体"/>
                <w:color w:val="000000"/>
                <w:kern w:val="0"/>
                <w:sz w:val="21"/>
                <w:szCs w:val="21"/>
                <w:lang w:val="en-US" w:eastAsia="zh-CN" w:bidi="ar"/>
              </w:rPr>
              <w:t>。</w:t>
            </w:r>
          </w:p>
          <w:p>
            <w:pPr>
              <w:adjustRightInd w:val="0"/>
              <w:snapToGrid w:val="0"/>
              <w:spacing w:line="240" w:lineRule="auto"/>
              <w:jc w:val="left"/>
              <w:rPr>
                <w:rFonts w:hint="eastAsia" w:ascii="宋体" w:hAnsi="宋体" w:cs="宋体"/>
                <w:color w:val="000000"/>
                <w:kern w:val="0"/>
                <w:sz w:val="21"/>
                <w:szCs w:val="21"/>
                <w:lang w:val="en-US" w:eastAsia="zh-CN" w:bidi="ar"/>
              </w:rPr>
            </w:pPr>
            <w:r>
              <w:rPr>
                <w:rFonts w:hint="eastAsia" w:ascii="宋体" w:hAnsi="宋体" w:cs="宋体"/>
                <w:sz w:val="21"/>
                <w:szCs w:val="21"/>
                <w:lang w:val="en-US" w:eastAsia="zh-CN"/>
              </w:rPr>
              <w:t>④沉淀池污泥</w:t>
            </w:r>
            <w:r>
              <w:rPr>
                <w:rFonts w:hint="eastAsia" w:ascii="宋体" w:hAnsi="宋体" w:eastAsia="宋体" w:cs="宋体"/>
                <w:color w:val="000000"/>
                <w:kern w:val="0"/>
                <w:sz w:val="21"/>
                <w:szCs w:val="21"/>
                <w:lang w:val="en-US" w:eastAsia="zh-CN" w:bidi="ar"/>
              </w:rPr>
              <w:t>经压滤机脱水后回用于产品生产</w:t>
            </w:r>
            <w:r>
              <w:rPr>
                <w:rFonts w:hint="eastAsia" w:ascii="宋体" w:hAnsi="宋体" w:cs="宋体"/>
                <w:color w:val="000000"/>
                <w:kern w:val="0"/>
                <w:sz w:val="21"/>
                <w:szCs w:val="21"/>
                <w:lang w:val="en-US" w:eastAsia="zh-CN" w:bidi="ar"/>
              </w:rPr>
              <w:t>。</w:t>
            </w:r>
          </w:p>
          <w:p>
            <w:pPr>
              <w:adjustRightInd w:val="0"/>
              <w:snapToGrid w:val="0"/>
              <w:spacing w:line="360" w:lineRule="auto"/>
              <w:jc w:val="left"/>
              <w:rPr>
                <w:szCs w:val="21"/>
              </w:rPr>
            </w:pPr>
            <w:r>
              <w:rPr>
                <w:rFonts w:hint="eastAsia" w:ascii="宋体" w:hAnsi="宋体" w:cs="宋体"/>
                <w:color w:val="000000"/>
                <w:kern w:val="0"/>
                <w:sz w:val="21"/>
                <w:szCs w:val="21"/>
                <w:lang w:val="en-US" w:eastAsia="zh-CN" w:bidi="ar"/>
              </w:rPr>
              <w:t>⑤</w:t>
            </w:r>
            <w:r>
              <w:rPr>
                <w:rFonts w:hint="eastAsia" w:ascii="宋体" w:hAnsi="宋体" w:eastAsia="宋体" w:cs="宋体"/>
                <w:color w:val="000000"/>
                <w:kern w:val="0"/>
                <w:sz w:val="21"/>
                <w:szCs w:val="21"/>
                <w:lang w:val="en-US" w:eastAsia="zh-CN" w:bidi="ar"/>
              </w:rPr>
              <w:t>本项目危险废物暂存于危废暂存间内，定期交由有资质单位处理</w:t>
            </w:r>
            <w:r>
              <w:rPr>
                <w:rFonts w:hint="eastAsia" w:ascii="宋体" w:hAnsi="宋体" w:cs="宋体"/>
                <w:color w:val="000000"/>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noWrap w:val="0"/>
            <w:vAlign w:val="center"/>
          </w:tcPr>
          <w:p>
            <w:pPr>
              <w:adjustRightInd w:val="0"/>
              <w:snapToGrid w:val="0"/>
              <w:spacing w:line="360" w:lineRule="auto"/>
              <w:jc w:val="center"/>
              <w:rPr>
                <w:szCs w:val="21"/>
              </w:rPr>
            </w:pPr>
            <w:r>
              <w:rPr>
                <w:szCs w:val="21"/>
              </w:rPr>
              <w:t>土壤及地下水污染防治措施</w:t>
            </w:r>
          </w:p>
        </w:tc>
        <w:tc>
          <w:tcPr>
            <w:tcW w:w="7546" w:type="dxa"/>
            <w:gridSpan w:val="4"/>
            <w:noWrap w:val="0"/>
            <w:vAlign w:val="center"/>
          </w:tcPr>
          <w:p>
            <w:pPr>
              <w:adjustRightInd w:val="0"/>
              <w:snapToGrid w:val="0"/>
              <w:spacing w:line="360" w:lineRule="auto"/>
              <w:jc w:val="left"/>
              <w:rPr>
                <w:rFonts w:hint="eastAsia" w:eastAsia="宋体"/>
                <w:szCs w:val="21"/>
                <w:lang w:eastAsia="zh-CN"/>
              </w:rPr>
            </w:pPr>
            <w:r>
              <w:rPr>
                <w:rFonts w:hint="eastAsia" w:ascii="宋体" w:hAnsi="宋体" w:cs="宋体"/>
                <w:szCs w:val="21"/>
                <w:lang w:eastAsia="zh-CN"/>
              </w:rPr>
              <w:t>厂区内实行分区防渗治理措施。</w:t>
            </w:r>
            <w:r>
              <w:rPr>
                <w:rFonts w:hint="eastAsia"/>
              </w:rPr>
              <w:t>办公室、值班室、厂区道路简单防渗</w:t>
            </w:r>
            <w:r>
              <w:rPr>
                <w:rFonts w:hint="eastAsia"/>
                <w:lang w:eastAsia="zh-CN"/>
              </w:rPr>
              <w:t>；</w:t>
            </w:r>
            <w:r>
              <w:rPr>
                <w:rFonts w:hint="eastAsia"/>
              </w:rPr>
              <w:t>砂石原料库、商品混凝土生产区、</w:t>
            </w:r>
            <w:r>
              <w:rPr>
                <w:rFonts w:hint="eastAsia"/>
                <w:lang w:val="en-US" w:eastAsia="zh-CN"/>
              </w:rPr>
              <w:t>沙石生产区、</w:t>
            </w:r>
            <w:r>
              <w:rPr>
                <w:rFonts w:hint="eastAsia"/>
              </w:rPr>
              <w:t>生产实验室、机修间一般防渗</w:t>
            </w:r>
            <w:r>
              <w:rPr>
                <w:rFonts w:hint="eastAsia"/>
                <w:lang w:eastAsia="zh-CN"/>
              </w:rPr>
              <w:t>；</w:t>
            </w:r>
            <w:r>
              <w:rPr>
                <w:rFonts w:hint="eastAsia"/>
              </w:rPr>
              <w:t>危废暂存间、生活污水预处理池、餐饮废水隔油池、</w:t>
            </w:r>
            <w:r>
              <w:rPr>
                <w:rFonts w:hint="eastAsia"/>
                <w:lang w:val="en-US" w:eastAsia="zh-CN"/>
              </w:rPr>
              <w:t>沉淀池</w:t>
            </w:r>
            <w:r>
              <w:rPr>
                <w:rFonts w:hint="eastAsia"/>
              </w:rPr>
              <w:t>、初期雨水池重点防渗</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noWrap w:val="0"/>
            <w:vAlign w:val="center"/>
          </w:tcPr>
          <w:p>
            <w:pPr>
              <w:adjustRightInd w:val="0"/>
              <w:snapToGrid w:val="0"/>
              <w:spacing w:line="360" w:lineRule="auto"/>
              <w:jc w:val="center"/>
              <w:rPr>
                <w:szCs w:val="21"/>
              </w:rPr>
            </w:pPr>
            <w:r>
              <w:rPr>
                <w:szCs w:val="21"/>
              </w:rPr>
              <w:t>生态保护措施</w:t>
            </w:r>
          </w:p>
        </w:tc>
        <w:tc>
          <w:tcPr>
            <w:tcW w:w="7546" w:type="dxa"/>
            <w:gridSpan w:val="4"/>
            <w:noWrap w:val="0"/>
            <w:vAlign w:val="center"/>
          </w:tcPr>
          <w:p>
            <w:pPr>
              <w:adjustRightInd w:val="0"/>
              <w:snapToGrid w:val="0"/>
              <w:spacing w:line="360" w:lineRule="auto"/>
              <w:rPr>
                <w:rFonts w:hint="eastAsia"/>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4" w:type="dxa"/>
            <w:noWrap w:val="0"/>
            <w:vAlign w:val="center"/>
          </w:tcPr>
          <w:p>
            <w:pPr>
              <w:adjustRightInd w:val="0"/>
              <w:snapToGrid w:val="0"/>
              <w:spacing w:line="360" w:lineRule="auto"/>
              <w:jc w:val="center"/>
              <w:rPr>
                <w:spacing w:val="-8"/>
                <w:szCs w:val="21"/>
              </w:rPr>
            </w:pPr>
            <w:r>
              <w:rPr>
                <w:spacing w:val="-8"/>
                <w:szCs w:val="21"/>
              </w:rPr>
              <w:t>环境风险</w:t>
            </w:r>
          </w:p>
          <w:p>
            <w:pPr>
              <w:adjustRightInd w:val="0"/>
              <w:snapToGrid w:val="0"/>
              <w:spacing w:line="360" w:lineRule="auto"/>
              <w:jc w:val="center"/>
              <w:rPr>
                <w:spacing w:val="-8"/>
                <w:szCs w:val="21"/>
              </w:rPr>
            </w:pPr>
            <w:r>
              <w:rPr>
                <w:spacing w:val="-8"/>
                <w:szCs w:val="21"/>
              </w:rPr>
              <w:t>防范措施</w:t>
            </w:r>
          </w:p>
        </w:tc>
        <w:tc>
          <w:tcPr>
            <w:tcW w:w="7546"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12" w:firstLineChars="5"/>
              <w:jc w:val="left"/>
              <w:textAlignment w:val="auto"/>
              <w:rPr>
                <w:rFonts w:hint="eastAsia"/>
                <w:szCs w:val="21"/>
              </w:rPr>
            </w:pPr>
            <w:r>
              <w:rPr>
                <w:rFonts w:hint="eastAsia"/>
                <w:szCs w:val="21"/>
              </w:rPr>
              <w:t>（1）项目总图布置需符合《工业企业总平面设计规范》(GB50178-93)、《建筑设计防火规范》(GB50016-2006)等有关规定，在满足生产工艺要求的基础上，同时满足安全、卫生、环保、消防等有关标准规范的要求；</w:t>
            </w:r>
          </w:p>
          <w:p>
            <w:pPr>
              <w:keepNext w:val="0"/>
              <w:keepLines w:val="0"/>
              <w:pageBreakBefore w:val="0"/>
              <w:widowControl/>
              <w:kinsoku/>
              <w:wordWrap/>
              <w:overflowPunct/>
              <w:topLinePunct w:val="0"/>
              <w:autoSpaceDE/>
              <w:autoSpaceDN/>
              <w:bidi w:val="0"/>
              <w:adjustRightInd w:val="0"/>
              <w:snapToGrid w:val="0"/>
              <w:spacing w:line="360" w:lineRule="auto"/>
              <w:ind w:firstLine="12" w:firstLineChars="5"/>
              <w:jc w:val="left"/>
              <w:textAlignment w:val="auto"/>
              <w:rPr>
                <w:rFonts w:hint="eastAsia"/>
                <w:szCs w:val="21"/>
              </w:rPr>
            </w:pPr>
            <w:r>
              <w:rPr>
                <w:rFonts w:hint="eastAsia"/>
                <w:szCs w:val="21"/>
              </w:rPr>
              <w:t>（2）生产车间地面应进行一般防渗处理，杜绝了因出现“跑、冒、滴、漏”等问题造成土壤和地下水污染；</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szCs w:val="21"/>
              </w:rPr>
            </w:pPr>
            <w:r>
              <w:rPr>
                <w:rFonts w:hint="eastAsia"/>
                <w:szCs w:val="21"/>
              </w:rPr>
              <w:t>（3）规范操作流程，加强环境管理，定期对导流渠及管道进行疏通，及时对初期雨水池存水进行利用，日常保持放空状态，落实其作用。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54" w:type="dxa"/>
            <w:noWrap w:val="0"/>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tc>
        <w:tc>
          <w:tcPr>
            <w:tcW w:w="7546" w:type="dxa"/>
            <w:gridSpan w:val="4"/>
            <w:noWrap w:val="0"/>
            <w:vAlign w:val="center"/>
          </w:tcPr>
          <w:p>
            <w:pPr>
              <w:adjustRightInd w:val="0"/>
              <w:snapToGrid w:val="0"/>
              <w:spacing w:line="360" w:lineRule="auto"/>
              <w:ind w:firstLine="480" w:firstLineChars="200"/>
              <w:jc w:val="left"/>
              <w:rPr>
                <w:rFonts w:hint="eastAsia"/>
              </w:rPr>
            </w:pPr>
            <w:r>
              <w:rPr>
                <w:rFonts w:hint="eastAsia"/>
              </w:rPr>
              <w:t>1</w:t>
            </w:r>
            <w:r>
              <w:t>、环境管理和监测计划简要分析</w:t>
            </w:r>
          </w:p>
          <w:p>
            <w:pPr>
              <w:adjustRightInd w:val="0"/>
              <w:snapToGrid w:val="0"/>
              <w:spacing w:line="360" w:lineRule="auto"/>
              <w:ind w:firstLine="480" w:firstLineChars="200"/>
              <w:jc w:val="left"/>
              <w:rPr>
                <w:rFonts w:hint="eastAsia"/>
              </w:rPr>
            </w:pPr>
            <w:r>
              <w:rPr>
                <w:rFonts w:hint="eastAsia"/>
              </w:rPr>
              <w:t>（1）环境管理</w:t>
            </w:r>
          </w:p>
          <w:p>
            <w:pPr>
              <w:adjustRightInd w:val="0"/>
              <w:snapToGrid w:val="0"/>
              <w:spacing w:line="360" w:lineRule="auto"/>
              <w:ind w:firstLine="480" w:firstLineChars="200"/>
              <w:jc w:val="left"/>
              <w:rPr>
                <w:rFonts w:hint="eastAsia"/>
              </w:rPr>
            </w:pPr>
            <w:r>
              <w:t>环境管理是按照国家、省和市有关环境保护法规，进行环境管理，接受地方主管环保部门的监督，制定环保规划和目标，促使工程向“清洁生产”的方向不断发展。根据《国务院关于环境保护工作的决定》中有关建立和健全环保机构的精神，建议项目建成投产后，建立二级环境管理体系。各级领导对环境污染负有管、防、治的责任。</w:t>
            </w:r>
          </w:p>
          <w:p>
            <w:pPr>
              <w:adjustRightInd w:val="0"/>
              <w:snapToGrid w:val="0"/>
              <w:spacing w:line="360" w:lineRule="auto"/>
              <w:ind w:firstLine="480" w:firstLineChars="200"/>
              <w:jc w:val="left"/>
              <w:rPr>
                <w:rFonts w:hint="eastAsia"/>
              </w:rPr>
            </w:pPr>
            <w:r>
              <w:t>环境管理主要职责：</w:t>
            </w:r>
          </w:p>
          <w:p>
            <w:pPr>
              <w:adjustRightInd w:val="0"/>
              <w:snapToGrid w:val="0"/>
              <w:spacing w:line="360" w:lineRule="auto"/>
              <w:ind w:firstLine="480" w:firstLineChars="200"/>
              <w:jc w:val="left"/>
              <w:rPr>
                <w:rFonts w:hint="eastAsia"/>
              </w:rPr>
            </w:pPr>
            <w:r>
              <w:rPr>
                <w:rFonts w:hint="eastAsia"/>
              </w:rPr>
              <w:t>①</w:t>
            </w:r>
            <w:r>
              <w:t>认真贯彻国家和地方有关环保方针、政策、法规。</w:t>
            </w:r>
          </w:p>
          <w:p>
            <w:pPr>
              <w:adjustRightInd w:val="0"/>
              <w:snapToGrid w:val="0"/>
              <w:spacing w:line="360" w:lineRule="auto"/>
              <w:ind w:firstLine="480" w:firstLineChars="200"/>
              <w:jc w:val="left"/>
              <w:rPr>
                <w:rFonts w:hint="eastAsia"/>
              </w:rPr>
            </w:pPr>
            <w:r>
              <w:rPr>
                <w:rFonts w:hint="eastAsia"/>
              </w:rPr>
              <w:t>②</w:t>
            </w:r>
            <w:r>
              <w:t>通过环境管理制度的考核，提高全体员工的环保意识。</w:t>
            </w:r>
          </w:p>
          <w:p>
            <w:pPr>
              <w:adjustRightInd w:val="0"/>
              <w:snapToGrid w:val="0"/>
              <w:spacing w:line="360" w:lineRule="auto"/>
              <w:ind w:firstLine="480" w:firstLineChars="200"/>
              <w:jc w:val="left"/>
              <w:rPr>
                <w:rFonts w:hint="eastAsia"/>
              </w:rPr>
            </w:pPr>
            <w:r>
              <w:rPr>
                <w:rFonts w:hint="eastAsia"/>
              </w:rPr>
              <w:t>③</w:t>
            </w:r>
            <w:r>
              <w:t>建立、健全一套符合本项目实际情况的环境保护管理制度，使环保工作有章可循，并形成制度化管理。</w:t>
            </w:r>
          </w:p>
          <w:p>
            <w:pPr>
              <w:adjustRightInd w:val="0"/>
              <w:snapToGrid w:val="0"/>
              <w:spacing w:line="360" w:lineRule="auto"/>
              <w:ind w:firstLine="480" w:firstLineChars="200"/>
              <w:jc w:val="left"/>
              <w:rPr>
                <w:rFonts w:hint="eastAsia"/>
              </w:rPr>
            </w:pPr>
            <w:r>
              <w:rPr>
                <w:rFonts w:hint="eastAsia"/>
              </w:rPr>
              <w:t>④</w:t>
            </w:r>
            <w:r>
              <w:t>制定环境管理控制目标及实施办法，搞好全厂污染物总量控制。</w:t>
            </w:r>
          </w:p>
          <w:p>
            <w:pPr>
              <w:adjustRightInd w:val="0"/>
              <w:snapToGrid w:val="0"/>
              <w:spacing w:line="360" w:lineRule="auto"/>
              <w:ind w:firstLine="480" w:firstLineChars="200"/>
              <w:jc w:val="left"/>
              <w:rPr>
                <w:rFonts w:hint="eastAsia"/>
              </w:rPr>
            </w:pPr>
            <w:r>
              <w:rPr>
                <w:rFonts w:hint="eastAsia"/>
              </w:rPr>
              <w:t>⑤</w:t>
            </w:r>
            <w:r>
              <w:t>参与各项环保设施施工质量的检查和竣工验收；督查环保设施的运行和维护。</w:t>
            </w:r>
          </w:p>
          <w:p>
            <w:pPr>
              <w:adjustRightInd w:val="0"/>
              <w:snapToGrid w:val="0"/>
              <w:spacing w:line="360" w:lineRule="auto"/>
              <w:ind w:firstLine="480" w:firstLineChars="200"/>
              <w:jc w:val="left"/>
              <w:rPr>
                <w:rFonts w:hint="eastAsia"/>
              </w:rPr>
            </w:pPr>
            <w:r>
              <w:rPr>
                <w:rFonts w:hint="eastAsia"/>
              </w:rPr>
              <w:t>⑥</w:t>
            </w:r>
            <w:r>
              <w:t>建立健全企业环保统计等技术档案。</w:t>
            </w:r>
          </w:p>
          <w:p>
            <w:pPr>
              <w:adjustRightInd w:val="0"/>
              <w:snapToGrid w:val="0"/>
              <w:spacing w:line="360" w:lineRule="auto"/>
              <w:ind w:firstLine="480" w:firstLineChars="200"/>
              <w:rPr>
                <w:rFonts w:hint="eastAsia"/>
              </w:rPr>
            </w:pPr>
            <w:r>
              <w:rPr>
                <w:rFonts w:hint="eastAsia"/>
              </w:rPr>
              <w:t>（2）环保机构设置</w:t>
            </w:r>
          </w:p>
          <w:p>
            <w:pPr>
              <w:adjustRightInd w:val="0"/>
              <w:snapToGrid w:val="0"/>
              <w:spacing w:line="360" w:lineRule="auto"/>
              <w:ind w:firstLine="480" w:firstLineChars="200"/>
              <w:rPr>
                <w:rFonts w:hint="eastAsia"/>
              </w:rPr>
            </w:pPr>
            <w:r>
              <w:t>设立环境保护小组：由建设单位派1名员工负责全厂区的环保管理，制定年度环保措施计划，制定厂区环保有关条例、规章等；派1名具有一定环境方面识的人员负责厂区内环保计划的实施，进行现场监督，保证厂区内生活垃圾等及时得到清运，各类危险废物得到合理处置，保证厂区机械设备正常运转、厂界噪声达标等，并协助当地</w:t>
            </w:r>
            <w:r>
              <w:rPr>
                <w:rFonts w:hint="eastAsia"/>
              </w:rPr>
              <w:t>生态环境主管</w:t>
            </w:r>
            <w:r>
              <w:t>部门定期进行环境监测。</w:t>
            </w:r>
          </w:p>
          <w:p>
            <w:pPr>
              <w:adjustRightInd w:val="0"/>
              <w:snapToGrid w:val="0"/>
              <w:spacing w:line="360" w:lineRule="auto"/>
              <w:ind w:firstLine="480" w:firstLineChars="200"/>
              <w:rPr>
                <w:rFonts w:hint="eastAsia"/>
              </w:rPr>
            </w:pPr>
            <w:r>
              <w:t>要求所有环保管理人员及工作人员均应具有一定的环境工程及环境管理等方面的知识，并定期进行培训。</w:t>
            </w:r>
          </w:p>
          <w:p>
            <w:pPr>
              <w:adjustRightInd w:val="0"/>
              <w:snapToGrid w:val="0"/>
              <w:spacing w:line="360" w:lineRule="auto"/>
              <w:ind w:firstLine="480" w:firstLineChars="200"/>
              <w:rPr>
                <w:rFonts w:hint="eastAsia"/>
              </w:rPr>
            </w:pPr>
            <w:r>
              <w:t>企业采取的环境管理具体措施：</w:t>
            </w:r>
          </w:p>
          <w:p>
            <w:pPr>
              <w:adjustRightInd w:val="0"/>
              <w:snapToGrid w:val="0"/>
              <w:spacing w:line="360" w:lineRule="auto"/>
              <w:ind w:firstLine="480" w:firstLineChars="200"/>
              <w:rPr>
                <w:rFonts w:hint="eastAsia"/>
              </w:rPr>
            </w:pPr>
            <w:r>
              <w:rPr>
                <w:rFonts w:hint="eastAsia"/>
              </w:rPr>
              <w:t>①</w:t>
            </w:r>
            <w:r>
              <w:t>安排专人定期对厂区生产生活和环保设施进行巡查，如环保设施是否正常工作等，一旦发现问题，及时进行抢修；</w:t>
            </w:r>
          </w:p>
          <w:p>
            <w:pPr>
              <w:adjustRightInd w:val="0"/>
              <w:snapToGrid w:val="0"/>
              <w:spacing w:line="360" w:lineRule="auto"/>
              <w:ind w:firstLine="480" w:firstLineChars="200"/>
              <w:rPr>
                <w:rFonts w:hint="eastAsia"/>
              </w:rPr>
            </w:pPr>
            <w:r>
              <w:rPr>
                <w:rFonts w:hint="eastAsia"/>
              </w:rPr>
              <w:t>②</w:t>
            </w:r>
            <w:r>
              <w:t>加强对员工的环保、管理培训，使其认识到环保和安全生产的重要性；</w:t>
            </w:r>
          </w:p>
          <w:p>
            <w:pPr>
              <w:adjustRightInd w:val="0"/>
              <w:snapToGrid w:val="0"/>
              <w:spacing w:line="360" w:lineRule="auto"/>
              <w:ind w:firstLine="480" w:firstLineChars="200"/>
              <w:rPr>
                <w:rFonts w:hint="eastAsia"/>
              </w:rPr>
            </w:pPr>
            <w:r>
              <w:rPr>
                <w:rFonts w:hint="eastAsia"/>
              </w:rPr>
              <w:t>③</w:t>
            </w:r>
            <w:r>
              <w:t>加强对厂区尤其的现场管理。</w:t>
            </w:r>
          </w:p>
          <w:p>
            <w:pPr>
              <w:adjustRightInd w:val="0"/>
              <w:snapToGrid w:val="0"/>
              <w:spacing w:line="360" w:lineRule="auto"/>
              <w:ind w:firstLine="480" w:firstLineChars="200"/>
              <w:rPr>
                <w:rFonts w:hint="eastAsia"/>
              </w:rPr>
            </w:pPr>
            <w:r>
              <w:rPr>
                <w:rFonts w:hint="eastAsia"/>
              </w:rPr>
              <w:t>3、项目竣工环保验收“三同时”</w:t>
            </w:r>
          </w:p>
          <w:p>
            <w:pPr>
              <w:adjustRightInd w:val="0"/>
              <w:snapToGrid w:val="0"/>
              <w:spacing w:line="360" w:lineRule="auto"/>
              <w:ind w:firstLine="480" w:firstLineChars="200"/>
            </w:pPr>
            <w:r>
              <w:rPr>
                <w:rFonts w:hint="eastAsia"/>
              </w:rPr>
              <w:t>根据建设项目环境管理办法，环保设施必须与主体工程同时设计、同时施工、同时投入使用。在工程完成后，应对环境保护设施进行验收。</w:t>
            </w:r>
          </w:p>
          <w:p>
            <w:pPr>
              <w:adjustRightInd w:val="0"/>
              <w:snapToGrid w:val="0"/>
              <w:spacing w:line="360" w:lineRule="auto"/>
              <w:ind w:firstLine="480" w:firstLineChars="200"/>
            </w:pPr>
          </w:p>
          <w:p>
            <w:pPr>
              <w:adjustRightInd w:val="0"/>
              <w:snapToGrid w:val="0"/>
              <w:spacing w:line="360" w:lineRule="auto"/>
              <w:ind w:firstLine="480" w:firstLineChars="200"/>
            </w:pPr>
          </w:p>
          <w:p>
            <w:pPr>
              <w:adjustRightInd w:val="0"/>
              <w:snapToGrid w:val="0"/>
              <w:spacing w:line="360" w:lineRule="auto"/>
              <w:ind w:firstLine="480" w:firstLineChars="200"/>
            </w:pPr>
          </w:p>
          <w:p>
            <w:pPr>
              <w:adjustRightInd w:val="0"/>
              <w:snapToGrid w:val="0"/>
              <w:spacing w:line="360" w:lineRule="auto"/>
              <w:ind w:firstLine="480" w:firstLineChars="200"/>
            </w:pPr>
          </w:p>
          <w:p>
            <w:pPr>
              <w:adjustRightInd w:val="0"/>
              <w:snapToGrid w:val="0"/>
              <w:spacing w:line="360" w:lineRule="auto"/>
              <w:ind w:firstLine="480" w:firstLineChars="200"/>
            </w:pPr>
          </w:p>
          <w:p>
            <w:pPr>
              <w:adjustRightInd w:val="0"/>
              <w:snapToGrid w:val="0"/>
              <w:spacing w:line="360" w:lineRule="auto"/>
              <w:ind w:firstLine="480" w:firstLineChars="200"/>
            </w:pPr>
          </w:p>
          <w:p>
            <w:pPr>
              <w:adjustRightInd w:val="0"/>
              <w:snapToGrid w:val="0"/>
              <w:spacing w:line="360" w:lineRule="auto"/>
              <w:ind w:firstLine="480" w:firstLineChars="200"/>
            </w:pPr>
          </w:p>
          <w:p>
            <w:pPr>
              <w:adjustRightInd w:val="0"/>
              <w:snapToGrid w:val="0"/>
              <w:spacing w:line="360" w:lineRule="auto"/>
              <w:ind w:firstLine="480" w:firstLineChars="200"/>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tc>
      </w:tr>
    </w:tbl>
    <w:p>
      <w:pPr>
        <w:pStyle w:val="34"/>
        <w:jc w:val="center"/>
        <w:outlineLvl w:val="0"/>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eastAsia="黑体"/>
          <w:snapToGrid w:val="0"/>
          <w:sz w:val="30"/>
          <w:szCs w:val="30"/>
        </w:rPr>
        <w:t>六、结论</w:t>
      </w:r>
    </w:p>
    <w:tbl>
      <w:tblPr>
        <w:tblStyle w:val="3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hint="eastAsia"/>
                <w:bCs/>
                <w:sz w:val="24"/>
              </w:rPr>
            </w:pPr>
            <w:r>
              <w:rPr>
                <w:rFonts w:hint="eastAsia" w:ascii="Times New Roman" w:hAnsi="Times New Roman" w:eastAsia="宋体" w:cs="Times New Roman"/>
                <w:bCs/>
                <w:sz w:val="24"/>
                <w:lang w:val="en-US" w:eastAsia="zh-CN"/>
              </w:rPr>
              <w:t>乐山西建苏兴建材有限公司</w:t>
            </w:r>
            <w:r>
              <w:rPr>
                <w:rFonts w:hint="eastAsia" w:ascii="Times New Roman" w:hAnsi="Times New Roman" w:eastAsia="宋体" w:cs="Times New Roman"/>
                <w:bCs/>
                <w:sz w:val="24"/>
              </w:rPr>
              <w:t>拟建设于乐山市水口工业集中区内的</w:t>
            </w:r>
            <w:r>
              <w:rPr>
                <w:rFonts w:hint="eastAsia" w:ascii="Times New Roman" w:hAnsi="Times New Roman" w:eastAsia="宋体" w:cs="Times New Roman"/>
                <w:bCs/>
                <w:sz w:val="24"/>
                <w:lang w:val="en-US" w:eastAsia="zh-CN"/>
              </w:rPr>
              <w:t>绿色建材产业园项目</w:t>
            </w:r>
            <w:r>
              <w:rPr>
                <w:rFonts w:hint="eastAsia" w:ascii="Times New Roman" w:hAnsi="Times New Roman" w:eastAsia="宋体" w:cs="Times New Roman"/>
                <w:bCs/>
                <w:sz w:val="24"/>
              </w:rPr>
              <w:t>，建成</w:t>
            </w:r>
            <w:r>
              <w:rPr>
                <w:rFonts w:hint="eastAsia"/>
                <w:sz w:val="24"/>
              </w:rPr>
              <w:t>后主要从事加工生产商品混凝土，</w:t>
            </w:r>
            <w:r>
              <w:rPr>
                <w:rFonts w:hint="eastAsia"/>
                <w:bCs/>
                <w:sz w:val="24"/>
              </w:rPr>
              <w:t>项目所在区域环境质量现状满足相关环境质量标准和环境功能区划要求，项目建设符合“三线一单”要求。</w:t>
            </w:r>
          </w:p>
          <w:p>
            <w:pPr>
              <w:spacing w:line="360" w:lineRule="auto"/>
              <w:ind w:firstLine="480" w:firstLineChars="200"/>
              <w:rPr>
                <w:rFonts w:hint="eastAsia"/>
                <w:bCs/>
                <w:sz w:val="24"/>
              </w:rPr>
            </w:pPr>
            <w:r>
              <w:rPr>
                <w:rFonts w:hint="eastAsia"/>
                <w:bCs/>
                <w:sz w:val="24"/>
              </w:rPr>
              <w:t>本项目建设能获得良好的经济效益、社会效益。项目建成后，在认真落实本报告表中提出的污染防治措施并保证其正常运行，并落实本报告表提出的环境管理要求及监测计划的条件下，项目产生的污染物均可达标排放；对周边的水、大气、噪声、固体环境的影响较小；项目运营期能满足区域水、大气、声环境质量目标要求；对周边环境的影响是可以接受的，从环境保护的角度分析，项目的建设是可行。</w:t>
            </w:r>
          </w:p>
          <w:p>
            <w:pPr>
              <w:spacing w:line="360" w:lineRule="auto"/>
              <w:ind w:firstLine="480" w:firstLineChars="200"/>
              <w:rPr>
                <w:sz w:val="24"/>
              </w:rPr>
            </w:pPr>
          </w:p>
        </w:tc>
      </w:tr>
    </w:tbl>
    <w:p>
      <w:pPr>
        <w:sectPr>
          <w:pgSz w:w="11906" w:h="16838"/>
          <w:pgMar w:top="1701" w:right="1531" w:bottom="1701" w:left="1531" w:header="851" w:footer="851" w:gutter="0"/>
          <w:cols w:space="720" w:num="1"/>
          <w:docGrid w:linePitch="312" w:charSpace="0"/>
        </w:sectPr>
      </w:pPr>
    </w:p>
    <w:p>
      <w:pPr>
        <w:pStyle w:val="34"/>
        <w:adjustRightInd w:val="0"/>
        <w:snapToGrid w:val="0"/>
        <w:spacing w:before="0" w:beforeAutospacing="0" w:after="0" w:afterAutospacing="0" w:line="648" w:lineRule="auto"/>
        <w:outlineLvl w:val="0"/>
        <w:rPr>
          <w:rFonts w:ascii="Times New Roman" w:hAnsi="Times New Roman" w:eastAsia="黑体"/>
          <w:snapToGrid w:val="0"/>
          <w:sz w:val="32"/>
          <w:szCs w:val="32"/>
        </w:rPr>
      </w:pPr>
      <w:r>
        <w:rPr>
          <w:rFonts w:ascii="Times New Roman" w:hAnsi="Times New Roman" w:eastAsia="黑体"/>
          <w:snapToGrid w:val="0"/>
          <w:sz w:val="32"/>
          <w:szCs w:val="32"/>
        </w:rPr>
        <w:t>附表</w:t>
      </w:r>
    </w:p>
    <w:p>
      <w:pPr>
        <w:pStyle w:val="3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38"/>
        <w:tblW w:w="1414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46"/>
        <w:gridCol w:w="1694"/>
        <w:gridCol w:w="1271"/>
        <w:gridCol w:w="1694"/>
        <w:gridCol w:w="1552"/>
        <w:gridCol w:w="1754"/>
        <w:gridCol w:w="1951"/>
        <w:gridCol w:w="12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1446" w:type="dxa"/>
            <w:tcBorders>
              <w:tl2br w:val="single" w:color="auto" w:sz="4" w:space="0"/>
            </w:tcBorders>
            <w:noWrap w:val="0"/>
            <w:tcMar>
              <w:left w:w="28" w:type="dxa"/>
              <w:right w:w="28" w:type="dxa"/>
            </w:tcMar>
            <w:vAlign w:val="center"/>
          </w:tcPr>
          <w:p>
            <w:pPr>
              <w:pStyle w:val="103"/>
              <w:jc w:val="right"/>
              <w:rPr>
                <w:rFonts w:hint="eastAsia" w:ascii="黑体" w:hAnsi="黑体" w:eastAsia="黑体" w:cs="宋体"/>
                <w:snapToGrid w:val="0"/>
                <w:spacing w:val="-6"/>
                <w:kern w:val="21"/>
              </w:rPr>
            </w:pPr>
            <w:r>
              <w:rPr>
                <w:rFonts w:hint="eastAsia" w:ascii="黑体" w:hAnsi="黑体" w:eastAsia="黑体" w:cs="宋体"/>
                <w:snapToGrid w:val="0"/>
                <w:spacing w:val="-6"/>
                <w:kern w:val="21"/>
              </w:rPr>
              <w:t>项目</w:t>
            </w:r>
          </w:p>
          <w:p>
            <w:pPr>
              <w:pStyle w:val="103"/>
              <w:jc w:val="left"/>
              <w:rPr>
                <w:rFonts w:hint="eastAsia" w:ascii="黑体" w:hAnsi="黑体" w:eastAsia="黑体" w:cs="宋体"/>
                <w:snapToGrid w:val="0"/>
                <w:spacing w:val="-6"/>
                <w:kern w:val="21"/>
              </w:rPr>
            </w:pPr>
            <w:r>
              <w:rPr>
                <w:rFonts w:hint="eastAsia" w:ascii="黑体" w:hAnsi="黑体" w:eastAsia="黑体" w:cs="宋体"/>
                <w:snapToGrid w:val="0"/>
                <w:spacing w:val="-6"/>
                <w:kern w:val="21"/>
              </w:rPr>
              <w:t>分类</w:t>
            </w:r>
          </w:p>
        </w:tc>
        <w:tc>
          <w:tcPr>
            <w:tcW w:w="1546" w:type="dxa"/>
            <w:noWrap w:val="0"/>
            <w:tcMar>
              <w:left w:w="28" w:type="dxa"/>
              <w:right w:w="28" w:type="dxa"/>
            </w:tcMar>
            <w:vAlign w:val="center"/>
          </w:tcPr>
          <w:p>
            <w:pPr>
              <w:pStyle w:val="103"/>
              <w:rPr>
                <w:rFonts w:hint="eastAsia" w:ascii="黑体" w:hAnsi="黑体" w:eastAsia="黑体" w:cs="宋体"/>
                <w:snapToGrid w:val="0"/>
                <w:spacing w:val="-6"/>
                <w:kern w:val="21"/>
              </w:rPr>
            </w:pPr>
            <w:r>
              <w:rPr>
                <w:rFonts w:hint="eastAsia" w:ascii="黑体" w:hAnsi="黑体" w:eastAsia="黑体" w:cs="宋体"/>
                <w:snapToGrid w:val="0"/>
                <w:spacing w:val="-6"/>
                <w:kern w:val="21"/>
              </w:rPr>
              <w:t>污染物名称</w:t>
            </w:r>
          </w:p>
        </w:tc>
        <w:tc>
          <w:tcPr>
            <w:tcW w:w="1694" w:type="dxa"/>
            <w:noWrap w:val="0"/>
            <w:tcMar>
              <w:left w:w="28" w:type="dxa"/>
              <w:right w:w="28" w:type="dxa"/>
            </w:tcMar>
            <w:vAlign w:val="center"/>
          </w:tcPr>
          <w:p>
            <w:pPr>
              <w:pStyle w:val="103"/>
              <w:rPr>
                <w:rFonts w:hint="eastAsia" w:ascii="黑体" w:hAnsi="黑体" w:eastAsia="黑体"/>
                <w:snapToGrid w:val="0"/>
                <w:spacing w:val="-6"/>
                <w:kern w:val="21"/>
              </w:rPr>
            </w:pPr>
            <w:r>
              <w:rPr>
                <w:rFonts w:ascii="黑体" w:hAnsi="黑体" w:eastAsia="黑体"/>
                <w:snapToGrid w:val="0"/>
                <w:spacing w:val="-6"/>
                <w:kern w:val="21"/>
              </w:rPr>
              <w:t>现有工程</w:t>
            </w:r>
          </w:p>
          <w:p>
            <w:pPr>
              <w:pStyle w:val="103"/>
              <w:rPr>
                <w:rFonts w:ascii="黑体" w:hAnsi="黑体" w:eastAsia="黑体"/>
                <w:snapToGrid w:val="0"/>
                <w:spacing w:val="-6"/>
                <w:kern w:val="21"/>
              </w:rPr>
            </w:pPr>
            <w:r>
              <w:rPr>
                <w:rFonts w:ascii="黑体" w:hAnsi="黑体" w:eastAsia="黑体"/>
                <w:snapToGrid w:val="0"/>
                <w:spacing w:val="-6"/>
                <w:kern w:val="21"/>
              </w:rPr>
              <w:t>排放量（固</w:t>
            </w:r>
            <w:r>
              <w:rPr>
                <w:rFonts w:hint="eastAsia" w:ascii="黑体" w:hAnsi="黑体" w:eastAsia="黑体"/>
                <w:snapToGrid w:val="0"/>
                <w:spacing w:val="-6"/>
                <w:kern w:val="21"/>
              </w:rPr>
              <w:t>体</w:t>
            </w:r>
            <w:r>
              <w:rPr>
                <w:rFonts w:ascii="黑体" w:hAnsi="黑体" w:eastAsia="黑体"/>
                <w:snapToGrid w:val="0"/>
                <w:spacing w:val="-6"/>
                <w:kern w:val="21"/>
              </w:rPr>
              <w:t>废</w:t>
            </w:r>
            <w:r>
              <w:rPr>
                <w:rFonts w:hint="eastAsia" w:ascii="黑体" w:hAnsi="黑体" w:eastAsia="黑体"/>
                <w:snapToGrid w:val="0"/>
                <w:spacing w:val="-6"/>
                <w:kern w:val="21"/>
              </w:rPr>
              <w:t>物</w:t>
            </w:r>
            <w:r>
              <w:rPr>
                <w:rFonts w:ascii="黑体" w:hAnsi="黑体" w:eastAsia="黑体"/>
                <w:snapToGrid w:val="0"/>
                <w:spacing w:val="-6"/>
                <w:kern w:val="21"/>
              </w:rPr>
              <w:t>产生量）</w:t>
            </w:r>
            <w:r>
              <w:rPr>
                <w:rFonts w:ascii="黑体" w:hAnsi="黑体" w:eastAsia="黑体"/>
                <w:snapToGrid w:val="0"/>
                <w:spacing w:val="-6"/>
                <w:kern w:val="21"/>
              </w:rPr>
              <w:fldChar w:fldCharType="begin"/>
            </w:r>
            <w:r>
              <w:rPr>
                <w:rFonts w:ascii="黑体" w:hAnsi="黑体" w:eastAsia="黑体"/>
                <w:snapToGrid w:val="0"/>
                <w:spacing w:val="-6"/>
                <w:kern w:val="21"/>
              </w:rPr>
              <w:instrText xml:space="preserve"> = 1 \* GB3 \* MERGEFORMAT </w:instrText>
            </w:r>
            <w:r>
              <w:rPr>
                <w:rFonts w:ascii="黑体" w:hAnsi="黑体" w:eastAsia="黑体"/>
                <w:snapToGrid w:val="0"/>
                <w:spacing w:val="-6"/>
                <w:kern w:val="21"/>
              </w:rPr>
              <w:fldChar w:fldCharType="separate"/>
            </w:r>
            <w:r>
              <w:rPr>
                <w:rFonts w:hint="eastAsia" w:ascii="黑体" w:hAnsi="黑体" w:eastAsia="黑体" w:cs="宋体"/>
                <w:kern w:val="2"/>
              </w:rPr>
              <w:t>①</w:t>
            </w:r>
            <w:r>
              <w:rPr>
                <w:rFonts w:ascii="黑体" w:hAnsi="黑体" w:eastAsia="黑体"/>
                <w:snapToGrid w:val="0"/>
                <w:spacing w:val="-6"/>
                <w:kern w:val="21"/>
              </w:rPr>
              <w:fldChar w:fldCharType="end"/>
            </w:r>
          </w:p>
        </w:tc>
        <w:tc>
          <w:tcPr>
            <w:tcW w:w="1271" w:type="dxa"/>
            <w:noWrap w:val="0"/>
            <w:tcMar>
              <w:left w:w="28" w:type="dxa"/>
              <w:right w:w="28" w:type="dxa"/>
            </w:tcMar>
            <w:vAlign w:val="center"/>
          </w:tcPr>
          <w:p>
            <w:pPr>
              <w:pStyle w:val="103"/>
              <w:rPr>
                <w:rFonts w:ascii="黑体" w:hAnsi="黑体" w:eastAsia="黑体"/>
                <w:snapToGrid w:val="0"/>
                <w:spacing w:val="-6"/>
                <w:kern w:val="21"/>
              </w:rPr>
            </w:pPr>
            <w:r>
              <w:rPr>
                <w:rFonts w:ascii="黑体" w:hAnsi="黑体" w:eastAsia="黑体"/>
                <w:snapToGrid w:val="0"/>
                <w:spacing w:val="-6"/>
                <w:kern w:val="21"/>
              </w:rPr>
              <w:t>现有工程</w:t>
            </w:r>
          </w:p>
          <w:p>
            <w:pPr>
              <w:pStyle w:val="103"/>
              <w:rPr>
                <w:rFonts w:ascii="黑体" w:hAnsi="黑体" w:eastAsia="黑体"/>
                <w:snapToGrid w:val="0"/>
                <w:spacing w:val="-6"/>
                <w:kern w:val="21"/>
              </w:rPr>
            </w:pPr>
            <w:r>
              <w:rPr>
                <w:rFonts w:ascii="黑体" w:hAnsi="黑体" w:eastAsia="黑体"/>
                <w:snapToGrid w:val="0"/>
                <w:spacing w:val="-6"/>
                <w:kern w:val="21"/>
              </w:rPr>
              <w:t>许可排放量</w:t>
            </w:r>
          </w:p>
          <w:p>
            <w:pPr>
              <w:pStyle w:val="103"/>
              <w:rPr>
                <w:rFonts w:ascii="黑体" w:hAnsi="黑体" w:eastAsia="黑体"/>
                <w:snapToGrid w:val="0"/>
                <w:spacing w:val="-6"/>
                <w:kern w:val="21"/>
              </w:rPr>
            </w:pPr>
            <w:r>
              <w:rPr>
                <w:rFonts w:ascii="黑体" w:hAnsi="黑体" w:eastAsia="黑体"/>
                <w:snapToGrid w:val="0"/>
                <w:spacing w:val="-6"/>
                <w:kern w:val="21"/>
              </w:rPr>
              <w:fldChar w:fldCharType="begin"/>
            </w:r>
            <w:r>
              <w:rPr>
                <w:rFonts w:ascii="黑体" w:hAnsi="黑体" w:eastAsia="黑体"/>
                <w:snapToGrid w:val="0"/>
                <w:spacing w:val="-6"/>
                <w:kern w:val="21"/>
              </w:rPr>
              <w:instrText xml:space="preserve"> = 2 \* GB3 \* MERGEFORMAT </w:instrText>
            </w:r>
            <w:r>
              <w:rPr>
                <w:rFonts w:ascii="黑体" w:hAnsi="黑体" w:eastAsia="黑体"/>
                <w:snapToGrid w:val="0"/>
                <w:spacing w:val="-6"/>
                <w:kern w:val="21"/>
              </w:rPr>
              <w:fldChar w:fldCharType="separate"/>
            </w:r>
            <w:r>
              <w:rPr>
                <w:rFonts w:hint="eastAsia" w:ascii="黑体" w:hAnsi="黑体" w:eastAsia="黑体" w:cs="宋体"/>
                <w:snapToGrid w:val="0"/>
                <w:spacing w:val="-6"/>
                <w:kern w:val="21"/>
              </w:rPr>
              <w:t>②</w:t>
            </w:r>
            <w:r>
              <w:rPr>
                <w:rFonts w:ascii="黑体" w:hAnsi="黑体" w:eastAsia="黑体"/>
                <w:snapToGrid w:val="0"/>
                <w:spacing w:val="-6"/>
                <w:kern w:val="21"/>
              </w:rPr>
              <w:fldChar w:fldCharType="end"/>
            </w:r>
          </w:p>
        </w:tc>
        <w:tc>
          <w:tcPr>
            <w:tcW w:w="1694" w:type="dxa"/>
            <w:noWrap w:val="0"/>
            <w:tcMar>
              <w:left w:w="28" w:type="dxa"/>
              <w:right w:w="28" w:type="dxa"/>
            </w:tcMar>
            <w:vAlign w:val="center"/>
          </w:tcPr>
          <w:p>
            <w:pPr>
              <w:pStyle w:val="103"/>
              <w:rPr>
                <w:rFonts w:hint="eastAsia" w:ascii="黑体" w:hAnsi="黑体" w:eastAsia="黑体"/>
                <w:snapToGrid w:val="0"/>
                <w:spacing w:val="-6"/>
                <w:kern w:val="21"/>
              </w:rPr>
            </w:pPr>
            <w:r>
              <w:rPr>
                <w:rFonts w:ascii="黑体" w:hAnsi="黑体" w:eastAsia="黑体"/>
                <w:snapToGrid w:val="0"/>
                <w:spacing w:val="-6"/>
                <w:kern w:val="21"/>
              </w:rPr>
              <w:t>在建工程</w:t>
            </w:r>
          </w:p>
          <w:p>
            <w:pPr>
              <w:pStyle w:val="103"/>
              <w:rPr>
                <w:rFonts w:ascii="黑体" w:hAnsi="黑体" w:eastAsia="黑体"/>
                <w:snapToGrid w:val="0"/>
                <w:spacing w:val="-6"/>
                <w:kern w:val="21"/>
              </w:rPr>
            </w:pPr>
            <w:r>
              <w:rPr>
                <w:rFonts w:ascii="黑体" w:hAnsi="黑体" w:eastAsia="黑体"/>
                <w:snapToGrid w:val="0"/>
                <w:spacing w:val="-6"/>
                <w:kern w:val="21"/>
              </w:rPr>
              <w:t>排放量（固</w:t>
            </w:r>
            <w:r>
              <w:rPr>
                <w:rFonts w:hint="eastAsia" w:ascii="黑体" w:hAnsi="黑体" w:eastAsia="黑体"/>
                <w:snapToGrid w:val="0"/>
                <w:spacing w:val="-6"/>
                <w:kern w:val="21"/>
              </w:rPr>
              <w:t>体</w:t>
            </w:r>
            <w:r>
              <w:rPr>
                <w:rFonts w:ascii="黑体" w:hAnsi="黑体" w:eastAsia="黑体"/>
                <w:snapToGrid w:val="0"/>
                <w:spacing w:val="-6"/>
                <w:kern w:val="21"/>
              </w:rPr>
              <w:t>废</w:t>
            </w:r>
            <w:r>
              <w:rPr>
                <w:rFonts w:hint="eastAsia" w:ascii="黑体" w:hAnsi="黑体" w:eastAsia="黑体"/>
                <w:snapToGrid w:val="0"/>
                <w:spacing w:val="-6"/>
                <w:kern w:val="21"/>
              </w:rPr>
              <w:t>物</w:t>
            </w:r>
            <w:r>
              <w:rPr>
                <w:rFonts w:ascii="黑体" w:hAnsi="黑体" w:eastAsia="黑体"/>
                <w:snapToGrid w:val="0"/>
                <w:spacing w:val="-6"/>
                <w:kern w:val="21"/>
              </w:rPr>
              <w:t>产生量）</w:t>
            </w:r>
            <w:r>
              <w:rPr>
                <w:rFonts w:ascii="黑体" w:hAnsi="黑体" w:eastAsia="黑体"/>
                <w:snapToGrid w:val="0"/>
                <w:spacing w:val="-6"/>
                <w:kern w:val="21"/>
              </w:rPr>
              <w:fldChar w:fldCharType="begin"/>
            </w:r>
            <w:r>
              <w:rPr>
                <w:rFonts w:ascii="黑体" w:hAnsi="黑体" w:eastAsia="黑体"/>
                <w:snapToGrid w:val="0"/>
                <w:spacing w:val="-6"/>
                <w:kern w:val="21"/>
              </w:rPr>
              <w:instrText xml:space="preserve"> = 3 \* GB3 \* MERGEFORMAT </w:instrText>
            </w:r>
            <w:r>
              <w:rPr>
                <w:rFonts w:ascii="黑体" w:hAnsi="黑体" w:eastAsia="黑体"/>
                <w:snapToGrid w:val="0"/>
                <w:spacing w:val="-6"/>
                <w:kern w:val="21"/>
              </w:rPr>
              <w:fldChar w:fldCharType="separate"/>
            </w:r>
            <w:r>
              <w:rPr>
                <w:rFonts w:hint="eastAsia" w:ascii="黑体" w:hAnsi="黑体" w:eastAsia="黑体" w:cs="宋体"/>
                <w:kern w:val="2"/>
              </w:rPr>
              <w:t>③</w:t>
            </w:r>
            <w:r>
              <w:rPr>
                <w:rFonts w:ascii="黑体" w:hAnsi="黑体" w:eastAsia="黑体"/>
                <w:snapToGrid w:val="0"/>
                <w:spacing w:val="-6"/>
                <w:kern w:val="21"/>
              </w:rPr>
              <w:fldChar w:fldCharType="end"/>
            </w:r>
          </w:p>
        </w:tc>
        <w:tc>
          <w:tcPr>
            <w:tcW w:w="1552" w:type="dxa"/>
            <w:noWrap w:val="0"/>
            <w:tcMar>
              <w:left w:w="28" w:type="dxa"/>
              <w:right w:w="28" w:type="dxa"/>
            </w:tcMar>
            <w:vAlign w:val="center"/>
          </w:tcPr>
          <w:p>
            <w:pPr>
              <w:pStyle w:val="103"/>
              <w:rPr>
                <w:rFonts w:hint="eastAsia" w:ascii="黑体" w:hAnsi="黑体" w:eastAsia="黑体"/>
                <w:snapToGrid w:val="0"/>
                <w:spacing w:val="-6"/>
                <w:kern w:val="21"/>
              </w:rPr>
            </w:pPr>
            <w:r>
              <w:rPr>
                <w:rFonts w:ascii="黑体" w:hAnsi="黑体" w:eastAsia="黑体"/>
                <w:snapToGrid w:val="0"/>
                <w:spacing w:val="-6"/>
                <w:kern w:val="21"/>
              </w:rPr>
              <w:t>本项目</w:t>
            </w:r>
          </w:p>
          <w:p>
            <w:pPr>
              <w:pStyle w:val="103"/>
              <w:rPr>
                <w:rFonts w:ascii="黑体" w:hAnsi="黑体" w:eastAsia="黑体"/>
                <w:snapToGrid w:val="0"/>
                <w:spacing w:val="-6"/>
                <w:kern w:val="21"/>
              </w:rPr>
            </w:pPr>
            <w:r>
              <w:rPr>
                <w:rFonts w:ascii="黑体" w:hAnsi="黑体" w:eastAsia="黑体"/>
                <w:snapToGrid w:val="0"/>
                <w:spacing w:val="-6"/>
                <w:kern w:val="21"/>
              </w:rPr>
              <w:t>排放量（固</w:t>
            </w:r>
            <w:r>
              <w:rPr>
                <w:rFonts w:hint="eastAsia" w:ascii="黑体" w:hAnsi="黑体" w:eastAsia="黑体"/>
                <w:snapToGrid w:val="0"/>
                <w:spacing w:val="-6"/>
                <w:kern w:val="21"/>
              </w:rPr>
              <w:t>体</w:t>
            </w:r>
            <w:r>
              <w:rPr>
                <w:rFonts w:ascii="黑体" w:hAnsi="黑体" w:eastAsia="黑体"/>
                <w:snapToGrid w:val="0"/>
                <w:spacing w:val="-6"/>
                <w:kern w:val="21"/>
              </w:rPr>
              <w:t>废</w:t>
            </w:r>
            <w:r>
              <w:rPr>
                <w:rFonts w:hint="eastAsia" w:ascii="黑体" w:hAnsi="黑体" w:eastAsia="黑体"/>
                <w:snapToGrid w:val="0"/>
                <w:spacing w:val="-6"/>
                <w:kern w:val="21"/>
              </w:rPr>
              <w:t>物</w:t>
            </w:r>
            <w:r>
              <w:rPr>
                <w:rFonts w:ascii="黑体" w:hAnsi="黑体" w:eastAsia="黑体"/>
                <w:snapToGrid w:val="0"/>
                <w:spacing w:val="-6"/>
                <w:kern w:val="21"/>
              </w:rPr>
              <w:t>产生量）</w:t>
            </w:r>
            <w:r>
              <w:rPr>
                <w:rFonts w:ascii="黑体" w:hAnsi="黑体" w:eastAsia="黑体"/>
                <w:snapToGrid w:val="0"/>
                <w:spacing w:val="-6"/>
                <w:kern w:val="21"/>
              </w:rPr>
              <w:fldChar w:fldCharType="begin"/>
            </w:r>
            <w:r>
              <w:rPr>
                <w:rFonts w:ascii="黑体" w:hAnsi="黑体" w:eastAsia="黑体"/>
                <w:snapToGrid w:val="0"/>
                <w:spacing w:val="-6"/>
                <w:kern w:val="21"/>
              </w:rPr>
              <w:instrText xml:space="preserve"> = 4 \* GB3 \* MERGEFORMAT </w:instrText>
            </w:r>
            <w:r>
              <w:rPr>
                <w:rFonts w:ascii="黑体" w:hAnsi="黑体" w:eastAsia="黑体"/>
                <w:snapToGrid w:val="0"/>
                <w:spacing w:val="-6"/>
                <w:kern w:val="21"/>
              </w:rPr>
              <w:fldChar w:fldCharType="separate"/>
            </w:r>
            <w:r>
              <w:rPr>
                <w:rFonts w:hint="eastAsia" w:ascii="黑体" w:hAnsi="黑体" w:eastAsia="黑体" w:cs="宋体"/>
                <w:kern w:val="2"/>
              </w:rPr>
              <w:t>④</w:t>
            </w:r>
            <w:r>
              <w:rPr>
                <w:rFonts w:ascii="黑体" w:hAnsi="黑体" w:eastAsia="黑体"/>
                <w:snapToGrid w:val="0"/>
                <w:spacing w:val="-6"/>
                <w:kern w:val="21"/>
              </w:rPr>
              <w:fldChar w:fldCharType="end"/>
            </w:r>
          </w:p>
        </w:tc>
        <w:tc>
          <w:tcPr>
            <w:tcW w:w="1754" w:type="dxa"/>
            <w:noWrap w:val="0"/>
            <w:tcMar>
              <w:left w:w="28" w:type="dxa"/>
              <w:right w:w="28" w:type="dxa"/>
            </w:tcMar>
            <w:vAlign w:val="center"/>
          </w:tcPr>
          <w:p>
            <w:pPr>
              <w:pStyle w:val="103"/>
              <w:rPr>
                <w:rFonts w:hint="eastAsia" w:ascii="黑体" w:hAnsi="黑体" w:eastAsia="黑体"/>
                <w:snapToGrid w:val="0"/>
                <w:spacing w:val="-16"/>
                <w:kern w:val="21"/>
              </w:rPr>
            </w:pPr>
            <w:r>
              <w:rPr>
                <w:rFonts w:ascii="黑体" w:hAnsi="黑体" w:eastAsia="黑体"/>
                <w:snapToGrid w:val="0"/>
                <w:spacing w:val="-16"/>
                <w:kern w:val="21"/>
              </w:rPr>
              <w:t>以新带老削减量</w:t>
            </w:r>
          </w:p>
          <w:p>
            <w:pPr>
              <w:pStyle w:val="103"/>
              <w:rPr>
                <w:rFonts w:ascii="黑体" w:hAnsi="黑体" w:eastAsia="黑体"/>
                <w:snapToGrid w:val="0"/>
                <w:spacing w:val="-16"/>
                <w:kern w:val="21"/>
              </w:rPr>
            </w:pPr>
            <w:r>
              <w:rPr>
                <w:rFonts w:ascii="黑体" w:hAnsi="黑体" w:eastAsia="黑体"/>
                <w:snapToGrid w:val="0"/>
                <w:spacing w:val="-16"/>
                <w:kern w:val="21"/>
              </w:rPr>
              <w:t>（新建项目不填）</w:t>
            </w:r>
            <w:r>
              <w:rPr>
                <w:rFonts w:ascii="黑体" w:hAnsi="黑体" w:eastAsia="黑体"/>
                <w:snapToGrid w:val="0"/>
                <w:spacing w:val="-16"/>
                <w:kern w:val="21"/>
              </w:rPr>
              <w:fldChar w:fldCharType="begin"/>
            </w:r>
            <w:r>
              <w:rPr>
                <w:rFonts w:ascii="黑体" w:hAnsi="黑体" w:eastAsia="黑体"/>
                <w:snapToGrid w:val="0"/>
                <w:spacing w:val="-16"/>
                <w:kern w:val="21"/>
              </w:rPr>
              <w:instrText xml:space="preserve"> = 5 \* GB3 \* MERGEFORMAT </w:instrText>
            </w:r>
            <w:r>
              <w:rPr>
                <w:rFonts w:ascii="黑体" w:hAnsi="黑体" w:eastAsia="黑体"/>
                <w:snapToGrid w:val="0"/>
                <w:spacing w:val="-16"/>
                <w:kern w:val="21"/>
              </w:rPr>
              <w:fldChar w:fldCharType="separate"/>
            </w:r>
            <w:r>
              <w:rPr>
                <w:rFonts w:hint="eastAsia" w:ascii="黑体" w:hAnsi="黑体" w:eastAsia="黑体" w:cs="宋体"/>
                <w:kern w:val="2"/>
              </w:rPr>
              <w:t>⑤</w:t>
            </w:r>
            <w:r>
              <w:rPr>
                <w:rFonts w:ascii="黑体" w:hAnsi="黑体" w:eastAsia="黑体"/>
                <w:snapToGrid w:val="0"/>
                <w:spacing w:val="-16"/>
                <w:kern w:val="21"/>
              </w:rPr>
              <w:fldChar w:fldCharType="end"/>
            </w:r>
          </w:p>
        </w:tc>
        <w:tc>
          <w:tcPr>
            <w:tcW w:w="1951" w:type="dxa"/>
            <w:noWrap w:val="0"/>
            <w:tcMar>
              <w:left w:w="28" w:type="dxa"/>
              <w:right w:w="28" w:type="dxa"/>
            </w:tcMar>
            <w:vAlign w:val="center"/>
          </w:tcPr>
          <w:p>
            <w:pPr>
              <w:pStyle w:val="103"/>
              <w:rPr>
                <w:rFonts w:hint="eastAsia" w:ascii="黑体" w:hAnsi="黑体" w:eastAsia="黑体"/>
                <w:snapToGrid w:val="0"/>
                <w:spacing w:val="-16"/>
                <w:kern w:val="21"/>
              </w:rPr>
            </w:pPr>
            <w:r>
              <w:rPr>
                <w:rFonts w:ascii="黑体" w:hAnsi="黑体" w:eastAsia="黑体"/>
                <w:snapToGrid w:val="0"/>
                <w:spacing w:val="-16"/>
                <w:kern w:val="21"/>
              </w:rPr>
              <w:t>本项目建成后</w:t>
            </w:r>
          </w:p>
          <w:p>
            <w:pPr>
              <w:pStyle w:val="103"/>
              <w:rPr>
                <w:rFonts w:ascii="黑体" w:hAnsi="黑体" w:eastAsia="黑体"/>
                <w:snapToGrid w:val="0"/>
                <w:spacing w:val="-16"/>
                <w:kern w:val="21"/>
              </w:rPr>
            </w:pPr>
            <w:r>
              <w:rPr>
                <w:rFonts w:hint="eastAsia" w:ascii="黑体" w:hAnsi="黑体" w:eastAsia="黑体"/>
                <w:snapToGrid w:val="0"/>
                <w:spacing w:val="-16"/>
                <w:kern w:val="21"/>
              </w:rPr>
              <w:t>全厂</w:t>
            </w:r>
            <w:r>
              <w:rPr>
                <w:rFonts w:ascii="黑体" w:hAnsi="黑体" w:eastAsia="黑体"/>
                <w:snapToGrid w:val="0"/>
                <w:spacing w:val="-16"/>
                <w:kern w:val="21"/>
              </w:rPr>
              <w:t>排放量（固</w:t>
            </w:r>
            <w:r>
              <w:rPr>
                <w:rFonts w:hint="eastAsia" w:ascii="黑体" w:hAnsi="黑体" w:eastAsia="黑体"/>
                <w:snapToGrid w:val="0"/>
                <w:spacing w:val="-16"/>
                <w:kern w:val="21"/>
              </w:rPr>
              <w:t>体</w:t>
            </w:r>
            <w:r>
              <w:rPr>
                <w:rFonts w:ascii="黑体" w:hAnsi="黑体" w:eastAsia="黑体"/>
                <w:snapToGrid w:val="0"/>
                <w:spacing w:val="-16"/>
                <w:kern w:val="21"/>
              </w:rPr>
              <w:t>废</w:t>
            </w:r>
            <w:r>
              <w:rPr>
                <w:rFonts w:hint="eastAsia" w:ascii="黑体" w:hAnsi="黑体" w:eastAsia="黑体"/>
                <w:snapToGrid w:val="0"/>
                <w:spacing w:val="-16"/>
                <w:kern w:val="21"/>
              </w:rPr>
              <w:t>物</w:t>
            </w:r>
            <w:r>
              <w:rPr>
                <w:rFonts w:ascii="黑体" w:hAnsi="黑体" w:eastAsia="黑体"/>
                <w:snapToGrid w:val="0"/>
                <w:spacing w:val="-16"/>
                <w:kern w:val="21"/>
              </w:rPr>
              <w:t>产生量）</w:t>
            </w:r>
            <w:r>
              <w:rPr>
                <w:rFonts w:ascii="黑体" w:hAnsi="黑体" w:eastAsia="黑体"/>
                <w:snapToGrid w:val="0"/>
                <w:spacing w:val="-16"/>
                <w:kern w:val="21"/>
              </w:rPr>
              <w:fldChar w:fldCharType="begin"/>
            </w:r>
            <w:r>
              <w:rPr>
                <w:rFonts w:ascii="黑体" w:hAnsi="黑体" w:eastAsia="黑体"/>
                <w:snapToGrid w:val="0"/>
                <w:spacing w:val="-16"/>
                <w:kern w:val="21"/>
              </w:rPr>
              <w:instrText xml:space="preserve"> = 6 \* GB3 \* MERGEFORMAT </w:instrText>
            </w:r>
            <w:r>
              <w:rPr>
                <w:rFonts w:ascii="黑体" w:hAnsi="黑体" w:eastAsia="黑体"/>
                <w:snapToGrid w:val="0"/>
                <w:spacing w:val="-16"/>
                <w:kern w:val="21"/>
              </w:rPr>
              <w:fldChar w:fldCharType="separate"/>
            </w:r>
            <w:r>
              <w:rPr>
                <w:rFonts w:hint="eastAsia" w:ascii="黑体" w:hAnsi="黑体" w:eastAsia="黑体" w:cs="宋体"/>
                <w:kern w:val="2"/>
              </w:rPr>
              <w:t>⑥</w:t>
            </w:r>
            <w:r>
              <w:rPr>
                <w:rFonts w:ascii="黑体" w:hAnsi="黑体" w:eastAsia="黑体"/>
                <w:snapToGrid w:val="0"/>
                <w:spacing w:val="-16"/>
                <w:kern w:val="21"/>
              </w:rPr>
              <w:fldChar w:fldCharType="end"/>
            </w:r>
          </w:p>
        </w:tc>
        <w:tc>
          <w:tcPr>
            <w:tcW w:w="1236" w:type="dxa"/>
            <w:noWrap w:val="0"/>
            <w:tcMar>
              <w:left w:w="28" w:type="dxa"/>
              <w:right w:w="28" w:type="dxa"/>
            </w:tcMar>
            <w:vAlign w:val="center"/>
          </w:tcPr>
          <w:p>
            <w:pPr>
              <w:pStyle w:val="103"/>
              <w:rPr>
                <w:rFonts w:ascii="黑体" w:hAnsi="黑体" w:eastAsia="黑体"/>
                <w:snapToGrid w:val="0"/>
                <w:spacing w:val="-6"/>
                <w:kern w:val="21"/>
              </w:rPr>
            </w:pPr>
            <w:r>
              <w:rPr>
                <w:rFonts w:ascii="黑体" w:hAnsi="黑体" w:eastAsia="黑体"/>
                <w:snapToGrid w:val="0"/>
                <w:spacing w:val="-6"/>
                <w:kern w:val="21"/>
              </w:rPr>
              <w:t>变化量</w:t>
            </w:r>
          </w:p>
          <w:p>
            <w:pPr>
              <w:pStyle w:val="103"/>
              <w:rPr>
                <w:rFonts w:ascii="黑体" w:hAnsi="黑体" w:eastAsia="黑体"/>
                <w:snapToGrid w:val="0"/>
                <w:spacing w:val="-6"/>
                <w:kern w:val="21"/>
              </w:rPr>
            </w:pPr>
            <w:r>
              <w:rPr>
                <w:rFonts w:ascii="黑体" w:hAnsi="黑体" w:eastAsia="黑体"/>
                <w:snapToGrid w:val="0"/>
                <w:spacing w:val="-6"/>
                <w:kern w:val="21"/>
              </w:rPr>
              <w:fldChar w:fldCharType="begin"/>
            </w:r>
            <w:r>
              <w:rPr>
                <w:rFonts w:ascii="黑体" w:hAnsi="黑体" w:eastAsia="黑体"/>
                <w:snapToGrid w:val="0"/>
                <w:spacing w:val="-6"/>
                <w:kern w:val="21"/>
              </w:rPr>
              <w:instrText xml:space="preserve"> = 7 \* GB3 \* MERGEFORMAT </w:instrText>
            </w:r>
            <w:r>
              <w:rPr>
                <w:rFonts w:ascii="黑体" w:hAnsi="黑体" w:eastAsia="黑体"/>
                <w:snapToGrid w:val="0"/>
                <w:spacing w:val="-6"/>
                <w:kern w:val="21"/>
              </w:rPr>
              <w:fldChar w:fldCharType="separate"/>
            </w:r>
            <w:r>
              <w:rPr>
                <w:rFonts w:hint="eastAsia" w:ascii="黑体" w:hAnsi="黑体" w:eastAsia="黑体" w:cs="宋体"/>
                <w:kern w:val="2"/>
              </w:rPr>
              <w:t>⑦</w:t>
            </w:r>
            <w:r>
              <w:rPr>
                <w:rFonts w:ascii="黑体" w:hAnsi="黑体" w:eastAsia="黑体"/>
                <w:snapToGrid w:val="0"/>
                <w:spacing w:val="-6"/>
                <w:kern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vMerge w:val="restart"/>
            <w:noWrap w:val="0"/>
            <w:vAlign w:val="center"/>
          </w:tcPr>
          <w:p>
            <w:pPr>
              <w:pStyle w:val="103"/>
              <w:rPr>
                <w:rFonts w:hint="eastAsia" w:cs="宋体"/>
                <w:snapToGrid w:val="0"/>
                <w:kern w:val="21"/>
                <w:sz w:val="24"/>
                <w:szCs w:val="24"/>
              </w:rPr>
            </w:pPr>
            <w:r>
              <w:rPr>
                <w:rFonts w:hint="eastAsia" w:cs="宋体"/>
                <w:snapToGrid w:val="0"/>
                <w:kern w:val="21"/>
                <w:sz w:val="24"/>
                <w:szCs w:val="24"/>
              </w:rPr>
              <w:t>废气</w:t>
            </w:r>
          </w:p>
        </w:tc>
        <w:tc>
          <w:tcPr>
            <w:tcW w:w="1546" w:type="dxa"/>
            <w:noWrap w:val="0"/>
            <w:vAlign w:val="center"/>
          </w:tcPr>
          <w:p>
            <w:pPr>
              <w:pStyle w:val="103"/>
              <w:rPr>
                <w:rFonts w:cs="宋体"/>
                <w:snapToGrid w:val="0"/>
                <w:kern w:val="21"/>
                <w:sz w:val="24"/>
                <w:szCs w:val="24"/>
              </w:rPr>
            </w:pPr>
            <w:r>
              <w:rPr>
                <w:rFonts w:hint="eastAsia" w:cs="宋体"/>
                <w:snapToGrid w:val="0"/>
                <w:kern w:val="21"/>
                <w:sz w:val="24"/>
                <w:szCs w:val="24"/>
              </w:rPr>
              <w:t>颗粒物</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cs="宋体"/>
                <w:snapToGrid w:val="0"/>
                <w:kern w:val="21"/>
                <w:sz w:val="24"/>
                <w:szCs w:val="24"/>
              </w:rPr>
            </w:pPr>
            <w:r>
              <w:rPr>
                <w:rFonts w:hint="eastAsia" w:cs="宋体"/>
                <w:snapToGrid w:val="0"/>
                <w:kern w:val="21"/>
                <w:sz w:val="24"/>
                <w:szCs w:val="24"/>
                <w:lang w:val="en-US" w:eastAsia="zh-CN"/>
              </w:rPr>
              <w:t>1.91</w:t>
            </w:r>
          </w:p>
        </w:tc>
        <w:tc>
          <w:tcPr>
            <w:tcW w:w="175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hint="default" w:eastAsia="宋体" w:cs="宋体"/>
                <w:snapToGrid w:val="0"/>
                <w:kern w:val="21"/>
                <w:sz w:val="24"/>
                <w:szCs w:val="24"/>
                <w:lang w:val="en-US" w:eastAsia="zh-CN"/>
              </w:rPr>
            </w:pPr>
            <w:r>
              <w:rPr>
                <w:rFonts w:hint="eastAsia" w:cs="宋体"/>
                <w:snapToGrid w:val="0"/>
                <w:kern w:val="21"/>
                <w:sz w:val="24"/>
                <w:szCs w:val="24"/>
                <w:lang w:val="en-US" w:eastAsia="zh-CN"/>
              </w:rPr>
              <w:t>1.91</w:t>
            </w:r>
          </w:p>
        </w:tc>
        <w:tc>
          <w:tcPr>
            <w:tcW w:w="1236" w:type="dxa"/>
            <w:noWrap w:val="0"/>
            <w:vAlign w:val="center"/>
          </w:tcPr>
          <w:p>
            <w:pPr>
              <w:pStyle w:val="103"/>
              <w:rPr>
                <w:rFonts w:cs="宋体"/>
                <w:snapToGrid w:val="0"/>
                <w:kern w:val="21"/>
                <w:sz w:val="24"/>
                <w:szCs w:val="24"/>
              </w:rPr>
            </w:pPr>
            <w:r>
              <w:rPr>
                <w:rFonts w:hint="eastAsia" w:cs="宋体"/>
                <w:snapToGrid w:val="0"/>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vMerge w:val="continue"/>
            <w:noWrap w:val="0"/>
            <w:vAlign w:val="center"/>
          </w:tcPr>
          <w:p>
            <w:pPr>
              <w:pStyle w:val="103"/>
              <w:rPr>
                <w:rFonts w:hint="eastAsia" w:cs="宋体"/>
                <w:snapToGrid w:val="0"/>
                <w:kern w:val="21"/>
                <w:sz w:val="24"/>
                <w:szCs w:val="24"/>
              </w:rPr>
            </w:pPr>
          </w:p>
        </w:tc>
        <w:tc>
          <w:tcPr>
            <w:tcW w:w="1546"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75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236" w:type="dxa"/>
            <w:noWrap w:val="0"/>
            <w:vAlign w:val="center"/>
          </w:tcPr>
          <w:p>
            <w:pPr>
              <w:pStyle w:val="103"/>
              <w:rPr>
                <w:rFonts w:cs="宋体"/>
                <w:snapToGrid w:val="0"/>
                <w:kern w:val="21"/>
                <w:sz w:val="24"/>
                <w:szCs w:val="24"/>
              </w:rPr>
            </w:pPr>
            <w:r>
              <w:rPr>
                <w:rFonts w:hint="eastAsia" w:cs="宋体"/>
                <w:snapToGrid w:val="0"/>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vMerge w:val="restart"/>
            <w:noWrap w:val="0"/>
            <w:vAlign w:val="center"/>
          </w:tcPr>
          <w:p>
            <w:pPr>
              <w:pStyle w:val="103"/>
              <w:rPr>
                <w:rFonts w:hint="eastAsia" w:cs="宋体"/>
                <w:snapToGrid w:val="0"/>
                <w:kern w:val="21"/>
                <w:sz w:val="24"/>
                <w:szCs w:val="24"/>
              </w:rPr>
            </w:pPr>
            <w:r>
              <w:rPr>
                <w:rFonts w:hint="eastAsia" w:cs="宋体"/>
                <w:snapToGrid w:val="0"/>
                <w:kern w:val="21"/>
                <w:sz w:val="24"/>
                <w:szCs w:val="24"/>
              </w:rPr>
              <w:t>废水</w:t>
            </w:r>
          </w:p>
        </w:tc>
        <w:tc>
          <w:tcPr>
            <w:tcW w:w="1546"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75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236" w:type="dxa"/>
            <w:noWrap w:val="0"/>
            <w:vAlign w:val="center"/>
          </w:tcPr>
          <w:p>
            <w:pPr>
              <w:pStyle w:val="103"/>
              <w:rPr>
                <w:rFonts w:cs="宋体"/>
                <w:snapToGrid w:val="0"/>
                <w:kern w:val="21"/>
                <w:sz w:val="24"/>
                <w:szCs w:val="24"/>
              </w:rPr>
            </w:pPr>
            <w:r>
              <w:rPr>
                <w:rFonts w:hint="eastAsia" w:cs="宋体"/>
                <w:snapToGrid w:val="0"/>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vMerge w:val="continue"/>
            <w:noWrap w:val="0"/>
            <w:vAlign w:val="center"/>
          </w:tcPr>
          <w:p>
            <w:pPr>
              <w:pStyle w:val="103"/>
              <w:rPr>
                <w:rFonts w:hint="eastAsia" w:cs="宋体"/>
                <w:snapToGrid w:val="0"/>
                <w:kern w:val="21"/>
                <w:sz w:val="24"/>
                <w:szCs w:val="24"/>
              </w:rPr>
            </w:pPr>
          </w:p>
        </w:tc>
        <w:tc>
          <w:tcPr>
            <w:tcW w:w="1546"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75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236"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noWrap w:val="0"/>
            <w:vAlign w:val="center"/>
          </w:tcPr>
          <w:p>
            <w:pPr>
              <w:pStyle w:val="103"/>
              <w:rPr>
                <w:rFonts w:cs="宋体"/>
                <w:snapToGrid w:val="0"/>
                <w:kern w:val="21"/>
                <w:sz w:val="24"/>
                <w:szCs w:val="24"/>
              </w:rPr>
            </w:pPr>
            <w:r>
              <w:rPr>
                <w:rFonts w:hint="eastAsia" w:cs="宋体"/>
                <w:snapToGrid w:val="0"/>
                <w:kern w:val="21"/>
                <w:sz w:val="24"/>
                <w:szCs w:val="24"/>
              </w:rPr>
              <w:t>一般工业</w:t>
            </w:r>
          </w:p>
          <w:p>
            <w:pPr>
              <w:pStyle w:val="103"/>
              <w:rPr>
                <w:rFonts w:hint="eastAsia" w:cs="宋体"/>
                <w:snapToGrid w:val="0"/>
                <w:kern w:val="21"/>
                <w:sz w:val="24"/>
                <w:szCs w:val="24"/>
              </w:rPr>
            </w:pPr>
            <w:r>
              <w:rPr>
                <w:rFonts w:hint="eastAsia" w:cs="宋体"/>
                <w:snapToGrid w:val="0"/>
                <w:kern w:val="21"/>
                <w:sz w:val="24"/>
                <w:szCs w:val="24"/>
              </w:rPr>
              <w:t>固体废物</w:t>
            </w:r>
          </w:p>
        </w:tc>
        <w:tc>
          <w:tcPr>
            <w:tcW w:w="1546" w:type="dxa"/>
            <w:noWrap w:val="0"/>
            <w:vAlign w:val="center"/>
          </w:tcPr>
          <w:p>
            <w:pPr>
              <w:pStyle w:val="103"/>
              <w:rPr>
                <w:rFonts w:hint="eastAsia" w:cs="宋体"/>
                <w:snapToGrid w:val="0"/>
                <w:kern w:val="21"/>
                <w:sz w:val="24"/>
                <w:szCs w:val="24"/>
              </w:rPr>
            </w:pPr>
            <w:r>
              <w:rPr>
                <w:rFonts w:hint="eastAsia" w:cs="宋体"/>
                <w:snapToGrid w:val="0"/>
                <w:kern w:val="21"/>
                <w:sz w:val="24"/>
                <w:szCs w:val="24"/>
              </w:rPr>
              <w:t>生活垃圾</w:t>
            </w:r>
          </w:p>
        </w:tc>
        <w:tc>
          <w:tcPr>
            <w:tcW w:w="169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hint="default" w:eastAsia="宋体" w:cs="宋体"/>
                <w:snapToGrid w:val="0"/>
                <w:kern w:val="21"/>
                <w:sz w:val="24"/>
                <w:szCs w:val="24"/>
                <w:lang w:val="en-US" w:eastAsia="zh-CN"/>
              </w:rPr>
            </w:pPr>
            <w:r>
              <w:rPr>
                <w:rFonts w:hint="eastAsia"/>
                <w:sz w:val="24"/>
                <w:lang w:val="en-US" w:eastAsia="zh-CN"/>
              </w:rPr>
              <w:t>15</w:t>
            </w:r>
          </w:p>
        </w:tc>
        <w:tc>
          <w:tcPr>
            <w:tcW w:w="175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hint="default" w:eastAsia="宋体" w:cs="宋体"/>
                <w:snapToGrid w:val="0"/>
                <w:kern w:val="21"/>
                <w:sz w:val="24"/>
                <w:szCs w:val="24"/>
                <w:lang w:val="en-US" w:eastAsia="zh-CN"/>
              </w:rPr>
            </w:pPr>
            <w:r>
              <w:rPr>
                <w:rFonts w:hint="eastAsia"/>
                <w:sz w:val="24"/>
                <w:lang w:val="en-US" w:eastAsia="zh-CN"/>
              </w:rPr>
              <w:t>15</w:t>
            </w:r>
          </w:p>
        </w:tc>
        <w:tc>
          <w:tcPr>
            <w:tcW w:w="1236"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vMerge w:val="restart"/>
            <w:noWrap w:val="0"/>
            <w:vAlign w:val="center"/>
          </w:tcPr>
          <w:p>
            <w:pPr>
              <w:pStyle w:val="103"/>
              <w:rPr>
                <w:rFonts w:hint="eastAsia" w:cs="宋体"/>
                <w:snapToGrid w:val="0"/>
                <w:kern w:val="21"/>
                <w:sz w:val="24"/>
                <w:szCs w:val="24"/>
              </w:rPr>
            </w:pPr>
            <w:r>
              <w:rPr>
                <w:rFonts w:hint="eastAsia" w:cs="宋体"/>
                <w:snapToGrid w:val="0"/>
                <w:kern w:val="21"/>
                <w:sz w:val="24"/>
                <w:szCs w:val="24"/>
              </w:rPr>
              <w:t>危险废物</w:t>
            </w:r>
          </w:p>
        </w:tc>
        <w:tc>
          <w:tcPr>
            <w:tcW w:w="1546" w:type="dxa"/>
            <w:noWrap w:val="0"/>
            <w:vAlign w:val="center"/>
          </w:tcPr>
          <w:p>
            <w:pPr>
              <w:pStyle w:val="103"/>
              <w:rPr>
                <w:rFonts w:hint="eastAsia" w:cs="宋体"/>
                <w:snapToGrid w:val="0"/>
                <w:kern w:val="21"/>
                <w:sz w:val="24"/>
                <w:szCs w:val="24"/>
              </w:rPr>
            </w:pPr>
            <w:r>
              <w:rPr>
                <w:rFonts w:hint="eastAsia" w:cs="宋体"/>
                <w:snapToGrid w:val="0"/>
                <w:kern w:val="21"/>
                <w:sz w:val="24"/>
                <w:szCs w:val="24"/>
              </w:rPr>
              <w:t>废机油</w:t>
            </w:r>
          </w:p>
          <w:p>
            <w:pPr>
              <w:pStyle w:val="103"/>
              <w:rPr>
                <w:rFonts w:cs="宋体"/>
                <w:snapToGrid w:val="0"/>
                <w:kern w:val="21"/>
                <w:sz w:val="24"/>
                <w:szCs w:val="24"/>
              </w:rPr>
            </w:pPr>
            <w:r>
              <w:rPr>
                <w:rFonts w:hint="eastAsia" w:cs="宋体"/>
                <w:snapToGrid w:val="0"/>
                <w:kern w:val="21"/>
                <w:sz w:val="24"/>
                <w:szCs w:val="24"/>
              </w:rPr>
              <w:t>废润滑油</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cs="宋体"/>
                <w:snapToGrid w:val="0"/>
                <w:kern w:val="21"/>
                <w:sz w:val="24"/>
                <w:szCs w:val="24"/>
              </w:rPr>
            </w:pPr>
            <w:r>
              <w:rPr>
                <w:rFonts w:hint="eastAsia"/>
                <w:sz w:val="24"/>
              </w:rPr>
              <w:t>0.2</w:t>
            </w:r>
          </w:p>
        </w:tc>
        <w:tc>
          <w:tcPr>
            <w:tcW w:w="1754" w:type="dxa"/>
            <w:noWrap w:val="0"/>
            <w:vAlign w:val="center"/>
          </w:tcPr>
          <w:p>
            <w:pPr>
              <w:pStyle w:val="103"/>
              <w:rPr>
                <w:rFonts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cs="宋体"/>
                <w:snapToGrid w:val="0"/>
                <w:kern w:val="21"/>
                <w:sz w:val="24"/>
                <w:szCs w:val="24"/>
              </w:rPr>
            </w:pPr>
            <w:r>
              <w:rPr>
                <w:rFonts w:hint="eastAsia"/>
                <w:sz w:val="24"/>
              </w:rPr>
              <w:t>0.2</w:t>
            </w:r>
          </w:p>
        </w:tc>
        <w:tc>
          <w:tcPr>
            <w:tcW w:w="1236" w:type="dxa"/>
            <w:noWrap w:val="0"/>
            <w:vAlign w:val="center"/>
          </w:tcPr>
          <w:p>
            <w:pPr>
              <w:pStyle w:val="103"/>
              <w:rPr>
                <w:rFonts w:cs="宋体"/>
                <w:snapToGrid w:val="0"/>
                <w:kern w:val="21"/>
                <w:sz w:val="24"/>
                <w:szCs w:val="24"/>
              </w:rPr>
            </w:pPr>
            <w:r>
              <w:rPr>
                <w:rFonts w:hint="eastAsia" w:cs="宋体"/>
                <w:snapToGrid w:val="0"/>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446" w:type="dxa"/>
            <w:vMerge w:val="continue"/>
            <w:noWrap w:val="0"/>
            <w:vAlign w:val="center"/>
          </w:tcPr>
          <w:p>
            <w:pPr>
              <w:pStyle w:val="103"/>
              <w:rPr>
                <w:rFonts w:cs="宋体"/>
                <w:snapToGrid w:val="0"/>
                <w:kern w:val="21"/>
                <w:sz w:val="24"/>
                <w:szCs w:val="24"/>
              </w:rPr>
            </w:pPr>
          </w:p>
        </w:tc>
        <w:tc>
          <w:tcPr>
            <w:tcW w:w="1546"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271"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69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552"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754"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951"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c>
          <w:tcPr>
            <w:tcW w:w="1236" w:type="dxa"/>
            <w:noWrap w:val="0"/>
            <w:vAlign w:val="center"/>
          </w:tcPr>
          <w:p>
            <w:pPr>
              <w:pStyle w:val="103"/>
              <w:rPr>
                <w:rFonts w:hint="eastAsia" w:cs="宋体"/>
                <w:snapToGrid w:val="0"/>
                <w:kern w:val="21"/>
                <w:sz w:val="24"/>
                <w:szCs w:val="24"/>
              </w:rPr>
            </w:pPr>
            <w:r>
              <w:rPr>
                <w:rFonts w:hint="eastAsia" w:cs="宋体"/>
                <w:snapToGrid w:val="0"/>
                <w:kern w:val="21"/>
                <w:sz w:val="24"/>
                <w:szCs w:val="24"/>
              </w:rPr>
              <w:t>/</w:t>
            </w:r>
          </w:p>
        </w:tc>
      </w:tr>
    </w:tbl>
    <w:p>
      <w:pPr>
        <w:pStyle w:val="103"/>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；单位：t/a</w:t>
      </w:r>
    </w:p>
    <w:p>
      <w:pPr>
        <w:rPr>
          <w:rFonts w:eastAsia="黑体"/>
        </w:rPr>
      </w:pPr>
    </w:p>
    <w:p>
      <w:pPr>
        <w:rPr>
          <w:rFonts w:ascii="仿宋_GB2312" w:hAnsi="仿宋_GB2312" w:eastAsia="仿宋_GB2312" w:cs="仿宋_GB2312"/>
          <w:sz w:val="36"/>
          <w:szCs w:val="36"/>
        </w:rPr>
      </w:pPr>
      <w:bookmarkStart w:id="5" w:name="_GoBack"/>
      <w:bookmarkEnd w:id="5"/>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rPr>
          <w:rFonts w:hint="eastAsia" w:ascii="仿宋_GB2312" w:hAnsi="仿宋_GB2312" w:eastAsia="仿宋_GB2312" w:cs="仿宋_GB2312"/>
          <w:color w:val="auto"/>
          <w:sz w:val="36"/>
          <w:szCs w:val="36"/>
          <w:highlight w:val="none"/>
        </w:rPr>
      </w:pPr>
    </w:p>
    <w:p>
      <w:pPr>
        <w:pStyle w:val="47"/>
        <w:rPr>
          <w:rFonts w:hint="eastAsia"/>
        </w:rPr>
      </w:pPr>
    </w:p>
    <w:sectPr>
      <w:footerReference r:id="rId7"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altName w:val="PMingLiU-ExtB"/>
    <w:panose1 w:val="02020509000000000000"/>
    <w:charset w:val="88"/>
    <w:family w:val="modern"/>
    <w:pitch w:val="default"/>
    <w:sig w:usb0="00000000" w:usb1="00000000" w:usb2="00000016" w:usb3="00000000" w:csb0="00100001"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roman"/>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0"/>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Helvetica">
    <w:altName w:val="Arial"/>
    <w:panose1 w:val="00000000000000000000"/>
    <w:charset w:val="00"/>
    <w:family w:val="roman"/>
    <w:pitch w:val="default"/>
    <w:sig w:usb0="00000000" w:usb1="00000000" w:usb2="00000000" w:usb3="00000000" w:csb0="00000001" w:csb1="00000000"/>
  </w:font>
  <w:font w:name="TimesNewRomanPSMT">
    <w:altName w:val="MS Gothic"/>
    <w:panose1 w:val="00000000000000000000"/>
    <w:charset w:val="80"/>
    <w:family w:val="auto"/>
    <w:pitch w:val="default"/>
    <w:sig w:usb0="00000000" w:usb1="00000000" w:usb2="00000010" w:usb3="00000000" w:csb0="00020000" w:csb1="00000000"/>
  </w:font>
  <w:font w:name="Segoe UI">
    <w:panose1 w:val="020B0502040204020203"/>
    <w:charset w:val="00"/>
    <w:family w:val="auto"/>
    <w:pitch w:val="default"/>
    <w:sig w:usb0="E4002EFF" w:usb1="C000E47F"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42"/>
      </w:rPr>
    </w:pPr>
    <w:r>
      <w:fldChar w:fldCharType="begin"/>
    </w:r>
    <w:r>
      <w:rPr>
        <w:rStyle w:val="42"/>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Style w:val="42"/>
        <w:rFonts w:ascii="宋体" w:hAnsi="宋体"/>
        <w:sz w:val="26"/>
        <w:szCs w:val="26"/>
      </w:rPr>
      <w:fldChar w:fldCharType="begin"/>
    </w:r>
    <w:r>
      <w:rPr>
        <w:rStyle w:val="42"/>
        <w:rFonts w:ascii="宋体" w:hAnsi="宋体"/>
        <w:sz w:val="26"/>
        <w:szCs w:val="26"/>
      </w:rPr>
      <w:instrText xml:space="preserve">PAGE  </w:instrText>
    </w:r>
    <w:r>
      <w:rPr>
        <w:rStyle w:val="42"/>
        <w:rFonts w:ascii="宋体" w:hAnsi="宋体"/>
        <w:sz w:val="26"/>
        <w:szCs w:val="26"/>
      </w:rPr>
      <w:fldChar w:fldCharType="separate"/>
    </w:r>
    <w:r>
      <w:rPr>
        <w:rStyle w:val="42"/>
        <w:rFonts w:ascii="宋体" w:hAnsi="宋体"/>
        <w:sz w:val="26"/>
        <w:szCs w:val="26"/>
      </w:rPr>
      <w:t>13</w:t>
    </w:r>
    <w:r>
      <w:rPr>
        <w:rStyle w:val="42"/>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Style w:val="42"/>
        <w:rFonts w:ascii="宋体" w:hAnsi="宋体"/>
        <w:sz w:val="26"/>
        <w:szCs w:val="26"/>
      </w:rPr>
      <w:fldChar w:fldCharType="begin"/>
    </w:r>
    <w:r>
      <w:rPr>
        <w:rStyle w:val="42"/>
        <w:rFonts w:ascii="宋体" w:hAnsi="宋体"/>
        <w:sz w:val="26"/>
        <w:szCs w:val="26"/>
      </w:rPr>
      <w:instrText xml:space="preserve">PAGE  </w:instrText>
    </w:r>
    <w:r>
      <w:rPr>
        <w:rStyle w:val="42"/>
        <w:rFonts w:ascii="宋体" w:hAnsi="宋体"/>
        <w:sz w:val="26"/>
        <w:szCs w:val="26"/>
      </w:rPr>
      <w:fldChar w:fldCharType="separate"/>
    </w:r>
    <w:r>
      <w:rPr>
        <w:rStyle w:val="42"/>
        <w:rFonts w:ascii="宋体" w:hAnsi="宋体"/>
        <w:sz w:val="26"/>
        <w:szCs w:val="26"/>
      </w:rPr>
      <w:t>13</w:t>
    </w:r>
    <w:r>
      <w:rPr>
        <w:rStyle w:val="42"/>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2"/>
        <w:rFonts w:ascii="宋体" w:hAnsi="宋体"/>
        <w:sz w:val="28"/>
        <w:szCs w:val="28"/>
      </w:rPr>
    </w:pPr>
    <w:r>
      <w:rPr>
        <w:rStyle w:val="42"/>
        <w:rFonts w:hint="eastAsia" w:ascii="宋体" w:hAnsi="宋体"/>
        <w:sz w:val="28"/>
        <w:szCs w:val="28"/>
      </w:rPr>
      <w:t>—</w:t>
    </w:r>
    <w:r>
      <w:rPr>
        <w:rStyle w:val="42"/>
        <w:rFonts w:hint="eastAsia" w:ascii="宋体" w:hAnsi="宋体"/>
        <w:sz w:val="20"/>
      </w:rPr>
      <w:t xml:space="preserve">  </w:t>
    </w:r>
    <w:r>
      <w:rPr>
        <w:rFonts w:ascii="宋体" w:hAnsi="宋体"/>
        <w:sz w:val="26"/>
        <w:szCs w:val="26"/>
      </w:rPr>
      <w:fldChar w:fldCharType="begin"/>
    </w:r>
    <w:r>
      <w:rPr>
        <w:rStyle w:val="42"/>
        <w:rFonts w:ascii="宋体" w:hAnsi="宋体"/>
        <w:sz w:val="26"/>
        <w:szCs w:val="26"/>
      </w:rPr>
      <w:instrText xml:space="preserve">PAGE  </w:instrText>
    </w:r>
    <w:r>
      <w:rPr>
        <w:rFonts w:ascii="宋体" w:hAnsi="宋体"/>
        <w:sz w:val="26"/>
        <w:szCs w:val="26"/>
      </w:rPr>
      <w:fldChar w:fldCharType="separate"/>
    </w:r>
    <w:r>
      <w:rPr>
        <w:rStyle w:val="42"/>
        <w:rFonts w:ascii="宋体" w:hAnsi="宋体"/>
        <w:sz w:val="26"/>
        <w:szCs w:val="26"/>
      </w:rPr>
      <w:t>43</w:t>
    </w:r>
    <w:r>
      <w:rPr>
        <w:rFonts w:ascii="宋体" w:hAnsi="宋体"/>
        <w:sz w:val="26"/>
        <w:szCs w:val="26"/>
      </w:rPr>
      <w:fldChar w:fldCharType="end"/>
    </w:r>
    <w:r>
      <w:rPr>
        <w:rStyle w:val="42"/>
        <w:rFonts w:hint="eastAsia" w:ascii="宋体" w:hAnsi="宋体"/>
        <w:sz w:val="20"/>
      </w:rPr>
      <w:t xml:space="preserve">  </w:t>
    </w:r>
    <w:r>
      <w:rPr>
        <w:rStyle w:val="42"/>
        <w:rFonts w:hint="eastAsia" w:ascii="宋体" w:hAnsi="宋体"/>
        <w:sz w:val="28"/>
        <w:szCs w:val="28"/>
      </w:rPr>
      <w:t>—</w:t>
    </w:r>
  </w:p>
  <w:p>
    <w:pPr>
      <w:pStyle w:val="2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7ED14685"/>
    <w:multiLevelType w:val="singleLevel"/>
    <w:tmpl w:val="7ED14685"/>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51681"/>
    <w:rsid w:val="00143723"/>
    <w:rsid w:val="00150902"/>
    <w:rsid w:val="0025035E"/>
    <w:rsid w:val="006A2EAD"/>
    <w:rsid w:val="00854F9C"/>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B97B11"/>
    <w:rsid w:val="04C55C41"/>
    <w:rsid w:val="04E747C2"/>
    <w:rsid w:val="050A70B6"/>
    <w:rsid w:val="059C7B24"/>
    <w:rsid w:val="06614682"/>
    <w:rsid w:val="067512AC"/>
    <w:rsid w:val="08195139"/>
    <w:rsid w:val="08352131"/>
    <w:rsid w:val="083B1DE4"/>
    <w:rsid w:val="084F0D5C"/>
    <w:rsid w:val="08560496"/>
    <w:rsid w:val="08932046"/>
    <w:rsid w:val="08D07CD7"/>
    <w:rsid w:val="08D609C0"/>
    <w:rsid w:val="093D7238"/>
    <w:rsid w:val="09D23B5C"/>
    <w:rsid w:val="0A300F3E"/>
    <w:rsid w:val="0A690A42"/>
    <w:rsid w:val="0ABA277E"/>
    <w:rsid w:val="0AD304EE"/>
    <w:rsid w:val="0B0D5A73"/>
    <w:rsid w:val="0B100C28"/>
    <w:rsid w:val="0B641641"/>
    <w:rsid w:val="0B737DFC"/>
    <w:rsid w:val="0C1E1312"/>
    <w:rsid w:val="0C266E4F"/>
    <w:rsid w:val="0C7F6F4E"/>
    <w:rsid w:val="0C946F6B"/>
    <w:rsid w:val="0DDD7799"/>
    <w:rsid w:val="0DFD3960"/>
    <w:rsid w:val="0E1657E1"/>
    <w:rsid w:val="10FB3257"/>
    <w:rsid w:val="1116403C"/>
    <w:rsid w:val="11A744E6"/>
    <w:rsid w:val="11CF60C1"/>
    <w:rsid w:val="1208464E"/>
    <w:rsid w:val="12614BA6"/>
    <w:rsid w:val="128B36DF"/>
    <w:rsid w:val="14521FBF"/>
    <w:rsid w:val="150E5154"/>
    <w:rsid w:val="159A2B43"/>
    <w:rsid w:val="15AA5CF1"/>
    <w:rsid w:val="16223187"/>
    <w:rsid w:val="170718E6"/>
    <w:rsid w:val="175627CE"/>
    <w:rsid w:val="18047AE0"/>
    <w:rsid w:val="18C97015"/>
    <w:rsid w:val="194B3136"/>
    <w:rsid w:val="197E6AA6"/>
    <w:rsid w:val="19AB256E"/>
    <w:rsid w:val="1A3E41F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25248A"/>
    <w:rsid w:val="1E3F2025"/>
    <w:rsid w:val="1F9A238D"/>
    <w:rsid w:val="1FDC1987"/>
    <w:rsid w:val="1FDE7D08"/>
    <w:rsid w:val="203F12C3"/>
    <w:rsid w:val="206146C8"/>
    <w:rsid w:val="20645E17"/>
    <w:rsid w:val="20C71CD9"/>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7804D47"/>
    <w:rsid w:val="28145128"/>
    <w:rsid w:val="282838DA"/>
    <w:rsid w:val="28571D32"/>
    <w:rsid w:val="29933722"/>
    <w:rsid w:val="2A3253DE"/>
    <w:rsid w:val="2A356872"/>
    <w:rsid w:val="2A546059"/>
    <w:rsid w:val="2A5D2D01"/>
    <w:rsid w:val="2AF27BEF"/>
    <w:rsid w:val="2B1C040B"/>
    <w:rsid w:val="2B1F6EF2"/>
    <w:rsid w:val="2B71731C"/>
    <w:rsid w:val="2BB0437F"/>
    <w:rsid w:val="2CD261A7"/>
    <w:rsid w:val="2D6477FE"/>
    <w:rsid w:val="2D833FE8"/>
    <w:rsid w:val="2DEE303D"/>
    <w:rsid w:val="2DFF55A7"/>
    <w:rsid w:val="2EAE0106"/>
    <w:rsid w:val="2EC652B2"/>
    <w:rsid w:val="2F344423"/>
    <w:rsid w:val="30FD7924"/>
    <w:rsid w:val="311E24FD"/>
    <w:rsid w:val="315A5151"/>
    <w:rsid w:val="31746F9C"/>
    <w:rsid w:val="31873AFA"/>
    <w:rsid w:val="31E45D99"/>
    <w:rsid w:val="325B6989"/>
    <w:rsid w:val="32B722E3"/>
    <w:rsid w:val="32E55AEF"/>
    <w:rsid w:val="336C325E"/>
    <w:rsid w:val="34C60C67"/>
    <w:rsid w:val="350E0B57"/>
    <w:rsid w:val="354B7504"/>
    <w:rsid w:val="35A35FAD"/>
    <w:rsid w:val="36106FD5"/>
    <w:rsid w:val="36B01313"/>
    <w:rsid w:val="36B93809"/>
    <w:rsid w:val="36C631E8"/>
    <w:rsid w:val="3788036E"/>
    <w:rsid w:val="37A924CB"/>
    <w:rsid w:val="383F1698"/>
    <w:rsid w:val="38534CB7"/>
    <w:rsid w:val="38A56D41"/>
    <w:rsid w:val="39740B10"/>
    <w:rsid w:val="398639BF"/>
    <w:rsid w:val="39A26D13"/>
    <w:rsid w:val="39F914CF"/>
    <w:rsid w:val="3A147AAC"/>
    <w:rsid w:val="3AFE72DB"/>
    <w:rsid w:val="3B2565A9"/>
    <w:rsid w:val="3B993EB6"/>
    <w:rsid w:val="3BE15BA1"/>
    <w:rsid w:val="3C1B6DEE"/>
    <w:rsid w:val="3CAD29AD"/>
    <w:rsid w:val="3CCF454A"/>
    <w:rsid w:val="3CE25A6A"/>
    <w:rsid w:val="3D6852CB"/>
    <w:rsid w:val="3D9D1094"/>
    <w:rsid w:val="3E7E1783"/>
    <w:rsid w:val="3F0223F3"/>
    <w:rsid w:val="3F281E38"/>
    <w:rsid w:val="3FD35A41"/>
    <w:rsid w:val="3FDC4DBB"/>
    <w:rsid w:val="40061E82"/>
    <w:rsid w:val="405E0770"/>
    <w:rsid w:val="40616FB3"/>
    <w:rsid w:val="40722C94"/>
    <w:rsid w:val="40994365"/>
    <w:rsid w:val="40FF6E50"/>
    <w:rsid w:val="41104488"/>
    <w:rsid w:val="4162197F"/>
    <w:rsid w:val="41722AF1"/>
    <w:rsid w:val="41DD508C"/>
    <w:rsid w:val="425303BA"/>
    <w:rsid w:val="428E3330"/>
    <w:rsid w:val="42AB7666"/>
    <w:rsid w:val="42BB005F"/>
    <w:rsid w:val="42BC36B5"/>
    <w:rsid w:val="42C72DDD"/>
    <w:rsid w:val="441F2B8F"/>
    <w:rsid w:val="444B7C62"/>
    <w:rsid w:val="459A4837"/>
    <w:rsid w:val="45F770A4"/>
    <w:rsid w:val="463A687E"/>
    <w:rsid w:val="46756B4D"/>
    <w:rsid w:val="467B7704"/>
    <w:rsid w:val="468A57EA"/>
    <w:rsid w:val="46CC0674"/>
    <w:rsid w:val="473B76F4"/>
    <w:rsid w:val="47DB3EB5"/>
    <w:rsid w:val="47DD5A16"/>
    <w:rsid w:val="47F30BAC"/>
    <w:rsid w:val="49053025"/>
    <w:rsid w:val="49605F29"/>
    <w:rsid w:val="496A1820"/>
    <w:rsid w:val="49AE2C09"/>
    <w:rsid w:val="49F03E63"/>
    <w:rsid w:val="4A4302F3"/>
    <w:rsid w:val="4A9D7730"/>
    <w:rsid w:val="4A9F4ED2"/>
    <w:rsid w:val="4AEB31A1"/>
    <w:rsid w:val="4B484E83"/>
    <w:rsid w:val="4BAC2D11"/>
    <w:rsid w:val="4BF55372"/>
    <w:rsid w:val="4C3E3B1C"/>
    <w:rsid w:val="4C4A104E"/>
    <w:rsid w:val="4C756707"/>
    <w:rsid w:val="4CA11C08"/>
    <w:rsid w:val="4CB730C8"/>
    <w:rsid w:val="4CC51681"/>
    <w:rsid w:val="4D886208"/>
    <w:rsid w:val="4DAB0432"/>
    <w:rsid w:val="4DCA4FE5"/>
    <w:rsid w:val="4DCE2983"/>
    <w:rsid w:val="4E0232B1"/>
    <w:rsid w:val="4E9F2A5D"/>
    <w:rsid w:val="4F38594F"/>
    <w:rsid w:val="4F515FE9"/>
    <w:rsid w:val="4F9414B9"/>
    <w:rsid w:val="4FA12AF2"/>
    <w:rsid w:val="502425D9"/>
    <w:rsid w:val="50BC6D86"/>
    <w:rsid w:val="50E02679"/>
    <w:rsid w:val="51382F51"/>
    <w:rsid w:val="51A92E83"/>
    <w:rsid w:val="51C31DA4"/>
    <w:rsid w:val="523650DE"/>
    <w:rsid w:val="52912564"/>
    <w:rsid w:val="52DE77D4"/>
    <w:rsid w:val="52EF4BF8"/>
    <w:rsid w:val="532A43C2"/>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C121E6"/>
    <w:rsid w:val="5AF13DA4"/>
    <w:rsid w:val="5B82786A"/>
    <w:rsid w:val="5B8B5CB2"/>
    <w:rsid w:val="5C3C7AB7"/>
    <w:rsid w:val="5C8F3A65"/>
    <w:rsid w:val="5CF45604"/>
    <w:rsid w:val="5D467400"/>
    <w:rsid w:val="5DDB1CC1"/>
    <w:rsid w:val="5E491B7D"/>
    <w:rsid w:val="5EC1721C"/>
    <w:rsid w:val="5EDF2450"/>
    <w:rsid w:val="5F5373F4"/>
    <w:rsid w:val="5F8B122C"/>
    <w:rsid w:val="5F9D7EB8"/>
    <w:rsid w:val="5FEB54B0"/>
    <w:rsid w:val="60130582"/>
    <w:rsid w:val="60BA0BE9"/>
    <w:rsid w:val="616E3CD7"/>
    <w:rsid w:val="61926F26"/>
    <w:rsid w:val="61E20692"/>
    <w:rsid w:val="62995E01"/>
    <w:rsid w:val="62CF0CE3"/>
    <w:rsid w:val="62ED2CC5"/>
    <w:rsid w:val="63334C22"/>
    <w:rsid w:val="636276DD"/>
    <w:rsid w:val="637D16D3"/>
    <w:rsid w:val="639867C6"/>
    <w:rsid w:val="64286496"/>
    <w:rsid w:val="6442109A"/>
    <w:rsid w:val="644F43BE"/>
    <w:rsid w:val="646A5445"/>
    <w:rsid w:val="64A47949"/>
    <w:rsid w:val="64E03700"/>
    <w:rsid w:val="655A2533"/>
    <w:rsid w:val="656761A5"/>
    <w:rsid w:val="66157F1F"/>
    <w:rsid w:val="666A4FEF"/>
    <w:rsid w:val="671E5E43"/>
    <w:rsid w:val="67AA3780"/>
    <w:rsid w:val="685052AC"/>
    <w:rsid w:val="69BA63AE"/>
    <w:rsid w:val="69F11EE7"/>
    <w:rsid w:val="6A12081F"/>
    <w:rsid w:val="6A9E1BFD"/>
    <w:rsid w:val="6B8F0760"/>
    <w:rsid w:val="6BD21C54"/>
    <w:rsid w:val="6BEE2099"/>
    <w:rsid w:val="6C25268D"/>
    <w:rsid w:val="6D1E1452"/>
    <w:rsid w:val="6D36105C"/>
    <w:rsid w:val="6E403CB0"/>
    <w:rsid w:val="6E636184"/>
    <w:rsid w:val="6EDB28FB"/>
    <w:rsid w:val="6F186B7B"/>
    <w:rsid w:val="6F5F241C"/>
    <w:rsid w:val="6F931BF6"/>
    <w:rsid w:val="6FBE275D"/>
    <w:rsid w:val="700B3E3B"/>
    <w:rsid w:val="707A0433"/>
    <w:rsid w:val="708E3E12"/>
    <w:rsid w:val="71FB7042"/>
    <w:rsid w:val="722C4FFE"/>
    <w:rsid w:val="727D3B15"/>
    <w:rsid w:val="728C6699"/>
    <w:rsid w:val="72B2437C"/>
    <w:rsid w:val="73051FF0"/>
    <w:rsid w:val="735A50DF"/>
    <w:rsid w:val="73A05C9A"/>
    <w:rsid w:val="73CB008F"/>
    <w:rsid w:val="748C52D0"/>
    <w:rsid w:val="748D2974"/>
    <w:rsid w:val="74BE4E6C"/>
    <w:rsid w:val="75784937"/>
    <w:rsid w:val="75956B13"/>
    <w:rsid w:val="76A1624D"/>
    <w:rsid w:val="776275E7"/>
    <w:rsid w:val="776F0544"/>
    <w:rsid w:val="77AF4A80"/>
    <w:rsid w:val="781B2AFE"/>
    <w:rsid w:val="7835040A"/>
    <w:rsid w:val="78692CD8"/>
    <w:rsid w:val="790C7AD8"/>
    <w:rsid w:val="79474801"/>
    <w:rsid w:val="7AD711F4"/>
    <w:rsid w:val="7ADA12B7"/>
    <w:rsid w:val="7B603DFE"/>
    <w:rsid w:val="7D397C15"/>
    <w:rsid w:val="7E623D4C"/>
    <w:rsid w:val="7E942C4C"/>
    <w:rsid w:val="7EAD0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79"/>
    <w:qFormat/>
    <w:uiPriority w:val="0"/>
    <w:pPr>
      <w:keepNext/>
      <w:keepLines/>
      <w:adjustRightInd w:val="0"/>
      <w:snapToGrid w:val="0"/>
      <w:spacing w:before="50" w:beforeLines="50" w:after="50" w:afterLines="50" w:line="360" w:lineRule="auto"/>
      <w:jc w:val="center"/>
      <w:outlineLvl w:val="0"/>
    </w:pPr>
    <w:rPr>
      <w:rFonts w:ascii="黑体" w:hAnsi="黑体" w:eastAsia="黑体"/>
      <w:b/>
      <w:snapToGrid w:val="0"/>
      <w:color w:val="000000"/>
      <w:sz w:val="32"/>
    </w:rPr>
  </w:style>
  <w:style w:type="paragraph" w:styleId="4">
    <w:name w:val="heading 2"/>
    <w:basedOn w:val="1"/>
    <w:next w:val="1"/>
    <w:link w:val="175"/>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5">
    <w:name w:val="heading 3"/>
    <w:basedOn w:val="1"/>
    <w:next w:val="1"/>
    <w:qFormat/>
    <w:uiPriority w:val="0"/>
    <w:pPr>
      <w:keepNext/>
      <w:keepLines/>
      <w:spacing w:line="360" w:lineRule="auto"/>
      <w:outlineLvl w:val="2"/>
    </w:pPr>
    <w:rPr>
      <w:rFonts w:ascii="黑体" w:hAnsi="宋体" w:eastAsia="Times New Roman"/>
      <w:bCs/>
      <w:snapToGrid w:val="0"/>
      <w:kern w:val="0"/>
      <w:szCs w:val="20"/>
    </w:rPr>
  </w:style>
  <w:style w:type="paragraph" w:styleId="6">
    <w:name w:val="heading 4"/>
    <w:basedOn w:val="1"/>
    <w:next w:val="1"/>
    <w:qFormat/>
    <w:uiPriority w:val="0"/>
    <w:pPr>
      <w:keepNext/>
      <w:keepLines/>
      <w:numPr>
        <w:ilvl w:val="3"/>
        <w:numId w:val="1"/>
      </w:numPr>
      <w:snapToGrid w:val="0"/>
      <w:spacing w:line="460" w:lineRule="atLeast"/>
      <w:outlineLvl w:val="3"/>
    </w:pPr>
    <w:rPr>
      <w:b/>
      <w:szCs w:val="20"/>
    </w:rPr>
  </w:style>
  <w:style w:type="paragraph" w:styleId="7">
    <w:name w:val="heading 5"/>
    <w:basedOn w:val="1"/>
    <w:next w:val="1"/>
    <w:link w:val="86"/>
    <w:qFormat/>
    <w:uiPriority w:val="0"/>
    <w:pPr>
      <w:ind w:firstLine="482" w:firstLineChars="0"/>
      <w:jc w:val="center"/>
      <w:outlineLvl w:val="4"/>
    </w:pPr>
    <w:rPr>
      <w:b/>
      <w:bCs/>
      <w:sz w:val="21"/>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8">
    <w:name w:val="Normal Indent"/>
    <w:basedOn w:val="1"/>
    <w:next w:val="9"/>
    <w:link w:val="65"/>
    <w:qFormat/>
    <w:uiPriority w:val="0"/>
    <w:pPr>
      <w:ind w:firstLine="420"/>
    </w:pPr>
    <w:rPr>
      <w:szCs w:val="20"/>
    </w:rPr>
  </w:style>
  <w:style w:type="paragraph" w:styleId="9">
    <w:name w:val="Body Text First Indent 2"/>
    <w:basedOn w:val="10"/>
    <w:next w:val="1"/>
    <w:qFormat/>
    <w:uiPriority w:val="0"/>
    <w:pPr>
      <w:adjustRightInd/>
      <w:snapToGrid/>
      <w:spacing w:after="120" w:line="240" w:lineRule="auto"/>
      <w:ind w:left="420" w:leftChars="200" w:firstLine="420" w:firstLineChars="200"/>
    </w:pPr>
    <w:rPr>
      <w:bCs w:val="0"/>
      <w:kern w:val="2"/>
      <w:sz w:val="21"/>
    </w:rPr>
  </w:style>
  <w:style w:type="paragraph" w:styleId="10">
    <w:name w:val="Body Text Indent"/>
    <w:basedOn w:val="1"/>
    <w:next w:val="1"/>
    <w:qFormat/>
    <w:uiPriority w:val="0"/>
    <w:pPr>
      <w:adjustRightInd w:val="0"/>
      <w:snapToGrid w:val="0"/>
      <w:spacing w:line="360" w:lineRule="auto"/>
      <w:ind w:firstLine="480"/>
    </w:pPr>
    <w:rPr>
      <w:bCs/>
      <w:kern w:val="0"/>
    </w:rPr>
  </w:style>
  <w:style w:type="paragraph" w:styleId="11">
    <w:name w:val="caption"/>
    <w:basedOn w:val="1"/>
    <w:next w:val="1"/>
    <w:qFormat/>
    <w:uiPriority w:val="0"/>
    <w:pPr>
      <w:adjustRightInd w:val="0"/>
      <w:spacing w:before="152" w:after="160" w:line="240" w:lineRule="exact"/>
      <w:jc w:val="center"/>
      <w:textAlignment w:val="baseline"/>
    </w:pPr>
    <w:rPr>
      <w:kern w:val="0"/>
    </w:rPr>
  </w:style>
  <w:style w:type="paragraph" w:styleId="12">
    <w:name w:val="toa heading"/>
    <w:basedOn w:val="1"/>
    <w:next w:val="1"/>
    <w:qFormat/>
    <w:uiPriority w:val="0"/>
    <w:pPr>
      <w:spacing w:before="120"/>
    </w:pPr>
    <w:rPr>
      <w:rFonts w:ascii="Arial" w:hAnsi="Arial" w:cs="Arial"/>
    </w:rPr>
  </w:style>
  <w:style w:type="paragraph" w:styleId="13">
    <w:name w:val="annotation text"/>
    <w:basedOn w:val="1"/>
    <w:link w:val="74"/>
    <w:qFormat/>
    <w:uiPriority w:val="0"/>
    <w:pPr>
      <w:jc w:val="left"/>
    </w:pPr>
  </w:style>
  <w:style w:type="paragraph" w:styleId="14">
    <w:name w:val="Salutation"/>
    <w:basedOn w:val="1"/>
    <w:next w:val="1"/>
    <w:qFormat/>
    <w:uiPriority w:val="0"/>
    <w:pPr>
      <w:jc w:val="left"/>
    </w:pPr>
    <w:rPr>
      <w:rFonts w:ascii="Times New Roman" w:hAnsi="Times New Roman" w:eastAsia="仿宋_GB2312"/>
      <w:sz w:val="32"/>
    </w:rPr>
  </w:style>
  <w:style w:type="paragraph" w:styleId="15">
    <w:name w:val="Body Text 3"/>
    <w:basedOn w:val="1"/>
    <w:qFormat/>
    <w:uiPriority w:val="0"/>
    <w:pPr>
      <w:spacing w:line="360" w:lineRule="auto"/>
    </w:pPr>
    <w:rPr>
      <w:rFonts w:ascii="仿宋_GB2312" w:eastAsia="仿宋_GB2312"/>
      <w:sz w:val="24"/>
    </w:rPr>
  </w:style>
  <w:style w:type="paragraph" w:styleId="16">
    <w:name w:val="Body Text"/>
    <w:basedOn w:val="1"/>
    <w:next w:val="1"/>
    <w:qFormat/>
    <w:uiPriority w:val="0"/>
    <w:pPr>
      <w:spacing w:after="120"/>
    </w:p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qFormat/>
    <w:uiPriority w:val="0"/>
    <w:rPr>
      <w:rFonts w:ascii="宋体" w:hAnsi="Courier New"/>
      <w:szCs w:val="20"/>
    </w:rPr>
  </w:style>
  <w:style w:type="paragraph" w:styleId="20">
    <w:name w:val="List Bullet 5"/>
    <w:basedOn w:val="1"/>
    <w:qFormat/>
    <w:uiPriority w:val="0"/>
    <w:pPr>
      <w:numPr>
        <w:ilvl w:val="0"/>
        <w:numId w:val="2"/>
      </w:numPr>
    </w:pPr>
  </w:style>
  <w:style w:type="paragraph" w:styleId="21">
    <w:name w:val="Date"/>
    <w:basedOn w:val="1"/>
    <w:next w:val="1"/>
    <w:qFormat/>
    <w:uiPriority w:val="0"/>
    <w:rPr>
      <w:szCs w:val="20"/>
    </w:rPr>
  </w:style>
  <w:style w:type="paragraph" w:styleId="22">
    <w:name w:val="footer"/>
    <w:basedOn w:val="1"/>
    <w:qFormat/>
    <w:uiPriority w:val="0"/>
    <w:pPr>
      <w:tabs>
        <w:tab w:val="center" w:pos="4153"/>
        <w:tab w:val="right" w:pos="8306"/>
      </w:tabs>
      <w:snapToGrid w:val="0"/>
      <w:jc w:val="left"/>
    </w:pPr>
    <w:rPr>
      <w:sz w:val="18"/>
      <w:szCs w:val="18"/>
    </w:rPr>
  </w:style>
  <w:style w:type="paragraph" w:styleId="23">
    <w:name w:val="header"/>
    <w:basedOn w:val="1"/>
    <w:next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4">
    <w:name w:val="toc 1"/>
    <w:basedOn w:val="1"/>
    <w:next w:val="1"/>
    <w:qFormat/>
    <w:uiPriority w:val="39"/>
    <w:pPr>
      <w:spacing w:before="120" w:after="120"/>
      <w:jc w:val="left"/>
    </w:pPr>
    <w:rPr>
      <w:rFonts w:ascii="Calibri" w:hAnsi="Calibri" w:cs="Calibri"/>
      <w:b/>
      <w:bCs/>
      <w:caps/>
      <w:sz w:val="20"/>
      <w:szCs w:val="20"/>
    </w:rPr>
  </w:style>
  <w:style w:type="paragraph" w:styleId="25">
    <w:name w:val="toc 4"/>
    <w:basedOn w:val="1"/>
    <w:next w:val="1"/>
    <w:qFormat/>
    <w:uiPriority w:val="0"/>
    <w:pPr>
      <w:ind w:left="1260" w:leftChars="600"/>
    </w:pPr>
  </w:style>
  <w:style w:type="paragraph" w:styleId="26">
    <w:name w:val="index heading"/>
    <w:basedOn w:val="1"/>
    <w:next w:val="27"/>
    <w:qFormat/>
    <w:uiPriority w:val="0"/>
    <w:rPr>
      <w:szCs w:val="20"/>
    </w:rPr>
  </w:style>
  <w:style w:type="paragraph" w:styleId="27">
    <w:name w:val="index 1"/>
    <w:basedOn w:val="1"/>
    <w:next w:val="1"/>
    <w:qFormat/>
    <w:uiPriority w:val="0"/>
    <w:pPr>
      <w:adjustRightInd w:val="0"/>
      <w:spacing w:before="60"/>
      <w:textAlignment w:val="baseline"/>
    </w:pPr>
    <w:rPr>
      <w:sz w:val="24"/>
      <w:szCs w:val="20"/>
    </w:rPr>
  </w:style>
  <w:style w:type="paragraph" w:styleId="28">
    <w:name w:val="List"/>
    <w:basedOn w:val="1"/>
    <w:qFormat/>
    <w:uiPriority w:val="99"/>
    <w:pPr>
      <w:ind w:left="200" w:hanging="200" w:hangingChars="200"/>
    </w:pPr>
    <w:rPr>
      <w:szCs w:val="20"/>
    </w:rPr>
  </w:style>
  <w:style w:type="paragraph" w:styleId="29">
    <w:name w:val="Body Text Indent 3"/>
    <w:basedOn w:val="1"/>
    <w:qFormat/>
    <w:uiPriority w:val="0"/>
    <w:pPr>
      <w:spacing w:line="360" w:lineRule="auto"/>
      <w:ind w:firstLine="480" w:firstLineChars="200"/>
    </w:pPr>
    <w:rPr>
      <w:rFonts w:ascii="宋体"/>
      <w:sz w:val="24"/>
    </w:rPr>
  </w:style>
  <w:style w:type="paragraph" w:styleId="30">
    <w:name w:val="table of figures"/>
    <w:basedOn w:val="1"/>
    <w:next w:val="1"/>
    <w:semiHidden/>
    <w:qFormat/>
    <w:uiPriority w:val="0"/>
    <w:pPr>
      <w:ind w:left="200" w:leftChars="200" w:hanging="200" w:hangingChars="200"/>
    </w:pPr>
  </w:style>
  <w:style w:type="paragraph" w:styleId="31">
    <w:name w:val="toc 2"/>
    <w:basedOn w:val="1"/>
    <w:next w:val="1"/>
    <w:qFormat/>
    <w:uiPriority w:val="39"/>
    <w:pPr>
      <w:ind w:left="240"/>
      <w:jc w:val="left"/>
    </w:pPr>
    <w:rPr>
      <w:rFonts w:ascii="Calibri" w:hAnsi="Calibri" w:cs="Calibri"/>
      <w:smallCaps/>
      <w:sz w:val="20"/>
      <w:szCs w:val="20"/>
    </w:rPr>
  </w:style>
  <w:style w:type="paragraph" w:styleId="32">
    <w:name w:val="Body Text 2"/>
    <w:basedOn w:val="1"/>
    <w:qFormat/>
    <w:uiPriority w:val="0"/>
    <w:pPr>
      <w:spacing w:after="120" w:line="480" w:lineRule="auto"/>
    </w:pPr>
  </w:style>
  <w:style w:type="paragraph" w:styleId="3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4">
    <w:name w:val="Normal (Web)"/>
    <w:basedOn w:val="1"/>
    <w:qFormat/>
    <w:uiPriority w:val="99"/>
  </w:style>
  <w:style w:type="paragraph" w:styleId="35">
    <w:name w:val="Title"/>
    <w:basedOn w:val="1"/>
    <w:next w:val="1"/>
    <w:qFormat/>
    <w:uiPriority w:val="0"/>
    <w:pPr>
      <w:spacing w:before="240" w:after="60"/>
      <w:jc w:val="center"/>
      <w:outlineLvl w:val="0"/>
    </w:pPr>
    <w:rPr>
      <w:rFonts w:ascii="Cambria" w:hAnsi="Cambria"/>
      <w:b/>
      <w:bCs/>
      <w:sz w:val="32"/>
      <w:szCs w:val="32"/>
    </w:rPr>
  </w:style>
  <w:style w:type="paragraph" w:styleId="36">
    <w:name w:val="annotation subject"/>
    <w:basedOn w:val="13"/>
    <w:next w:val="13"/>
    <w:link w:val="75"/>
    <w:qFormat/>
    <w:uiPriority w:val="0"/>
    <w:rPr>
      <w:b/>
      <w:bCs/>
    </w:rPr>
  </w:style>
  <w:style w:type="paragraph" w:styleId="37">
    <w:name w:val="Body Text First Indent"/>
    <w:basedOn w:val="1"/>
    <w:qFormat/>
    <w:uiPriority w:val="0"/>
    <w:pPr>
      <w:ind w:firstLine="420" w:firstLineChars="100"/>
    </w:pPr>
    <w:rPr>
      <w:rFonts w:ascii="黑体" w:hAnsi="黑体"/>
      <w:spacing w:val="10"/>
      <w:sz w:val="21"/>
    </w:rPr>
  </w:style>
  <w:style w:type="table" w:styleId="39">
    <w:name w:val="Table Grid"/>
    <w:basedOn w:val="3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0"/>
    <w:rPr>
      <w:b/>
    </w:rPr>
  </w:style>
  <w:style w:type="character" w:styleId="42">
    <w:name w:val="page number"/>
    <w:basedOn w:val="40"/>
    <w:qFormat/>
    <w:uiPriority w:val="0"/>
    <w:rPr>
      <w:rFonts w:ascii="宋体" w:hAnsi="宋体" w:eastAsia="宋体" w:cs="宋体"/>
      <w:kern w:val="2"/>
      <w:sz w:val="24"/>
      <w:szCs w:val="24"/>
      <w:lang w:val="en-US" w:eastAsia="zh-CN" w:bidi="ar-SA"/>
    </w:rPr>
  </w:style>
  <w:style w:type="character" w:styleId="43">
    <w:name w:val="Emphasis"/>
    <w:basedOn w:val="40"/>
    <w:qFormat/>
    <w:uiPriority w:val="0"/>
    <w:rPr>
      <w:i/>
      <w:iCs/>
    </w:rPr>
  </w:style>
  <w:style w:type="character" w:styleId="44">
    <w:name w:val="Hyperlink"/>
    <w:qFormat/>
    <w:uiPriority w:val="99"/>
    <w:rPr>
      <w:rFonts w:ascii="宋体" w:hAnsi="宋体" w:eastAsia="宋体" w:cs="宋体"/>
      <w:color w:val="0000FF"/>
      <w:kern w:val="2"/>
      <w:sz w:val="24"/>
      <w:szCs w:val="24"/>
      <w:u w:val="single"/>
      <w:lang w:val="en-US" w:eastAsia="zh-CN" w:bidi="ar-SA"/>
    </w:rPr>
  </w:style>
  <w:style w:type="character" w:styleId="45">
    <w:name w:val="annotation reference"/>
    <w:basedOn w:val="40"/>
    <w:qFormat/>
    <w:uiPriority w:val="0"/>
    <w:rPr>
      <w:sz w:val="21"/>
      <w:szCs w:val="21"/>
    </w:rPr>
  </w:style>
  <w:style w:type="paragraph" w:customStyle="1" w:styleId="46">
    <w:name w:val="0正文"/>
    <w:basedOn w:val="10"/>
    <w:unhideWhenUsed/>
    <w:qFormat/>
    <w:uiPriority w:val="0"/>
    <w:pPr>
      <w:ind w:firstLine="720"/>
    </w:pPr>
  </w:style>
  <w:style w:type="paragraph" w:customStyle="1" w:styleId="47">
    <w:name w:val="Default"/>
    <w:basedOn w:val="48"/>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9">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0">
    <w:name w:val="报告"/>
    <w:basedOn w:val="1"/>
    <w:qFormat/>
    <w:uiPriority w:val="0"/>
    <w:pPr>
      <w:adjustRightInd w:val="0"/>
      <w:spacing w:line="360" w:lineRule="auto"/>
      <w:ind w:firstLine="505"/>
      <w:textAlignment w:val="baseline"/>
    </w:pPr>
    <w:rPr>
      <w:kern w:val="0"/>
      <w:szCs w:val="20"/>
    </w:rPr>
  </w:style>
  <w:style w:type="paragraph" w:customStyle="1" w:styleId="51">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52">
    <w:name w:val="fontstyle11"/>
    <w:qFormat/>
    <w:uiPriority w:val="0"/>
    <w:rPr>
      <w:rFonts w:ascii="TimesNewRomanPSMT" w:hAnsi="TimesNewRomanPSMT" w:eastAsia="TimesNewRomanPSMT" w:cs="TimesNewRomanPSMT"/>
      <w:color w:val="000000"/>
      <w:kern w:val="0"/>
      <w:sz w:val="24"/>
      <w:szCs w:val="24"/>
    </w:rPr>
  </w:style>
  <w:style w:type="table" w:customStyle="1" w:styleId="53">
    <w:name w:val="报告表格式新建"/>
    <w:basedOn w:val="38"/>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54">
    <w:name w:val="样式 首行缩进:  2 字符"/>
    <w:basedOn w:val="1"/>
    <w:qFormat/>
    <w:uiPriority w:val="0"/>
    <w:pPr>
      <w:ind w:right="11" w:firstLine="480" w:firstLineChars="200"/>
    </w:pPr>
    <w:rPr>
      <w:bCs/>
    </w:rPr>
  </w:style>
  <w:style w:type="paragraph" w:customStyle="1" w:styleId="55">
    <w:name w:val="1文章"/>
    <w:basedOn w:val="1"/>
    <w:qFormat/>
    <w:uiPriority w:val="0"/>
    <w:pPr>
      <w:snapToGrid w:val="0"/>
      <w:spacing w:line="360" w:lineRule="auto"/>
      <w:ind w:firstLine="573"/>
    </w:pPr>
    <w:rPr>
      <w:rFonts w:eastAsia="仿宋_GB2312"/>
      <w:sz w:val="28"/>
    </w:rPr>
  </w:style>
  <w:style w:type="paragraph" w:customStyle="1" w:styleId="56">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57">
    <w:name w:val="填表内容"/>
    <w:basedOn w:val="1"/>
    <w:qFormat/>
    <w:uiPriority w:val="0"/>
    <w:pPr>
      <w:adjustRightInd w:val="0"/>
      <w:jc w:val="center"/>
    </w:pPr>
    <w:rPr>
      <w:kern w:val="0"/>
      <w:sz w:val="21"/>
      <w:szCs w:val="20"/>
    </w:rPr>
  </w:style>
  <w:style w:type="character" w:customStyle="1" w:styleId="58">
    <w:name w:val="fontstyle01"/>
    <w:basedOn w:val="40"/>
    <w:qFormat/>
    <w:uiPriority w:val="0"/>
    <w:rPr>
      <w:rFonts w:ascii="宋体" w:hAnsi="宋体" w:eastAsia="宋体" w:cs="宋体"/>
      <w:color w:val="000000"/>
      <w:kern w:val="0"/>
      <w:sz w:val="24"/>
      <w:szCs w:val="24"/>
    </w:rPr>
  </w:style>
  <w:style w:type="paragraph" w:customStyle="1" w:styleId="59">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0">
    <w:name w:val="列表段落1"/>
    <w:basedOn w:val="1"/>
    <w:qFormat/>
    <w:uiPriority w:val="0"/>
    <w:pPr>
      <w:ind w:firstLine="420" w:firstLineChars="200"/>
    </w:pPr>
    <w:rPr>
      <w:rFonts w:ascii="Calibri" w:hAnsi="Calibri"/>
      <w:szCs w:val="22"/>
    </w:rPr>
  </w:style>
  <w:style w:type="paragraph" w:customStyle="1" w:styleId="61">
    <w:name w:val="Zw"/>
    <w:basedOn w:val="1"/>
    <w:next w:val="1"/>
    <w:qFormat/>
    <w:uiPriority w:val="0"/>
    <w:pPr>
      <w:spacing w:line="360" w:lineRule="auto"/>
      <w:ind w:firstLine="200" w:firstLineChars="200"/>
    </w:pPr>
    <w:rPr>
      <w:rFonts w:ascii="宋体" w:hAnsi="宋体" w:cs="宋体"/>
    </w:rPr>
  </w:style>
  <w:style w:type="character" w:customStyle="1" w:styleId="62">
    <w:name w:val="fontstyle21"/>
    <w:basedOn w:val="40"/>
    <w:qFormat/>
    <w:uiPriority w:val="0"/>
    <w:rPr>
      <w:rFonts w:ascii="TimesNewRomanPSMT" w:hAnsi="TimesNewRomanPSMT" w:eastAsia="TimesNewRomanPSMT" w:cs="TimesNewRomanPSMT"/>
      <w:color w:val="000000"/>
      <w:kern w:val="0"/>
      <w:sz w:val="24"/>
      <w:szCs w:val="24"/>
    </w:rPr>
  </w:style>
  <w:style w:type="paragraph" w:customStyle="1" w:styleId="63">
    <w:name w:val="样式2"/>
    <w:basedOn w:val="4"/>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64">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65">
    <w:name w:val="正文缩进 字符"/>
    <w:link w:val="8"/>
    <w:qFormat/>
    <w:uiPriority w:val="0"/>
    <w:rPr>
      <w:szCs w:val="20"/>
    </w:rPr>
  </w:style>
  <w:style w:type="paragraph" w:customStyle="1" w:styleId="66">
    <w:name w:val="表格标题"/>
    <w:basedOn w:val="67"/>
    <w:next w:val="1"/>
    <w:qFormat/>
    <w:uiPriority w:val="0"/>
    <w:pPr>
      <w:spacing w:before="120"/>
    </w:pPr>
    <w:rPr>
      <w:rFonts w:eastAsia="仿宋_GB2312"/>
    </w:rPr>
  </w:style>
  <w:style w:type="paragraph" w:customStyle="1" w:styleId="67">
    <w:name w:val="表格内容"/>
    <w:basedOn w:val="8"/>
    <w:next w:val="1"/>
    <w:qFormat/>
    <w:uiPriority w:val="0"/>
    <w:pPr>
      <w:spacing w:line="360" w:lineRule="auto"/>
      <w:jc w:val="center"/>
    </w:pPr>
    <w:rPr>
      <w:color w:val="000000"/>
    </w:rPr>
  </w:style>
  <w:style w:type="paragraph" w:customStyle="1" w:styleId="68">
    <w:name w:val="表格文字2"/>
    <w:basedOn w:val="69"/>
    <w:qFormat/>
    <w:uiPriority w:val="0"/>
    <w:pPr>
      <w:tabs>
        <w:tab w:val="left" w:pos="7590"/>
      </w:tabs>
      <w:spacing w:before="60"/>
    </w:pPr>
  </w:style>
  <w:style w:type="paragraph" w:customStyle="1" w:styleId="69">
    <w:name w:val="表格文字"/>
    <w:basedOn w:val="1"/>
    <w:next w:val="1"/>
    <w:qFormat/>
    <w:uiPriority w:val="99"/>
    <w:pPr>
      <w:tabs>
        <w:tab w:val="left" w:pos="7590"/>
      </w:tabs>
      <w:snapToGrid w:val="0"/>
      <w:jc w:val="center"/>
    </w:pPr>
    <w:rPr>
      <w:sz w:val="21"/>
      <w:lang w:val="zh-CN"/>
    </w:rPr>
  </w:style>
  <w:style w:type="paragraph" w:customStyle="1" w:styleId="70">
    <w:name w:val="标题1"/>
    <w:basedOn w:val="1"/>
    <w:next w:val="1"/>
    <w:qFormat/>
    <w:uiPriority w:val="0"/>
    <w:pPr>
      <w:spacing w:line="500" w:lineRule="exact"/>
    </w:pPr>
    <w:rPr>
      <w:rFonts w:eastAsia="楷体_GB2312"/>
      <w:b/>
      <w:color w:val="000000"/>
      <w:spacing w:val="10"/>
      <w:sz w:val="28"/>
    </w:rPr>
  </w:style>
  <w:style w:type="paragraph" w:customStyle="1" w:styleId="71">
    <w:name w:val="正文-蓝色"/>
    <w:basedOn w:val="72"/>
    <w:qFormat/>
    <w:uiPriority w:val="0"/>
    <w:pPr>
      <w:ind w:firstLine="480"/>
    </w:pPr>
    <w:rPr>
      <w:color w:val="0000FF"/>
    </w:rPr>
  </w:style>
  <w:style w:type="paragraph" w:customStyle="1" w:styleId="72">
    <w:name w:val="正文-欣欣"/>
    <w:basedOn w:val="1"/>
    <w:next w:val="1"/>
    <w:qFormat/>
    <w:uiPriority w:val="0"/>
    <w:pPr>
      <w:ind w:firstLine="200" w:firstLineChars="200"/>
    </w:pPr>
    <w:rPr>
      <w:rFonts w:cs="Courier New"/>
      <w:szCs w:val="21"/>
    </w:rPr>
  </w:style>
  <w:style w:type="paragraph" w:customStyle="1" w:styleId="73">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74">
    <w:name w:val="批注文字 字符"/>
    <w:basedOn w:val="40"/>
    <w:link w:val="13"/>
    <w:qFormat/>
    <w:uiPriority w:val="0"/>
    <w:rPr>
      <w:kern w:val="2"/>
      <w:sz w:val="24"/>
      <w:szCs w:val="24"/>
    </w:rPr>
  </w:style>
  <w:style w:type="character" w:customStyle="1" w:styleId="75">
    <w:name w:val="批注主题 字符"/>
    <w:basedOn w:val="74"/>
    <w:link w:val="36"/>
    <w:qFormat/>
    <w:uiPriority w:val="0"/>
    <w:rPr>
      <w:b/>
      <w:bCs/>
      <w:kern w:val="2"/>
      <w:sz w:val="24"/>
      <w:szCs w:val="24"/>
    </w:rPr>
  </w:style>
  <w:style w:type="paragraph" w:customStyle="1" w:styleId="76">
    <w:name w:val="WPSOffice手动目录 1"/>
    <w:qFormat/>
    <w:uiPriority w:val="0"/>
    <w:pPr>
      <w:ind w:leftChars="0"/>
    </w:pPr>
    <w:rPr>
      <w:rFonts w:ascii="Times New Roman" w:hAnsi="Times New Roman" w:eastAsia="宋体" w:cs="Times New Roman"/>
      <w:sz w:val="20"/>
      <w:szCs w:val="20"/>
    </w:rPr>
  </w:style>
  <w:style w:type="paragraph" w:customStyle="1" w:styleId="77">
    <w:name w:val="WPSOffice手动目录 2"/>
    <w:qFormat/>
    <w:uiPriority w:val="0"/>
    <w:pPr>
      <w:ind w:leftChars="200"/>
    </w:pPr>
    <w:rPr>
      <w:rFonts w:ascii="Times New Roman" w:hAnsi="Times New Roman" w:eastAsia="宋体" w:cs="Times New Roman"/>
      <w:sz w:val="20"/>
      <w:szCs w:val="20"/>
    </w:rPr>
  </w:style>
  <w:style w:type="paragraph" w:customStyle="1" w:styleId="78">
    <w:name w:val="正文文本缩进1"/>
    <w:basedOn w:val="1"/>
    <w:qFormat/>
    <w:uiPriority w:val="0"/>
    <w:pPr>
      <w:spacing w:after="120"/>
      <w:ind w:left="420" w:leftChars="200"/>
    </w:pPr>
    <w:rPr>
      <w:kern w:val="0"/>
      <w:sz w:val="20"/>
    </w:rPr>
  </w:style>
  <w:style w:type="character" w:customStyle="1" w:styleId="79">
    <w:name w:val="标题 1 Char"/>
    <w:link w:val="3"/>
    <w:qFormat/>
    <w:uiPriority w:val="0"/>
    <w:rPr>
      <w:rFonts w:ascii="黑体" w:hAnsi="黑体" w:eastAsia="黑体"/>
      <w:b/>
      <w:snapToGrid w:val="0"/>
      <w:color w:val="000000"/>
      <w:sz w:val="32"/>
    </w:rPr>
  </w:style>
  <w:style w:type="paragraph" w:customStyle="1" w:styleId="80">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81">
    <w:name w:val="No Spacing"/>
    <w:basedOn w:val="1"/>
    <w:next w:val="82"/>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82">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83">
    <w:name w:val="font61"/>
    <w:basedOn w:val="40"/>
    <w:qFormat/>
    <w:uiPriority w:val="0"/>
    <w:rPr>
      <w:rFonts w:hint="eastAsia" w:ascii="宋体" w:hAnsi="宋体" w:eastAsia="宋体" w:cs="宋体"/>
      <w:color w:val="000000"/>
      <w:sz w:val="20"/>
      <w:szCs w:val="20"/>
      <w:u w:val="none"/>
    </w:rPr>
  </w:style>
  <w:style w:type="paragraph" w:customStyle="1" w:styleId="84">
    <w:name w:val="表头"/>
    <w:basedOn w:val="66"/>
    <w:next w:val="1"/>
    <w:qFormat/>
    <w:uiPriority w:val="0"/>
    <w:pPr>
      <w:widowControl/>
      <w:ind w:firstLine="0" w:firstLineChars="0"/>
      <w:jc w:val="center"/>
    </w:pPr>
    <w:rPr>
      <w:b/>
      <w:kern w:val="0"/>
      <w:sz w:val="20"/>
      <w:szCs w:val="20"/>
    </w:rPr>
  </w:style>
  <w:style w:type="paragraph" w:customStyle="1" w:styleId="85">
    <w:name w:val="0表格"/>
    <w:basedOn w:val="1"/>
    <w:qFormat/>
    <w:uiPriority w:val="0"/>
    <w:pPr>
      <w:widowControl/>
      <w:jc w:val="center"/>
    </w:pPr>
    <w:rPr>
      <w:kern w:val="0"/>
      <w:szCs w:val="21"/>
    </w:rPr>
  </w:style>
  <w:style w:type="character" w:customStyle="1" w:styleId="86">
    <w:name w:val="标题 5 Char"/>
    <w:link w:val="7"/>
    <w:qFormat/>
    <w:uiPriority w:val="0"/>
    <w:rPr>
      <w:b/>
      <w:bCs/>
      <w:sz w:val="21"/>
      <w:szCs w:val="28"/>
    </w:rPr>
  </w:style>
  <w:style w:type="paragraph" w:customStyle="1" w:styleId="87">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88">
    <w:name w:val="【表中文字】"/>
    <w:basedOn w:val="1"/>
    <w:qFormat/>
    <w:uiPriority w:val="0"/>
    <w:pPr>
      <w:adjustRightInd w:val="0"/>
      <w:snapToGrid w:val="0"/>
      <w:jc w:val="center"/>
    </w:pPr>
    <w:rPr>
      <w:kern w:val="0"/>
      <w:sz w:val="20"/>
      <w:szCs w:val="20"/>
    </w:rPr>
  </w:style>
  <w:style w:type="paragraph" w:customStyle="1" w:styleId="89">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90">
    <w:name w:val="纯文本1"/>
    <w:basedOn w:val="1"/>
    <w:qFormat/>
    <w:uiPriority w:val="0"/>
    <w:rPr>
      <w:rFonts w:ascii="宋体" w:hAnsi="Courier New"/>
      <w:kern w:val="0"/>
      <w:sz w:val="20"/>
      <w:szCs w:val="20"/>
    </w:rPr>
  </w:style>
  <w:style w:type="paragraph" w:customStyle="1" w:styleId="91">
    <w:name w:val="p0"/>
    <w:basedOn w:val="1"/>
    <w:qFormat/>
    <w:uiPriority w:val="0"/>
    <w:pPr>
      <w:widowControl/>
      <w:spacing w:before="100" w:beforeAutospacing="1" w:after="100" w:afterAutospacing="1"/>
      <w:jc w:val="left"/>
    </w:pPr>
    <w:rPr>
      <w:rFonts w:ascii="宋体" w:hAnsi="宋体" w:cs="宋体"/>
      <w:kern w:val="0"/>
    </w:rPr>
  </w:style>
  <w:style w:type="paragraph" w:customStyle="1" w:styleId="92">
    <w:name w:val="表头样式"/>
    <w:basedOn w:val="1"/>
    <w:qFormat/>
    <w:uiPriority w:val="0"/>
    <w:pPr>
      <w:spacing w:beforeLines="50" w:afterLines="50"/>
      <w:jc w:val="center"/>
    </w:pPr>
    <w:rPr>
      <w:b/>
      <w:szCs w:val="21"/>
    </w:rPr>
  </w:style>
  <w:style w:type="paragraph" w:customStyle="1" w:styleId="93">
    <w:name w:val="正文01"/>
    <w:basedOn w:val="1"/>
    <w:link w:val="119"/>
    <w:qFormat/>
    <w:uiPriority w:val="0"/>
    <w:pPr>
      <w:ind w:firstLine="482"/>
    </w:pPr>
    <w:rPr>
      <w:szCs w:val="20"/>
    </w:rPr>
  </w:style>
  <w:style w:type="paragraph" w:customStyle="1" w:styleId="94">
    <w:name w:val="【正文】"/>
    <w:basedOn w:val="1"/>
    <w:qFormat/>
    <w:uiPriority w:val="0"/>
    <w:pPr>
      <w:spacing w:line="440" w:lineRule="exact"/>
      <w:ind w:firstLine="544" w:firstLineChars="200"/>
    </w:pPr>
    <w:rPr>
      <w:sz w:val="24"/>
      <w:szCs w:val="20"/>
    </w:rPr>
  </w:style>
  <w:style w:type="paragraph" w:customStyle="1" w:styleId="95">
    <w:name w:val="fcc正文"/>
    <w:basedOn w:val="1"/>
    <w:qFormat/>
    <w:uiPriority w:val="0"/>
    <w:pPr>
      <w:ind w:firstLine="200" w:firstLineChars="200"/>
    </w:pPr>
    <w:rPr>
      <w:rFonts w:ascii="Calibri" w:hAnsi="Calibri" w:cs="Times New Roman"/>
      <w:szCs w:val="20"/>
      <w:lang w:val="zh-CN"/>
    </w:rPr>
  </w:style>
  <w:style w:type="character" w:customStyle="1" w:styleId="96">
    <w:name w:val="页码1"/>
    <w:basedOn w:val="40"/>
    <w:qFormat/>
    <w:uiPriority w:val="0"/>
  </w:style>
  <w:style w:type="paragraph" w:customStyle="1" w:styleId="97">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98">
    <w:name w:val="Normal (Web)"/>
    <w:basedOn w:val="1"/>
    <w:qFormat/>
    <w:uiPriority w:val="0"/>
    <w:pPr>
      <w:spacing w:before="100" w:beforeAutospacing="1" w:after="100" w:afterAutospacing="1"/>
    </w:pPr>
    <w:rPr>
      <w:rFonts w:ascii="宋体" w:hAnsi="宋体" w:cs="宋体"/>
      <w:sz w:val="24"/>
    </w:rPr>
  </w:style>
  <w:style w:type="paragraph" w:customStyle="1" w:styleId="99">
    <w:name w:val="List Paragraph"/>
    <w:basedOn w:val="1"/>
    <w:next w:val="1"/>
    <w:uiPriority w:val="0"/>
    <w:pPr>
      <w:autoSpaceDE w:val="0"/>
      <w:autoSpaceDN w:val="0"/>
      <w:jc w:val="center"/>
    </w:pPr>
    <w:rPr>
      <w:szCs w:val="20"/>
    </w:rPr>
  </w:style>
  <w:style w:type="paragraph" w:customStyle="1" w:styleId="100">
    <w:name w:val="样式3"/>
    <w:basedOn w:val="8"/>
    <w:qFormat/>
    <w:uiPriority w:val="0"/>
    <w:pPr>
      <w:snapToGrid/>
      <w:spacing w:line="520" w:lineRule="atLeast"/>
      <w:ind w:firstLine="560"/>
      <w:jc w:val="left"/>
    </w:pPr>
    <w:rPr>
      <w:kern w:val="0"/>
      <w:sz w:val="28"/>
    </w:rPr>
  </w:style>
  <w:style w:type="paragraph" w:customStyle="1" w:styleId="101">
    <w:name w:val="正文-1"/>
    <w:link w:val="174"/>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02">
    <w:name w:val="表题"/>
    <w:basedOn w:val="28"/>
    <w:next w:val="103"/>
    <w:link w:val="171"/>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03">
    <w:name w:val="表格"/>
    <w:basedOn w:val="28"/>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104">
    <w:name w:val="-正文"/>
    <w:basedOn w:val="1"/>
    <w:link w:val="172"/>
    <w:qFormat/>
    <w:uiPriority w:val="0"/>
    <w:pPr>
      <w:widowControl w:val="0"/>
      <w:spacing w:line="480" w:lineRule="exact"/>
      <w:ind w:firstLine="200" w:firstLineChars="200"/>
      <w:jc w:val="both"/>
    </w:pPr>
    <w:rPr>
      <w:rFonts w:cs="宋体"/>
      <w:kern w:val="2"/>
      <w:sz w:val="24"/>
    </w:rPr>
  </w:style>
  <w:style w:type="paragraph" w:customStyle="1" w:styleId="105">
    <w:name w:val="-表格"/>
    <w:basedOn w:val="1"/>
    <w:next w:val="1"/>
    <w:uiPriority w:val="0"/>
    <w:pPr>
      <w:widowControl/>
      <w:tabs>
        <w:tab w:val="left" w:pos="3696"/>
      </w:tabs>
      <w:jc w:val="center"/>
    </w:pPr>
    <w:rPr>
      <w:rFonts w:ascii="宋体" w:hAnsi="宋体" w:cs="宋体"/>
      <w:snapToGrid w:val="0"/>
      <w:szCs w:val="20"/>
    </w:rPr>
  </w:style>
  <w:style w:type="paragraph" w:customStyle="1" w:styleId="106">
    <w:name w:val="GTR报告书表头"/>
    <w:basedOn w:val="1"/>
    <w:qFormat/>
    <w:uiPriority w:val="0"/>
    <w:pPr>
      <w:spacing w:line="500" w:lineRule="exact"/>
      <w:jc w:val="center"/>
    </w:pPr>
    <w:rPr>
      <w:rFonts w:eastAsia="黑体"/>
    </w:rPr>
  </w:style>
  <w:style w:type="paragraph" w:customStyle="1" w:styleId="107">
    <w:name w:val="GTR表格内容"/>
    <w:basedOn w:val="106"/>
    <w:qFormat/>
    <w:uiPriority w:val="0"/>
    <w:pPr>
      <w:spacing w:line="240" w:lineRule="auto"/>
    </w:pPr>
    <w:rPr>
      <w:rFonts w:eastAsia="宋体"/>
    </w:rPr>
  </w:style>
  <w:style w:type="paragraph" w:customStyle="1" w:styleId="108">
    <w:name w:val="小四正文格式"/>
    <w:basedOn w:val="1"/>
    <w:qFormat/>
    <w:uiPriority w:val="0"/>
    <w:pPr>
      <w:spacing w:line="360" w:lineRule="auto"/>
      <w:ind w:firstLine="200" w:firstLineChars="200"/>
    </w:pPr>
    <w:rPr>
      <w:rFonts w:ascii="宋体" w:hAnsi="宋体"/>
      <w:sz w:val="24"/>
    </w:rPr>
  </w:style>
  <w:style w:type="paragraph" w:customStyle="1" w:styleId="109">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10">
    <w:name w:val="表标题"/>
    <w:basedOn w:val="1"/>
    <w:next w:val="1"/>
    <w:semiHidden/>
    <w:qFormat/>
    <w:uiPriority w:val="0"/>
    <w:pPr>
      <w:adjustRightInd w:val="0"/>
      <w:jc w:val="center"/>
      <w:textAlignment w:val="baseline"/>
    </w:pPr>
    <w:rPr>
      <w:b/>
      <w:bCs/>
      <w:sz w:val="24"/>
      <w:szCs w:val="20"/>
    </w:rPr>
  </w:style>
  <w:style w:type="paragraph" w:customStyle="1" w:styleId="111">
    <w:name w:val="表格式"/>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2">
    <w:name w:val=" Char Char Char Char Char Char Char Char Char1 Char Char Char Char"/>
    <w:basedOn w:val="1"/>
    <w:qFormat/>
    <w:uiPriority w:val="0"/>
    <w:rPr>
      <w:sz w:val="24"/>
    </w:rPr>
  </w:style>
  <w:style w:type="paragraph" w:customStyle="1" w:styleId="113">
    <w:name w:val="报告正文"/>
    <w:basedOn w:val="1"/>
    <w:link w:val="128"/>
    <w:semiHidden/>
    <w:qFormat/>
    <w:uiPriority w:val="0"/>
    <w:pPr>
      <w:adjustRightInd w:val="0"/>
      <w:snapToGrid w:val="0"/>
      <w:spacing w:line="480" w:lineRule="exact"/>
      <w:ind w:firstLine="560" w:firstLineChars="200"/>
    </w:pPr>
    <w:rPr>
      <w:sz w:val="28"/>
    </w:rPr>
  </w:style>
  <w:style w:type="paragraph" w:customStyle="1" w:styleId="114">
    <w:name w:val="常用正文样式"/>
    <w:basedOn w:val="1"/>
    <w:uiPriority w:val="0"/>
    <w:pPr>
      <w:spacing w:line="360" w:lineRule="auto"/>
      <w:ind w:firstLine="480" w:firstLineChars="200"/>
    </w:pPr>
    <w:rPr>
      <w:rFonts w:ascii="宋体" w:hAnsi="宋体" w:eastAsia="仿宋_GB2312" w:cs="宋体"/>
      <w:bCs/>
      <w:kern w:val="28"/>
      <w:sz w:val="24"/>
    </w:rPr>
  </w:style>
  <w:style w:type="paragraph" w:customStyle="1" w:styleId="115">
    <w:name w:val="样式4"/>
    <w:basedOn w:val="1"/>
    <w:next w:val="1"/>
    <w:qFormat/>
    <w:uiPriority w:val="0"/>
    <w:pPr>
      <w:spacing w:line="440" w:lineRule="exact"/>
    </w:pPr>
    <w:rPr>
      <w:sz w:val="24"/>
      <w:szCs w:val="20"/>
    </w:rPr>
  </w:style>
  <w:style w:type="paragraph" w:customStyle="1" w:styleId="116">
    <w:name w:val="表格头"/>
    <w:basedOn w:val="1"/>
    <w:qFormat/>
    <w:uiPriority w:val="0"/>
    <w:pPr>
      <w:widowControl w:val="0"/>
      <w:jc w:val="center"/>
    </w:pPr>
    <w:rPr>
      <w:rFonts w:ascii="黑体" w:hAnsi="黑体"/>
      <w:b/>
      <w:sz w:val="21"/>
      <w:szCs w:val="24"/>
    </w:rPr>
  </w:style>
  <w:style w:type="paragraph" w:customStyle="1" w:styleId="117">
    <w:name w:val="-表题"/>
    <w:next w:val="104"/>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18">
    <w:name w:val="表中文字"/>
    <w:basedOn w:val="1"/>
    <w:qFormat/>
    <w:uiPriority w:val="0"/>
    <w:pPr>
      <w:widowControl w:val="0"/>
      <w:spacing w:line="300" w:lineRule="exact"/>
      <w:jc w:val="center"/>
    </w:pPr>
    <w:rPr>
      <w:color w:val="000000"/>
      <w:kern w:val="2"/>
      <w:sz w:val="21"/>
      <w:szCs w:val="24"/>
    </w:rPr>
  </w:style>
  <w:style w:type="character" w:customStyle="1" w:styleId="119">
    <w:name w:val="正文01 Char"/>
    <w:link w:val="93"/>
    <w:qFormat/>
    <w:uiPriority w:val="0"/>
    <w:rPr>
      <w:szCs w:val="20"/>
    </w:rPr>
  </w:style>
  <w:style w:type="paragraph" w:customStyle="1" w:styleId="120">
    <w:name w:val="表内容"/>
    <w:basedOn w:val="1"/>
    <w:next w:val="1"/>
    <w:qFormat/>
    <w:uiPriority w:val="0"/>
    <w:pPr>
      <w:jc w:val="center"/>
    </w:pPr>
    <w:rPr>
      <w:sz w:val="21"/>
      <w:szCs w:val="21"/>
    </w:rPr>
  </w:style>
  <w:style w:type="paragraph" w:customStyle="1" w:styleId="121">
    <w:name w:val="表格文字内容"/>
    <w:basedOn w:val="1"/>
    <w:qFormat/>
    <w:uiPriority w:val="0"/>
    <w:pPr>
      <w:spacing w:line="240" w:lineRule="exact"/>
      <w:jc w:val="center"/>
    </w:pPr>
    <w:rPr>
      <w:rFonts w:hAnsi="宋体"/>
      <w:sz w:val="18"/>
    </w:rPr>
  </w:style>
  <w:style w:type="paragraph" w:customStyle="1" w:styleId="122">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23">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24">
    <w:name w:val="CM13"/>
    <w:basedOn w:val="47"/>
    <w:qFormat/>
    <w:uiPriority w:val="0"/>
    <w:rPr>
      <w:color w:val="auto"/>
    </w:rPr>
  </w:style>
  <w:style w:type="paragraph" w:customStyle="1" w:styleId="125">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26">
    <w:name w:val="4"/>
    <w:basedOn w:val="1"/>
    <w:next w:val="10"/>
    <w:qFormat/>
    <w:uiPriority w:val="0"/>
    <w:pPr>
      <w:ind w:firstLine="540"/>
    </w:pPr>
    <w:rPr>
      <w:rFonts w:ascii="宋体"/>
      <w:sz w:val="28"/>
      <w:szCs w:val="20"/>
    </w:rPr>
  </w:style>
  <w:style w:type="paragraph" w:customStyle="1" w:styleId="127">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28">
    <w:name w:val="报告正文 Char"/>
    <w:link w:val="113"/>
    <w:qFormat/>
    <w:uiPriority w:val="0"/>
    <w:rPr>
      <w:sz w:val="28"/>
    </w:rPr>
  </w:style>
  <w:style w:type="paragraph" w:customStyle="1" w:styleId="129">
    <w:name w:val="正文文本报告（报告）"/>
    <w:basedOn w:val="1"/>
    <w:qFormat/>
    <w:uiPriority w:val="0"/>
    <w:pPr>
      <w:spacing w:line="440" w:lineRule="exact"/>
      <w:ind w:firstLine="200" w:firstLineChars="200"/>
    </w:pPr>
    <w:rPr>
      <w:sz w:val="24"/>
    </w:rPr>
  </w:style>
  <w:style w:type="character" w:customStyle="1" w:styleId="130">
    <w:name w:val="font21"/>
    <w:basedOn w:val="40"/>
    <w:qFormat/>
    <w:uiPriority w:val="0"/>
    <w:rPr>
      <w:rFonts w:hint="eastAsia" w:ascii="宋体" w:hAnsi="宋体" w:eastAsia="宋体" w:cs="宋体"/>
      <w:color w:val="000000"/>
      <w:sz w:val="22"/>
      <w:szCs w:val="22"/>
      <w:u w:val="none"/>
    </w:rPr>
  </w:style>
  <w:style w:type="paragraph" w:customStyle="1" w:styleId="131">
    <w:name w:val="章节目录"/>
    <w:basedOn w:val="1"/>
    <w:qFormat/>
    <w:uiPriority w:val="0"/>
    <w:pPr>
      <w:spacing w:line="360" w:lineRule="auto"/>
      <w:outlineLvl w:val="0"/>
    </w:pPr>
    <w:rPr>
      <w:b/>
      <w:sz w:val="28"/>
      <w:szCs w:val="28"/>
    </w:rPr>
  </w:style>
  <w:style w:type="paragraph" w:customStyle="1" w:styleId="132">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33">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134">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35">
    <w:name w:val="表字"/>
    <w:basedOn w:val="1"/>
    <w:qFormat/>
    <w:uiPriority w:val="0"/>
    <w:pPr>
      <w:spacing w:line="240" w:lineRule="auto"/>
      <w:jc w:val="center"/>
    </w:pPr>
    <w:rPr>
      <w:sz w:val="21"/>
      <w:szCs w:val="20"/>
    </w:rPr>
  </w:style>
  <w:style w:type="paragraph" w:customStyle="1" w:styleId="136">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37">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38">
    <w:name w:val="3"/>
    <w:basedOn w:val="139"/>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39">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0">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1">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42">
    <w:name w:val="p"/>
    <w:basedOn w:val="1"/>
    <w:qFormat/>
    <w:uiPriority w:val="0"/>
    <w:pPr>
      <w:adjustRightInd w:val="0"/>
      <w:snapToGrid w:val="0"/>
      <w:spacing w:line="360" w:lineRule="auto"/>
      <w:ind w:firstLine="1446" w:firstLineChars="200"/>
      <w:jc w:val="left"/>
    </w:pPr>
    <w:rPr>
      <w:kern w:val="0"/>
      <w:sz w:val="20"/>
      <w:szCs w:val="20"/>
    </w:rPr>
  </w:style>
  <w:style w:type="paragraph" w:customStyle="1" w:styleId="143">
    <w:name w:val="样式 行距: 固定值 24 磅 首行缩进:  2 字符"/>
    <w:basedOn w:val="1"/>
    <w:qFormat/>
    <w:uiPriority w:val="0"/>
    <w:pPr>
      <w:spacing w:line="480" w:lineRule="exact"/>
      <w:ind w:firstLine="480" w:firstLineChars="200"/>
    </w:pPr>
    <w:rPr>
      <w:sz w:val="24"/>
      <w:szCs w:val="20"/>
    </w:rPr>
  </w:style>
  <w:style w:type="paragraph" w:customStyle="1" w:styleId="144">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45">
    <w:name w:val="网格型1"/>
    <w:basedOn w:val="38"/>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p17"/>
    <w:basedOn w:val="1"/>
    <w:qFormat/>
    <w:uiPriority w:val="0"/>
    <w:pPr>
      <w:widowControl/>
      <w:spacing w:line="360" w:lineRule="auto"/>
      <w:ind w:firstLine="420"/>
    </w:pPr>
    <w:rPr>
      <w:rFonts w:ascii="宋体" w:hAnsi="宋体" w:cs="宋体"/>
      <w:color w:val="FF0000"/>
      <w:kern w:val="0"/>
      <w:sz w:val="24"/>
    </w:rPr>
  </w:style>
  <w:style w:type="paragraph" w:customStyle="1" w:styleId="147">
    <w:name w:val="p16"/>
    <w:basedOn w:val="1"/>
    <w:qFormat/>
    <w:uiPriority w:val="0"/>
    <w:pPr>
      <w:widowControl/>
      <w:snapToGrid w:val="0"/>
      <w:spacing w:line="360" w:lineRule="auto"/>
      <w:ind w:firstLine="420"/>
    </w:pPr>
    <w:rPr>
      <w:kern w:val="0"/>
      <w:sz w:val="24"/>
    </w:rPr>
  </w:style>
  <w:style w:type="paragraph" w:customStyle="1" w:styleId="148">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49">
    <w:name w:val="Table Paragraph"/>
    <w:basedOn w:val="1"/>
    <w:qFormat/>
    <w:uiPriority w:val="1"/>
    <w:pPr>
      <w:widowControl/>
      <w:jc w:val="left"/>
    </w:pPr>
    <w:rPr>
      <w:rFonts w:ascii="Calibri" w:hAnsi="Calibri" w:cs="宋体"/>
      <w:kern w:val="0"/>
      <w:sz w:val="22"/>
      <w:szCs w:val="22"/>
    </w:rPr>
  </w:style>
  <w:style w:type="paragraph" w:customStyle="1" w:styleId="150">
    <w:name w:val="样式1"/>
    <w:basedOn w:val="1"/>
    <w:next w:val="17"/>
    <w:qFormat/>
    <w:uiPriority w:val="0"/>
    <w:pPr>
      <w:ind w:left="90" w:leftChars="32"/>
    </w:pPr>
    <w:rPr>
      <w:rFonts w:ascii="宋体" w:hAnsi="宋体"/>
      <w:sz w:val="23"/>
      <w:szCs w:val="20"/>
    </w:rPr>
  </w:style>
  <w:style w:type="paragraph" w:customStyle="1" w:styleId="151">
    <w:name w:val="1表格"/>
    <w:basedOn w:val="1"/>
    <w:qFormat/>
    <w:uiPriority w:val="0"/>
    <w:pPr>
      <w:snapToGrid w:val="0"/>
      <w:spacing w:line="160" w:lineRule="atLeast"/>
      <w:jc w:val="center"/>
    </w:pPr>
    <w:rPr>
      <w:rFonts w:eastAsia="仿宋_GB2312"/>
      <w:szCs w:val="20"/>
    </w:rPr>
  </w:style>
  <w:style w:type="paragraph" w:customStyle="1" w:styleId="152">
    <w:name w:val="标题 41"/>
    <w:basedOn w:val="1"/>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53">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54">
    <w:name w:val="正文粗"/>
    <w:basedOn w:val="1"/>
    <w:next w:val="82"/>
    <w:qFormat/>
    <w:uiPriority w:val="0"/>
    <w:pPr>
      <w:ind w:firstLine="482"/>
      <w:jc w:val="both"/>
    </w:pPr>
    <w:rPr>
      <w:rFonts w:ascii="Times New Roman" w:hAnsi="Times New Roman" w:eastAsia="宋体"/>
      <w:b/>
      <w:color w:val="000000"/>
      <w:sz w:val="24"/>
      <w:szCs w:val="20"/>
    </w:rPr>
  </w:style>
  <w:style w:type="paragraph" w:customStyle="1" w:styleId="155">
    <w:name w:val="表格粗"/>
    <w:basedOn w:val="82"/>
    <w:qFormat/>
    <w:uiPriority w:val="0"/>
    <w:pPr>
      <w:adjustRightInd w:val="0"/>
      <w:snapToGrid w:val="0"/>
      <w:spacing w:line="240" w:lineRule="auto"/>
      <w:ind w:firstLine="0" w:firstLineChars="0"/>
      <w:jc w:val="center"/>
    </w:pPr>
    <w:rPr>
      <w:b/>
      <w:sz w:val="21"/>
      <w:shd w:val="clear" w:color="auto" w:fill="auto"/>
    </w:rPr>
  </w:style>
  <w:style w:type="paragraph" w:customStyle="1" w:styleId="156">
    <w:name w:val="_Style 10"/>
    <w:basedOn w:val="1"/>
    <w:qFormat/>
    <w:uiPriority w:val="0"/>
    <w:rPr>
      <w:szCs w:val="20"/>
    </w:rPr>
  </w:style>
  <w:style w:type="paragraph" w:customStyle="1" w:styleId="157">
    <w:name w:val="表格1"/>
    <w:basedOn w:val="1"/>
    <w:qFormat/>
    <w:uiPriority w:val="99"/>
    <w:pPr>
      <w:spacing w:line="360" w:lineRule="exact"/>
    </w:pPr>
    <w:rPr>
      <w:rFonts w:hAnsi="宋?"/>
    </w:rPr>
  </w:style>
  <w:style w:type="paragraph" w:customStyle="1" w:styleId="158">
    <w:name w:val="zly-图表"/>
    <w:basedOn w:val="8"/>
    <w:qFormat/>
    <w:uiPriority w:val="0"/>
    <w:pPr>
      <w:jc w:val="center"/>
    </w:pPr>
    <w:rPr>
      <w:rFonts w:ascii="Calibri" w:hAnsi="Calibri"/>
    </w:rPr>
  </w:style>
  <w:style w:type="paragraph" w:customStyle="1" w:styleId="159">
    <w:name w:val="zly-正文"/>
    <w:basedOn w:val="1"/>
    <w:qFormat/>
    <w:uiPriority w:val="99"/>
    <w:pPr>
      <w:spacing w:line="360" w:lineRule="auto"/>
      <w:ind w:firstLine="200" w:firstLineChars="200"/>
    </w:pPr>
    <w:rPr>
      <w:rFonts w:ascii="Calibri" w:hAnsi="Calibri"/>
      <w:kern w:val="0"/>
      <w:sz w:val="24"/>
    </w:rPr>
  </w:style>
  <w:style w:type="paragraph" w:customStyle="1" w:styleId="160">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1">
    <w:name w:val="妇幼正文"/>
    <w:basedOn w:val="1"/>
    <w:qFormat/>
    <w:uiPriority w:val="0"/>
    <w:pPr>
      <w:adjustRightInd w:val="0"/>
      <w:spacing w:line="360" w:lineRule="auto"/>
      <w:ind w:firstLine="480" w:firstLineChars="200"/>
    </w:pPr>
    <w:rPr>
      <w:color w:val="000000"/>
      <w:sz w:val="24"/>
    </w:rPr>
  </w:style>
  <w:style w:type="paragraph" w:customStyle="1" w:styleId="162">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63">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64">
    <w:name w:val="样式7"/>
    <w:basedOn w:val="115"/>
    <w:qFormat/>
    <w:uiPriority w:val="0"/>
    <w:pPr>
      <w:spacing w:before="0" w:beforeLines="0" w:after="0" w:afterLines="0"/>
      <w:ind w:firstLine="420" w:firstLineChars="200"/>
    </w:pPr>
    <w:rPr>
      <w:rFonts w:ascii="Times New Roman" w:eastAsia="华文中宋"/>
      <w:sz w:val="21"/>
      <w:szCs w:val="21"/>
    </w:rPr>
  </w:style>
  <w:style w:type="character" w:customStyle="1" w:styleId="165">
    <w:name w:val="font31"/>
    <w:basedOn w:val="40"/>
    <w:qFormat/>
    <w:uiPriority w:val="0"/>
    <w:rPr>
      <w:rFonts w:hint="default" w:ascii="Times New Roman" w:hAnsi="Times New Roman" w:cs="Times New Roman"/>
      <w:color w:val="000000"/>
      <w:sz w:val="21"/>
      <w:szCs w:val="21"/>
      <w:u w:val="none"/>
    </w:rPr>
  </w:style>
  <w:style w:type="character" w:customStyle="1" w:styleId="166">
    <w:name w:val="font11"/>
    <w:basedOn w:val="40"/>
    <w:uiPriority w:val="0"/>
    <w:rPr>
      <w:rFonts w:hint="default" w:ascii="Calibri" w:hAnsi="Calibri" w:cs="Calibri"/>
      <w:color w:val="000000"/>
      <w:sz w:val="21"/>
      <w:szCs w:val="21"/>
      <w:u w:val="none"/>
    </w:rPr>
  </w:style>
  <w:style w:type="paragraph" w:customStyle="1" w:styleId="167">
    <w:name w:val="正文文本1"/>
    <w:basedOn w:val="1"/>
    <w:qFormat/>
    <w:uiPriority w:val="0"/>
    <w:pPr>
      <w:spacing w:line="480" w:lineRule="exact"/>
      <w:ind w:firstLine="200" w:firstLineChars="200"/>
    </w:pPr>
    <w:rPr>
      <w:color w:val="000000"/>
      <w:sz w:val="24"/>
    </w:rPr>
  </w:style>
  <w:style w:type="paragraph" w:customStyle="1" w:styleId="168">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69">
    <w:name w:val="大标题"/>
    <w:basedOn w:val="1"/>
    <w:qFormat/>
    <w:uiPriority w:val="0"/>
    <w:pPr>
      <w:spacing w:line="360" w:lineRule="auto"/>
    </w:pPr>
    <w:rPr>
      <w:rFonts w:ascii="宋体" w:hAnsi="宋体"/>
      <w:b/>
      <w:sz w:val="30"/>
      <w:szCs w:val="24"/>
    </w:rPr>
  </w:style>
  <w:style w:type="paragraph" w:customStyle="1" w:styleId="170">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1">
    <w:name w:val="表题 Char"/>
    <w:link w:val="102"/>
    <w:qFormat/>
    <w:uiPriority w:val="0"/>
    <w:rPr>
      <w:rFonts w:ascii="Times New Roman" w:hAnsi="宋体" w:eastAsia="宋体" w:cs="Times New Roman"/>
      <w:b/>
      <w:kern w:val="2"/>
      <w:sz w:val="21"/>
      <w:szCs w:val="24"/>
      <w:lang w:val="en-US" w:eastAsia="zh-CN" w:bidi="ar-SA"/>
    </w:rPr>
  </w:style>
  <w:style w:type="character" w:customStyle="1" w:styleId="172">
    <w:name w:val="-正文 Char"/>
    <w:link w:val="104"/>
    <w:qFormat/>
    <w:uiPriority w:val="0"/>
    <w:rPr>
      <w:rFonts w:cs="宋体"/>
      <w:kern w:val="2"/>
      <w:sz w:val="24"/>
    </w:rPr>
  </w:style>
  <w:style w:type="paragraph" w:customStyle="1" w:styleId="173">
    <w:name w:val="标题-3"/>
    <w:basedOn w:val="1"/>
    <w:qFormat/>
    <w:uiPriority w:val="0"/>
    <w:pPr>
      <w:spacing w:line="480" w:lineRule="exact"/>
      <w:ind w:firstLine="482" w:firstLineChars="200"/>
    </w:pPr>
    <w:rPr>
      <w:rFonts w:cs="宋体"/>
      <w:b/>
      <w:bCs/>
      <w:sz w:val="24"/>
      <w:szCs w:val="20"/>
    </w:rPr>
  </w:style>
  <w:style w:type="character" w:customStyle="1" w:styleId="174">
    <w:name w:val="正文-1 Char"/>
    <w:link w:val="101"/>
    <w:qFormat/>
    <w:uiPriority w:val="0"/>
    <w:rPr>
      <w:rFonts w:ascii="Times New Roman" w:hAnsi="Times New Roman" w:eastAsia="宋体" w:cs="宋体"/>
      <w:kern w:val="2"/>
      <w:sz w:val="24"/>
      <w:lang w:val="en-US" w:eastAsia="zh-CN" w:bidi="ar-SA"/>
    </w:rPr>
  </w:style>
  <w:style w:type="character" w:customStyle="1" w:styleId="175">
    <w:name w:val="标题 2 Char"/>
    <w:link w:val="4"/>
    <w:uiPriority w:val="0"/>
    <w:rPr>
      <w:rFonts w:ascii="黑体" w:hAnsi="宋体" w:eastAsia="Times New Roman"/>
      <w:b/>
      <w:bCs/>
      <w:snapToGrid w:val="0"/>
      <w:kern w:val="0"/>
      <w:szCs w:val="20"/>
    </w:rPr>
  </w:style>
  <w:style w:type="paragraph" w:customStyle="1" w:styleId="176">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77">
    <w:name w:val="12"/>
    <w:basedOn w:val="1"/>
    <w:link w:val="180"/>
    <w:qFormat/>
    <w:uiPriority w:val="0"/>
    <w:pPr>
      <w:wordWrap w:val="0"/>
      <w:topLinePunct/>
      <w:adjustRightInd w:val="0"/>
      <w:snapToGrid w:val="0"/>
      <w:spacing w:line="360" w:lineRule="auto"/>
      <w:ind w:firstLine="200" w:firstLineChars="200"/>
      <w:jc w:val="left"/>
    </w:pPr>
    <w:rPr>
      <w:sz w:val="24"/>
    </w:rPr>
  </w:style>
  <w:style w:type="paragraph" w:customStyle="1" w:styleId="178">
    <w:name w:val="14"/>
    <w:basedOn w:val="1"/>
    <w:qFormat/>
    <w:uiPriority w:val="0"/>
    <w:pPr>
      <w:tabs>
        <w:tab w:val="right" w:pos="8306"/>
      </w:tabs>
      <w:spacing w:line="360" w:lineRule="auto"/>
      <w:jc w:val="center"/>
    </w:pPr>
    <w:rPr>
      <w:b/>
      <w:bCs/>
      <w:color w:val="000000"/>
      <w:szCs w:val="21"/>
    </w:rPr>
  </w:style>
  <w:style w:type="paragraph" w:customStyle="1" w:styleId="179">
    <w:name w:val="表格内容-龙池"/>
    <w:basedOn w:val="1"/>
    <w:qFormat/>
    <w:uiPriority w:val="0"/>
    <w:pPr>
      <w:autoSpaceDE w:val="0"/>
      <w:autoSpaceDN w:val="0"/>
      <w:adjustRightInd w:val="0"/>
      <w:contextualSpacing/>
      <w:jc w:val="center"/>
    </w:pPr>
    <w:rPr>
      <w:kern w:val="0"/>
      <w:szCs w:val="21"/>
    </w:rPr>
  </w:style>
  <w:style w:type="character" w:customStyle="1" w:styleId="180">
    <w:name w:val="12 Char"/>
    <w:basedOn w:val="40"/>
    <w:link w:val="177"/>
    <w:uiPriority w:val="0"/>
    <w:rPr>
      <w:sz w:val="24"/>
    </w:rPr>
  </w:style>
  <w:style w:type="paragraph" w:customStyle="1" w:styleId="181">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82">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83">
    <w:name w:val="Body Text Indent"/>
    <w:basedOn w:val="1"/>
    <w:qFormat/>
    <w:uiPriority w:val="0"/>
    <w:pPr>
      <w:spacing w:line="360" w:lineRule="auto"/>
      <w:ind w:firstLine="480"/>
    </w:pPr>
    <w:rPr>
      <w:rFonts w:ascii="宋体"/>
      <w:sz w:val="24"/>
    </w:rPr>
  </w:style>
  <w:style w:type="paragraph" w:customStyle="1" w:styleId="18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85">
    <w:name w:val="font01"/>
    <w:basedOn w:val="40"/>
    <w:qFormat/>
    <w:uiPriority w:val="0"/>
    <w:rPr>
      <w:rFonts w:hint="eastAsia" w:ascii="宋体" w:hAnsi="宋体" w:eastAsia="宋体" w:cs="宋体"/>
      <w:color w:val="000000"/>
      <w:sz w:val="24"/>
      <w:szCs w:val="24"/>
      <w:u w:val="none"/>
      <w:vertAlign w:val="superscript"/>
    </w:rPr>
  </w:style>
  <w:style w:type="paragraph" w:customStyle="1" w:styleId="186">
    <w:name w:val="表格题目"/>
    <w:basedOn w:val="11"/>
    <w:next w:val="187"/>
    <w:qFormat/>
    <w:uiPriority w:val="0"/>
    <w:pPr>
      <w:keepNext/>
    </w:pPr>
    <w:rPr>
      <w:rFonts w:ascii="黑体" w:hAnsi="黑体" w:eastAsia="黑体"/>
      <w:szCs w:val="24"/>
    </w:rPr>
  </w:style>
  <w:style w:type="paragraph" w:customStyle="1" w:styleId="187">
    <w:name w:val="表名、图名"/>
    <w:basedOn w:val="1"/>
    <w:next w:val="1"/>
    <w:uiPriority w:val="0"/>
    <w:pPr>
      <w:ind w:firstLine="0" w:firstLineChars="0"/>
      <w:jc w:val="center"/>
    </w:pPr>
    <w:rPr>
      <w:rFonts w:eastAsia="黑体"/>
    </w:rPr>
  </w:style>
  <w:style w:type="character" w:customStyle="1" w:styleId="188">
    <w:name w:val="font51"/>
    <w:basedOn w:val="40"/>
    <w:uiPriority w:val="0"/>
    <w:rPr>
      <w:rFonts w:hint="default" w:ascii="Times New Roman" w:hAnsi="Times New Roman" w:cs="Times New Roman"/>
      <w:color w:val="000000"/>
      <w:sz w:val="21"/>
      <w:szCs w:val="21"/>
      <w:u w:val="none"/>
      <w:vertAlign w:val="superscript"/>
    </w:rPr>
  </w:style>
  <w:style w:type="character" w:customStyle="1" w:styleId="189">
    <w:name w:val="font71"/>
    <w:qFormat/>
    <w:uiPriority w:val="0"/>
    <w:rPr>
      <w:rFonts w:hint="eastAsia" w:ascii="宋体" w:hAnsi="宋体" w:eastAsia="宋体" w:cs="宋体"/>
      <w:b/>
      <w:color w:val="000000"/>
      <w:sz w:val="21"/>
      <w:szCs w:val="21"/>
      <w:u w:val="none"/>
    </w:rPr>
  </w:style>
  <w:style w:type="character" w:customStyle="1" w:styleId="190">
    <w:name w:val="font41"/>
    <w:qFormat/>
    <w:uiPriority w:val="0"/>
    <w:rPr>
      <w:rFonts w:hint="eastAsia" w:ascii="宋体" w:hAnsi="宋体" w:eastAsia="宋体" w:cs="宋体"/>
      <w:color w:val="000000"/>
      <w:sz w:val="21"/>
      <w:szCs w:val="21"/>
      <w:u w:val="none"/>
    </w:rPr>
  </w:style>
  <w:style w:type="character" w:customStyle="1" w:styleId="191">
    <w:name w:val="font81"/>
    <w:basedOn w:val="40"/>
    <w:uiPriority w:val="0"/>
    <w:rPr>
      <w:rFonts w:hint="eastAsia" w:ascii="宋体" w:hAnsi="宋体" w:eastAsia="宋体" w:cs="宋体"/>
      <w:color w:val="000000"/>
      <w:sz w:val="24"/>
      <w:szCs w:val="24"/>
      <w:u w:val="none"/>
    </w:rPr>
  </w:style>
  <w:style w:type="character" w:customStyle="1" w:styleId="192">
    <w:name w:val="font101"/>
    <w:basedOn w:val="40"/>
    <w:uiPriority w:val="0"/>
    <w:rPr>
      <w:rFonts w:hint="default" w:ascii="Times New Roman" w:hAnsi="Times New Roman" w:cs="Times New Roman"/>
      <w:color w:val="000000"/>
      <w:sz w:val="21"/>
      <w:szCs w:val="21"/>
      <w:u w:val="none"/>
      <w:vertAlign w:val="superscript"/>
    </w:rPr>
  </w:style>
  <w:style w:type="paragraph" w:customStyle="1" w:styleId="19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168</Pages>
  <Words>21262</Words>
  <Characters>121195</Characters>
  <Lines>1009</Lines>
  <Paragraphs>284</Paragraphs>
  <TotalTime>0</TotalTime>
  <ScaleCrop>false</ScaleCrop>
  <LinksUpToDate>false</LinksUpToDate>
  <CharactersWithSpaces>142173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2010-12-31T19:18:00Z</dcterms:created>
  <dc:creator>黑桃A</dc:creator>
  <cp:lastModifiedBy>Administrator</cp:lastModifiedBy>
  <dcterms:modified xsi:type="dcterms:W3CDTF">2022-03-15T06:30:47Z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B576C2D9AB664531991FDE20E0830230</vt:lpwstr>
  </property>
</Properties>
</file>