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JPG" ContentType="image/.jpg"/>
  <Default Extension="wmf" ContentType="image/x-wmf"/>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pacing w:line="440" w:lineRule="exact"/>
        <w:jc w:val="center"/>
        <w:rPr>
          <w:rFonts w:ascii="仿宋_GB2312" w:hAnsi="宋体" w:eastAsia="仿宋_GB2312" w:cs="宋体"/>
          <w:b/>
          <w:bCs/>
          <w:color w:val="000000"/>
          <w:kern w:val="0"/>
          <w:sz w:val="28"/>
          <w:szCs w:val="28"/>
        </w:rPr>
      </w:pPr>
      <w:r>
        <w:rPr>
          <w:rFonts w:hint="eastAsia" w:ascii="仿宋_GB2312" w:hAnsi="宋体" w:eastAsia="仿宋_GB2312" w:cs="宋体"/>
          <w:b/>
          <w:bCs/>
          <w:color w:val="000000"/>
          <w:kern w:val="0"/>
          <w:sz w:val="28"/>
          <w:szCs w:val="28"/>
        </w:rPr>
        <w:t xml:space="preserve">乐山市市中区生态环境局关于建设项目环境影响评价文件受理情况的公示 </w:t>
      </w:r>
    </w:p>
    <w:p>
      <w:pPr>
        <w:widowControl/>
        <w:jc w:val="center"/>
        <w:rPr>
          <w:rFonts w:hint="default" w:ascii="宋体" w:hAnsi="宋体" w:eastAsia="宋体" w:cs="宋体"/>
          <w:color w:val="000000"/>
          <w:kern w:val="0"/>
          <w:sz w:val="24"/>
          <w:lang w:val="en-US" w:eastAsia="zh-CN"/>
        </w:rPr>
      </w:pPr>
      <w:r>
        <w:rPr>
          <w:rFonts w:hint="eastAsia" w:ascii="宋体" w:hAnsi="宋体" w:cs="宋体"/>
          <w:color w:val="000000"/>
          <w:kern w:val="0"/>
          <w:sz w:val="24"/>
        </w:rPr>
        <w:t>20</w:t>
      </w:r>
      <w:r>
        <w:rPr>
          <w:rFonts w:hint="eastAsia" w:ascii="宋体" w:hAnsi="宋体" w:cs="宋体"/>
          <w:color w:val="000000"/>
          <w:kern w:val="0"/>
          <w:sz w:val="24"/>
          <w:lang w:val="en-US" w:eastAsia="zh-CN"/>
        </w:rPr>
        <w:t>22</w:t>
      </w:r>
      <w:r>
        <w:rPr>
          <w:rFonts w:hint="eastAsia" w:ascii="宋体" w:hAnsi="宋体" w:cs="宋体"/>
          <w:color w:val="000000"/>
          <w:kern w:val="0"/>
          <w:sz w:val="24"/>
        </w:rPr>
        <w:t>-</w:t>
      </w:r>
      <w:r>
        <w:rPr>
          <w:rFonts w:hint="eastAsia" w:ascii="宋体" w:hAnsi="宋体" w:cs="宋体"/>
          <w:color w:val="000000"/>
          <w:kern w:val="0"/>
          <w:sz w:val="24"/>
          <w:lang w:val="en-US" w:eastAsia="zh-CN"/>
        </w:rPr>
        <w:t>3</w:t>
      </w:r>
      <w:r>
        <w:rPr>
          <w:rFonts w:hint="eastAsia" w:ascii="宋体" w:hAnsi="宋体" w:cs="宋体"/>
          <w:color w:val="000000"/>
          <w:kern w:val="0"/>
          <w:sz w:val="24"/>
        </w:rPr>
        <w:t>-</w:t>
      </w:r>
      <w:r>
        <w:rPr>
          <w:rFonts w:hint="eastAsia" w:ascii="宋体" w:hAnsi="宋体" w:cs="宋体"/>
          <w:color w:val="000000"/>
          <w:kern w:val="0"/>
          <w:sz w:val="24"/>
          <w:lang w:val="en-US" w:eastAsia="zh-CN"/>
        </w:rPr>
        <w:t>2</w:t>
      </w:r>
    </w:p>
    <w:p>
      <w:pPr>
        <w:widowControl/>
        <w:ind w:firstLine="420"/>
        <w:jc w:val="left"/>
        <w:rPr>
          <w:rFonts w:ascii="宋体" w:hAnsi="宋体" w:cs="宋体"/>
          <w:color w:val="000000"/>
          <w:kern w:val="0"/>
          <w:sz w:val="24"/>
        </w:rPr>
      </w:pPr>
      <w:r>
        <w:rPr>
          <w:rFonts w:hint="eastAsia" w:ascii="宋体" w:hAnsi="宋体" w:cs="宋体"/>
          <w:color w:val="000000"/>
          <w:kern w:val="0"/>
          <w:sz w:val="24"/>
        </w:rPr>
        <w:t>根据建设项目环境影响评价审批程序的有关规定，20</w:t>
      </w:r>
      <w:r>
        <w:rPr>
          <w:rFonts w:hint="eastAsia" w:ascii="宋体" w:hAnsi="宋体" w:cs="宋体"/>
          <w:color w:val="000000"/>
          <w:kern w:val="0"/>
          <w:sz w:val="24"/>
          <w:lang w:val="en-US" w:eastAsia="zh-CN"/>
        </w:rPr>
        <w:t>22</w:t>
      </w:r>
      <w:r>
        <w:rPr>
          <w:rFonts w:hint="eastAsia" w:ascii="宋体" w:hAnsi="宋体" w:cs="宋体"/>
          <w:color w:val="000000"/>
          <w:kern w:val="0"/>
          <w:sz w:val="24"/>
        </w:rPr>
        <w:t>年</w:t>
      </w:r>
      <w:r>
        <w:rPr>
          <w:rFonts w:hint="eastAsia" w:ascii="宋体" w:hAnsi="宋体" w:cs="宋体"/>
          <w:color w:val="000000"/>
          <w:kern w:val="0"/>
          <w:sz w:val="24"/>
          <w:lang w:val="en-US" w:eastAsia="zh-CN"/>
        </w:rPr>
        <w:t>3</w:t>
      </w:r>
      <w:r>
        <w:rPr>
          <w:rFonts w:hint="eastAsia" w:ascii="宋体" w:hAnsi="宋体" w:cs="宋体"/>
          <w:color w:val="000000"/>
          <w:kern w:val="0"/>
          <w:sz w:val="24"/>
        </w:rPr>
        <w:t>月</w:t>
      </w:r>
      <w:r>
        <w:rPr>
          <w:rFonts w:hint="eastAsia" w:ascii="宋体" w:hAnsi="宋体" w:cs="宋体"/>
          <w:color w:val="000000"/>
          <w:kern w:val="0"/>
          <w:sz w:val="24"/>
          <w:lang w:val="en-US" w:eastAsia="zh-CN"/>
        </w:rPr>
        <w:t>2</w:t>
      </w:r>
      <w:r>
        <w:rPr>
          <w:rFonts w:hint="eastAsia" w:ascii="宋体" w:hAnsi="宋体" w:cs="宋体"/>
          <w:color w:val="000000"/>
          <w:kern w:val="0"/>
          <w:sz w:val="24"/>
        </w:rPr>
        <w:t>日我局受理</w:t>
      </w:r>
      <w:r>
        <w:rPr>
          <w:rFonts w:hint="eastAsia" w:ascii="宋体" w:hAnsi="宋体" w:cs="宋体"/>
          <w:color w:val="000000"/>
          <w:kern w:val="0"/>
          <w:sz w:val="24"/>
          <w:lang w:val="en-US" w:eastAsia="zh-CN"/>
        </w:rPr>
        <w:t>1</w:t>
      </w:r>
      <w:r>
        <w:rPr>
          <w:rFonts w:hint="eastAsia" w:ascii="宋体" w:hAnsi="宋体" w:cs="宋体"/>
          <w:color w:val="000000"/>
          <w:kern w:val="0"/>
          <w:sz w:val="24"/>
        </w:rPr>
        <w:t>个建设项目环境影响评价文件。现将受理情况予以公示，公示期为20</w:t>
      </w:r>
      <w:r>
        <w:rPr>
          <w:rFonts w:hint="eastAsia" w:ascii="宋体" w:hAnsi="宋体" w:cs="宋体"/>
          <w:color w:val="000000"/>
          <w:kern w:val="0"/>
          <w:sz w:val="24"/>
          <w:lang w:val="en-US" w:eastAsia="zh-CN"/>
        </w:rPr>
        <w:t>22</w:t>
      </w:r>
      <w:r>
        <w:rPr>
          <w:rFonts w:hint="eastAsia" w:ascii="宋体" w:hAnsi="宋体" w:cs="宋体"/>
          <w:color w:val="000000"/>
          <w:kern w:val="0"/>
          <w:sz w:val="24"/>
        </w:rPr>
        <w:t>年</w:t>
      </w:r>
      <w:r>
        <w:rPr>
          <w:rFonts w:hint="eastAsia" w:ascii="宋体" w:hAnsi="宋体" w:cs="宋体"/>
          <w:color w:val="000000"/>
          <w:kern w:val="0"/>
          <w:sz w:val="24"/>
          <w:lang w:val="en-US" w:eastAsia="zh-CN"/>
        </w:rPr>
        <w:t>3</w:t>
      </w:r>
      <w:r>
        <w:rPr>
          <w:rFonts w:hint="eastAsia" w:ascii="宋体" w:hAnsi="宋体" w:cs="宋体"/>
          <w:color w:val="000000"/>
          <w:kern w:val="0"/>
          <w:sz w:val="24"/>
        </w:rPr>
        <w:t>月</w:t>
      </w:r>
      <w:r>
        <w:rPr>
          <w:rFonts w:hint="eastAsia" w:ascii="宋体" w:hAnsi="宋体" w:cs="宋体"/>
          <w:color w:val="000000"/>
          <w:kern w:val="0"/>
          <w:sz w:val="24"/>
          <w:lang w:val="en-US" w:eastAsia="zh-CN"/>
        </w:rPr>
        <w:t>2</w:t>
      </w:r>
      <w:r>
        <w:rPr>
          <w:rFonts w:hint="eastAsia" w:ascii="宋体" w:hAnsi="宋体" w:cs="宋体"/>
          <w:color w:val="000000"/>
          <w:kern w:val="0"/>
          <w:sz w:val="24"/>
        </w:rPr>
        <w:t>日－20</w:t>
      </w:r>
      <w:r>
        <w:rPr>
          <w:rFonts w:hint="eastAsia" w:ascii="宋体" w:hAnsi="宋体" w:cs="宋体"/>
          <w:color w:val="000000"/>
          <w:kern w:val="0"/>
          <w:sz w:val="24"/>
          <w:lang w:val="en-US" w:eastAsia="zh-CN"/>
        </w:rPr>
        <w:t>22</w:t>
      </w:r>
      <w:r>
        <w:rPr>
          <w:rFonts w:hint="eastAsia" w:ascii="宋体" w:hAnsi="宋体" w:cs="宋体"/>
          <w:color w:val="000000"/>
          <w:kern w:val="0"/>
          <w:sz w:val="24"/>
        </w:rPr>
        <w:t>年</w:t>
      </w:r>
      <w:r>
        <w:rPr>
          <w:rFonts w:hint="eastAsia" w:ascii="宋体" w:hAnsi="宋体" w:cs="宋体"/>
          <w:color w:val="000000"/>
          <w:kern w:val="0"/>
          <w:sz w:val="24"/>
          <w:lang w:val="en-US" w:eastAsia="zh-CN"/>
        </w:rPr>
        <w:t>3</w:t>
      </w:r>
      <w:r>
        <w:rPr>
          <w:rFonts w:hint="eastAsia" w:ascii="宋体" w:hAnsi="宋体" w:cs="宋体"/>
          <w:color w:val="000000"/>
          <w:kern w:val="0"/>
          <w:sz w:val="24"/>
        </w:rPr>
        <w:t>月</w:t>
      </w:r>
      <w:r>
        <w:rPr>
          <w:rFonts w:hint="eastAsia" w:ascii="宋体" w:hAnsi="宋体" w:cs="宋体"/>
          <w:color w:val="000000"/>
          <w:kern w:val="0"/>
          <w:sz w:val="24"/>
          <w:lang w:val="en-US" w:eastAsia="zh-CN"/>
        </w:rPr>
        <w:t>16</w:t>
      </w:r>
      <w:r>
        <w:rPr>
          <w:rFonts w:hint="eastAsia" w:ascii="宋体" w:hAnsi="宋体" w:cs="宋体"/>
          <w:color w:val="000000"/>
          <w:kern w:val="0"/>
          <w:sz w:val="24"/>
        </w:rPr>
        <w:t>日（10个工作日）。</w:t>
      </w:r>
    </w:p>
    <w:p>
      <w:pPr>
        <w:widowControl/>
        <w:ind w:firstLine="420"/>
        <w:jc w:val="left"/>
        <w:rPr>
          <w:rFonts w:ascii="宋体" w:hAnsi="宋体" w:cs="宋体"/>
          <w:color w:val="000000"/>
          <w:kern w:val="0"/>
          <w:sz w:val="24"/>
        </w:rPr>
      </w:pPr>
      <w:r>
        <w:rPr>
          <w:rFonts w:hint="eastAsia" w:ascii="宋体" w:hAnsi="宋体" w:cs="宋体"/>
          <w:color w:val="000000"/>
          <w:kern w:val="0"/>
          <w:sz w:val="24"/>
        </w:rPr>
        <w:t>　　联系电话：0833－2103779</w:t>
      </w:r>
    </w:p>
    <w:p>
      <w:pPr>
        <w:widowControl/>
        <w:ind w:firstLine="420"/>
        <w:jc w:val="left"/>
        <w:rPr>
          <w:rFonts w:ascii="宋体" w:hAnsi="宋体" w:cs="宋体"/>
          <w:color w:val="000000"/>
          <w:kern w:val="0"/>
          <w:sz w:val="24"/>
        </w:rPr>
      </w:pPr>
      <w:r>
        <w:rPr>
          <w:rFonts w:hint="eastAsia" w:ascii="宋体" w:hAnsi="宋体" w:cs="宋体"/>
          <w:color w:val="000000"/>
          <w:kern w:val="0"/>
          <w:sz w:val="24"/>
        </w:rPr>
        <w:t>　　传 　 真：0833-2133332</w:t>
      </w:r>
    </w:p>
    <w:p>
      <w:pPr>
        <w:widowControl/>
        <w:ind w:firstLine="420"/>
        <w:jc w:val="left"/>
        <w:rPr>
          <w:rFonts w:ascii="宋体" w:hAnsi="宋体" w:cs="宋体"/>
          <w:color w:val="000000"/>
          <w:kern w:val="0"/>
          <w:sz w:val="24"/>
        </w:rPr>
      </w:pPr>
      <w:r>
        <w:rPr>
          <w:rFonts w:hint="eastAsia" w:ascii="宋体" w:hAnsi="宋体" w:cs="宋体"/>
          <w:color w:val="000000"/>
          <w:kern w:val="0"/>
          <w:sz w:val="24"/>
        </w:rPr>
        <w:t>　　通讯地址：乐山市市中区白燕路830号</w:t>
      </w:r>
    </w:p>
    <w:p>
      <w:pPr>
        <w:widowControl/>
        <w:ind w:firstLine="900" w:firstLineChars="375"/>
        <w:jc w:val="left"/>
        <w:rPr>
          <w:rFonts w:ascii="宋体" w:hAnsi="宋体" w:cs="宋体"/>
          <w:color w:val="000000"/>
          <w:kern w:val="0"/>
          <w:sz w:val="24"/>
        </w:rPr>
      </w:pPr>
      <w:r>
        <w:rPr>
          <w:rFonts w:hint="eastAsia" w:ascii="宋体" w:hAnsi="宋体" w:cs="宋体"/>
          <w:color w:val="000000"/>
          <w:kern w:val="0"/>
          <w:sz w:val="24"/>
        </w:rPr>
        <w:t>邮政编码：614000</w:t>
      </w:r>
    </w:p>
    <w:tbl>
      <w:tblPr>
        <w:tblStyle w:val="39"/>
        <w:tblW w:w="15344" w:type="dxa"/>
        <w:jc w:val="center"/>
        <w:tblLayout w:type="fixed"/>
        <w:tblCellMar>
          <w:top w:w="0" w:type="dxa"/>
          <w:left w:w="0" w:type="dxa"/>
          <w:bottom w:w="0" w:type="dxa"/>
          <w:right w:w="0" w:type="dxa"/>
        </w:tblCellMar>
      </w:tblPr>
      <w:tblGrid>
        <w:gridCol w:w="722"/>
        <w:gridCol w:w="2806"/>
        <w:gridCol w:w="3245"/>
        <w:gridCol w:w="2976"/>
        <w:gridCol w:w="4218"/>
        <w:gridCol w:w="1377"/>
      </w:tblGrid>
      <w:tr>
        <w:tblPrEx>
          <w:tblCellMar>
            <w:top w:w="0" w:type="dxa"/>
            <w:left w:w="0" w:type="dxa"/>
            <w:bottom w:w="0" w:type="dxa"/>
            <w:right w:w="0" w:type="dxa"/>
          </w:tblCellMar>
        </w:tblPrEx>
        <w:trPr>
          <w:cantSplit/>
          <w:trHeight w:val="803" w:hRule="atLeast"/>
          <w:tblHeader/>
          <w:jc w:val="center"/>
        </w:trPr>
        <w:tc>
          <w:tcPr>
            <w:tcW w:w="722" w:type="dxa"/>
            <w:tcBorders>
              <w:top w:val="single" w:color="auto" w:sz="8" w:space="0"/>
              <w:left w:val="single" w:color="auto" w:sz="8" w:space="0"/>
              <w:bottom w:val="single" w:color="auto" w:sz="8" w:space="0"/>
              <w:right w:val="single" w:color="auto" w:sz="8" w:space="0"/>
            </w:tcBorders>
            <w:noWrap w:val="0"/>
            <w:tcMar>
              <w:top w:w="0" w:type="dxa"/>
              <w:left w:w="108" w:type="dxa"/>
              <w:bottom w:w="0" w:type="dxa"/>
              <w:right w:w="108" w:type="dxa"/>
            </w:tcMar>
            <w:vAlign w:val="center"/>
          </w:tcPr>
          <w:p>
            <w:pPr>
              <w:widowControl/>
              <w:spacing w:before="100" w:beforeAutospacing="1" w:after="100" w:afterAutospacing="1" w:line="360" w:lineRule="atLeast"/>
              <w:jc w:val="center"/>
              <w:rPr>
                <w:rFonts w:ascii="宋体" w:hAnsi="宋体" w:cs="宋体"/>
                <w:color w:val="000000"/>
                <w:kern w:val="0"/>
                <w:sz w:val="24"/>
              </w:rPr>
            </w:pPr>
            <w:r>
              <w:rPr>
                <w:rFonts w:hint="eastAsia" w:ascii="宋体" w:hAnsi="宋体" w:cs="宋体"/>
                <w:b/>
                <w:bCs/>
                <w:color w:val="000000"/>
                <w:kern w:val="0"/>
              </w:rPr>
              <w:t>序号</w:t>
            </w:r>
          </w:p>
        </w:tc>
        <w:tc>
          <w:tcPr>
            <w:tcW w:w="2806" w:type="dxa"/>
            <w:tcBorders>
              <w:top w:val="single" w:color="auto" w:sz="8" w:space="0"/>
              <w:left w:val="nil"/>
              <w:bottom w:val="single" w:color="auto" w:sz="8" w:space="0"/>
              <w:right w:val="single" w:color="auto" w:sz="8" w:space="0"/>
            </w:tcBorders>
            <w:noWrap w:val="0"/>
            <w:tcMar>
              <w:top w:w="0" w:type="dxa"/>
              <w:left w:w="108" w:type="dxa"/>
              <w:bottom w:w="0" w:type="dxa"/>
              <w:right w:w="108" w:type="dxa"/>
            </w:tcMar>
            <w:vAlign w:val="center"/>
          </w:tcPr>
          <w:p>
            <w:pPr>
              <w:widowControl/>
              <w:spacing w:before="100" w:beforeAutospacing="1" w:after="100" w:afterAutospacing="1" w:line="360" w:lineRule="atLeast"/>
              <w:jc w:val="center"/>
              <w:rPr>
                <w:rFonts w:ascii="宋体" w:hAnsi="宋体" w:cs="宋体"/>
                <w:color w:val="000000"/>
                <w:kern w:val="0"/>
                <w:sz w:val="24"/>
              </w:rPr>
            </w:pPr>
            <w:r>
              <w:rPr>
                <w:rFonts w:hint="eastAsia" w:ascii="宋体" w:hAnsi="宋体" w:cs="宋体"/>
                <w:b/>
                <w:bCs/>
                <w:color w:val="000000"/>
                <w:kern w:val="0"/>
              </w:rPr>
              <w:t>项目名称</w:t>
            </w:r>
          </w:p>
        </w:tc>
        <w:tc>
          <w:tcPr>
            <w:tcW w:w="3245" w:type="dxa"/>
            <w:tcBorders>
              <w:top w:val="single" w:color="auto" w:sz="8" w:space="0"/>
              <w:left w:val="nil"/>
              <w:bottom w:val="single" w:color="auto" w:sz="8" w:space="0"/>
              <w:right w:val="single" w:color="auto" w:sz="8" w:space="0"/>
            </w:tcBorders>
            <w:noWrap w:val="0"/>
            <w:tcMar>
              <w:top w:w="0" w:type="dxa"/>
              <w:left w:w="108" w:type="dxa"/>
              <w:bottom w:w="0" w:type="dxa"/>
              <w:right w:w="108" w:type="dxa"/>
            </w:tcMar>
            <w:vAlign w:val="center"/>
          </w:tcPr>
          <w:p>
            <w:pPr>
              <w:widowControl/>
              <w:spacing w:before="100" w:beforeAutospacing="1" w:after="100" w:afterAutospacing="1" w:line="360" w:lineRule="atLeast"/>
              <w:jc w:val="center"/>
              <w:rPr>
                <w:rFonts w:ascii="宋体" w:hAnsi="宋体" w:cs="宋体"/>
                <w:color w:val="000000"/>
                <w:kern w:val="0"/>
                <w:sz w:val="24"/>
              </w:rPr>
            </w:pPr>
            <w:r>
              <w:rPr>
                <w:rFonts w:hint="eastAsia" w:ascii="宋体" w:hAnsi="宋体" w:cs="宋体"/>
                <w:b/>
                <w:bCs/>
                <w:color w:val="000000"/>
                <w:kern w:val="0"/>
              </w:rPr>
              <w:t>建设地点</w:t>
            </w:r>
          </w:p>
        </w:tc>
        <w:tc>
          <w:tcPr>
            <w:tcW w:w="2976" w:type="dxa"/>
            <w:tcBorders>
              <w:top w:val="single" w:color="auto" w:sz="8" w:space="0"/>
              <w:left w:val="nil"/>
              <w:bottom w:val="single" w:color="auto" w:sz="8" w:space="0"/>
              <w:right w:val="single" w:color="auto" w:sz="8" w:space="0"/>
            </w:tcBorders>
            <w:noWrap w:val="0"/>
            <w:tcMar>
              <w:top w:w="0" w:type="dxa"/>
              <w:left w:w="108" w:type="dxa"/>
              <w:bottom w:w="0" w:type="dxa"/>
              <w:right w:w="108" w:type="dxa"/>
            </w:tcMar>
            <w:vAlign w:val="center"/>
          </w:tcPr>
          <w:p>
            <w:pPr>
              <w:widowControl/>
              <w:spacing w:before="100" w:beforeAutospacing="1" w:after="100" w:afterAutospacing="1" w:line="360" w:lineRule="atLeast"/>
              <w:jc w:val="center"/>
              <w:rPr>
                <w:rFonts w:ascii="宋体" w:hAnsi="宋体" w:cs="宋体"/>
                <w:color w:val="000000"/>
                <w:kern w:val="0"/>
                <w:sz w:val="24"/>
              </w:rPr>
            </w:pPr>
            <w:r>
              <w:rPr>
                <w:rFonts w:hint="eastAsia" w:ascii="宋体" w:hAnsi="宋体" w:cs="宋体"/>
                <w:b/>
                <w:bCs/>
                <w:color w:val="000000"/>
                <w:kern w:val="0"/>
              </w:rPr>
              <w:t>建设单位</w:t>
            </w:r>
          </w:p>
        </w:tc>
        <w:tc>
          <w:tcPr>
            <w:tcW w:w="4218" w:type="dxa"/>
            <w:tcBorders>
              <w:top w:val="single" w:color="auto" w:sz="8" w:space="0"/>
              <w:left w:val="nil"/>
              <w:bottom w:val="single" w:color="auto" w:sz="8" w:space="0"/>
              <w:right w:val="single" w:color="auto" w:sz="8" w:space="0"/>
            </w:tcBorders>
            <w:noWrap w:val="0"/>
            <w:tcMar>
              <w:top w:w="0" w:type="dxa"/>
              <w:left w:w="108" w:type="dxa"/>
              <w:bottom w:w="0" w:type="dxa"/>
              <w:right w:w="108" w:type="dxa"/>
            </w:tcMar>
            <w:vAlign w:val="center"/>
          </w:tcPr>
          <w:p>
            <w:pPr>
              <w:widowControl/>
              <w:spacing w:before="100" w:beforeAutospacing="1" w:after="100" w:afterAutospacing="1" w:line="360" w:lineRule="atLeast"/>
              <w:jc w:val="center"/>
              <w:rPr>
                <w:rFonts w:ascii="宋体" w:hAnsi="宋体" w:cs="宋体"/>
                <w:color w:val="000000"/>
                <w:kern w:val="0"/>
                <w:sz w:val="24"/>
              </w:rPr>
            </w:pPr>
            <w:r>
              <w:rPr>
                <w:rFonts w:hint="eastAsia" w:ascii="宋体" w:hAnsi="宋体" w:cs="宋体"/>
                <w:b/>
                <w:bCs/>
                <w:color w:val="000000"/>
                <w:kern w:val="0"/>
              </w:rPr>
              <w:t>环境影响评价机构</w:t>
            </w:r>
          </w:p>
        </w:tc>
        <w:tc>
          <w:tcPr>
            <w:tcW w:w="1377" w:type="dxa"/>
            <w:tcBorders>
              <w:top w:val="single" w:color="auto" w:sz="8" w:space="0"/>
              <w:left w:val="nil"/>
              <w:bottom w:val="single" w:color="auto" w:sz="8" w:space="0"/>
              <w:right w:val="single" w:color="auto" w:sz="8" w:space="0"/>
            </w:tcBorders>
            <w:noWrap w:val="0"/>
            <w:tcMar>
              <w:top w:w="0" w:type="dxa"/>
              <w:left w:w="108" w:type="dxa"/>
              <w:bottom w:w="0" w:type="dxa"/>
              <w:right w:w="108" w:type="dxa"/>
            </w:tcMar>
            <w:vAlign w:val="center"/>
          </w:tcPr>
          <w:p>
            <w:pPr>
              <w:widowControl/>
              <w:spacing w:before="100" w:beforeAutospacing="1" w:after="100" w:afterAutospacing="1" w:line="360" w:lineRule="atLeast"/>
              <w:jc w:val="center"/>
              <w:rPr>
                <w:rFonts w:ascii="宋体" w:hAnsi="宋体" w:cs="宋体"/>
                <w:color w:val="000000"/>
                <w:kern w:val="0"/>
                <w:sz w:val="24"/>
              </w:rPr>
            </w:pPr>
            <w:r>
              <w:rPr>
                <w:rFonts w:hint="eastAsia" w:ascii="宋体" w:hAnsi="宋体" w:cs="宋体"/>
                <w:b/>
                <w:bCs/>
                <w:color w:val="000000"/>
                <w:kern w:val="0"/>
              </w:rPr>
              <w:t>受理日期</w:t>
            </w:r>
          </w:p>
        </w:tc>
      </w:tr>
      <w:tr>
        <w:tblPrEx>
          <w:tblCellMar>
            <w:top w:w="0" w:type="dxa"/>
            <w:left w:w="0" w:type="dxa"/>
            <w:bottom w:w="0" w:type="dxa"/>
            <w:right w:w="0" w:type="dxa"/>
          </w:tblCellMar>
        </w:tblPrEx>
        <w:trPr>
          <w:cantSplit/>
          <w:trHeight w:val="925" w:hRule="atLeast"/>
          <w:tblHeader/>
          <w:jc w:val="center"/>
        </w:trPr>
        <w:tc>
          <w:tcPr>
            <w:tcW w:w="722" w:type="dxa"/>
            <w:tcBorders>
              <w:top w:val="single" w:color="auto" w:sz="8" w:space="0"/>
              <w:left w:val="single" w:color="auto" w:sz="8" w:space="0"/>
              <w:bottom w:val="single" w:color="auto" w:sz="8" w:space="0"/>
              <w:right w:val="single" w:color="auto" w:sz="8" w:space="0"/>
            </w:tcBorders>
            <w:noWrap w:val="0"/>
            <w:tcMar>
              <w:top w:w="0" w:type="dxa"/>
              <w:left w:w="108" w:type="dxa"/>
              <w:bottom w:w="0" w:type="dxa"/>
              <w:right w:w="108" w:type="dxa"/>
            </w:tcMar>
            <w:vAlign w:val="center"/>
          </w:tcPr>
          <w:p>
            <w:pPr>
              <w:spacing w:line="360" w:lineRule="auto"/>
              <w:jc w:val="center"/>
              <w:rPr>
                <w:bCs/>
                <w:color w:val="000000"/>
                <w:sz w:val="18"/>
                <w:szCs w:val="18"/>
              </w:rPr>
            </w:pPr>
            <w:r>
              <w:rPr>
                <w:rFonts w:hint="eastAsia"/>
                <w:bCs/>
                <w:color w:val="000000"/>
                <w:sz w:val="18"/>
                <w:szCs w:val="18"/>
              </w:rPr>
              <w:t>1</w:t>
            </w:r>
          </w:p>
        </w:tc>
        <w:tc>
          <w:tcPr>
            <w:tcW w:w="2806" w:type="dxa"/>
            <w:tcBorders>
              <w:top w:val="single" w:color="auto" w:sz="8" w:space="0"/>
              <w:left w:val="nil"/>
              <w:bottom w:val="single" w:color="auto" w:sz="8" w:space="0"/>
              <w:right w:val="single" w:color="auto" w:sz="8" w:space="0"/>
            </w:tcBorders>
            <w:noWrap w:val="0"/>
            <w:tcMar>
              <w:top w:w="0" w:type="dxa"/>
              <w:left w:w="108" w:type="dxa"/>
              <w:bottom w:w="0" w:type="dxa"/>
              <w:right w:w="108" w:type="dxa"/>
            </w:tcMar>
            <w:vAlign w:val="center"/>
          </w:tcPr>
          <w:p>
            <w:pPr>
              <w:rPr>
                <w:rFonts w:hint="eastAsia" w:ascii="Times New Roman" w:hAnsi="Times New Roman" w:cs="Times New Roman"/>
              </w:rPr>
            </w:pPr>
            <w:r>
              <w:rPr>
                <w:rFonts w:hint="eastAsia" w:ascii="Times New Roman" w:hAnsi="Times New Roman" w:cs="Times New Roman"/>
              </w:rPr>
              <w:t>年产1万吨沥青混凝土拌合站改建工程项目</w:t>
            </w:r>
          </w:p>
          <w:p>
            <w:pPr>
              <w:rPr>
                <w:rFonts w:hint="eastAsia" w:ascii="Times New Roman" w:hAnsi="Times New Roman" w:cs="Times New Roman"/>
              </w:rPr>
            </w:pPr>
          </w:p>
        </w:tc>
        <w:tc>
          <w:tcPr>
            <w:tcW w:w="3245" w:type="dxa"/>
            <w:tcBorders>
              <w:top w:val="single" w:color="auto" w:sz="8" w:space="0"/>
              <w:left w:val="nil"/>
              <w:bottom w:val="single" w:color="auto" w:sz="8" w:space="0"/>
              <w:right w:val="single" w:color="auto" w:sz="8" w:space="0"/>
            </w:tcBorders>
            <w:noWrap w:val="0"/>
            <w:tcMar>
              <w:top w:w="0" w:type="dxa"/>
              <w:left w:w="108" w:type="dxa"/>
              <w:bottom w:w="0" w:type="dxa"/>
              <w:right w:w="108" w:type="dxa"/>
            </w:tcMar>
            <w:vAlign w:val="center"/>
          </w:tcPr>
          <w:p>
            <w:pP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乐山市市中县（区）绵竹 乡（街道）冷水寺村一组</w:t>
            </w:r>
          </w:p>
        </w:tc>
        <w:tc>
          <w:tcPr>
            <w:tcW w:w="2976" w:type="dxa"/>
            <w:tcBorders>
              <w:top w:val="single" w:color="auto" w:sz="8" w:space="0"/>
              <w:left w:val="nil"/>
              <w:bottom w:val="single" w:color="auto" w:sz="8" w:space="0"/>
              <w:right w:val="single" w:color="auto" w:sz="8" w:space="0"/>
            </w:tcBorders>
            <w:noWrap w:val="0"/>
            <w:tcMar>
              <w:top w:w="0" w:type="dxa"/>
              <w:left w:w="108" w:type="dxa"/>
              <w:bottom w:w="0" w:type="dxa"/>
              <w:right w:w="108" w:type="dxa"/>
            </w:tcMar>
            <w:vAlign w:val="center"/>
          </w:tcPr>
          <w:p>
            <w:pPr>
              <w:rPr>
                <w:rFonts w:hint="eastAsia" w:ascii="Times New Roman" w:hAnsi="Times New Roman" w:cs="Times New Roman"/>
              </w:rPr>
            </w:pPr>
            <w:r>
              <w:rPr>
                <w:rFonts w:hint="eastAsia" w:ascii="Times New Roman" w:hAnsi="Times New Roman" w:cs="Times New Roman"/>
              </w:rPr>
              <w:t>乐山市大川建设有限公司</w:t>
            </w:r>
          </w:p>
        </w:tc>
        <w:tc>
          <w:tcPr>
            <w:tcW w:w="4218" w:type="dxa"/>
            <w:tcBorders>
              <w:top w:val="single" w:color="auto" w:sz="8" w:space="0"/>
              <w:left w:val="nil"/>
              <w:bottom w:val="single" w:color="auto" w:sz="8" w:space="0"/>
              <w:right w:val="single" w:color="auto" w:sz="8" w:space="0"/>
            </w:tcBorders>
            <w:noWrap w:val="0"/>
            <w:tcMar>
              <w:top w:w="0" w:type="dxa"/>
              <w:left w:w="108" w:type="dxa"/>
              <w:bottom w:w="0" w:type="dxa"/>
              <w:right w:w="108" w:type="dxa"/>
            </w:tcMar>
            <w:vAlign w:val="center"/>
          </w:tcPr>
          <w:p>
            <w:pPr>
              <w:rPr>
                <w:rFonts w:hint="eastAsia" w:ascii="Times New Roman" w:hAnsi="Times New Roman" w:cs="Times New Roman"/>
              </w:rPr>
            </w:pPr>
            <w:r>
              <w:rPr>
                <w:rFonts w:hint="eastAsia" w:ascii="Times New Roman" w:hAnsi="Times New Roman" w:cs="Times New Roman"/>
                <w:lang w:val="en-US" w:eastAsia="zh-CN"/>
              </w:rPr>
              <w:t>南京国环科技股份有限公司</w:t>
            </w:r>
          </w:p>
        </w:tc>
        <w:tc>
          <w:tcPr>
            <w:tcW w:w="1377" w:type="dxa"/>
            <w:tcBorders>
              <w:top w:val="single" w:color="auto" w:sz="8" w:space="0"/>
              <w:left w:val="nil"/>
              <w:bottom w:val="single" w:color="auto" w:sz="8" w:space="0"/>
              <w:right w:val="single" w:color="auto" w:sz="8" w:space="0"/>
            </w:tcBorders>
            <w:noWrap w:val="0"/>
            <w:tcMar>
              <w:top w:w="0" w:type="dxa"/>
              <w:left w:w="108" w:type="dxa"/>
              <w:bottom w:w="0" w:type="dxa"/>
              <w:right w:w="108" w:type="dxa"/>
            </w:tcMar>
            <w:vAlign w:val="center"/>
          </w:tcPr>
          <w:p>
            <w:pPr>
              <w:rPr>
                <w:rFonts w:hint="default" w:ascii="Times New Roman" w:hAnsi="Times New Roman" w:eastAsia="宋体" w:cs="Times New Roman"/>
                <w:lang w:val="en-US" w:eastAsia="zh-CN"/>
              </w:rPr>
            </w:pPr>
            <w:r>
              <w:rPr>
                <w:rFonts w:hint="eastAsia" w:ascii="Times New Roman" w:hAnsi="Times New Roman" w:cs="Times New Roman"/>
              </w:rPr>
              <w:t>20</w:t>
            </w:r>
            <w:r>
              <w:rPr>
                <w:rFonts w:hint="eastAsia" w:ascii="Times New Roman" w:hAnsi="Times New Roman" w:cs="Times New Roman"/>
                <w:lang w:val="en-US" w:eastAsia="zh-CN"/>
              </w:rPr>
              <w:t>2</w:t>
            </w:r>
            <w:r>
              <w:rPr>
                <w:rFonts w:hint="eastAsia" w:cs="Times New Roman"/>
                <w:lang w:val="en-US" w:eastAsia="zh-CN"/>
              </w:rPr>
              <w:t>2</w:t>
            </w:r>
            <w:r>
              <w:rPr>
                <w:rFonts w:hint="eastAsia" w:ascii="Times New Roman" w:hAnsi="Times New Roman" w:cs="Times New Roman"/>
              </w:rPr>
              <w:t>-</w:t>
            </w:r>
            <w:r>
              <w:rPr>
                <w:rFonts w:hint="eastAsia" w:cs="Times New Roman"/>
                <w:lang w:val="en-US" w:eastAsia="zh-CN"/>
              </w:rPr>
              <w:t>3</w:t>
            </w:r>
            <w:r>
              <w:rPr>
                <w:rFonts w:hint="eastAsia" w:ascii="Times New Roman" w:hAnsi="Times New Roman" w:cs="Times New Roman"/>
              </w:rPr>
              <w:t>-</w:t>
            </w:r>
            <w:r>
              <w:rPr>
                <w:rFonts w:hint="eastAsia" w:cs="Times New Roman"/>
                <w:lang w:val="en-US" w:eastAsia="zh-CN"/>
              </w:rPr>
              <w:t>2</w:t>
            </w:r>
          </w:p>
        </w:tc>
      </w:tr>
    </w:tbl>
    <w:p>
      <w:pPr>
        <w:spacing w:line="360" w:lineRule="auto"/>
        <w:rPr>
          <w:color w:val="000000"/>
          <w:sz w:val="72"/>
          <w:szCs w:val="72"/>
        </w:rPr>
        <w:sectPr>
          <w:endnotePr>
            <w:numFmt w:val="decimal"/>
          </w:endnotePr>
          <w:pgSz w:w="16838" w:h="11906" w:orient="landscape"/>
          <w:pgMar w:top="1800" w:right="1440" w:bottom="1800" w:left="1440" w:header="851" w:footer="992" w:gutter="0"/>
          <w:pgNumType w:fmt="numberInDash" w:start="1"/>
          <w:cols w:space="720" w:num="1"/>
          <w:docGrid w:type="lines" w:linePitch="312" w:charSpace="0"/>
        </w:sectPr>
      </w:pPr>
      <w:r>
        <w:rPr>
          <w:rFonts w:hint="eastAsia" w:ascii="宋体" w:hAnsi="宋体" w:cs="宋体"/>
          <w:color w:val="000000"/>
          <w:kern w:val="0"/>
          <w:szCs w:val="21"/>
        </w:rPr>
        <w:t>注：根据《建设项目环境影响评价政府信息公开指南（试行）》的有关规定，上述环境影响报告书、表不含涉及国家秘密、商业秘密、个人隐私以及涉及国家安全、公共安全、经济安全和社会稳定的内容。</w:t>
      </w:r>
    </w:p>
    <w:p>
      <w:pPr>
        <w:rPr>
          <w:rFonts w:ascii="仿宋_GB2312" w:hAnsi="仿宋_GB2312" w:eastAsia="仿宋_GB2312" w:cs="仿宋_GB2312"/>
          <w:sz w:val="36"/>
          <w:szCs w:val="36"/>
        </w:rPr>
      </w:pPr>
    </w:p>
    <w:p>
      <w:pPr>
        <w:rPr>
          <w:rFonts w:ascii="仿宋_GB2312" w:hAnsi="仿宋_GB2312" w:eastAsia="仿宋_GB2312" w:cs="仿宋_GB2312"/>
          <w:color w:val="auto"/>
          <w:sz w:val="36"/>
          <w:szCs w:val="36"/>
          <w:highlight w:val="none"/>
        </w:rPr>
      </w:pPr>
    </w:p>
    <w:p>
      <w:pPr>
        <w:rPr>
          <w:rFonts w:ascii="仿宋_GB2312" w:hAnsi="仿宋_GB2312" w:eastAsia="仿宋_GB2312" w:cs="仿宋_GB2312"/>
          <w:color w:val="auto"/>
          <w:sz w:val="36"/>
          <w:szCs w:val="36"/>
          <w:highlight w:val="none"/>
        </w:rPr>
      </w:pPr>
    </w:p>
    <w:p>
      <w:pPr>
        <w:rPr>
          <w:rFonts w:ascii="仿宋_GB2312" w:hAnsi="仿宋_GB2312" w:eastAsia="仿宋_GB2312" w:cs="仿宋_GB2312"/>
          <w:color w:val="auto"/>
          <w:sz w:val="36"/>
          <w:szCs w:val="36"/>
          <w:highlight w:val="none"/>
        </w:rPr>
      </w:pPr>
    </w:p>
    <w:p>
      <w:pPr>
        <w:rPr>
          <w:rFonts w:ascii="仿宋_GB2312" w:hAnsi="仿宋_GB2312" w:eastAsia="仿宋_GB2312" w:cs="仿宋_GB2312"/>
          <w:color w:val="auto"/>
          <w:sz w:val="36"/>
          <w:szCs w:val="36"/>
          <w:highlight w:val="none"/>
        </w:rPr>
      </w:pPr>
    </w:p>
    <w:p>
      <w:pPr>
        <w:rPr>
          <w:rFonts w:hint="eastAsia" w:ascii="仿宋_GB2312" w:hAnsi="仿宋_GB2312" w:eastAsia="仿宋_GB2312" w:cs="仿宋_GB2312"/>
          <w:color w:val="auto"/>
          <w:sz w:val="36"/>
          <w:szCs w:val="36"/>
          <w:highlight w:val="none"/>
        </w:rPr>
      </w:pPr>
    </w:p>
    <w:p>
      <w:pPr>
        <w:adjustRightInd w:val="0"/>
        <w:snapToGrid w:val="0"/>
        <w:jc w:val="center"/>
        <w:outlineLvl w:val="0"/>
        <w:rPr>
          <w:rFonts w:hint="eastAsia" w:ascii="方正小标宋_GBK" w:eastAsia="方正小标宋_GBK"/>
          <w:bCs/>
          <w:color w:val="auto"/>
          <w:sz w:val="72"/>
          <w:szCs w:val="72"/>
          <w:highlight w:val="none"/>
        </w:rPr>
      </w:pPr>
      <w:r>
        <w:rPr>
          <w:rFonts w:hint="eastAsia" w:ascii="方正小标宋_GBK" w:eastAsia="方正小标宋_GBK"/>
          <w:bCs/>
          <w:color w:val="auto"/>
          <w:sz w:val="72"/>
          <w:szCs w:val="72"/>
          <w:highlight w:val="none"/>
        </w:rPr>
        <w:t>建设项目环境影响报告表</w:t>
      </w:r>
    </w:p>
    <w:p>
      <w:pPr>
        <w:adjustRightInd w:val="0"/>
        <w:snapToGrid w:val="0"/>
        <w:spacing w:before="192" w:beforeLines="80"/>
        <w:jc w:val="center"/>
        <w:rPr>
          <w:rFonts w:hint="eastAsia" w:ascii="楷体_GB2312" w:eastAsia="楷体_GB2312"/>
          <w:bCs/>
          <w:color w:val="auto"/>
          <w:sz w:val="48"/>
          <w:szCs w:val="48"/>
          <w:highlight w:val="none"/>
        </w:rPr>
      </w:pPr>
      <w:r>
        <w:rPr>
          <w:rFonts w:hint="eastAsia" w:ascii="楷体_GB2312" w:eastAsia="楷体_GB2312"/>
          <w:bCs/>
          <w:color w:val="auto"/>
          <w:sz w:val="48"/>
          <w:szCs w:val="48"/>
          <w:highlight w:val="none"/>
        </w:rPr>
        <w:t>（污染影响类）</w:t>
      </w:r>
    </w:p>
    <w:p>
      <w:pPr>
        <w:adjustRightInd w:val="0"/>
        <w:snapToGrid w:val="0"/>
        <w:spacing w:line="288" w:lineRule="auto"/>
        <w:jc w:val="center"/>
        <w:rPr>
          <w:rFonts w:ascii="华文仿宋" w:hAnsi="华文仿宋" w:eastAsia="华文仿宋" w:cs="华文仿宋"/>
          <w:color w:val="auto"/>
          <w:kern w:val="44"/>
          <w:sz w:val="44"/>
          <w:szCs w:val="44"/>
          <w:highlight w:val="none"/>
        </w:rPr>
      </w:pPr>
    </w:p>
    <w:p>
      <w:pPr>
        <w:jc w:val="center"/>
        <w:rPr>
          <w:rFonts w:eastAsia="仿宋"/>
          <w:color w:val="auto"/>
          <w:sz w:val="52"/>
          <w:szCs w:val="52"/>
          <w:highlight w:val="none"/>
        </w:rPr>
      </w:pPr>
    </w:p>
    <w:p>
      <w:pPr>
        <w:ind w:firstLine="1040"/>
        <w:rPr>
          <w:rFonts w:eastAsia="仿宋"/>
          <w:color w:val="auto"/>
          <w:sz w:val="44"/>
          <w:szCs w:val="44"/>
          <w:highlight w:val="none"/>
        </w:rPr>
      </w:pPr>
    </w:p>
    <w:p>
      <w:pPr>
        <w:ind w:firstLine="1040"/>
        <w:rPr>
          <w:rFonts w:eastAsia="仿宋"/>
          <w:color w:val="auto"/>
          <w:sz w:val="44"/>
          <w:szCs w:val="44"/>
          <w:highlight w:val="none"/>
        </w:rPr>
      </w:pPr>
    </w:p>
    <w:p>
      <w:pPr>
        <w:ind w:firstLine="1040"/>
        <w:rPr>
          <w:rFonts w:eastAsia="仿宋"/>
          <w:color w:val="auto"/>
          <w:sz w:val="44"/>
          <w:szCs w:val="44"/>
          <w:highlight w:val="none"/>
        </w:rPr>
      </w:pPr>
    </w:p>
    <w:p>
      <w:pPr>
        <w:ind w:firstLine="1040"/>
        <w:rPr>
          <w:rFonts w:eastAsia="仿宋"/>
          <w:color w:val="auto"/>
          <w:sz w:val="44"/>
          <w:szCs w:val="44"/>
          <w:highlight w:val="none"/>
        </w:rPr>
      </w:pPr>
    </w:p>
    <w:p>
      <w:pPr>
        <w:adjustRightInd w:val="0"/>
        <w:snapToGrid w:val="0"/>
        <w:spacing w:line="288" w:lineRule="auto"/>
        <w:ind w:firstLine="1040"/>
        <w:rPr>
          <w:rFonts w:ascii="仿宋_GB2312" w:eastAsia="仿宋_GB2312"/>
          <w:color w:val="auto"/>
          <w:sz w:val="36"/>
          <w:szCs w:val="36"/>
          <w:highlight w:val="none"/>
          <w:u w:val="single"/>
        </w:rPr>
      </w:pPr>
      <w:r>
        <w:rPr>
          <w:rFonts w:hint="eastAsia" w:ascii="仿宋_GB2312" w:eastAsia="仿宋_GB2312"/>
          <w:color w:val="auto"/>
          <w:sz w:val="36"/>
          <w:szCs w:val="36"/>
          <w:highlight w:val="none"/>
        </w:rPr>
        <w:t xml:space="preserve">项目名称： </w:t>
      </w:r>
      <w:r>
        <w:rPr>
          <w:rFonts w:hint="eastAsia" w:ascii="仿宋_GB2312" w:eastAsia="仿宋_GB2312"/>
          <w:color w:val="auto"/>
          <w:sz w:val="36"/>
          <w:szCs w:val="36"/>
          <w:highlight w:val="none"/>
          <w:u w:val="single"/>
        </w:rPr>
        <w:t xml:space="preserve">年产1万吨沥青混凝土拌合站  </w:t>
      </w:r>
    </w:p>
    <w:p>
      <w:pPr>
        <w:adjustRightInd w:val="0"/>
        <w:snapToGrid w:val="0"/>
        <w:spacing w:line="288" w:lineRule="auto"/>
        <w:ind w:firstLine="1040"/>
        <w:rPr>
          <w:rFonts w:hint="eastAsia" w:ascii="仿宋_GB2312" w:eastAsia="仿宋_GB2312"/>
          <w:color w:val="auto"/>
          <w:sz w:val="36"/>
          <w:szCs w:val="36"/>
          <w:highlight w:val="none"/>
          <w:u w:val="single"/>
        </w:rPr>
      </w:pPr>
      <w:r>
        <w:rPr>
          <w:rFonts w:hint="eastAsia" w:ascii="仿宋_GB2312" w:eastAsia="仿宋_GB2312"/>
          <w:color w:val="auto"/>
          <w:sz w:val="36"/>
          <w:szCs w:val="36"/>
          <w:highlight w:val="none"/>
          <w:u w:val="single"/>
        </w:rPr>
        <w:t>改建工程项目</w:t>
      </w:r>
    </w:p>
    <w:p>
      <w:pPr>
        <w:adjustRightInd w:val="0"/>
        <w:snapToGrid w:val="0"/>
        <w:spacing w:line="288" w:lineRule="auto"/>
        <w:ind w:firstLine="1040"/>
        <w:rPr>
          <w:rFonts w:hint="eastAsia" w:ascii="仿宋_GB2312" w:eastAsia="仿宋_GB2312"/>
          <w:color w:val="auto"/>
          <w:sz w:val="36"/>
          <w:szCs w:val="36"/>
          <w:highlight w:val="none"/>
        </w:rPr>
      </w:pPr>
      <w:r>
        <w:rPr>
          <w:rFonts w:hint="eastAsia" w:ascii="仿宋_GB2312" w:eastAsia="仿宋_GB2312"/>
          <w:color w:val="auto"/>
          <w:sz w:val="36"/>
          <w:szCs w:val="36"/>
          <w:highlight w:val="none"/>
        </w:rPr>
        <w:t>建设单位（盖章）：</w:t>
      </w:r>
      <w:r>
        <w:rPr>
          <w:rFonts w:hint="eastAsia" w:ascii="仿宋_GB2312" w:eastAsia="仿宋_GB2312"/>
          <w:color w:val="auto"/>
          <w:sz w:val="36"/>
          <w:szCs w:val="36"/>
          <w:highlight w:val="none"/>
          <w:u w:val="single"/>
        </w:rPr>
        <w:t>乐山市大川建设有限公司</w:t>
      </w:r>
    </w:p>
    <w:p>
      <w:pPr>
        <w:adjustRightInd w:val="0"/>
        <w:snapToGrid w:val="0"/>
        <w:spacing w:line="288" w:lineRule="auto"/>
        <w:ind w:firstLine="1040"/>
        <w:rPr>
          <w:rFonts w:hint="eastAsia" w:ascii="仿宋_GB2312" w:eastAsia="仿宋_GB2312"/>
          <w:color w:val="auto"/>
          <w:sz w:val="36"/>
          <w:szCs w:val="36"/>
          <w:highlight w:val="none"/>
          <w:u w:val="single"/>
        </w:rPr>
      </w:pPr>
      <w:r>
        <w:rPr>
          <w:rFonts w:hint="eastAsia" w:ascii="仿宋_GB2312" w:eastAsia="仿宋_GB2312"/>
          <w:color w:val="auto"/>
          <w:sz w:val="36"/>
          <w:szCs w:val="36"/>
          <w:highlight w:val="none"/>
        </w:rPr>
        <w:t>编制日期：</w:t>
      </w:r>
      <w:r>
        <w:rPr>
          <w:rFonts w:hint="eastAsia" w:ascii="仿宋_GB2312" w:eastAsia="仿宋_GB2312"/>
          <w:color w:val="auto"/>
          <w:sz w:val="36"/>
          <w:szCs w:val="36"/>
          <w:highlight w:val="none"/>
          <w:u w:val="single"/>
        </w:rPr>
        <w:t xml:space="preserve"> </w:t>
      </w:r>
      <w:r>
        <w:rPr>
          <w:rFonts w:ascii="仿宋_GB2312" w:eastAsia="仿宋_GB2312"/>
          <w:color w:val="auto"/>
          <w:sz w:val="36"/>
          <w:szCs w:val="36"/>
          <w:highlight w:val="none"/>
          <w:u w:val="single"/>
        </w:rPr>
        <w:t xml:space="preserve"> </w:t>
      </w:r>
      <w:r>
        <w:rPr>
          <w:rFonts w:hint="eastAsia" w:ascii="仿宋_GB2312" w:eastAsia="仿宋_GB2312"/>
          <w:color w:val="auto"/>
          <w:sz w:val="36"/>
          <w:szCs w:val="36"/>
          <w:highlight w:val="none"/>
          <w:u w:val="single"/>
        </w:rPr>
        <w:t xml:space="preserve">       2022年1月  </w:t>
      </w:r>
      <w:r>
        <w:rPr>
          <w:rFonts w:ascii="仿宋_GB2312" w:eastAsia="仿宋_GB2312"/>
          <w:color w:val="auto"/>
          <w:sz w:val="36"/>
          <w:szCs w:val="36"/>
          <w:highlight w:val="none"/>
          <w:u w:val="single"/>
        </w:rPr>
        <w:t xml:space="preserve">  </w:t>
      </w:r>
      <w:r>
        <w:rPr>
          <w:rFonts w:hint="eastAsia" w:ascii="仿宋_GB2312" w:eastAsia="仿宋_GB2312"/>
          <w:color w:val="auto"/>
          <w:sz w:val="36"/>
          <w:szCs w:val="36"/>
          <w:highlight w:val="none"/>
          <w:u w:val="single"/>
        </w:rPr>
        <w:t xml:space="preserve">     </w:t>
      </w:r>
    </w:p>
    <w:p>
      <w:pPr>
        <w:adjustRightInd w:val="0"/>
        <w:snapToGrid w:val="0"/>
        <w:spacing w:line="288" w:lineRule="auto"/>
        <w:ind w:firstLine="1040"/>
        <w:rPr>
          <w:rFonts w:ascii="仿宋_GB2312" w:eastAsia="仿宋_GB2312"/>
          <w:color w:val="auto"/>
          <w:sz w:val="36"/>
          <w:szCs w:val="36"/>
          <w:highlight w:val="none"/>
          <w:u w:val="single"/>
        </w:rPr>
      </w:pPr>
      <w:bookmarkStart w:id="0" w:name="_Hlk57884087"/>
    </w:p>
    <w:p>
      <w:pPr>
        <w:adjustRightInd w:val="0"/>
        <w:snapToGrid w:val="0"/>
        <w:spacing w:line="288" w:lineRule="auto"/>
        <w:ind w:firstLine="1040"/>
        <w:rPr>
          <w:rFonts w:ascii="仿宋_GB2312" w:eastAsia="仿宋_GB2312"/>
          <w:color w:val="auto"/>
          <w:sz w:val="36"/>
          <w:szCs w:val="36"/>
          <w:highlight w:val="none"/>
        </w:rPr>
      </w:pPr>
    </w:p>
    <w:p>
      <w:pPr>
        <w:adjustRightInd w:val="0"/>
        <w:snapToGrid w:val="0"/>
        <w:spacing w:line="288" w:lineRule="auto"/>
        <w:ind w:firstLine="1040"/>
        <w:rPr>
          <w:rFonts w:ascii="仿宋_GB2312" w:eastAsia="仿宋_GB2312"/>
          <w:color w:val="auto"/>
          <w:sz w:val="36"/>
          <w:szCs w:val="36"/>
          <w:highlight w:val="none"/>
        </w:rPr>
      </w:pPr>
    </w:p>
    <w:p>
      <w:pPr>
        <w:adjustRightInd w:val="0"/>
        <w:snapToGrid w:val="0"/>
        <w:spacing w:line="288" w:lineRule="auto"/>
        <w:ind w:firstLine="1040"/>
        <w:rPr>
          <w:rFonts w:hint="eastAsia" w:ascii="仿宋_GB2312" w:eastAsia="仿宋_GB2312"/>
          <w:color w:val="auto"/>
          <w:sz w:val="36"/>
          <w:szCs w:val="36"/>
          <w:highlight w:val="none"/>
        </w:rPr>
      </w:pPr>
    </w:p>
    <w:bookmarkEnd w:id="0"/>
    <w:p>
      <w:pPr>
        <w:adjustRightInd w:val="0"/>
        <w:snapToGrid w:val="0"/>
        <w:spacing w:line="288" w:lineRule="auto"/>
        <w:jc w:val="center"/>
        <w:rPr>
          <w:rFonts w:hint="eastAsia" w:ascii="楷体_GB2312" w:eastAsia="楷体_GB2312"/>
          <w:color w:val="auto"/>
          <w:sz w:val="36"/>
          <w:szCs w:val="36"/>
          <w:highlight w:val="none"/>
        </w:rPr>
      </w:pPr>
      <w:r>
        <w:rPr>
          <w:rFonts w:hint="eastAsia" w:ascii="楷体_GB2312" w:eastAsia="楷体_GB2312"/>
          <w:color w:val="auto"/>
          <w:sz w:val="36"/>
          <w:szCs w:val="36"/>
          <w:highlight w:val="none"/>
        </w:rPr>
        <w:t>中华人民共和国生态环境部制</w:t>
      </w:r>
    </w:p>
    <w:p>
      <w:pPr>
        <w:adjustRightInd w:val="0"/>
        <w:snapToGrid w:val="0"/>
        <w:spacing w:line="288" w:lineRule="auto"/>
        <w:ind w:firstLine="1040"/>
        <w:rPr>
          <w:rFonts w:ascii="仿宋_GB2312" w:eastAsia="仿宋_GB2312"/>
          <w:color w:val="auto"/>
          <w:sz w:val="36"/>
          <w:szCs w:val="36"/>
          <w:highlight w:val="none"/>
        </w:rPr>
        <w:sectPr>
          <w:footerReference r:id="rId3" w:type="default"/>
          <w:footerReference r:id="rId4" w:type="even"/>
          <w:pgSz w:w="11906" w:h="16838"/>
          <w:pgMar w:top="1701" w:right="1531" w:bottom="1701" w:left="1531" w:header="851" w:footer="1077" w:gutter="0"/>
          <w:pgBorders>
            <w:top w:val="none" w:sz="0" w:space="0"/>
            <w:left w:val="none" w:sz="0" w:space="0"/>
            <w:bottom w:val="none" w:sz="0" w:space="0"/>
            <w:right w:val="none" w:sz="0" w:space="0"/>
          </w:pgBorders>
          <w:pgNumType w:start="3"/>
          <w:cols w:space="720" w:num="1"/>
          <w:docGrid w:linePitch="312" w:charSpace="0"/>
        </w:sectPr>
      </w:pPr>
    </w:p>
    <w:p>
      <w:pPr>
        <w:pStyle w:val="35"/>
        <w:jc w:val="center"/>
        <w:outlineLvl w:val="0"/>
        <w:rPr>
          <w:rFonts w:hint="eastAsia" w:ascii="黑体" w:hAnsi="黑体" w:eastAsia="黑体"/>
          <w:snapToGrid w:val="0"/>
          <w:color w:val="auto"/>
          <w:sz w:val="30"/>
          <w:szCs w:val="30"/>
          <w:highlight w:val="none"/>
        </w:rPr>
      </w:pPr>
      <w:r>
        <w:rPr>
          <w:rFonts w:hint="eastAsia" w:ascii="黑体" w:hAnsi="黑体" w:eastAsia="黑体"/>
          <w:snapToGrid w:val="0"/>
          <w:color w:val="auto"/>
          <w:sz w:val="30"/>
          <w:szCs w:val="30"/>
          <w:highlight w:val="none"/>
        </w:rPr>
        <w:t>一、建设项目基本情况</w:t>
      </w:r>
    </w:p>
    <w:tbl>
      <w:tblPr>
        <w:tblStyle w:val="39"/>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2026"/>
        <w:gridCol w:w="1993"/>
        <w:gridCol w:w="2212"/>
        <w:gridCol w:w="263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026" w:type="dxa"/>
            <w:noWrap w:val="0"/>
            <w:tcMar>
              <w:top w:w="16" w:type="dxa"/>
              <w:left w:w="16" w:type="dxa"/>
              <w:right w:w="16" w:type="dxa"/>
            </w:tcMar>
            <w:vAlign w:val="center"/>
          </w:tcPr>
          <w:p>
            <w:pPr>
              <w:adjustRightInd w:val="0"/>
              <w:snapToGrid w:val="0"/>
              <w:jc w:val="center"/>
              <w:rPr>
                <w:rFonts w:ascii="宋体" w:hAnsi="宋体" w:cs="宋体"/>
                <w:color w:val="auto"/>
                <w:szCs w:val="21"/>
                <w:highlight w:val="none"/>
              </w:rPr>
            </w:pPr>
            <w:r>
              <w:rPr>
                <w:rFonts w:hint="eastAsia" w:ascii="宋体" w:hAnsi="宋体" w:cs="宋体"/>
                <w:color w:val="auto"/>
                <w:szCs w:val="21"/>
                <w:highlight w:val="none"/>
              </w:rPr>
              <w:t>建设项目名称</w:t>
            </w:r>
          </w:p>
        </w:tc>
        <w:tc>
          <w:tcPr>
            <w:tcW w:w="6844" w:type="dxa"/>
            <w:gridSpan w:val="3"/>
            <w:noWrap w:val="0"/>
            <w:vAlign w:val="center"/>
          </w:tcPr>
          <w:p>
            <w:pPr>
              <w:adjustRightInd w:val="0"/>
              <w:snapToGrid w:val="0"/>
              <w:jc w:val="center"/>
              <w:rPr>
                <w:rFonts w:hint="eastAsia" w:ascii="宋体" w:hAnsi="宋体" w:cs="宋体"/>
                <w:color w:val="auto"/>
                <w:szCs w:val="21"/>
                <w:highlight w:val="none"/>
              </w:rPr>
            </w:pPr>
            <w:r>
              <w:rPr>
                <w:rFonts w:hint="eastAsia" w:ascii="宋体" w:hAnsi="宋体" w:cs="宋体"/>
                <w:color w:val="auto"/>
                <w:szCs w:val="21"/>
                <w:highlight w:val="none"/>
              </w:rPr>
              <w:t>乐山市大川建设有限公司</w:t>
            </w:r>
          </w:p>
          <w:p>
            <w:pPr>
              <w:adjustRightInd w:val="0"/>
              <w:snapToGrid w:val="0"/>
              <w:jc w:val="center"/>
              <w:rPr>
                <w:rFonts w:ascii="宋体" w:hAnsi="宋体" w:cs="宋体"/>
                <w:color w:val="auto"/>
                <w:szCs w:val="21"/>
                <w:highlight w:val="none"/>
              </w:rPr>
            </w:pPr>
            <w:r>
              <w:rPr>
                <w:rFonts w:hint="eastAsia" w:ascii="宋体" w:hAnsi="宋体" w:cs="宋体"/>
                <w:color w:val="auto"/>
                <w:szCs w:val="21"/>
                <w:highlight w:val="none"/>
              </w:rPr>
              <w:t>年产1万吨沥青混凝土拌合站改建工程项目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026" w:type="dxa"/>
            <w:noWrap w:val="0"/>
            <w:tcMar>
              <w:top w:w="16" w:type="dxa"/>
              <w:left w:w="16" w:type="dxa"/>
              <w:right w:w="16" w:type="dxa"/>
            </w:tcMar>
            <w:vAlign w:val="center"/>
          </w:tcPr>
          <w:p>
            <w:pPr>
              <w:adjustRightInd w:val="0"/>
              <w:snapToGrid w:val="0"/>
              <w:jc w:val="center"/>
              <w:rPr>
                <w:rFonts w:ascii="宋体" w:hAnsi="宋体" w:cs="宋体"/>
                <w:color w:val="auto"/>
                <w:szCs w:val="21"/>
                <w:highlight w:val="none"/>
              </w:rPr>
            </w:pPr>
            <w:r>
              <w:rPr>
                <w:rFonts w:hint="eastAsia" w:ascii="宋体" w:hAnsi="宋体" w:cs="宋体"/>
                <w:color w:val="auto"/>
                <w:szCs w:val="21"/>
                <w:highlight w:val="none"/>
              </w:rPr>
              <w:t>项目代码</w:t>
            </w:r>
          </w:p>
        </w:tc>
        <w:tc>
          <w:tcPr>
            <w:tcW w:w="6844" w:type="dxa"/>
            <w:gridSpan w:val="3"/>
            <w:noWrap w:val="0"/>
            <w:vAlign w:val="center"/>
          </w:tcPr>
          <w:p>
            <w:pPr>
              <w:adjustRightInd w:val="0"/>
              <w:snapToGrid w:val="0"/>
              <w:jc w:val="center"/>
              <w:rPr>
                <w:rFonts w:ascii="宋体" w:hAnsi="宋体" w:cs="宋体"/>
                <w:color w:val="auto"/>
                <w:szCs w:val="21"/>
                <w:highlight w:val="none"/>
              </w:rPr>
            </w:pPr>
            <w:r>
              <w:rPr>
                <w:rFonts w:hint="eastAsia" w:ascii="宋体" w:hAnsi="宋体" w:cs="宋体"/>
                <w:color w:val="auto"/>
                <w:szCs w:val="21"/>
                <w:highlight w:val="none"/>
              </w:rPr>
              <w:t>2112-511102-04-01-596350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026" w:type="dxa"/>
            <w:noWrap w:val="0"/>
            <w:tcMar>
              <w:top w:w="16" w:type="dxa"/>
              <w:left w:w="16" w:type="dxa"/>
              <w:right w:w="16" w:type="dxa"/>
            </w:tcMar>
            <w:vAlign w:val="center"/>
          </w:tcPr>
          <w:p>
            <w:pPr>
              <w:adjustRightInd w:val="0"/>
              <w:snapToGrid w:val="0"/>
              <w:jc w:val="center"/>
              <w:rPr>
                <w:rFonts w:hint="eastAsia" w:ascii="宋体" w:hAnsi="宋体" w:cs="宋体"/>
                <w:color w:val="auto"/>
                <w:szCs w:val="21"/>
                <w:highlight w:val="none"/>
              </w:rPr>
            </w:pPr>
            <w:r>
              <w:rPr>
                <w:rFonts w:hint="eastAsia" w:ascii="宋体" w:hAnsi="宋体" w:cs="宋体"/>
                <w:color w:val="auto"/>
                <w:szCs w:val="21"/>
                <w:highlight w:val="none"/>
              </w:rPr>
              <w:t>建设单位联系人</w:t>
            </w:r>
          </w:p>
        </w:tc>
        <w:tc>
          <w:tcPr>
            <w:tcW w:w="1993" w:type="dxa"/>
            <w:noWrap w:val="0"/>
            <w:vAlign w:val="center"/>
          </w:tcPr>
          <w:p>
            <w:pPr>
              <w:adjustRightInd w:val="0"/>
              <w:snapToGrid w:val="0"/>
              <w:jc w:val="center"/>
              <w:rPr>
                <w:rFonts w:hint="eastAsia" w:ascii="宋体" w:hAnsi="宋体" w:cs="宋体"/>
                <w:color w:val="auto"/>
                <w:szCs w:val="21"/>
                <w:highlight w:val="none"/>
              </w:rPr>
            </w:pPr>
            <w:r>
              <w:rPr>
                <w:rFonts w:hint="eastAsia" w:ascii="宋体" w:hAnsi="宋体" w:cs="宋体"/>
                <w:color w:val="auto"/>
                <w:szCs w:val="21"/>
                <w:highlight w:val="none"/>
              </w:rPr>
              <w:t>余超</w:t>
            </w:r>
          </w:p>
        </w:tc>
        <w:tc>
          <w:tcPr>
            <w:tcW w:w="2212" w:type="dxa"/>
            <w:noWrap w:val="0"/>
            <w:vAlign w:val="center"/>
          </w:tcPr>
          <w:p>
            <w:pPr>
              <w:adjustRightInd w:val="0"/>
              <w:snapToGrid w:val="0"/>
              <w:jc w:val="center"/>
              <w:rPr>
                <w:rFonts w:ascii="宋体" w:hAnsi="宋体" w:cs="宋体"/>
                <w:color w:val="auto"/>
                <w:szCs w:val="21"/>
                <w:highlight w:val="none"/>
              </w:rPr>
            </w:pPr>
            <w:r>
              <w:rPr>
                <w:rFonts w:hint="eastAsia" w:ascii="宋体" w:hAnsi="宋体" w:cs="宋体"/>
                <w:color w:val="auto"/>
                <w:szCs w:val="21"/>
                <w:highlight w:val="none"/>
              </w:rPr>
              <w:t>联系方式</w:t>
            </w:r>
          </w:p>
        </w:tc>
        <w:tc>
          <w:tcPr>
            <w:tcW w:w="2639" w:type="dxa"/>
            <w:noWrap w:val="0"/>
            <w:vAlign w:val="center"/>
          </w:tcPr>
          <w:p>
            <w:pPr>
              <w:adjustRightInd w:val="0"/>
              <w:snapToGrid w:val="0"/>
              <w:jc w:val="center"/>
              <w:rPr>
                <w:rFonts w:ascii="宋体" w:hAnsi="宋体" w:cs="宋体"/>
                <w:color w:val="auto"/>
                <w:szCs w:val="21"/>
                <w:highlight w:val="none"/>
              </w:rPr>
            </w:pPr>
            <w:r>
              <w:rPr>
                <w:rFonts w:hint="eastAsia" w:ascii="宋体" w:hAnsi="宋体" w:cs="宋体"/>
                <w:color w:val="auto"/>
                <w:szCs w:val="21"/>
                <w:highlight w:val="none"/>
              </w:rPr>
              <w:t>18728817777</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026" w:type="dxa"/>
            <w:noWrap w:val="0"/>
            <w:tcMar>
              <w:top w:w="16" w:type="dxa"/>
              <w:left w:w="16" w:type="dxa"/>
              <w:right w:w="16" w:type="dxa"/>
            </w:tcMar>
            <w:vAlign w:val="center"/>
          </w:tcPr>
          <w:p>
            <w:pPr>
              <w:adjustRightInd w:val="0"/>
              <w:snapToGrid w:val="0"/>
              <w:jc w:val="center"/>
              <w:rPr>
                <w:rFonts w:ascii="宋体" w:hAnsi="宋体" w:cs="宋体"/>
                <w:color w:val="auto"/>
                <w:szCs w:val="21"/>
                <w:highlight w:val="none"/>
              </w:rPr>
            </w:pPr>
            <w:r>
              <w:rPr>
                <w:rFonts w:hint="eastAsia" w:ascii="宋体" w:hAnsi="宋体" w:cs="宋体"/>
                <w:color w:val="auto"/>
                <w:szCs w:val="21"/>
                <w:highlight w:val="none"/>
              </w:rPr>
              <w:t>建设地点</w:t>
            </w:r>
          </w:p>
        </w:tc>
        <w:tc>
          <w:tcPr>
            <w:tcW w:w="6844" w:type="dxa"/>
            <w:gridSpan w:val="3"/>
            <w:noWrap w:val="0"/>
            <w:vAlign w:val="center"/>
          </w:tcPr>
          <w:p>
            <w:pPr>
              <w:adjustRightInd w:val="0"/>
              <w:snapToGrid w:val="0"/>
              <w:jc w:val="center"/>
              <w:rPr>
                <w:rFonts w:ascii="宋体" w:hAnsi="宋体" w:cs="宋体"/>
                <w:color w:val="auto"/>
                <w:szCs w:val="21"/>
                <w:highlight w:val="none"/>
              </w:rPr>
            </w:pPr>
            <w:r>
              <w:rPr>
                <w:rFonts w:hint="eastAsia" w:ascii="宋体" w:hAnsi="宋体" w:cs="宋体"/>
                <w:color w:val="auto"/>
                <w:szCs w:val="21"/>
                <w:highlight w:val="none"/>
                <w:u w:val="single"/>
              </w:rPr>
              <w:t>四川</w:t>
            </w:r>
            <w:r>
              <w:rPr>
                <w:rFonts w:ascii="宋体" w:hAnsi="宋体" w:cs="宋体"/>
                <w:color w:val="auto"/>
                <w:szCs w:val="21"/>
                <w:highlight w:val="none"/>
                <w:u w:val="single"/>
              </w:rPr>
              <w:t xml:space="preserve"> </w:t>
            </w:r>
            <w:r>
              <w:rPr>
                <w:rFonts w:hint="eastAsia" w:ascii="宋体" w:hAnsi="宋体" w:cs="宋体"/>
                <w:color w:val="auto"/>
                <w:szCs w:val="21"/>
                <w:highlight w:val="none"/>
              </w:rPr>
              <w:t>省（自治区）</w:t>
            </w:r>
            <w:r>
              <w:rPr>
                <w:rFonts w:hint="eastAsia" w:ascii="宋体" w:hAnsi="宋体" w:cs="宋体"/>
                <w:color w:val="auto"/>
                <w:szCs w:val="21"/>
                <w:highlight w:val="none"/>
                <w:u w:val="single"/>
              </w:rPr>
              <w:t>乐山</w:t>
            </w:r>
            <w:r>
              <w:rPr>
                <w:rFonts w:hint="eastAsia" w:ascii="宋体" w:hAnsi="宋体" w:cs="宋体"/>
                <w:color w:val="auto"/>
                <w:szCs w:val="21"/>
                <w:highlight w:val="none"/>
              </w:rPr>
              <w:t>市</w:t>
            </w:r>
            <w:r>
              <w:rPr>
                <w:rFonts w:hint="eastAsia" w:ascii="宋体" w:hAnsi="宋体" w:cs="宋体"/>
                <w:color w:val="auto"/>
                <w:szCs w:val="21"/>
                <w:highlight w:val="none"/>
                <w:u w:val="single"/>
              </w:rPr>
              <w:t>市中</w:t>
            </w:r>
            <w:r>
              <w:rPr>
                <w:rFonts w:hint="eastAsia" w:ascii="宋体" w:hAnsi="宋体" w:cs="宋体"/>
                <w:color w:val="auto"/>
                <w:szCs w:val="21"/>
                <w:highlight w:val="none"/>
              </w:rPr>
              <w:t>县（区）</w:t>
            </w:r>
            <w:r>
              <w:rPr>
                <w:rFonts w:hint="eastAsia" w:ascii="宋体" w:hAnsi="宋体" w:cs="宋体"/>
                <w:color w:val="auto"/>
                <w:szCs w:val="21"/>
                <w:highlight w:val="none"/>
                <w:u w:val="single"/>
              </w:rPr>
              <w:t>绵竹</w:t>
            </w:r>
            <w:r>
              <w:rPr>
                <w:rFonts w:ascii="宋体" w:hAnsi="宋体" w:cs="宋体"/>
                <w:color w:val="auto"/>
                <w:szCs w:val="21"/>
                <w:highlight w:val="none"/>
                <w:u w:val="single"/>
              </w:rPr>
              <w:t xml:space="preserve"> </w:t>
            </w:r>
            <w:r>
              <w:rPr>
                <w:rFonts w:hint="eastAsia" w:ascii="宋体" w:hAnsi="宋体" w:cs="宋体"/>
                <w:color w:val="auto"/>
                <w:szCs w:val="21"/>
                <w:highlight w:val="none"/>
              </w:rPr>
              <w:t>乡（街道）</w:t>
            </w:r>
            <w:r>
              <w:rPr>
                <w:rFonts w:hint="eastAsia" w:ascii="宋体" w:hAnsi="宋体" w:cs="宋体"/>
                <w:color w:val="auto"/>
                <w:szCs w:val="21"/>
                <w:highlight w:val="none"/>
                <w:u w:val="single"/>
              </w:rPr>
              <w:t>冷水寺村一组</w:t>
            </w:r>
            <w:r>
              <w:rPr>
                <w:rFonts w:hint="eastAsia" w:ascii="宋体" w:hAnsi="宋体" w:cs="宋体"/>
                <w:color w:val="auto"/>
                <w:szCs w:val="21"/>
                <w:highlight w:val="none"/>
              </w:rPr>
              <w:t>（具体地址）</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026" w:type="dxa"/>
            <w:noWrap w:val="0"/>
            <w:tcMar>
              <w:top w:w="16" w:type="dxa"/>
              <w:left w:w="16" w:type="dxa"/>
              <w:right w:w="16" w:type="dxa"/>
            </w:tcMar>
            <w:vAlign w:val="center"/>
          </w:tcPr>
          <w:p>
            <w:pPr>
              <w:adjustRightInd w:val="0"/>
              <w:snapToGrid w:val="0"/>
              <w:jc w:val="center"/>
              <w:rPr>
                <w:rFonts w:ascii="宋体" w:hAnsi="宋体" w:cs="宋体"/>
                <w:color w:val="auto"/>
                <w:szCs w:val="21"/>
                <w:highlight w:val="none"/>
              </w:rPr>
            </w:pPr>
            <w:r>
              <w:rPr>
                <w:rFonts w:hint="eastAsia" w:ascii="宋体" w:hAnsi="宋体" w:cs="宋体"/>
                <w:color w:val="auto"/>
                <w:szCs w:val="21"/>
                <w:highlight w:val="none"/>
              </w:rPr>
              <w:t>地理坐标</w:t>
            </w:r>
          </w:p>
        </w:tc>
        <w:tc>
          <w:tcPr>
            <w:tcW w:w="6844" w:type="dxa"/>
            <w:gridSpan w:val="3"/>
            <w:noWrap w:val="0"/>
            <w:vAlign w:val="center"/>
          </w:tcPr>
          <w:p>
            <w:pPr>
              <w:jc w:val="center"/>
              <w:rPr>
                <w:rFonts w:hint="eastAsia" w:ascii="宋体" w:hAnsi="宋体" w:cs="宋体"/>
                <w:color w:val="auto"/>
                <w:szCs w:val="21"/>
                <w:highlight w:val="none"/>
              </w:rPr>
            </w:pPr>
            <w:r>
              <w:rPr>
                <w:rFonts w:hint="eastAsia" w:ascii="宋体" w:hAnsi="宋体" w:cs="宋体"/>
                <w:color w:val="auto"/>
                <w:szCs w:val="21"/>
                <w:highlight w:val="none"/>
              </w:rPr>
              <w:t>（</w:t>
            </w:r>
            <w:r>
              <w:rPr>
                <w:rFonts w:hint="eastAsia" w:ascii="宋体" w:hAnsi="宋体" w:cs="宋体"/>
                <w:color w:val="auto"/>
                <w:szCs w:val="21"/>
                <w:highlight w:val="none"/>
                <w:u w:val="single"/>
              </w:rPr>
              <w:t>103</w:t>
            </w:r>
            <w:r>
              <w:rPr>
                <w:rFonts w:hint="eastAsia" w:ascii="宋体" w:hAnsi="宋体" w:cs="宋体"/>
                <w:color w:val="auto"/>
                <w:szCs w:val="21"/>
                <w:highlight w:val="none"/>
              </w:rPr>
              <w:t>度</w:t>
            </w:r>
            <w:r>
              <w:rPr>
                <w:rFonts w:hint="eastAsia" w:ascii="宋体" w:hAnsi="宋体" w:cs="宋体"/>
                <w:color w:val="auto"/>
                <w:szCs w:val="21"/>
                <w:highlight w:val="none"/>
                <w:u w:val="single"/>
              </w:rPr>
              <w:t>40</w:t>
            </w:r>
            <w:r>
              <w:rPr>
                <w:rFonts w:hint="eastAsia" w:ascii="宋体" w:hAnsi="宋体" w:cs="宋体"/>
                <w:color w:val="auto"/>
                <w:szCs w:val="21"/>
                <w:highlight w:val="none"/>
              </w:rPr>
              <w:t>分</w:t>
            </w:r>
            <w:r>
              <w:rPr>
                <w:rFonts w:hint="eastAsia" w:ascii="宋体" w:hAnsi="宋体" w:cs="宋体"/>
                <w:color w:val="auto"/>
                <w:szCs w:val="21"/>
                <w:highlight w:val="none"/>
                <w:u w:val="single"/>
                <w:lang w:val="en-US" w:eastAsia="zh-CN"/>
              </w:rPr>
              <w:t>55.948</w:t>
            </w:r>
            <w:r>
              <w:rPr>
                <w:rFonts w:hint="eastAsia" w:ascii="宋体" w:hAnsi="宋体" w:cs="宋体"/>
                <w:color w:val="auto"/>
                <w:szCs w:val="21"/>
                <w:highlight w:val="none"/>
              </w:rPr>
              <w:t>秒，</w:t>
            </w:r>
            <w:r>
              <w:rPr>
                <w:rFonts w:hint="eastAsia" w:ascii="宋体" w:hAnsi="宋体" w:cs="宋体"/>
                <w:color w:val="auto"/>
                <w:szCs w:val="21"/>
                <w:highlight w:val="none"/>
                <w:u w:val="single"/>
              </w:rPr>
              <w:t>29</w:t>
            </w:r>
            <w:r>
              <w:rPr>
                <w:rFonts w:hint="eastAsia" w:ascii="宋体" w:hAnsi="宋体" w:cs="宋体"/>
                <w:color w:val="auto"/>
                <w:szCs w:val="21"/>
                <w:highlight w:val="none"/>
              </w:rPr>
              <w:t>度</w:t>
            </w:r>
            <w:r>
              <w:rPr>
                <w:rFonts w:hint="eastAsia" w:ascii="宋体" w:hAnsi="宋体" w:cs="宋体"/>
                <w:color w:val="auto"/>
                <w:szCs w:val="21"/>
                <w:highlight w:val="none"/>
                <w:u w:val="single"/>
              </w:rPr>
              <w:t>39</w:t>
            </w:r>
            <w:r>
              <w:rPr>
                <w:rFonts w:hint="eastAsia" w:ascii="宋体" w:hAnsi="宋体" w:cs="宋体"/>
                <w:color w:val="auto"/>
                <w:szCs w:val="21"/>
                <w:highlight w:val="none"/>
              </w:rPr>
              <w:t>分</w:t>
            </w:r>
            <w:r>
              <w:rPr>
                <w:rFonts w:hint="eastAsia" w:ascii="宋体" w:hAnsi="宋体" w:cs="宋体"/>
                <w:color w:val="auto"/>
                <w:szCs w:val="21"/>
                <w:highlight w:val="none"/>
                <w:u w:val="single"/>
              </w:rPr>
              <w:t>4</w:t>
            </w:r>
            <w:r>
              <w:rPr>
                <w:rFonts w:hint="eastAsia" w:ascii="宋体" w:hAnsi="宋体" w:cs="宋体"/>
                <w:color w:val="auto"/>
                <w:szCs w:val="21"/>
                <w:highlight w:val="none"/>
                <w:u w:val="single"/>
                <w:lang w:val="en-US" w:eastAsia="zh-CN"/>
              </w:rPr>
              <w:t>6.859</w:t>
            </w:r>
            <w:r>
              <w:rPr>
                <w:rFonts w:hint="eastAsia" w:ascii="宋体" w:hAnsi="宋体" w:cs="宋体"/>
                <w:color w:val="auto"/>
                <w:szCs w:val="21"/>
                <w:highlight w:val="none"/>
              </w:rPr>
              <w:t>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2026" w:type="dxa"/>
            <w:noWrap w:val="0"/>
            <w:tcMar>
              <w:top w:w="16" w:type="dxa"/>
              <w:left w:w="16" w:type="dxa"/>
              <w:right w:w="16" w:type="dxa"/>
            </w:tcMar>
            <w:vAlign w:val="center"/>
          </w:tcPr>
          <w:p>
            <w:pPr>
              <w:adjustRightInd w:val="0"/>
              <w:snapToGrid w:val="0"/>
              <w:jc w:val="center"/>
              <w:rPr>
                <w:rFonts w:hint="eastAsia" w:ascii="宋体" w:hAnsi="宋体" w:cs="宋体"/>
                <w:color w:val="auto"/>
                <w:szCs w:val="21"/>
                <w:highlight w:val="none"/>
              </w:rPr>
            </w:pPr>
            <w:r>
              <w:rPr>
                <w:rFonts w:hint="eastAsia" w:ascii="宋体" w:hAnsi="宋体" w:cs="宋体"/>
                <w:color w:val="auto"/>
                <w:szCs w:val="21"/>
                <w:highlight w:val="none"/>
              </w:rPr>
              <w:t>国民经济</w:t>
            </w:r>
          </w:p>
          <w:p>
            <w:pPr>
              <w:adjustRightInd w:val="0"/>
              <w:snapToGrid w:val="0"/>
              <w:jc w:val="center"/>
              <w:rPr>
                <w:rFonts w:ascii="宋体" w:hAnsi="宋体" w:cs="宋体"/>
                <w:color w:val="auto"/>
                <w:szCs w:val="21"/>
                <w:highlight w:val="none"/>
              </w:rPr>
            </w:pPr>
            <w:r>
              <w:rPr>
                <w:rFonts w:hint="eastAsia" w:ascii="宋体" w:hAnsi="宋体" w:cs="宋体"/>
                <w:color w:val="auto"/>
                <w:szCs w:val="21"/>
                <w:highlight w:val="none"/>
              </w:rPr>
              <w:t>行业类别</w:t>
            </w:r>
          </w:p>
        </w:tc>
        <w:tc>
          <w:tcPr>
            <w:tcW w:w="1993" w:type="dxa"/>
            <w:noWrap w:val="0"/>
            <w:vAlign w:val="center"/>
          </w:tcPr>
          <w:p>
            <w:pPr>
              <w:adjustRightInd w:val="0"/>
              <w:snapToGrid w:val="0"/>
              <w:jc w:val="center"/>
              <w:rPr>
                <w:rFonts w:ascii="宋体" w:hAnsi="宋体" w:cs="宋体"/>
                <w:color w:val="auto"/>
                <w:szCs w:val="21"/>
                <w:highlight w:val="none"/>
              </w:rPr>
            </w:pPr>
            <w:r>
              <w:rPr>
                <w:rFonts w:hint="eastAsia" w:ascii="宋体" w:hAnsi="宋体" w:cs="宋体"/>
                <w:color w:val="auto"/>
                <w:szCs w:val="21"/>
                <w:highlight w:val="none"/>
              </w:rPr>
              <w:t>其他非金属矿物制品制造C3099</w:t>
            </w:r>
          </w:p>
        </w:tc>
        <w:tc>
          <w:tcPr>
            <w:tcW w:w="2212" w:type="dxa"/>
            <w:noWrap w:val="0"/>
            <w:vAlign w:val="center"/>
          </w:tcPr>
          <w:p>
            <w:pPr>
              <w:adjustRightInd w:val="0"/>
              <w:snapToGrid w:val="0"/>
              <w:jc w:val="center"/>
              <w:rPr>
                <w:rFonts w:ascii="宋体" w:hAnsi="宋体" w:cs="宋体"/>
                <w:color w:val="auto"/>
                <w:szCs w:val="21"/>
                <w:highlight w:val="none"/>
              </w:rPr>
            </w:pPr>
            <w:bookmarkStart w:id="1" w:name="_Hlk49843745"/>
            <w:r>
              <w:rPr>
                <w:rFonts w:hint="eastAsia" w:ascii="宋体" w:hAnsi="宋体" w:cs="宋体"/>
                <w:color w:val="auto"/>
                <w:szCs w:val="21"/>
                <w:highlight w:val="none"/>
              </w:rPr>
              <w:t>建设项目</w:t>
            </w:r>
          </w:p>
          <w:p>
            <w:pPr>
              <w:adjustRightInd w:val="0"/>
              <w:snapToGrid w:val="0"/>
              <w:jc w:val="center"/>
              <w:rPr>
                <w:rFonts w:ascii="宋体" w:hAnsi="宋体" w:cs="宋体"/>
                <w:color w:val="auto"/>
                <w:szCs w:val="21"/>
                <w:highlight w:val="none"/>
              </w:rPr>
            </w:pPr>
            <w:r>
              <w:rPr>
                <w:rFonts w:hint="eastAsia" w:ascii="宋体" w:hAnsi="宋体" w:cs="宋体"/>
                <w:color w:val="auto"/>
                <w:szCs w:val="21"/>
                <w:highlight w:val="none"/>
              </w:rPr>
              <w:t>行业类别</w:t>
            </w:r>
            <w:bookmarkEnd w:id="1"/>
          </w:p>
        </w:tc>
        <w:tc>
          <w:tcPr>
            <w:tcW w:w="2639" w:type="dxa"/>
            <w:noWrap w:val="0"/>
            <w:vAlign w:val="center"/>
          </w:tcPr>
          <w:p>
            <w:pPr>
              <w:adjustRightInd w:val="0"/>
              <w:snapToGrid w:val="0"/>
              <w:rPr>
                <w:rFonts w:ascii="宋体" w:hAnsi="宋体" w:cs="宋体"/>
                <w:color w:val="auto"/>
                <w:szCs w:val="21"/>
                <w:highlight w:val="none"/>
              </w:rPr>
            </w:pPr>
            <w:r>
              <w:rPr>
                <w:rFonts w:hint="eastAsia" w:ascii="宋体" w:hAnsi="宋体" w:cs="宋体"/>
                <w:color w:val="auto"/>
                <w:szCs w:val="21"/>
                <w:highlight w:val="none"/>
              </w:rPr>
              <w:t>石墨及其他非金属矿物制品制造C309</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2026" w:type="dxa"/>
            <w:noWrap w:val="0"/>
            <w:tcMar>
              <w:top w:w="16" w:type="dxa"/>
              <w:left w:w="16" w:type="dxa"/>
              <w:right w:w="16" w:type="dxa"/>
            </w:tcMar>
            <w:vAlign w:val="center"/>
          </w:tcPr>
          <w:p>
            <w:pPr>
              <w:adjustRightInd w:val="0"/>
              <w:snapToGrid w:val="0"/>
              <w:jc w:val="center"/>
              <w:rPr>
                <w:rFonts w:ascii="宋体" w:hAnsi="宋体" w:cs="宋体"/>
                <w:color w:val="auto"/>
                <w:szCs w:val="21"/>
                <w:highlight w:val="none"/>
              </w:rPr>
            </w:pPr>
            <w:r>
              <w:rPr>
                <w:rFonts w:hint="eastAsia" w:ascii="宋体" w:hAnsi="宋体" w:cs="宋体"/>
                <w:color w:val="auto"/>
                <w:szCs w:val="21"/>
                <w:highlight w:val="none"/>
              </w:rPr>
              <w:t>建设性质</w:t>
            </w:r>
          </w:p>
        </w:tc>
        <w:tc>
          <w:tcPr>
            <w:tcW w:w="1993" w:type="dxa"/>
            <w:noWrap w:val="0"/>
            <w:vAlign w:val="center"/>
          </w:tcPr>
          <w:p>
            <w:pPr>
              <w:jc w:val="left"/>
              <w:rPr>
                <w:rFonts w:ascii="宋体" w:hAnsi="宋体" w:cs="宋体"/>
                <w:color w:val="auto"/>
                <w:szCs w:val="21"/>
                <w:highlight w:val="none"/>
              </w:rPr>
            </w:pPr>
            <w:r>
              <w:rPr>
                <w:rFonts w:hint="eastAsia" w:ascii="宋体" w:hAnsi="宋体" w:cs="宋体"/>
                <w:color w:val="auto"/>
                <w:szCs w:val="21"/>
                <w:highlight w:val="none"/>
              </w:rPr>
              <w:t>□新建（迁建）</w:t>
            </w:r>
          </w:p>
          <w:p>
            <w:pPr>
              <w:jc w:val="left"/>
              <w:rPr>
                <w:rFonts w:hint="eastAsia" w:ascii="宋体" w:hAnsi="宋体" w:cs="宋体"/>
                <w:color w:val="auto"/>
                <w:szCs w:val="21"/>
                <w:highlight w:val="none"/>
              </w:rPr>
            </w:pPr>
            <w:r>
              <w:rPr>
                <w:rFonts w:hint="eastAsia" w:ascii="宋体" w:hAnsi="宋体" w:cs="宋体"/>
                <w:color w:val="auto"/>
                <w:szCs w:val="21"/>
                <w:highlight w:val="none"/>
              </w:rPr>
              <w:t>☑改建</w:t>
            </w:r>
          </w:p>
          <w:p>
            <w:pPr>
              <w:jc w:val="left"/>
              <w:rPr>
                <w:rFonts w:hint="eastAsia" w:ascii="宋体" w:hAnsi="宋体" w:cs="宋体"/>
                <w:color w:val="auto"/>
                <w:szCs w:val="21"/>
                <w:highlight w:val="none"/>
              </w:rPr>
            </w:pPr>
            <w:r>
              <w:rPr>
                <w:rFonts w:hint="eastAsia" w:ascii="宋体" w:hAnsi="宋体" w:cs="宋体"/>
                <w:color w:val="auto"/>
                <w:szCs w:val="21"/>
                <w:highlight w:val="none"/>
              </w:rPr>
              <w:t>□扩建</w:t>
            </w:r>
          </w:p>
          <w:p>
            <w:pPr>
              <w:jc w:val="left"/>
              <w:rPr>
                <w:rFonts w:ascii="宋体" w:hAnsi="宋体" w:cs="宋体"/>
                <w:color w:val="auto"/>
                <w:szCs w:val="21"/>
                <w:highlight w:val="none"/>
              </w:rPr>
            </w:pPr>
            <w:r>
              <w:rPr>
                <w:rFonts w:hint="eastAsia" w:ascii="宋体" w:hAnsi="宋体" w:cs="宋体"/>
                <w:color w:val="auto"/>
                <w:szCs w:val="21"/>
                <w:highlight w:val="none"/>
              </w:rPr>
              <w:t>□技术改造</w:t>
            </w:r>
          </w:p>
        </w:tc>
        <w:tc>
          <w:tcPr>
            <w:tcW w:w="2212" w:type="dxa"/>
            <w:noWrap w:val="0"/>
            <w:vAlign w:val="center"/>
          </w:tcPr>
          <w:p>
            <w:pPr>
              <w:adjustRightInd w:val="0"/>
              <w:snapToGrid w:val="0"/>
              <w:jc w:val="center"/>
              <w:rPr>
                <w:rFonts w:hint="eastAsia" w:ascii="宋体" w:hAnsi="宋体" w:cs="宋体"/>
                <w:color w:val="auto"/>
                <w:szCs w:val="21"/>
                <w:highlight w:val="none"/>
              </w:rPr>
            </w:pPr>
            <w:r>
              <w:rPr>
                <w:rFonts w:hint="eastAsia" w:ascii="宋体" w:hAnsi="宋体" w:cs="宋体"/>
                <w:color w:val="auto"/>
                <w:szCs w:val="21"/>
                <w:highlight w:val="none"/>
              </w:rPr>
              <w:t>建设项目</w:t>
            </w:r>
          </w:p>
          <w:p>
            <w:pPr>
              <w:adjustRightInd w:val="0"/>
              <w:snapToGrid w:val="0"/>
              <w:jc w:val="center"/>
              <w:rPr>
                <w:rFonts w:ascii="宋体" w:hAnsi="宋体" w:cs="宋体"/>
                <w:color w:val="auto"/>
                <w:szCs w:val="21"/>
                <w:highlight w:val="none"/>
              </w:rPr>
            </w:pPr>
            <w:r>
              <w:rPr>
                <w:rFonts w:hint="eastAsia" w:ascii="宋体" w:hAnsi="宋体" w:cs="宋体"/>
                <w:color w:val="auto"/>
                <w:szCs w:val="21"/>
                <w:highlight w:val="none"/>
              </w:rPr>
              <w:t>申报情形</w:t>
            </w:r>
          </w:p>
        </w:tc>
        <w:tc>
          <w:tcPr>
            <w:tcW w:w="2639" w:type="dxa"/>
            <w:noWrap w:val="0"/>
            <w:vAlign w:val="center"/>
          </w:tcPr>
          <w:p>
            <w:pPr>
              <w:jc w:val="left"/>
              <w:rPr>
                <w:rFonts w:ascii="宋体" w:hAnsi="宋体" w:cs="宋体"/>
                <w:color w:val="auto"/>
                <w:szCs w:val="21"/>
                <w:highlight w:val="none"/>
              </w:rPr>
            </w:pPr>
            <w:r>
              <w:rPr>
                <w:rFonts w:hint="eastAsia" w:ascii="宋体" w:hAnsi="宋体" w:cs="宋体"/>
                <w:color w:val="auto"/>
                <w:szCs w:val="21"/>
                <w:highlight w:val="none"/>
                <w:lang w:eastAsia="zh-CN"/>
              </w:rPr>
              <w:t>☑</w:t>
            </w:r>
            <w:r>
              <w:rPr>
                <w:rFonts w:hint="eastAsia" w:ascii="宋体" w:hAnsi="宋体" w:cs="宋体"/>
                <w:color w:val="auto"/>
                <w:szCs w:val="21"/>
                <w:highlight w:val="none"/>
              </w:rPr>
              <w:t>首次申报项目</w:t>
            </w:r>
            <w:r>
              <w:rPr>
                <w:rFonts w:ascii="宋体" w:hAnsi="宋体" w:cs="宋体"/>
                <w:color w:val="auto"/>
                <w:szCs w:val="21"/>
                <w:highlight w:val="none"/>
              </w:rPr>
              <w:t xml:space="preserve">             </w:t>
            </w:r>
          </w:p>
          <w:p>
            <w:pPr>
              <w:jc w:val="left"/>
              <w:rPr>
                <w:rFonts w:ascii="宋体" w:hAnsi="宋体" w:cs="宋体"/>
                <w:color w:val="auto"/>
                <w:szCs w:val="21"/>
                <w:highlight w:val="none"/>
              </w:rPr>
            </w:pPr>
            <w:r>
              <w:rPr>
                <w:rFonts w:hint="eastAsia" w:ascii="宋体" w:hAnsi="宋体" w:cs="宋体"/>
                <w:color w:val="auto"/>
                <w:szCs w:val="21"/>
                <w:highlight w:val="none"/>
              </w:rPr>
              <w:t>□不予批准后再次申报项目</w:t>
            </w:r>
          </w:p>
          <w:p>
            <w:pPr>
              <w:jc w:val="left"/>
              <w:rPr>
                <w:rFonts w:ascii="宋体" w:hAnsi="宋体" w:cs="宋体"/>
                <w:color w:val="auto"/>
                <w:szCs w:val="21"/>
                <w:highlight w:val="none"/>
              </w:rPr>
            </w:pPr>
            <w:r>
              <w:rPr>
                <w:rFonts w:hint="eastAsia" w:ascii="宋体" w:hAnsi="宋体" w:cs="宋体"/>
                <w:color w:val="auto"/>
                <w:szCs w:val="21"/>
                <w:highlight w:val="none"/>
              </w:rPr>
              <w:t>□超五年重新审核项目</w:t>
            </w:r>
            <w:r>
              <w:rPr>
                <w:rFonts w:ascii="宋体" w:hAnsi="宋体" w:cs="宋体"/>
                <w:color w:val="auto"/>
                <w:szCs w:val="21"/>
                <w:highlight w:val="none"/>
              </w:rPr>
              <w:t xml:space="preserve">     </w:t>
            </w:r>
          </w:p>
          <w:p>
            <w:pPr>
              <w:jc w:val="left"/>
              <w:rPr>
                <w:rFonts w:ascii="宋体" w:hAnsi="宋体" w:cs="宋体"/>
                <w:color w:val="auto"/>
                <w:szCs w:val="21"/>
                <w:highlight w:val="none"/>
              </w:rPr>
            </w:pPr>
            <w:r>
              <w:rPr>
                <w:rFonts w:hint="eastAsia" w:ascii="宋体" w:hAnsi="宋体" w:cs="宋体"/>
                <w:color w:val="auto"/>
                <w:szCs w:val="21"/>
                <w:highlight w:val="none"/>
              </w:rPr>
              <w:t>□重大变动重新报批项目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2026" w:type="dxa"/>
            <w:noWrap w:val="0"/>
            <w:tcMar>
              <w:top w:w="16" w:type="dxa"/>
              <w:left w:w="16" w:type="dxa"/>
              <w:right w:w="16" w:type="dxa"/>
            </w:tcMar>
            <w:vAlign w:val="center"/>
          </w:tcPr>
          <w:p>
            <w:pPr>
              <w:adjustRightInd w:val="0"/>
              <w:snapToGrid w:val="0"/>
              <w:jc w:val="center"/>
              <w:rPr>
                <w:rFonts w:hint="eastAsia" w:ascii="宋体" w:hAnsi="宋体" w:cs="宋体"/>
                <w:color w:val="auto"/>
                <w:szCs w:val="21"/>
                <w:highlight w:val="none"/>
              </w:rPr>
            </w:pPr>
            <w:r>
              <w:rPr>
                <w:rFonts w:hint="eastAsia" w:ascii="宋体" w:hAnsi="宋体" w:cs="宋体"/>
                <w:color w:val="auto"/>
                <w:szCs w:val="21"/>
                <w:highlight w:val="none"/>
              </w:rPr>
              <w:t>项目审批（核准</w:t>
            </w:r>
            <w:r>
              <w:rPr>
                <w:rFonts w:ascii="宋体" w:hAnsi="宋体" w:cs="宋体"/>
                <w:color w:val="auto"/>
                <w:szCs w:val="21"/>
                <w:highlight w:val="none"/>
              </w:rPr>
              <w:t>/</w:t>
            </w:r>
          </w:p>
          <w:p>
            <w:pPr>
              <w:adjustRightInd w:val="0"/>
              <w:snapToGrid w:val="0"/>
              <w:jc w:val="center"/>
              <w:rPr>
                <w:rFonts w:ascii="宋体" w:hAnsi="宋体" w:cs="宋体"/>
                <w:color w:val="auto"/>
                <w:szCs w:val="21"/>
                <w:highlight w:val="none"/>
              </w:rPr>
            </w:pPr>
            <w:r>
              <w:rPr>
                <w:rFonts w:hint="eastAsia" w:ascii="宋体" w:hAnsi="宋体" w:cs="宋体"/>
                <w:color w:val="auto"/>
                <w:szCs w:val="21"/>
                <w:highlight w:val="none"/>
              </w:rPr>
              <w:t>备案）部门（选填）</w:t>
            </w:r>
          </w:p>
        </w:tc>
        <w:tc>
          <w:tcPr>
            <w:tcW w:w="1993" w:type="dxa"/>
            <w:noWrap w:val="0"/>
            <w:vAlign w:val="center"/>
          </w:tcPr>
          <w:p>
            <w:pPr>
              <w:adjustRightInd w:val="0"/>
              <w:snapToGrid w:val="0"/>
              <w:jc w:val="center"/>
              <w:rPr>
                <w:rFonts w:ascii="宋体" w:hAnsi="宋体" w:cs="宋体"/>
                <w:color w:val="auto"/>
                <w:szCs w:val="21"/>
                <w:highlight w:val="none"/>
              </w:rPr>
            </w:pPr>
            <w:r>
              <w:rPr>
                <w:rFonts w:hint="eastAsia" w:ascii="宋体" w:hAnsi="宋体" w:cs="宋体"/>
                <w:color w:val="auto"/>
                <w:szCs w:val="21"/>
                <w:highlight w:val="none"/>
              </w:rPr>
              <w:t>乐山市市中区发改委</w:t>
            </w:r>
          </w:p>
        </w:tc>
        <w:tc>
          <w:tcPr>
            <w:tcW w:w="2212" w:type="dxa"/>
            <w:noWrap w:val="0"/>
            <w:vAlign w:val="center"/>
          </w:tcPr>
          <w:p>
            <w:pPr>
              <w:adjustRightInd w:val="0"/>
              <w:snapToGrid w:val="0"/>
              <w:jc w:val="center"/>
              <w:rPr>
                <w:rFonts w:hint="eastAsia" w:ascii="宋体" w:hAnsi="宋体" w:cs="宋体"/>
                <w:color w:val="auto"/>
                <w:szCs w:val="21"/>
                <w:highlight w:val="none"/>
              </w:rPr>
            </w:pPr>
            <w:r>
              <w:rPr>
                <w:rFonts w:hint="eastAsia" w:ascii="宋体" w:hAnsi="宋体" w:cs="宋体"/>
                <w:color w:val="auto"/>
                <w:szCs w:val="21"/>
                <w:highlight w:val="none"/>
              </w:rPr>
              <w:t>项目审批（核准</w:t>
            </w:r>
            <w:r>
              <w:rPr>
                <w:rFonts w:ascii="宋体" w:hAnsi="宋体" w:cs="宋体"/>
                <w:color w:val="auto"/>
                <w:szCs w:val="21"/>
                <w:highlight w:val="none"/>
              </w:rPr>
              <w:t>/</w:t>
            </w:r>
          </w:p>
          <w:p>
            <w:pPr>
              <w:adjustRightInd w:val="0"/>
              <w:snapToGrid w:val="0"/>
              <w:jc w:val="center"/>
              <w:rPr>
                <w:rFonts w:hint="eastAsia" w:ascii="宋体" w:hAnsi="宋体" w:cs="宋体"/>
                <w:color w:val="auto"/>
                <w:szCs w:val="21"/>
                <w:highlight w:val="none"/>
              </w:rPr>
            </w:pPr>
            <w:r>
              <w:rPr>
                <w:rFonts w:hint="eastAsia" w:ascii="宋体" w:hAnsi="宋体" w:cs="宋体"/>
                <w:color w:val="auto"/>
                <w:szCs w:val="21"/>
                <w:highlight w:val="none"/>
              </w:rPr>
              <w:t>备案）文号（选填）</w:t>
            </w:r>
          </w:p>
        </w:tc>
        <w:tc>
          <w:tcPr>
            <w:tcW w:w="2639" w:type="dxa"/>
            <w:noWrap w:val="0"/>
            <w:vAlign w:val="center"/>
          </w:tcPr>
          <w:p>
            <w:pPr>
              <w:adjustRightInd w:val="0"/>
              <w:snapToGrid w:val="0"/>
              <w:jc w:val="center"/>
              <w:rPr>
                <w:rFonts w:ascii="宋体" w:hAnsi="宋体" w:cs="宋体"/>
                <w:color w:val="auto"/>
                <w:szCs w:val="21"/>
                <w:highlight w:val="none"/>
              </w:rPr>
            </w:pPr>
            <w:r>
              <w:rPr>
                <w:rFonts w:hint="eastAsia" w:ascii="宋体" w:hAnsi="宋体" w:cs="宋体"/>
                <w:color w:val="auto"/>
                <w:szCs w:val="21"/>
                <w:highlight w:val="none"/>
              </w:rPr>
              <w:t>川投资备【2112-511102-04-01-596350】FGQB-0323号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026" w:type="dxa"/>
            <w:noWrap w:val="0"/>
            <w:tcMar>
              <w:top w:w="16" w:type="dxa"/>
              <w:left w:w="16" w:type="dxa"/>
              <w:right w:w="16" w:type="dxa"/>
            </w:tcMar>
            <w:vAlign w:val="center"/>
          </w:tcPr>
          <w:p>
            <w:pPr>
              <w:adjustRightInd w:val="0"/>
              <w:snapToGrid w:val="0"/>
              <w:jc w:val="center"/>
              <w:rPr>
                <w:rFonts w:ascii="宋体" w:hAnsi="宋体" w:cs="宋体"/>
                <w:color w:val="auto"/>
                <w:szCs w:val="21"/>
                <w:highlight w:val="none"/>
              </w:rPr>
            </w:pPr>
            <w:r>
              <w:rPr>
                <w:rFonts w:hint="eastAsia" w:ascii="宋体" w:hAnsi="宋体" w:cs="宋体"/>
                <w:color w:val="auto"/>
                <w:szCs w:val="21"/>
                <w:highlight w:val="none"/>
              </w:rPr>
              <w:t>总投资（万元）</w:t>
            </w:r>
          </w:p>
        </w:tc>
        <w:tc>
          <w:tcPr>
            <w:tcW w:w="1993" w:type="dxa"/>
            <w:noWrap w:val="0"/>
            <w:vAlign w:val="center"/>
          </w:tcPr>
          <w:p>
            <w:pPr>
              <w:adjustRightInd w:val="0"/>
              <w:snapToGrid w:val="0"/>
              <w:jc w:val="center"/>
              <w:rPr>
                <w:rFonts w:ascii="宋体" w:hAnsi="宋体" w:cs="宋体"/>
                <w:color w:val="auto"/>
                <w:szCs w:val="21"/>
                <w:highlight w:val="none"/>
              </w:rPr>
            </w:pPr>
            <w:r>
              <w:rPr>
                <w:rFonts w:hint="eastAsia" w:ascii="宋体" w:hAnsi="宋体" w:cs="宋体"/>
                <w:color w:val="auto"/>
                <w:szCs w:val="21"/>
                <w:highlight w:val="none"/>
              </w:rPr>
              <w:t>1000</w:t>
            </w:r>
          </w:p>
        </w:tc>
        <w:tc>
          <w:tcPr>
            <w:tcW w:w="2212" w:type="dxa"/>
            <w:noWrap w:val="0"/>
            <w:tcMar>
              <w:top w:w="16" w:type="dxa"/>
              <w:left w:w="16" w:type="dxa"/>
              <w:right w:w="16" w:type="dxa"/>
            </w:tcMar>
            <w:vAlign w:val="center"/>
          </w:tcPr>
          <w:p>
            <w:pPr>
              <w:adjustRightInd w:val="0"/>
              <w:snapToGrid w:val="0"/>
              <w:jc w:val="center"/>
              <w:rPr>
                <w:rFonts w:ascii="宋体" w:hAnsi="宋体" w:cs="宋体"/>
                <w:color w:val="auto"/>
                <w:szCs w:val="21"/>
                <w:highlight w:val="none"/>
              </w:rPr>
            </w:pPr>
            <w:r>
              <w:rPr>
                <w:rFonts w:hint="eastAsia" w:ascii="宋体" w:hAnsi="宋体" w:cs="宋体"/>
                <w:color w:val="auto"/>
                <w:szCs w:val="21"/>
                <w:highlight w:val="none"/>
              </w:rPr>
              <w:t>环保投资（万元）</w:t>
            </w:r>
          </w:p>
        </w:tc>
        <w:tc>
          <w:tcPr>
            <w:tcW w:w="2639" w:type="dxa"/>
            <w:noWrap w:val="0"/>
            <w:vAlign w:val="center"/>
          </w:tcPr>
          <w:p>
            <w:pPr>
              <w:adjustRightInd w:val="0"/>
              <w:snapToGrid w:val="0"/>
              <w:jc w:val="center"/>
              <w:rPr>
                <w:rFonts w:ascii="宋体" w:hAnsi="宋体" w:cs="宋体"/>
                <w:color w:val="auto"/>
                <w:szCs w:val="21"/>
                <w:highlight w:val="none"/>
              </w:rPr>
            </w:pPr>
            <w:r>
              <w:rPr>
                <w:rFonts w:hint="eastAsia" w:ascii="宋体" w:hAnsi="宋体" w:cs="宋体"/>
                <w:color w:val="auto"/>
                <w:szCs w:val="21"/>
                <w:highlight w:val="none"/>
              </w:rPr>
              <w:t>50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026" w:type="dxa"/>
            <w:noWrap w:val="0"/>
            <w:tcMar>
              <w:top w:w="16" w:type="dxa"/>
              <w:left w:w="16" w:type="dxa"/>
              <w:right w:w="16" w:type="dxa"/>
            </w:tcMar>
            <w:vAlign w:val="center"/>
          </w:tcPr>
          <w:p>
            <w:pPr>
              <w:adjustRightInd w:val="0"/>
              <w:snapToGrid w:val="0"/>
              <w:jc w:val="center"/>
              <w:rPr>
                <w:rFonts w:ascii="宋体" w:hAnsi="宋体" w:cs="宋体"/>
                <w:color w:val="auto"/>
                <w:szCs w:val="21"/>
                <w:highlight w:val="none"/>
              </w:rPr>
            </w:pPr>
            <w:r>
              <w:rPr>
                <w:rFonts w:hint="eastAsia" w:ascii="宋体" w:hAnsi="宋体" w:cs="宋体"/>
                <w:color w:val="auto"/>
                <w:szCs w:val="21"/>
                <w:highlight w:val="none"/>
              </w:rPr>
              <w:t>环保投资占比（</w:t>
            </w:r>
            <w:r>
              <w:rPr>
                <w:rFonts w:ascii="宋体" w:hAnsi="宋体" w:cs="宋体"/>
                <w:color w:val="auto"/>
                <w:szCs w:val="21"/>
                <w:highlight w:val="none"/>
              </w:rPr>
              <w:t>%</w:t>
            </w:r>
            <w:r>
              <w:rPr>
                <w:rFonts w:hint="eastAsia" w:ascii="宋体" w:hAnsi="宋体" w:cs="宋体"/>
                <w:color w:val="auto"/>
                <w:szCs w:val="21"/>
                <w:highlight w:val="none"/>
              </w:rPr>
              <w:t>）</w:t>
            </w:r>
          </w:p>
        </w:tc>
        <w:tc>
          <w:tcPr>
            <w:tcW w:w="1993" w:type="dxa"/>
            <w:noWrap w:val="0"/>
            <w:vAlign w:val="center"/>
          </w:tcPr>
          <w:p>
            <w:pPr>
              <w:adjustRightInd w:val="0"/>
              <w:snapToGrid w:val="0"/>
              <w:jc w:val="center"/>
              <w:rPr>
                <w:rFonts w:hint="eastAsia" w:ascii="宋体" w:hAnsi="宋体" w:cs="宋体"/>
                <w:color w:val="auto"/>
                <w:szCs w:val="21"/>
                <w:highlight w:val="none"/>
              </w:rPr>
            </w:pPr>
            <w:r>
              <w:rPr>
                <w:rFonts w:hint="eastAsia" w:ascii="宋体" w:hAnsi="宋体" w:cs="宋体"/>
                <w:color w:val="auto"/>
                <w:szCs w:val="21"/>
                <w:highlight w:val="none"/>
              </w:rPr>
              <w:t>5</w:t>
            </w:r>
          </w:p>
        </w:tc>
        <w:tc>
          <w:tcPr>
            <w:tcW w:w="2212" w:type="dxa"/>
            <w:noWrap w:val="0"/>
            <w:tcMar>
              <w:top w:w="16" w:type="dxa"/>
              <w:left w:w="16" w:type="dxa"/>
              <w:right w:w="16" w:type="dxa"/>
            </w:tcMar>
            <w:vAlign w:val="center"/>
          </w:tcPr>
          <w:p>
            <w:pPr>
              <w:adjustRightInd w:val="0"/>
              <w:snapToGrid w:val="0"/>
              <w:jc w:val="center"/>
              <w:rPr>
                <w:rFonts w:ascii="宋体" w:hAnsi="宋体" w:cs="宋体"/>
                <w:color w:val="auto"/>
                <w:szCs w:val="21"/>
                <w:highlight w:val="none"/>
              </w:rPr>
            </w:pPr>
            <w:r>
              <w:rPr>
                <w:rFonts w:hint="eastAsia" w:ascii="宋体" w:hAnsi="宋体" w:cs="宋体"/>
                <w:color w:val="auto"/>
                <w:szCs w:val="21"/>
                <w:highlight w:val="none"/>
              </w:rPr>
              <w:t>施工工期</w:t>
            </w:r>
          </w:p>
        </w:tc>
        <w:tc>
          <w:tcPr>
            <w:tcW w:w="2639" w:type="dxa"/>
            <w:noWrap w:val="0"/>
            <w:vAlign w:val="center"/>
          </w:tcPr>
          <w:p>
            <w:pPr>
              <w:adjustRightInd w:val="0"/>
              <w:snapToGrid w:val="0"/>
              <w:jc w:val="center"/>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rPr>
              <w:t>3</w:t>
            </w:r>
            <w:r>
              <w:rPr>
                <w:rFonts w:hint="eastAsia"/>
                <w:color w:val="auto"/>
                <w:highlight w:val="none"/>
                <w:lang w:val="en-US" w:eastAsia="zh-CN"/>
              </w:rPr>
              <w:t>个月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026" w:type="dxa"/>
            <w:noWrap w:val="0"/>
            <w:tcMar>
              <w:top w:w="16" w:type="dxa"/>
              <w:left w:w="16" w:type="dxa"/>
              <w:right w:w="16" w:type="dxa"/>
            </w:tcMar>
            <w:vAlign w:val="center"/>
          </w:tcPr>
          <w:p>
            <w:pPr>
              <w:adjustRightInd w:val="0"/>
              <w:snapToGrid w:val="0"/>
              <w:jc w:val="center"/>
              <w:rPr>
                <w:rFonts w:hint="eastAsia" w:ascii="宋体" w:hAnsi="宋体" w:cs="宋体"/>
                <w:color w:val="auto"/>
                <w:szCs w:val="21"/>
                <w:highlight w:val="none"/>
              </w:rPr>
            </w:pPr>
            <w:r>
              <w:rPr>
                <w:rFonts w:hint="eastAsia" w:ascii="宋体" w:hAnsi="宋体" w:cs="宋体"/>
                <w:color w:val="auto"/>
                <w:szCs w:val="21"/>
                <w:highlight w:val="none"/>
              </w:rPr>
              <w:t>是否开工建设</w:t>
            </w:r>
          </w:p>
        </w:tc>
        <w:tc>
          <w:tcPr>
            <w:tcW w:w="1993" w:type="dxa"/>
            <w:noWrap w:val="0"/>
            <w:vAlign w:val="center"/>
          </w:tcPr>
          <w:p>
            <w:pPr>
              <w:adjustRightInd w:val="0"/>
              <w:snapToGrid w:val="0"/>
              <w:rPr>
                <w:rFonts w:ascii="宋体" w:hAnsi="宋体" w:cs="宋体"/>
                <w:color w:val="auto"/>
                <w:szCs w:val="21"/>
                <w:highlight w:val="none"/>
              </w:rPr>
            </w:pPr>
            <w:r>
              <w:rPr>
                <w:rFonts w:hint="eastAsia" w:ascii="宋体" w:hAnsi="宋体" w:cs="宋体"/>
                <w:color w:val="auto"/>
                <w:szCs w:val="21"/>
                <w:highlight w:val="none"/>
              </w:rPr>
              <w:sym w:font="Wingdings 2" w:char="00A3"/>
            </w:r>
            <w:r>
              <w:rPr>
                <w:rFonts w:hint="eastAsia" w:ascii="宋体" w:hAnsi="宋体" w:cs="宋体"/>
                <w:color w:val="auto"/>
                <w:szCs w:val="21"/>
                <w:highlight w:val="none"/>
              </w:rPr>
              <w:t>否</w:t>
            </w:r>
          </w:p>
          <w:p>
            <w:pPr>
              <w:adjustRightInd w:val="0"/>
              <w:snapToGrid w:val="0"/>
              <w:rPr>
                <w:rFonts w:ascii="宋体" w:hAnsi="宋体" w:cs="宋体"/>
                <w:color w:val="auto"/>
                <w:szCs w:val="21"/>
                <w:highlight w:val="none"/>
              </w:rPr>
            </w:pPr>
            <w:r>
              <w:rPr>
                <w:rFonts w:hint="eastAsia" w:ascii="宋体" w:hAnsi="宋体" w:cs="宋体"/>
                <w:color w:val="auto"/>
                <w:szCs w:val="21"/>
                <w:highlight w:val="none"/>
              </w:rPr>
              <w:sym w:font="Wingdings 2" w:char="00A3"/>
            </w:r>
            <w:r>
              <w:rPr>
                <w:rFonts w:hint="eastAsia" w:ascii="宋体" w:hAnsi="宋体" w:cs="宋体"/>
                <w:color w:val="auto"/>
                <w:szCs w:val="21"/>
                <w:highlight w:val="none"/>
              </w:rPr>
              <w:t>是：</w:t>
            </w:r>
            <w:r>
              <w:rPr>
                <w:rFonts w:hint="eastAsia" w:ascii="宋体" w:hAnsi="宋体" w:cs="宋体"/>
                <w:color w:val="auto"/>
                <w:szCs w:val="21"/>
                <w:highlight w:val="none"/>
                <w:u w:val="single"/>
              </w:rPr>
              <w:t xml:space="preserve">已建新1万t沥青混凝土生产线及原料堆场 </w:t>
            </w:r>
          </w:p>
        </w:tc>
        <w:tc>
          <w:tcPr>
            <w:tcW w:w="2212" w:type="dxa"/>
            <w:noWrap w:val="0"/>
            <w:tcMar>
              <w:top w:w="16" w:type="dxa"/>
              <w:left w:w="16" w:type="dxa"/>
              <w:right w:w="16" w:type="dxa"/>
            </w:tcMar>
            <w:vAlign w:val="center"/>
          </w:tcPr>
          <w:p>
            <w:pPr>
              <w:adjustRightInd w:val="0"/>
              <w:snapToGrid w:val="0"/>
              <w:jc w:val="center"/>
              <w:rPr>
                <w:rFonts w:ascii="宋体" w:hAnsi="宋体" w:cs="宋体"/>
                <w:color w:val="auto"/>
                <w:spacing w:val="-6"/>
                <w:szCs w:val="21"/>
                <w:highlight w:val="none"/>
              </w:rPr>
            </w:pPr>
            <w:r>
              <w:rPr>
                <w:rFonts w:hint="eastAsia" w:ascii="宋体" w:hAnsi="宋体" w:cs="宋体"/>
                <w:color w:val="auto"/>
                <w:spacing w:val="-6"/>
                <w:szCs w:val="21"/>
                <w:highlight w:val="none"/>
              </w:rPr>
              <w:t>用地（用海）</w:t>
            </w:r>
          </w:p>
          <w:p>
            <w:pPr>
              <w:adjustRightInd w:val="0"/>
              <w:snapToGrid w:val="0"/>
              <w:jc w:val="center"/>
              <w:rPr>
                <w:rFonts w:hint="eastAsia" w:ascii="宋体" w:hAnsi="宋体" w:cs="宋体"/>
                <w:color w:val="auto"/>
                <w:szCs w:val="21"/>
                <w:highlight w:val="none"/>
              </w:rPr>
            </w:pPr>
            <w:r>
              <w:rPr>
                <w:rFonts w:hint="eastAsia" w:ascii="宋体" w:hAnsi="宋体" w:cs="宋体"/>
                <w:color w:val="auto"/>
                <w:spacing w:val="-6"/>
                <w:szCs w:val="21"/>
                <w:highlight w:val="none"/>
              </w:rPr>
              <w:t>面积（</w:t>
            </w:r>
            <w:r>
              <w:rPr>
                <w:rFonts w:ascii="宋体" w:hAnsi="宋体" w:cs="宋体"/>
                <w:color w:val="auto"/>
                <w:spacing w:val="-6"/>
                <w:szCs w:val="21"/>
                <w:highlight w:val="none"/>
              </w:rPr>
              <w:t>m</w:t>
            </w:r>
            <w:r>
              <w:rPr>
                <w:rFonts w:ascii="宋体" w:hAnsi="宋体" w:cs="宋体"/>
                <w:color w:val="auto"/>
                <w:spacing w:val="-6"/>
                <w:szCs w:val="21"/>
                <w:highlight w:val="none"/>
                <w:vertAlign w:val="superscript"/>
              </w:rPr>
              <w:t>2</w:t>
            </w:r>
            <w:r>
              <w:rPr>
                <w:rFonts w:hint="eastAsia" w:ascii="宋体" w:hAnsi="宋体" w:cs="宋体"/>
                <w:color w:val="auto"/>
                <w:spacing w:val="-6"/>
                <w:szCs w:val="21"/>
                <w:highlight w:val="none"/>
              </w:rPr>
              <w:t>）</w:t>
            </w:r>
          </w:p>
        </w:tc>
        <w:tc>
          <w:tcPr>
            <w:tcW w:w="2639" w:type="dxa"/>
            <w:noWrap w:val="0"/>
            <w:vAlign w:val="center"/>
          </w:tcPr>
          <w:p>
            <w:pPr>
              <w:adjustRightInd w:val="0"/>
              <w:snapToGrid w:val="0"/>
              <w:jc w:val="center"/>
              <w:rPr>
                <w:rFonts w:ascii="宋体" w:hAnsi="宋体" w:cs="宋体"/>
                <w:color w:val="auto"/>
                <w:szCs w:val="21"/>
                <w:highlight w:val="none"/>
              </w:rPr>
            </w:pPr>
            <w:r>
              <w:rPr>
                <w:rFonts w:hint="eastAsia" w:ascii="宋体" w:hAnsi="宋体" w:cs="宋体"/>
                <w:color w:val="auto"/>
                <w:szCs w:val="21"/>
                <w:highlight w:val="none"/>
              </w:rPr>
              <w:t>15146.71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2026" w:type="dxa"/>
            <w:noWrap w:val="0"/>
            <w:vAlign w:val="center"/>
          </w:tcPr>
          <w:p>
            <w:pPr>
              <w:autoSpaceDE w:val="0"/>
              <w:autoSpaceDN w:val="0"/>
              <w:adjustRightInd w:val="0"/>
              <w:snapToGrid w:val="0"/>
              <w:jc w:val="center"/>
              <w:rPr>
                <w:rFonts w:ascii="宋体" w:hAnsi="宋体" w:cs="宋体"/>
                <w:color w:val="auto"/>
                <w:kern w:val="0"/>
                <w:szCs w:val="21"/>
                <w:highlight w:val="none"/>
              </w:rPr>
            </w:pPr>
            <w:r>
              <w:rPr>
                <w:rFonts w:hint="eastAsia" w:ascii="宋体" w:hAnsi="宋体" w:cs="宋体"/>
                <w:color w:val="auto"/>
                <w:kern w:val="0"/>
                <w:szCs w:val="21"/>
                <w:highlight w:val="none"/>
              </w:rPr>
              <w:t>专项评价设置情况</w:t>
            </w:r>
          </w:p>
        </w:tc>
        <w:tc>
          <w:tcPr>
            <w:tcW w:w="6844" w:type="dxa"/>
            <w:gridSpan w:val="3"/>
            <w:noWrap w:val="0"/>
            <w:vAlign w:val="center"/>
          </w:tcPr>
          <w:p>
            <w:pPr>
              <w:autoSpaceDE w:val="0"/>
              <w:autoSpaceDN w:val="0"/>
              <w:adjustRightInd w:val="0"/>
              <w:snapToGrid w:val="0"/>
              <w:jc w:val="center"/>
              <w:rPr>
                <w:rFonts w:ascii="宋体" w:hAnsi="宋体" w:cs="宋体"/>
                <w:color w:val="auto"/>
                <w:kern w:val="0"/>
                <w:szCs w:val="21"/>
                <w:highlight w:val="none"/>
              </w:rPr>
            </w:pPr>
            <w:r>
              <w:rPr>
                <w:rFonts w:hint="eastAsia" w:ascii="宋体" w:hAnsi="宋体" w:cs="宋体"/>
                <w:color w:val="auto"/>
                <w:kern w:val="0"/>
                <w:szCs w:val="21"/>
                <w:highlight w:val="none"/>
              </w:rPr>
              <w:t>大气专项评价，项目排放废气含苯并[a]芘且厂界外500m范围内有环境空气保护目标</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2026" w:type="dxa"/>
            <w:noWrap w:val="0"/>
            <w:vAlign w:val="center"/>
          </w:tcPr>
          <w:p>
            <w:pPr>
              <w:autoSpaceDE w:val="0"/>
              <w:autoSpaceDN w:val="0"/>
              <w:adjustRightInd w:val="0"/>
              <w:snapToGrid w:val="0"/>
              <w:jc w:val="center"/>
              <w:rPr>
                <w:rFonts w:hint="eastAsia" w:ascii="宋体" w:hAnsi="宋体" w:cs="宋体"/>
                <w:color w:val="auto"/>
                <w:kern w:val="0"/>
                <w:szCs w:val="21"/>
                <w:highlight w:val="none"/>
              </w:rPr>
            </w:pPr>
            <w:r>
              <w:rPr>
                <w:rFonts w:hint="eastAsia" w:ascii="宋体" w:hAnsi="宋体" w:cs="宋体"/>
                <w:color w:val="auto"/>
                <w:szCs w:val="21"/>
                <w:highlight w:val="none"/>
              </w:rPr>
              <w:t>规划情况</w:t>
            </w:r>
          </w:p>
        </w:tc>
        <w:tc>
          <w:tcPr>
            <w:tcW w:w="6844" w:type="dxa"/>
            <w:gridSpan w:val="3"/>
            <w:noWrap w:val="0"/>
            <w:vAlign w:val="center"/>
          </w:tcPr>
          <w:p>
            <w:pPr>
              <w:autoSpaceDE w:val="0"/>
              <w:autoSpaceDN w:val="0"/>
              <w:adjustRightInd w:val="0"/>
              <w:snapToGrid w:val="0"/>
              <w:rPr>
                <w:rFonts w:hint="eastAsia" w:ascii="宋体" w:hAnsi="宋体" w:cs="宋体"/>
                <w:color w:val="auto"/>
                <w:kern w:val="0"/>
                <w:szCs w:val="21"/>
                <w:highlight w:val="none"/>
              </w:rPr>
            </w:pPr>
            <w:r>
              <w:rPr>
                <w:rFonts w:hint="eastAsia" w:ascii="宋体" w:hAnsi="宋体" w:cs="宋体"/>
                <w:color w:val="auto"/>
                <w:kern w:val="0"/>
                <w:szCs w:val="21"/>
                <w:highlight w:val="none"/>
              </w:rPr>
              <w:t>《乐山市城市总体规划（2013-2030年）》、</w:t>
            </w:r>
          </w:p>
          <w:p>
            <w:pPr>
              <w:autoSpaceDE w:val="0"/>
              <w:autoSpaceDN w:val="0"/>
              <w:adjustRightInd w:val="0"/>
              <w:snapToGrid w:val="0"/>
              <w:rPr>
                <w:rFonts w:hint="eastAsia" w:ascii="宋体" w:hAnsi="宋体" w:cs="宋体"/>
                <w:color w:val="auto"/>
                <w:kern w:val="0"/>
                <w:szCs w:val="21"/>
                <w:highlight w:val="none"/>
              </w:rPr>
            </w:pPr>
            <w:r>
              <w:rPr>
                <w:rFonts w:hint="eastAsia" w:ascii="宋体" w:hAnsi="宋体" w:cs="宋体"/>
                <w:color w:val="auto"/>
                <w:kern w:val="0"/>
                <w:szCs w:val="21"/>
                <w:highlight w:val="none"/>
              </w:rPr>
              <w:t>《乐山市市中区土地利用总体规划（2006-2020年》</w:t>
            </w:r>
          </w:p>
          <w:p>
            <w:pPr>
              <w:autoSpaceDE w:val="0"/>
              <w:autoSpaceDN w:val="0"/>
              <w:adjustRightInd w:val="0"/>
              <w:snapToGrid w:val="0"/>
              <w:rPr>
                <w:rFonts w:hint="eastAsia" w:ascii="宋体" w:hAnsi="宋体" w:cs="宋体"/>
                <w:color w:val="auto"/>
                <w:kern w:val="0"/>
                <w:szCs w:val="21"/>
                <w:highlight w:val="none"/>
              </w:rPr>
            </w:pPr>
            <w:r>
              <w:rPr>
                <w:rFonts w:hint="eastAsia" w:ascii="宋体" w:hAnsi="宋体" w:cs="宋体"/>
                <w:color w:val="auto"/>
                <w:kern w:val="0"/>
                <w:szCs w:val="21"/>
                <w:highlight w:val="none"/>
              </w:rPr>
              <w:t>《乐山市市中区绵竹镇天空山村村规划（2018-2035）》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2026" w:type="dxa"/>
            <w:noWrap w:val="0"/>
            <w:vAlign w:val="center"/>
          </w:tcPr>
          <w:p>
            <w:pPr>
              <w:adjustRightInd w:val="0"/>
              <w:snapToGrid w:val="0"/>
              <w:jc w:val="center"/>
              <w:rPr>
                <w:rFonts w:ascii="宋体" w:hAnsi="宋体" w:cs="宋体"/>
                <w:color w:val="auto"/>
                <w:szCs w:val="21"/>
                <w:highlight w:val="none"/>
              </w:rPr>
            </w:pPr>
            <w:r>
              <w:rPr>
                <w:rFonts w:hint="eastAsia" w:ascii="宋体" w:hAnsi="宋体" w:cs="宋体"/>
                <w:color w:val="auto"/>
                <w:szCs w:val="21"/>
                <w:highlight w:val="none"/>
              </w:rPr>
              <w:t>规划环境影响</w:t>
            </w:r>
          </w:p>
          <w:p>
            <w:pPr>
              <w:adjustRightInd w:val="0"/>
              <w:snapToGrid w:val="0"/>
              <w:jc w:val="center"/>
              <w:rPr>
                <w:rFonts w:hint="eastAsia" w:ascii="宋体" w:hAnsi="宋体" w:cs="宋体"/>
                <w:color w:val="auto"/>
                <w:kern w:val="0"/>
                <w:szCs w:val="21"/>
                <w:highlight w:val="none"/>
              </w:rPr>
            </w:pPr>
            <w:r>
              <w:rPr>
                <w:rFonts w:hint="eastAsia" w:ascii="宋体" w:hAnsi="宋体" w:cs="宋体"/>
                <w:color w:val="auto"/>
                <w:szCs w:val="21"/>
                <w:highlight w:val="none"/>
              </w:rPr>
              <w:t>评价情况</w:t>
            </w:r>
          </w:p>
        </w:tc>
        <w:tc>
          <w:tcPr>
            <w:tcW w:w="6844" w:type="dxa"/>
            <w:gridSpan w:val="3"/>
            <w:noWrap w:val="0"/>
            <w:vAlign w:val="center"/>
          </w:tcPr>
          <w:p>
            <w:pPr>
              <w:autoSpaceDE w:val="0"/>
              <w:autoSpaceDN w:val="0"/>
              <w:adjustRightInd w:val="0"/>
              <w:snapToGrid w:val="0"/>
              <w:rPr>
                <w:rFonts w:hint="eastAsia" w:ascii="宋体" w:hAnsi="宋体" w:cs="宋体"/>
                <w:color w:val="auto"/>
                <w:kern w:val="0"/>
                <w:szCs w:val="21"/>
                <w:highlight w:val="none"/>
              </w:rPr>
            </w:pPr>
            <w:r>
              <w:rPr>
                <w:rFonts w:hint="eastAsia" w:ascii="宋体" w:hAnsi="宋体" w:cs="宋体"/>
                <w:color w:val="auto"/>
                <w:kern w:val="0"/>
                <w:szCs w:val="21"/>
                <w:highlight w:val="none"/>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2026" w:type="dxa"/>
            <w:noWrap w:val="0"/>
            <w:vAlign w:val="center"/>
          </w:tcPr>
          <w:p>
            <w:pPr>
              <w:autoSpaceDE w:val="0"/>
              <w:autoSpaceDN w:val="0"/>
              <w:adjustRightInd w:val="0"/>
              <w:snapToGrid w:val="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规划及规划环境</w:t>
            </w:r>
          </w:p>
          <w:p>
            <w:pPr>
              <w:autoSpaceDE w:val="0"/>
              <w:autoSpaceDN w:val="0"/>
              <w:adjustRightInd w:val="0"/>
              <w:snapToGrid w:val="0"/>
              <w:jc w:val="center"/>
              <w:rPr>
                <w:rFonts w:ascii="宋体" w:hAnsi="宋体" w:cs="宋体"/>
                <w:color w:val="auto"/>
                <w:kern w:val="0"/>
                <w:szCs w:val="21"/>
                <w:highlight w:val="none"/>
              </w:rPr>
            </w:pPr>
            <w:r>
              <w:rPr>
                <w:rFonts w:hint="eastAsia" w:ascii="宋体" w:hAnsi="宋体" w:cs="宋体"/>
                <w:color w:val="auto"/>
                <w:kern w:val="0"/>
                <w:szCs w:val="21"/>
                <w:highlight w:val="none"/>
              </w:rPr>
              <w:t>影响评价符合性分析</w:t>
            </w:r>
          </w:p>
        </w:tc>
        <w:tc>
          <w:tcPr>
            <w:tcW w:w="6844" w:type="dxa"/>
            <w:gridSpan w:val="3"/>
            <w:noWrap w:val="0"/>
            <w:vAlign w:val="center"/>
          </w:tcPr>
          <w:p>
            <w:pPr>
              <w:autoSpaceDE w:val="0"/>
              <w:autoSpaceDN w:val="0"/>
              <w:adjustRightInd w:val="0"/>
              <w:snapToGrid w:val="0"/>
              <w:spacing w:line="360" w:lineRule="auto"/>
              <w:rPr>
                <w:b/>
                <w:bCs/>
                <w:color w:val="auto"/>
                <w:kern w:val="0"/>
                <w:sz w:val="24"/>
                <w:highlight w:val="none"/>
              </w:rPr>
            </w:pPr>
            <w:r>
              <w:rPr>
                <w:b/>
                <w:bCs/>
                <w:color w:val="auto"/>
                <w:kern w:val="0"/>
                <w:sz w:val="24"/>
                <w:highlight w:val="none"/>
              </w:rPr>
              <w:t>1、与《乐山市城市总体规划（2013-2030年）》的符合性分析</w:t>
            </w:r>
          </w:p>
          <w:p>
            <w:pPr>
              <w:autoSpaceDE w:val="0"/>
              <w:autoSpaceDN w:val="0"/>
              <w:adjustRightInd w:val="0"/>
              <w:snapToGrid w:val="0"/>
              <w:spacing w:line="360" w:lineRule="auto"/>
              <w:ind w:firstLine="480" w:firstLineChars="200"/>
              <w:rPr>
                <w:color w:val="auto"/>
                <w:kern w:val="0"/>
                <w:sz w:val="24"/>
                <w:highlight w:val="none"/>
              </w:rPr>
            </w:pPr>
            <w:r>
              <w:rPr>
                <w:color w:val="auto"/>
                <w:kern w:val="0"/>
                <w:sz w:val="24"/>
                <w:highlight w:val="none"/>
              </w:rPr>
              <w:t>提出：“规划都市区交通一体化发展，构建“三环四轨十四射”快速交通联系。三环为主城区高速环线、中心城区物流过境环和乐山都市区环线:四轨是指乐夹轨道交通、乐峨轨道交通、乐沙轨道交通以及乐山至五通的轨道交通线路;十四射是指乐山―夹江、乐山—峨眉、乐山—沙湾、乐山一五通的十四条快速道路交通通道。”</w:t>
            </w:r>
          </w:p>
          <w:p>
            <w:pPr>
              <w:autoSpaceDE w:val="0"/>
              <w:autoSpaceDN w:val="0"/>
              <w:adjustRightInd w:val="0"/>
              <w:snapToGrid w:val="0"/>
              <w:spacing w:line="360" w:lineRule="auto"/>
              <w:ind w:firstLine="480" w:firstLineChars="200"/>
              <w:rPr>
                <w:color w:val="auto"/>
                <w:kern w:val="0"/>
                <w:sz w:val="24"/>
                <w:highlight w:val="none"/>
              </w:rPr>
            </w:pPr>
            <w:r>
              <w:rPr>
                <w:color w:val="auto"/>
                <w:kern w:val="0"/>
                <w:sz w:val="24"/>
                <w:highlight w:val="none"/>
              </w:rPr>
              <w:t>乐山市大川建设有限公司沥青混凝土拌和站位于四川省乐山市市中区绵竹乡冷水寺村一组，由乐山市城市总规图上可见，项目用地未纳入乐山市中心城区规划用地</w:t>
            </w:r>
            <w:r>
              <w:rPr>
                <w:rFonts w:hint="eastAsia"/>
                <w:color w:val="auto"/>
                <w:kern w:val="0"/>
                <w:sz w:val="24"/>
                <w:highlight w:val="none"/>
              </w:rPr>
              <w:t>，见附图2</w:t>
            </w:r>
            <w:r>
              <w:rPr>
                <w:color w:val="auto"/>
                <w:kern w:val="0"/>
                <w:sz w:val="24"/>
                <w:highlight w:val="none"/>
              </w:rPr>
              <w:t>。</w:t>
            </w:r>
            <w:r>
              <w:rPr>
                <w:rFonts w:hint="eastAsia"/>
                <w:color w:val="auto"/>
                <w:kern w:val="0"/>
                <w:sz w:val="24"/>
                <w:highlight w:val="none"/>
              </w:rPr>
              <w:t>本项目属于市政道路建设配套服务项目，不属于城市总规中禁止引入的项目，</w:t>
            </w:r>
            <w:r>
              <w:rPr>
                <w:color w:val="auto"/>
                <w:kern w:val="0"/>
                <w:sz w:val="24"/>
                <w:highlight w:val="none"/>
              </w:rPr>
              <w:t>城市总规中规划了较多了高速路、城市快速路、主干路、支路、跨江通道等，因此项目的实施有利于城市规划中市政道路的建设，项目与《乐山市城市总体规划（2011-2030）》（2017年版）相符合。</w:t>
            </w:r>
          </w:p>
          <w:p>
            <w:pPr>
              <w:autoSpaceDE w:val="0"/>
              <w:autoSpaceDN w:val="0"/>
              <w:adjustRightInd w:val="0"/>
              <w:snapToGrid w:val="0"/>
              <w:spacing w:line="360" w:lineRule="auto"/>
              <w:rPr>
                <w:color w:val="auto"/>
                <w:kern w:val="0"/>
                <w:sz w:val="24"/>
                <w:highlight w:val="none"/>
              </w:rPr>
            </w:pPr>
            <w:r>
              <w:rPr>
                <w:b/>
                <w:bCs/>
                <w:color w:val="auto"/>
                <w:kern w:val="0"/>
                <w:sz w:val="24"/>
                <w:highlight w:val="none"/>
              </w:rPr>
              <w:t>2、与《乐山市市中区土地利用总体规划（2006-2020年</w:t>
            </w:r>
            <w:r>
              <w:rPr>
                <w:rFonts w:hint="eastAsia"/>
                <w:b/>
                <w:bCs/>
                <w:color w:val="auto"/>
                <w:kern w:val="0"/>
                <w:sz w:val="24"/>
                <w:highlight w:val="none"/>
              </w:rPr>
              <w:t>）</w:t>
            </w:r>
            <w:r>
              <w:rPr>
                <w:b/>
                <w:bCs/>
                <w:color w:val="auto"/>
                <w:kern w:val="0"/>
                <w:sz w:val="24"/>
                <w:highlight w:val="none"/>
              </w:rPr>
              <w:t>》的符合性分析</w:t>
            </w:r>
          </w:p>
          <w:p>
            <w:pPr>
              <w:autoSpaceDE w:val="0"/>
              <w:autoSpaceDN w:val="0"/>
              <w:adjustRightInd w:val="0"/>
              <w:snapToGrid w:val="0"/>
              <w:spacing w:line="360" w:lineRule="auto"/>
              <w:ind w:firstLine="480" w:firstLineChars="200"/>
              <w:rPr>
                <w:color w:val="auto"/>
                <w:kern w:val="0"/>
                <w:sz w:val="24"/>
                <w:highlight w:val="none"/>
              </w:rPr>
            </w:pPr>
            <w:r>
              <w:rPr>
                <w:color w:val="auto"/>
                <w:kern w:val="0"/>
                <w:sz w:val="24"/>
                <w:highlight w:val="none"/>
              </w:rPr>
              <w:t>乐山市大川建设有限公司沥青混凝土拌和站位于四川省乐山市市中区绵竹乡冷水寺村一组，根据乐山市市中区土地利用总体规划图，项目用地属于新增建设用地，详见附图</w:t>
            </w:r>
            <w:r>
              <w:rPr>
                <w:rFonts w:hint="eastAsia"/>
                <w:color w:val="auto"/>
                <w:kern w:val="0"/>
                <w:sz w:val="24"/>
                <w:highlight w:val="none"/>
              </w:rPr>
              <w:t>3</w:t>
            </w:r>
            <w:r>
              <w:rPr>
                <w:color w:val="auto"/>
                <w:kern w:val="0"/>
                <w:sz w:val="24"/>
                <w:highlight w:val="none"/>
              </w:rPr>
              <w:t>，项目与《乐山市市中区土地利用总体规划（2006-2020年）》相符合。</w:t>
            </w:r>
          </w:p>
          <w:p>
            <w:pPr>
              <w:autoSpaceDE w:val="0"/>
              <w:autoSpaceDN w:val="0"/>
              <w:adjustRightInd w:val="0"/>
              <w:snapToGrid w:val="0"/>
              <w:spacing w:line="360" w:lineRule="auto"/>
              <w:rPr>
                <w:color w:val="auto"/>
                <w:kern w:val="0"/>
                <w:sz w:val="24"/>
                <w:highlight w:val="none"/>
              </w:rPr>
            </w:pPr>
            <w:r>
              <w:rPr>
                <w:b/>
                <w:bCs/>
                <w:color w:val="auto"/>
                <w:kern w:val="0"/>
                <w:sz w:val="24"/>
                <w:highlight w:val="none"/>
              </w:rPr>
              <w:t>3、与《乐山市市中区绵竹镇天空山村村规划（2018-2035）》的符合性分析</w:t>
            </w:r>
          </w:p>
          <w:p>
            <w:pPr>
              <w:autoSpaceDE w:val="0"/>
              <w:autoSpaceDN w:val="0"/>
              <w:adjustRightInd w:val="0"/>
              <w:snapToGrid w:val="0"/>
              <w:spacing w:line="360" w:lineRule="auto"/>
              <w:ind w:firstLine="480" w:firstLineChars="200"/>
              <w:rPr>
                <w:rFonts w:ascii="宋体" w:hAnsi="宋体" w:cs="宋体"/>
                <w:color w:val="auto"/>
                <w:kern w:val="0"/>
                <w:szCs w:val="21"/>
                <w:highlight w:val="none"/>
              </w:rPr>
            </w:pPr>
            <w:r>
              <w:rPr>
                <w:color w:val="auto"/>
                <w:kern w:val="0"/>
                <w:sz w:val="24"/>
                <w:highlight w:val="none"/>
              </w:rPr>
              <w:t>根据《乐山市市中区绵竹镇天空山村村规划（2018-2035），项目所在地规划为工业用地，项目用地符合天空山村村规划，详见附图4。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786" w:hRule="atLeast"/>
          <w:jc w:val="center"/>
        </w:trPr>
        <w:tc>
          <w:tcPr>
            <w:tcW w:w="2026" w:type="dxa"/>
            <w:noWrap w:val="0"/>
            <w:vAlign w:val="center"/>
          </w:tcPr>
          <w:p>
            <w:pPr>
              <w:autoSpaceDE w:val="0"/>
              <w:autoSpaceDN w:val="0"/>
              <w:adjustRightInd w:val="0"/>
              <w:snapToGrid w:val="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其他符合性分析</w:t>
            </w:r>
          </w:p>
        </w:tc>
        <w:tc>
          <w:tcPr>
            <w:tcW w:w="6844" w:type="dxa"/>
            <w:gridSpan w:val="3"/>
            <w:noWrap w:val="0"/>
            <w:vAlign w:val="center"/>
          </w:tcPr>
          <w:p>
            <w:pPr>
              <w:autoSpaceDE w:val="0"/>
              <w:autoSpaceDN w:val="0"/>
              <w:adjustRightInd w:val="0"/>
              <w:snapToGrid w:val="0"/>
              <w:spacing w:line="360" w:lineRule="auto"/>
              <w:rPr>
                <w:rFonts w:hint="eastAsia"/>
                <w:b/>
                <w:bCs/>
                <w:color w:val="auto"/>
                <w:sz w:val="24"/>
                <w:highlight w:val="none"/>
              </w:rPr>
            </w:pPr>
            <w:r>
              <w:rPr>
                <w:rFonts w:hint="eastAsia"/>
                <w:b/>
                <w:bCs/>
                <w:color w:val="auto"/>
                <w:sz w:val="24"/>
                <w:highlight w:val="none"/>
              </w:rPr>
              <w:t>1、产业政策符合性分析</w:t>
            </w:r>
          </w:p>
          <w:p>
            <w:pPr>
              <w:autoSpaceDE w:val="0"/>
              <w:autoSpaceDN w:val="0"/>
              <w:adjustRightInd w:val="0"/>
              <w:snapToGrid w:val="0"/>
              <w:spacing w:line="360" w:lineRule="auto"/>
              <w:ind w:firstLine="480" w:firstLineChars="200"/>
              <w:rPr>
                <w:rFonts w:ascii="宋体" w:hAnsi="宋体" w:cs="宋体"/>
                <w:color w:val="auto"/>
                <w:kern w:val="0"/>
                <w:sz w:val="24"/>
                <w:highlight w:val="none"/>
              </w:rPr>
            </w:pPr>
            <w:r>
              <w:rPr>
                <w:rFonts w:ascii="宋体" w:hAnsi="宋体" w:cs="宋体"/>
                <w:color w:val="auto"/>
                <w:kern w:val="0"/>
                <w:sz w:val="24"/>
                <w:highlight w:val="none"/>
              </w:rPr>
              <w:t>根据《产业结构调整指导目录（2019年)》,本项目不属于限制类、淘汰类项目，为允许类。项目建设符合国家产业政策。</w:t>
            </w:r>
          </w:p>
          <w:p>
            <w:pPr>
              <w:autoSpaceDE w:val="0"/>
              <w:autoSpaceDN w:val="0"/>
              <w:adjustRightInd w:val="0"/>
              <w:snapToGrid w:val="0"/>
              <w:spacing w:line="360" w:lineRule="auto"/>
              <w:ind w:firstLine="480" w:firstLineChars="200"/>
              <w:rPr>
                <w:rFonts w:ascii="宋体" w:hAnsi="宋体" w:cs="宋体"/>
                <w:color w:val="auto"/>
                <w:kern w:val="0"/>
                <w:sz w:val="24"/>
                <w:highlight w:val="none"/>
              </w:rPr>
            </w:pPr>
            <w:r>
              <w:rPr>
                <w:rFonts w:ascii="宋体" w:hAnsi="宋体" w:cs="宋体"/>
                <w:color w:val="auto"/>
                <w:kern w:val="0"/>
                <w:sz w:val="24"/>
                <w:highlight w:val="none"/>
              </w:rPr>
              <w:t>2021年</w:t>
            </w:r>
            <w:r>
              <w:rPr>
                <w:rFonts w:hint="eastAsia" w:ascii="宋体" w:hAnsi="宋体" w:cs="宋体"/>
                <w:color w:val="auto"/>
                <w:kern w:val="0"/>
                <w:sz w:val="24"/>
                <w:highlight w:val="none"/>
              </w:rPr>
              <w:t>12</w:t>
            </w:r>
            <w:r>
              <w:rPr>
                <w:rFonts w:ascii="宋体" w:hAnsi="宋体" w:cs="宋体"/>
                <w:color w:val="auto"/>
                <w:kern w:val="0"/>
                <w:sz w:val="24"/>
                <w:highlight w:val="none"/>
              </w:rPr>
              <w:t>月</w:t>
            </w:r>
            <w:r>
              <w:rPr>
                <w:rFonts w:hint="eastAsia" w:ascii="宋体" w:hAnsi="宋体" w:cs="宋体"/>
                <w:color w:val="auto"/>
                <w:kern w:val="0"/>
                <w:sz w:val="24"/>
                <w:highlight w:val="none"/>
              </w:rPr>
              <w:t>29</w:t>
            </w:r>
            <w:r>
              <w:rPr>
                <w:rFonts w:ascii="宋体" w:hAnsi="宋体" w:cs="宋体"/>
                <w:color w:val="auto"/>
                <w:kern w:val="0"/>
                <w:sz w:val="24"/>
                <w:highlight w:val="none"/>
              </w:rPr>
              <w:t>日</w:t>
            </w:r>
            <w:r>
              <w:rPr>
                <w:rFonts w:hint="eastAsia" w:ascii="宋体" w:hAnsi="宋体" w:cs="宋体"/>
                <w:color w:val="auto"/>
                <w:kern w:val="0"/>
                <w:sz w:val="24"/>
                <w:highlight w:val="none"/>
              </w:rPr>
              <w:t>乐山市市中区</w:t>
            </w:r>
            <w:r>
              <w:rPr>
                <w:rFonts w:ascii="宋体" w:hAnsi="宋体" w:cs="宋体"/>
                <w:color w:val="auto"/>
                <w:kern w:val="0"/>
                <w:sz w:val="24"/>
                <w:highlight w:val="none"/>
              </w:rPr>
              <w:t>发展和</w:t>
            </w:r>
            <w:r>
              <w:rPr>
                <w:rFonts w:hint="eastAsia" w:ascii="宋体" w:hAnsi="宋体" w:cs="宋体"/>
                <w:color w:val="auto"/>
                <w:kern w:val="0"/>
                <w:sz w:val="24"/>
                <w:highlight w:val="none"/>
              </w:rPr>
              <w:t>改革</w:t>
            </w:r>
            <w:r>
              <w:rPr>
                <w:rFonts w:ascii="宋体" w:hAnsi="宋体" w:cs="宋体"/>
                <w:color w:val="auto"/>
                <w:kern w:val="0"/>
                <w:sz w:val="24"/>
                <w:highlight w:val="none"/>
              </w:rPr>
              <w:t>局对本项目进行了备案，项目代码为:川投资备【2112-511102-04-01-596350】FGQB-0323号。</w:t>
            </w:r>
          </w:p>
          <w:p>
            <w:pPr>
              <w:spacing w:line="360" w:lineRule="auto"/>
              <w:rPr>
                <w:rFonts w:hint="eastAsia"/>
                <w:b/>
                <w:bCs/>
                <w:color w:val="auto"/>
                <w:sz w:val="24"/>
                <w:highlight w:val="none"/>
              </w:rPr>
            </w:pPr>
            <w:r>
              <w:rPr>
                <w:rFonts w:hint="eastAsia"/>
                <w:b/>
                <w:bCs/>
                <w:color w:val="auto"/>
                <w:sz w:val="24"/>
                <w:highlight w:val="none"/>
              </w:rPr>
              <w:t>2、项目“三线一单”符合性分析</w:t>
            </w:r>
          </w:p>
          <w:p>
            <w:pPr>
              <w:autoSpaceDE w:val="0"/>
              <w:autoSpaceDN w:val="0"/>
              <w:adjustRightInd w:val="0"/>
              <w:snapToGrid w:val="0"/>
              <w:spacing w:line="360" w:lineRule="auto"/>
              <w:ind w:firstLine="480" w:firstLineChars="200"/>
              <w:rPr>
                <w:rFonts w:ascii="宋体" w:hAnsi="宋体" w:cs="宋体"/>
                <w:color w:val="auto"/>
                <w:kern w:val="0"/>
                <w:sz w:val="24"/>
                <w:highlight w:val="none"/>
              </w:rPr>
            </w:pPr>
            <w:r>
              <w:rPr>
                <w:rFonts w:ascii="宋体" w:hAnsi="宋体" w:cs="宋体"/>
                <w:color w:val="auto"/>
                <w:kern w:val="0"/>
                <w:sz w:val="24"/>
                <w:highlight w:val="none"/>
              </w:rPr>
              <w:t>根据《关于落实生态保护红线、环境质量底线、资源利用上线制定生态环境准入清单实施生态环境分区管控的通知》（乐府发[2021]7号），为适应以改善环境质量为核心的环境管理要求，切实加强环境影响评价（以下简称环评）管理，落实“生态保护红线、环境质量底线、资源利用上线和生态环境准入清单”（以下简称“三线一单”）约束，建立项目环评审批与规划环评、现有项目环境管理、区域环境质量联动机制（以下简称“三挂钩”机制），更好地发挥环评制度从源头防范环境污染和生态破坏的作用，加快推进改善环境质量。</w:t>
            </w:r>
          </w:p>
          <w:p>
            <w:pPr>
              <w:autoSpaceDE w:val="0"/>
              <w:autoSpaceDN w:val="0"/>
              <w:adjustRightInd w:val="0"/>
              <w:snapToGrid w:val="0"/>
              <w:spacing w:line="360" w:lineRule="auto"/>
              <w:ind w:firstLine="480" w:firstLineChars="200"/>
              <w:rPr>
                <w:rFonts w:ascii="宋体" w:hAnsi="宋体" w:cs="宋体"/>
                <w:color w:val="auto"/>
                <w:kern w:val="0"/>
                <w:sz w:val="24"/>
                <w:highlight w:val="none"/>
              </w:rPr>
            </w:pPr>
            <w:r>
              <w:rPr>
                <w:rFonts w:ascii="宋体" w:hAnsi="宋体" w:cs="宋体"/>
                <w:color w:val="auto"/>
                <w:kern w:val="0"/>
                <w:sz w:val="24"/>
                <w:highlight w:val="none"/>
              </w:rPr>
              <w:t>根据</w:t>
            </w:r>
            <w:r>
              <w:rPr>
                <w:rFonts w:hint="eastAsia" w:ascii="宋体" w:hAnsi="宋体" w:cs="宋体"/>
                <w:color w:val="auto"/>
                <w:kern w:val="0"/>
                <w:sz w:val="24"/>
                <w:highlight w:val="none"/>
              </w:rPr>
              <w:t>四川省生态环境厅官网发布的四川省“三线一单”数据分析及“三线一单”符合性分析</w:t>
            </w:r>
            <w:r>
              <w:rPr>
                <w:rFonts w:ascii="宋体" w:hAnsi="宋体" w:cs="宋体"/>
                <w:color w:val="auto"/>
                <w:kern w:val="0"/>
                <w:sz w:val="24"/>
                <w:highlight w:val="none"/>
              </w:rPr>
              <w:t>，本项目与</w:t>
            </w:r>
            <w:r>
              <w:rPr>
                <w:rFonts w:hint="eastAsia" w:ascii="宋体" w:hAnsi="宋体" w:cs="宋体"/>
                <w:color w:val="auto"/>
                <w:kern w:val="0"/>
                <w:sz w:val="24"/>
                <w:highlight w:val="none"/>
              </w:rPr>
              <w:t>乐山市</w:t>
            </w:r>
            <w:r>
              <w:rPr>
                <w:rFonts w:ascii="宋体" w:hAnsi="宋体" w:cs="宋体"/>
                <w:color w:val="auto"/>
                <w:kern w:val="0"/>
                <w:sz w:val="24"/>
                <w:highlight w:val="none"/>
              </w:rPr>
              <w:t>“三线一单”的符合性分析如下：</w:t>
            </w:r>
          </w:p>
          <w:p>
            <w:pPr>
              <w:autoSpaceDE w:val="0"/>
              <w:autoSpaceDN w:val="0"/>
              <w:adjustRightInd w:val="0"/>
              <w:snapToGrid w:val="0"/>
              <w:spacing w:line="360" w:lineRule="auto"/>
              <w:ind w:firstLine="480" w:firstLineChars="200"/>
              <w:rPr>
                <w:rFonts w:ascii="宋体" w:hAnsi="宋体" w:cs="宋体"/>
                <w:color w:val="auto"/>
                <w:kern w:val="0"/>
                <w:sz w:val="24"/>
                <w:highlight w:val="none"/>
              </w:rPr>
            </w:pPr>
            <w:r>
              <w:rPr>
                <w:rFonts w:ascii="宋体" w:hAnsi="宋体" w:cs="宋体"/>
                <w:color w:val="auto"/>
                <w:kern w:val="0"/>
                <w:sz w:val="24"/>
                <w:highlight w:val="none"/>
              </w:rPr>
              <w:t>该项目涉及到环境管控单元</w:t>
            </w:r>
            <w:r>
              <w:rPr>
                <w:rFonts w:hint="eastAsia" w:ascii="宋体" w:hAnsi="宋体" w:cs="宋体"/>
                <w:color w:val="auto"/>
                <w:kern w:val="0"/>
                <w:sz w:val="24"/>
                <w:highlight w:val="none"/>
              </w:rPr>
              <w:t>为市中区要素重点管控单元</w:t>
            </w:r>
            <w:r>
              <w:rPr>
                <w:rFonts w:ascii="宋体" w:hAnsi="宋体" w:cs="宋体"/>
                <w:color w:val="auto"/>
                <w:kern w:val="0"/>
                <w:sz w:val="24"/>
                <w:highlight w:val="none"/>
              </w:rPr>
              <w:t>，涉及到管控单元见下表。</w:t>
            </w:r>
          </w:p>
          <w:tbl>
            <w:tblPr>
              <w:tblStyle w:val="3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1"/>
              <w:gridCol w:w="1305"/>
              <w:gridCol w:w="984"/>
              <w:gridCol w:w="756"/>
              <w:gridCol w:w="1246"/>
              <w:gridCol w:w="13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blHeader/>
              </w:trPr>
              <w:tc>
                <w:tcPr>
                  <w:tcW w:w="991" w:type="dxa"/>
                  <w:noWrap w:val="0"/>
                  <w:vAlign w:val="center"/>
                </w:tcPr>
                <w:p>
                  <w:pPr>
                    <w:widowControl/>
                    <w:jc w:val="center"/>
                    <w:rPr>
                      <w:b/>
                      <w:bCs/>
                      <w:color w:val="auto"/>
                      <w:kern w:val="0"/>
                      <w:szCs w:val="21"/>
                      <w:highlight w:val="none"/>
                    </w:rPr>
                  </w:pPr>
                  <w:r>
                    <w:rPr>
                      <w:b/>
                      <w:bCs/>
                      <w:color w:val="auto"/>
                      <w:kern w:val="0"/>
                      <w:szCs w:val="21"/>
                      <w:highlight w:val="none"/>
                    </w:rPr>
                    <w:t>环境管控单元编码</w:t>
                  </w:r>
                </w:p>
              </w:tc>
              <w:tc>
                <w:tcPr>
                  <w:tcW w:w="1305" w:type="dxa"/>
                  <w:noWrap w:val="0"/>
                  <w:vAlign w:val="center"/>
                </w:tcPr>
                <w:p>
                  <w:pPr>
                    <w:widowControl/>
                    <w:jc w:val="center"/>
                    <w:rPr>
                      <w:b/>
                      <w:bCs/>
                      <w:color w:val="auto"/>
                      <w:kern w:val="0"/>
                      <w:szCs w:val="21"/>
                      <w:highlight w:val="none"/>
                    </w:rPr>
                  </w:pPr>
                  <w:r>
                    <w:rPr>
                      <w:b/>
                      <w:bCs/>
                      <w:color w:val="auto"/>
                      <w:kern w:val="0"/>
                      <w:szCs w:val="21"/>
                      <w:highlight w:val="none"/>
                    </w:rPr>
                    <w:t>环境管控单元名称</w:t>
                  </w:r>
                </w:p>
              </w:tc>
              <w:tc>
                <w:tcPr>
                  <w:tcW w:w="984" w:type="dxa"/>
                  <w:noWrap w:val="0"/>
                  <w:vAlign w:val="center"/>
                </w:tcPr>
                <w:p>
                  <w:pPr>
                    <w:widowControl/>
                    <w:jc w:val="center"/>
                    <w:rPr>
                      <w:b/>
                      <w:bCs/>
                      <w:color w:val="auto"/>
                      <w:kern w:val="0"/>
                      <w:szCs w:val="21"/>
                      <w:highlight w:val="none"/>
                    </w:rPr>
                  </w:pPr>
                  <w:r>
                    <w:rPr>
                      <w:b/>
                      <w:bCs/>
                      <w:color w:val="auto"/>
                      <w:kern w:val="0"/>
                      <w:szCs w:val="21"/>
                      <w:highlight w:val="none"/>
                    </w:rPr>
                    <w:t>所属城市</w:t>
                  </w:r>
                </w:p>
              </w:tc>
              <w:tc>
                <w:tcPr>
                  <w:tcW w:w="756" w:type="dxa"/>
                  <w:noWrap w:val="0"/>
                  <w:vAlign w:val="center"/>
                </w:tcPr>
                <w:p>
                  <w:pPr>
                    <w:widowControl/>
                    <w:jc w:val="center"/>
                    <w:rPr>
                      <w:b/>
                      <w:bCs/>
                      <w:color w:val="auto"/>
                      <w:kern w:val="0"/>
                      <w:szCs w:val="21"/>
                      <w:highlight w:val="none"/>
                    </w:rPr>
                  </w:pPr>
                  <w:r>
                    <w:rPr>
                      <w:b/>
                      <w:bCs/>
                      <w:color w:val="auto"/>
                      <w:kern w:val="0"/>
                      <w:szCs w:val="21"/>
                      <w:highlight w:val="none"/>
                    </w:rPr>
                    <w:t>所属区县</w:t>
                  </w:r>
                </w:p>
              </w:tc>
              <w:tc>
                <w:tcPr>
                  <w:tcW w:w="1246" w:type="dxa"/>
                  <w:noWrap w:val="0"/>
                  <w:vAlign w:val="center"/>
                </w:tcPr>
                <w:p>
                  <w:pPr>
                    <w:widowControl/>
                    <w:jc w:val="center"/>
                    <w:rPr>
                      <w:b/>
                      <w:bCs/>
                      <w:color w:val="auto"/>
                      <w:kern w:val="0"/>
                      <w:szCs w:val="21"/>
                      <w:highlight w:val="none"/>
                    </w:rPr>
                  </w:pPr>
                  <w:r>
                    <w:rPr>
                      <w:b/>
                      <w:bCs/>
                      <w:color w:val="auto"/>
                      <w:kern w:val="0"/>
                      <w:szCs w:val="21"/>
                      <w:highlight w:val="none"/>
                    </w:rPr>
                    <w:t>准入清单类型</w:t>
                  </w:r>
                </w:p>
              </w:tc>
              <w:tc>
                <w:tcPr>
                  <w:tcW w:w="1336" w:type="dxa"/>
                  <w:noWrap w:val="0"/>
                  <w:vAlign w:val="center"/>
                </w:tcPr>
                <w:p>
                  <w:pPr>
                    <w:widowControl/>
                    <w:jc w:val="center"/>
                    <w:rPr>
                      <w:b/>
                      <w:bCs/>
                      <w:color w:val="auto"/>
                      <w:kern w:val="0"/>
                      <w:szCs w:val="21"/>
                      <w:highlight w:val="none"/>
                    </w:rPr>
                  </w:pPr>
                  <w:r>
                    <w:rPr>
                      <w:b/>
                      <w:bCs/>
                      <w:color w:val="auto"/>
                      <w:kern w:val="0"/>
                      <w:szCs w:val="21"/>
                      <w:highlight w:val="none"/>
                    </w:rPr>
                    <w:t>管控类型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blHeader/>
              </w:trPr>
              <w:tc>
                <w:tcPr>
                  <w:tcW w:w="991" w:type="dxa"/>
                  <w:noWrap w:val="0"/>
                  <w:vAlign w:val="center"/>
                </w:tcPr>
                <w:p>
                  <w:pPr>
                    <w:pStyle w:val="184"/>
                    <w:widowControl/>
                    <w:spacing w:line="240" w:lineRule="auto"/>
                    <w:ind w:firstLine="0" w:firstLineChars="0"/>
                    <w:jc w:val="center"/>
                    <w:rPr>
                      <w:rFonts w:eastAsia="宋体"/>
                      <w:color w:val="auto"/>
                      <w:sz w:val="21"/>
                      <w:highlight w:val="none"/>
                    </w:rPr>
                  </w:pPr>
                  <w:r>
                    <w:rPr>
                      <w:rFonts w:eastAsia="宋体"/>
                      <w:color w:val="auto"/>
                      <w:sz w:val="21"/>
                      <w:highlight w:val="none"/>
                    </w:rPr>
                    <w:t>ZH51110220004</w:t>
                  </w:r>
                </w:p>
              </w:tc>
              <w:tc>
                <w:tcPr>
                  <w:tcW w:w="1305" w:type="dxa"/>
                  <w:noWrap w:val="0"/>
                  <w:vAlign w:val="center"/>
                </w:tcPr>
                <w:p>
                  <w:pPr>
                    <w:pStyle w:val="184"/>
                    <w:widowControl/>
                    <w:spacing w:line="240" w:lineRule="auto"/>
                    <w:ind w:firstLine="0" w:firstLineChars="0"/>
                    <w:jc w:val="center"/>
                    <w:rPr>
                      <w:rFonts w:eastAsia="宋体"/>
                      <w:color w:val="auto"/>
                      <w:sz w:val="21"/>
                      <w:highlight w:val="none"/>
                    </w:rPr>
                  </w:pPr>
                  <w:r>
                    <w:rPr>
                      <w:rFonts w:eastAsia="宋体"/>
                      <w:color w:val="auto"/>
                      <w:sz w:val="21"/>
                      <w:highlight w:val="none"/>
                    </w:rPr>
                    <w:t>市中区要素重点管控单元</w:t>
                  </w:r>
                </w:p>
              </w:tc>
              <w:tc>
                <w:tcPr>
                  <w:tcW w:w="984" w:type="dxa"/>
                  <w:noWrap w:val="0"/>
                  <w:vAlign w:val="center"/>
                </w:tcPr>
                <w:p>
                  <w:pPr>
                    <w:pStyle w:val="184"/>
                    <w:widowControl/>
                    <w:spacing w:line="240" w:lineRule="auto"/>
                    <w:ind w:firstLine="0" w:firstLineChars="0"/>
                    <w:jc w:val="center"/>
                    <w:rPr>
                      <w:rFonts w:eastAsia="宋体"/>
                      <w:color w:val="auto"/>
                      <w:sz w:val="21"/>
                      <w:highlight w:val="none"/>
                    </w:rPr>
                  </w:pPr>
                  <w:r>
                    <w:rPr>
                      <w:rFonts w:eastAsia="宋体"/>
                      <w:color w:val="auto"/>
                      <w:sz w:val="21"/>
                      <w:highlight w:val="none"/>
                    </w:rPr>
                    <w:t>乐山市</w:t>
                  </w:r>
                </w:p>
              </w:tc>
              <w:tc>
                <w:tcPr>
                  <w:tcW w:w="756" w:type="dxa"/>
                  <w:noWrap w:val="0"/>
                  <w:vAlign w:val="center"/>
                </w:tcPr>
                <w:p>
                  <w:pPr>
                    <w:pStyle w:val="184"/>
                    <w:widowControl/>
                    <w:spacing w:line="240" w:lineRule="auto"/>
                    <w:ind w:firstLine="0" w:firstLineChars="0"/>
                    <w:jc w:val="center"/>
                    <w:rPr>
                      <w:rFonts w:eastAsia="宋体"/>
                      <w:color w:val="auto"/>
                      <w:sz w:val="21"/>
                      <w:highlight w:val="none"/>
                    </w:rPr>
                  </w:pPr>
                  <w:r>
                    <w:rPr>
                      <w:rFonts w:eastAsia="宋体"/>
                      <w:color w:val="auto"/>
                      <w:sz w:val="21"/>
                      <w:highlight w:val="none"/>
                    </w:rPr>
                    <w:t>市中区</w:t>
                  </w:r>
                </w:p>
              </w:tc>
              <w:tc>
                <w:tcPr>
                  <w:tcW w:w="1246" w:type="dxa"/>
                  <w:noWrap w:val="0"/>
                  <w:vAlign w:val="center"/>
                </w:tcPr>
                <w:p>
                  <w:pPr>
                    <w:pStyle w:val="184"/>
                    <w:widowControl/>
                    <w:spacing w:line="240" w:lineRule="auto"/>
                    <w:ind w:firstLine="0" w:firstLineChars="0"/>
                    <w:jc w:val="center"/>
                    <w:rPr>
                      <w:rFonts w:eastAsia="宋体"/>
                      <w:color w:val="auto"/>
                      <w:sz w:val="21"/>
                      <w:highlight w:val="none"/>
                    </w:rPr>
                  </w:pPr>
                  <w:r>
                    <w:rPr>
                      <w:rFonts w:eastAsia="宋体"/>
                      <w:color w:val="auto"/>
                      <w:sz w:val="21"/>
                      <w:highlight w:val="none"/>
                    </w:rPr>
                    <w:t>环境综合</w:t>
                  </w:r>
                </w:p>
              </w:tc>
              <w:tc>
                <w:tcPr>
                  <w:tcW w:w="1336" w:type="dxa"/>
                  <w:noWrap w:val="0"/>
                  <w:vAlign w:val="center"/>
                </w:tcPr>
                <w:p>
                  <w:pPr>
                    <w:pStyle w:val="184"/>
                    <w:widowControl/>
                    <w:spacing w:line="240" w:lineRule="auto"/>
                    <w:ind w:firstLine="0" w:firstLineChars="0"/>
                    <w:jc w:val="center"/>
                    <w:rPr>
                      <w:rFonts w:eastAsia="宋体"/>
                      <w:color w:val="auto"/>
                      <w:sz w:val="21"/>
                      <w:highlight w:val="none"/>
                    </w:rPr>
                  </w:pPr>
                  <w:r>
                    <w:rPr>
                      <w:rFonts w:eastAsia="宋体"/>
                      <w:color w:val="auto"/>
                      <w:sz w:val="21"/>
                      <w:highlight w:val="none"/>
                    </w:rPr>
                    <w:t>环境综合管控单元要素重点管控单元</w:t>
                  </w:r>
                </w:p>
              </w:tc>
            </w:tr>
          </w:tbl>
          <w:p>
            <w:pPr>
              <w:autoSpaceDE w:val="0"/>
              <w:autoSpaceDN w:val="0"/>
              <w:adjustRightInd w:val="0"/>
              <w:snapToGrid w:val="0"/>
              <w:spacing w:line="360" w:lineRule="auto"/>
              <w:jc w:val="center"/>
              <w:rPr>
                <w:rFonts w:ascii="宋体" w:hAnsi="宋体" w:cs="宋体"/>
                <w:b/>
                <w:bCs/>
                <w:color w:val="auto"/>
                <w:kern w:val="0"/>
                <w:sz w:val="24"/>
                <w:highlight w:val="none"/>
              </w:rPr>
            </w:pPr>
            <w:r>
              <w:rPr>
                <w:color w:val="auto"/>
                <w:highlight w:val="none"/>
              </w:rPr>
              <w:drawing>
                <wp:inline distT="0" distB="0" distL="114300" distR="114300">
                  <wp:extent cx="4208780" cy="2007235"/>
                  <wp:effectExtent l="0" t="0" r="1270" b="12065"/>
                  <wp:docPr id="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0"/>
                          <pic:cNvPicPr>
                            <a:picLocks noChangeAspect="1"/>
                          </pic:cNvPicPr>
                        </pic:nvPicPr>
                        <pic:blipFill>
                          <a:blip r:embed="rId8"/>
                          <a:stretch>
                            <a:fillRect/>
                          </a:stretch>
                        </pic:blipFill>
                        <pic:spPr>
                          <a:xfrm>
                            <a:off x="0" y="0"/>
                            <a:ext cx="4208780" cy="2007235"/>
                          </a:xfrm>
                          <a:prstGeom prst="rect">
                            <a:avLst/>
                          </a:prstGeom>
                          <a:noFill/>
                          <a:ln>
                            <a:noFill/>
                          </a:ln>
                        </pic:spPr>
                      </pic:pic>
                    </a:graphicData>
                  </a:graphic>
                </wp:inline>
              </w:drawing>
            </w:r>
          </w:p>
          <w:p>
            <w:pPr>
              <w:autoSpaceDE w:val="0"/>
              <w:autoSpaceDN w:val="0"/>
              <w:adjustRightInd w:val="0"/>
              <w:snapToGrid w:val="0"/>
              <w:spacing w:line="360" w:lineRule="auto"/>
              <w:jc w:val="center"/>
              <w:rPr>
                <w:rFonts w:ascii="宋体" w:hAnsi="宋体" w:cs="宋体"/>
                <w:b/>
                <w:bCs/>
                <w:color w:val="auto"/>
                <w:kern w:val="0"/>
                <w:sz w:val="24"/>
                <w:highlight w:val="none"/>
              </w:rPr>
            </w:pPr>
            <w:r>
              <w:rPr>
                <w:rFonts w:ascii="宋体" w:hAnsi="宋体" w:cs="宋体"/>
                <w:b/>
                <w:bCs/>
                <w:color w:val="auto"/>
                <w:kern w:val="0"/>
                <w:sz w:val="24"/>
                <w:highlight w:val="none"/>
              </w:rPr>
              <w:t>图</w:t>
            </w:r>
            <w:r>
              <w:rPr>
                <w:rFonts w:hint="eastAsia" w:ascii="宋体" w:hAnsi="宋体" w:cs="宋体"/>
                <w:b/>
                <w:bCs/>
                <w:color w:val="auto"/>
                <w:kern w:val="0"/>
                <w:sz w:val="24"/>
                <w:highlight w:val="none"/>
              </w:rPr>
              <w:t>1</w:t>
            </w:r>
            <w:r>
              <w:rPr>
                <w:rFonts w:ascii="宋体" w:hAnsi="宋体" w:cs="宋体"/>
                <w:b/>
                <w:bCs/>
                <w:color w:val="auto"/>
                <w:kern w:val="0"/>
                <w:sz w:val="24"/>
                <w:highlight w:val="none"/>
              </w:rPr>
              <w:t>-8  规划区与环境管控单元位置关系图</w:t>
            </w:r>
          </w:p>
          <w:p>
            <w:pPr>
              <w:autoSpaceDE w:val="0"/>
              <w:autoSpaceDN w:val="0"/>
              <w:adjustRightInd w:val="0"/>
              <w:snapToGrid w:val="0"/>
              <w:spacing w:line="360" w:lineRule="auto"/>
              <w:ind w:firstLine="480" w:firstLineChars="200"/>
              <w:rPr>
                <w:rFonts w:ascii="宋体" w:hAnsi="宋体" w:cs="宋体"/>
                <w:color w:val="auto"/>
                <w:kern w:val="0"/>
                <w:sz w:val="24"/>
                <w:highlight w:val="none"/>
              </w:rPr>
            </w:pPr>
            <w:r>
              <w:rPr>
                <w:rFonts w:ascii="宋体" w:hAnsi="宋体" w:cs="宋体"/>
                <w:color w:val="auto"/>
                <w:kern w:val="0"/>
                <w:sz w:val="24"/>
                <w:highlight w:val="none"/>
              </w:rPr>
              <w:t>由上图可知，项目区位于</w:t>
            </w:r>
            <w:r>
              <w:rPr>
                <w:rFonts w:hint="eastAsia" w:ascii="宋体" w:hAnsi="宋体" w:cs="宋体"/>
                <w:color w:val="auto"/>
                <w:kern w:val="0"/>
                <w:sz w:val="24"/>
                <w:highlight w:val="none"/>
              </w:rPr>
              <w:t>要素重点管控单元</w:t>
            </w:r>
            <w:r>
              <w:rPr>
                <w:rFonts w:ascii="宋体" w:hAnsi="宋体" w:cs="宋体"/>
                <w:color w:val="auto"/>
                <w:kern w:val="0"/>
                <w:sz w:val="24"/>
                <w:highlight w:val="none"/>
              </w:rPr>
              <w:t>内，与</w:t>
            </w:r>
            <w:r>
              <w:rPr>
                <w:rFonts w:hint="eastAsia" w:ascii="宋体" w:hAnsi="宋体" w:cs="宋体"/>
                <w:color w:val="auto"/>
                <w:kern w:val="0"/>
                <w:sz w:val="24"/>
                <w:highlight w:val="none"/>
              </w:rPr>
              <w:t>要素重点管控单元</w:t>
            </w:r>
            <w:r>
              <w:rPr>
                <w:rFonts w:ascii="宋体" w:hAnsi="宋体" w:cs="宋体"/>
                <w:color w:val="auto"/>
                <w:kern w:val="0"/>
                <w:sz w:val="24"/>
                <w:highlight w:val="none"/>
              </w:rPr>
              <w:t>要求符合性分析如下：</w:t>
            </w:r>
          </w:p>
          <w:p>
            <w:pPr>
              <w:autoSpaceDE w:val="0"/>
              <w:autoSpaceDN w:val="0"/>
              <w:adjustRightInd w:val="0"/>
              <w:snapToGrid w:val="0"/>
              <w:spacing w:line="360" w:lineRule="auto"/>
              <w:jc w:val="center"/>
              <w:rPr>
                <w:rFonts w:ascii="宋体" w:hAnsi="宋体" w:cs="宋体"/>
                <w:b/>
                <w:bCs/>
                <w:color w:val="auto"/>
                <w:kern w:val="0"/>
                <w:sz w:val="24"/>
                <w:highlight w:val="none"/>
              </w:rPr>
            </w:pPr>
            <w:r>
              <w:rPr>
                <w:rFonts w:ascii="宋体" w:hAnsi="宋体" w:cs="宋体"/>
                <w:b/>
                <w:bCs/>
                <w:color w:val="auto"/>
                <w:kern w:val="0"/>
                <w:sz w:val="24"/>
                <w:highlight w:val="none"/>
              </w:rPr>
              <w:t>表</w:t>
            </w:r>
            <w:r>
              <w:rPr>
                <w:rFonts w:hint="eastAsia" w:ascii="宋体" w:hAnsi="宋体" w:cs="宋体"/>
                <w:b/>
                <w:bCs/>
                <w:color w:val="auto"/>
                <w:kern w:val="0"/>
                <w:sz w:val="24"/>
                <w:highlight w:val="none"/>
              </w:rPr>
              <w:t>1-4</w:t>
            </w:r>
            <w:r>
              <w:rPr>
                <w:rFonts w:ascii="宋体" w:hAnsi="宋体" w:cs="宋体"/>
                <w:b/>
                <w:bCs/>
                <w:color w:val="auto"/>
                <w:kern w:val="0"/>
                <w:sz w:val="24"/>
                <w:highlight w:val="none"/>
              </w:rPr>
              <w:t xml:space="preserve"> 规划区与环境管控单元及分类管控要求的符合性分析</w:t>
            </w:r>
          </w:p>
          <w:tbl>
            <w:tblPr>
              <w:tblStyle w:val="39"/>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93"/>
              <w:gridCol w:w="611"/>
              <w:gridCol w:w="1172"/>
              <w:gridCol w:w="923"/>
              <w:gridCol w:w="1240"/>
              <w:gridCol w:w="346"/>
              <w:gridCol w:w="1327"/>
              <w:gridCol w:w="71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93" w:type="dxa"/>
                  <w:noWrap w:val="0"/>
                  <w:vAlign w:val="center"/>
                </w:tcPr>
                <w:p>
                  <w:pPr>
                    <w:widowControl/>
                    <w:jc w:val="center"/>
                    <w:textAlignment w:val="center"/>
                    <w:rPr>
                      <w:b/>
                      <w:bCs/>
                      <w:color w:val="auto"/>
                      <w:sz w:val="18"/>
                      <w:szCs w:val="18"/>
                      <w:highlight w:val="none"/>
                    </w:rPr>
                  </w:pPr>
                  <w:r>
                    <w:rPr>
                      <w:b/>
                      <w:bCs/>
                      <w:color w:val="auto"/>
                      <w:kern w:val="0"/>
                      <w:sz w:val="18"/>
                      <w:szCs w:val="18"/>
                      <w:highlight w:val="none"/>
                      <w:lang w:bidi="ar"/>
                    </w:rPr>
                    <w:t>环境管控单元</w:t>
                  </w:r>
                </w:p>
              </w:tc>
              <w:tc>
                <w:tcPr>
                  <w:tcW w:w="611" w:type="dxa"/>
                  <w:noWrap w:val="0"/>
                  <w:vAlign w:val="center"/>
                </w:tcPr>
                <w:p>
                  <w:pPr>
                    <w:widowControl/>
                    <w:jc w:val="center"/>
                    <w:textAlignment w:val="center"/>
                    <w:rPr>
                      <w:b/>
                      <w:bCs/>
                      <w:color w:val="auto"/>
                      <w:sz w:val="18"/>
                      <w:szCs w:val="18"/>
                      <w:highlight w:val="none"/>
                    </w:rPr>
                  </w:pPr>
                  <w:r>
                    <w:rPr>
                      <w:b/>
                      <w:bCs/>
                      <w:color w:val="auto"/>
                      <w:kern w:val="0"/>
                      <w:sz w:val="18"/>
                      <w:szCs w:val="18"/>
                      <w:highlight w:val="none"/>
                      <w:lang w:bidi="ar"/>
                    </w:rPr>
                    <w:t>环境管控单元名称</w:t>
                  </w:r>
                </w:p>
              </w:tc>
              <w:tc>
                <w:tcPr>
                  <w:tcW w:w="1172" w:type="dxa"/>
                  <w:noWrap w:val="0"/>
                  <w:vAlign w:val="center"/>
                </w:tcPr>
                <w:p>
                  <w:pPr>
                    <w:widowControl/>
                    <w:jc w:val="center"/>
                    <w:textAlignment w:val="center"/>
                    <w:rPr>
                      <w:b/>
                      <w:bCs/>
                      <w:color w:val="auto"/>
                      <w:sz w:val="18"/>
                      <w:szCs w:val="18"/>
                      <w:highlight w:val="none"/>
                    </w:rPr>
                  </w:pPr>
                  <w:r>
                    <w:rPr>
                      <w:b/>
                      <w:bCs/>
                      <w:color w:val="auto"/>
                      <w:kern w:val="0"/>
                      <w:sz w:val="18"/>
                      <w:szCs w:val="18"/>
                      <w:highlight w:val="none"/>
                      <w:lang w:bidi="ar"/>
                    </w:rPr>
                    <w:t>全省总体管控要求</w:t>
                  </w:r>
                </w:p>
              </w:tc>
              <w:tc>
                <w:tcPr>
                  <w:tcW w:w="923" w:type="dxa"/>
                  <w:noWrap w:val="0"/>
                  <w:vAlign w:val="center"/>
                </w:tcPr>
                <w:p>
                  <w:pPr>
                    <w:widowControl/>
                    <w:jc w:val="center"/>
                    <w:textAlignment w:val="center"/>
                    <w:rPr>
                      <w:b/>
                      <w:bCs/>
                      <w:color w:val="auto"/>
                      <w:sz w:val="18"/>
                      <w:szCs w:val="18"/>
                      <w:highlight w:val="none"/>
                    </w:rPr>
                  </w:pPr>
                  <w:r>
                    <w:rPr>
                      <w:b/>
                      <w:bCs/>
                      <w:color w:val="auto"/>
                      <w:kern w:val="0"/>
                      <w:sz w:val="18"/>
                      <w:szCs w:val="18"/>
                      <w:highlight w:val="none"/>
                      <w:lang w:bidi="ar"/>
                    </w:rPr>
                    <w:t>成都平原经济区总体管控要求</w:t>
                  </w:r>
                </w:p>
              </w:tc>
              <w:tc>
                <w:tcPr>
                  <w:tcW w:w="1240" w:type="dxa"/>
                  <w:noWrap w:val="0"/>
                  <w:vAlign w:val="center"/>
                </w:tcPr>
                <w:p>
                  <w:pPr>
                    <w:widowControl/>
                    <w:jc w:val="center"/>
                    <w:textAlignment w:val="top"/>
                    <w:rPr>
                      <w:b/>
                      <w:bCs/>
                      <w:color w:val="auto"/>
                      <w:sz w:val="18"/>
                      <w:szCs w:val="18"/>
                      <w:highlight w:val="none"/>
                    </w:rPr>
                  </w:pPr>
                  <w:r>
                    <w:rPr>
                      <w:b/>
                      <w:bCs/>
                      <w:color w:val="auto"/>
                      <w:kern w:val="0"/>
                      <w:sz w:val="18"/>
                      <w:szCs w:val="18"/>
                      <w:highlight w:val="none"/>
                      <w:lang w:bidi="ar"/>
                    </w:rPr>
                    <w:t>乐山市总体管控要求</w:t>
                  </w:r>
                </w:p>
              </w:tc>
              <w:tc>
                <w:tcPr>
                  <w:tcW w:w="346" w:type="dxa"/>
                  <w:noWrap w:val="0"/>
                  <w:vAlign w:val="center"/>
                </w:tcPr>
                <w:p>
                  <w:pPr>
                    <w:widowControl/>
                    <w:jc w:val="center"/>
                    <w:textAlignment w:val="top"/>
                    <w:rPr>
                      <w:b/>
                      <w:bCs/>
                      <w:color w:val="auto"/>
                      <w:sz w:val="18"/>
                      <w:szCs w:val="18"/>
                      <w:highlight w:val="none"/>
                    </w:rPr>
                  </w:pPr>
                  <w:r>
                    <w:rPr>
                      <w:b/>
                      <w:bCs/>
                      <w:color w:val="auto"/>
                      <w:kern w:val="0"/>
                      <w:sz w:val="18"/>
                      <w:szCs w:val="18"/>
                      <w:highlight w:val="none"/>
                      <w:lang w:bidi="ar"/>
                    </w:rPr>
                    <w:t>管控类别</w:t>
                  </w:r>
                </w:p>
              </w:tc>
              <w:tc>
                <w:tcPr>
                  <w:tcW w:w="1327" w:type="dxa"/>
                  <w:noWrap w:val="0"/>
                  <w:vAlign w:val="center"/>
                </w:tcPr>
                <w:p>
                  <w:pPr>
                    <w:widowControl/>
                    <w:jc w:val="center"/>
                    <w:textAlignment w:val="center"/>
                    <w:rPr>
                      <w:b/>
                      <w:bCs/>
                      <w:color w:val="auto"/>
                      <w:sz w:val="18"/>
                      <w:szCs w:val="18"/>
                      <w:highlight w:val="none"/>
                    </w:rPr>
                  </w:pPr>
                  <w:r>
                    <w:rPr>
                      <w:b/>
                      <w:bCs/>
                      <w:color w:val="auto"/>
                      <w:kern w:val="0"/>
                      <w:sz w:val="18"/>
                      <w:szCs w:val="18"/>
                      <w:highlight w:val="none"/>
                      <w:lang w:bidi="ar"/>
                    </w:rPr>
                    <w:t>单元特性管控要求</w:t>
                  </w:r>
                </w:p>
              </w:tc>
              <w:tc>
                <w:tcPr>
                  <w:tcW w:w="716" w:type="dxa"/>
                  <w:noWrap w:val="0"/>
                  <w:vAlign w:val="center"/>
                </w:tcPr>
                <w:p>
                  <w:pPr>
                    <w:widowControl/>
                    <w:jc w:val="center"/>
                    <w:textAlignment w:val="center"/>
                    <w:rPr>
                      <w:b/>
                      <w:bCs/>
                      <w:color w:val="auto"/>
                      <w:sz w:val="18"/>
                      <w:szCs w:val="18"/>
                      <w:highlight w:val="none"/>
                    </w:rPr>
                  </w:pPr>
                  <w:r>
                    <w:rPr>
                      <w:b/>
                      <w:bCs/>
                      <w:color w:val="auto"/>
                      <w:kern w:val="0"/>
                      <w:sz w:val="18"/>
                      <w:szCs w:val="18"/>
                      <w:highlight w:val="none"/>
                      <w:lang w:bidi="ar"/>
                    </w:rPr>
                    <w:t>符合性分析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93" w:type="dxa"/>
                  <w:vMerge w:val="restart"/>
                  <w:noWrap w:val="0"/>
                  <w:vAlign w:val="center"/>
                </w:tcPr>
                <w:p>
                  <w:pPr>
                    <w:widowControl/>
                    <w:jc w:val="center"/>
                    <w:textAlignment w:val="center"/>
                    <w:rPr>
                      <w:color w:val="auto"/>
                      <w:sz w:val="18"/>
                      <w:szCs w:val="18"/>
                      <w:highlight w:val="none"/>
                    </w:rPr>
                  </w:pPr>
                  <w:r>
                    <w:rPr>
                      <w:color w:val="auto"/>
                      <w:kern w:val="0"/>
                      <w:sz w:val="18"/>
                      <w:szCs w:val="18"/>
                      <w:highlight w:val="none"/>
                      <w:lang w:bidi="ar"/>
                    </w:rPr>
                    <w:t>ZH51110220004</w:t>
                  </w:r>
                </w:p>
              </w:tc>
              <w:tc>
                <w:tcPr>
                  <w:tcW w:w="611" w:type="dxa"/>
                  <w:vMerge w:val="restart"/>
                  <w:noWrap w:val="0"/>
                  <w:vAlign w:val="center"/>
                </w:tcPr>
                <w:p>
                  <w:pPr>
                    <w:widowControl/>
                    <w:jc w:val="center"/>
                    <w:textAlignment w:val="center"/>
                    <w:rPr>
                      <w:color w:val="auto"/>
                      <w:sz w:val="18"/>
                      <w:szCs w:val="18"/>
                      <w:highlight w:val="none"/>
                    </w:rPr>
                  </w:pPr>
                  <w:r>
                    <w:rPr>
                      <w:color w:val="auto"/>
                      <w:kern w:val="0"/>
                      <w:sz w:val="18"/>
                      <w:szCs w:val="18"/>
                      <w:highlight w:val="none"/>
                      <w:lang w:bidi="ar"/>
                    </w:rPr>
                    <w:t>市中区要素重点管控单元</w:t>
                  </w:r>
                </w:p>
              </w:tc>
              <w:tc>
                <w:tcPr>
                  <w:tcW w:w="1172" w:type="dxa"/>
                  <w:vMerge w:val="restart"/>
                  <w:noWrap w:val="0"/>
                  <w:vAlign w:val="center"/>
                </w:tcPr>
                <w:p>
                  <w:pPr>
                    <w:widowControl/>
                    <w:jc w:val="center"/>
                    <w:textAlignment w:val="center"/>
                    <w:rPr>
                      <w:color w:val="auto"/>
                      <w:kern w:val="0"/>
                      <w:sz w:val="18"/>
                      <w:szCs w:val="18"/>
                      <w:highlight w:val="none"/>
                      <w:lang w:bidi="ar"/>
                    </w:rPr>
                  </w:pPr>
                  <w:r>
                    <w:rPr>
                      <w:color w:val="auto"/>
                      <w:kern w:val="0"/>
                      <w:sz w:val="18"/>
                      <w:szCs w:val="18"/>
                      <w:highlight w:val="none"/>
                      <w:lang w:bidi="ar"/>
                    </w:rPr>
                    <w:t>优先保护单元中，生态保护红线原则上按照禁止开发区域的要求进行管理，其中自然保护地核心保护区原则上禁止人为活动，其他区域严格禁止开发性、生产性建设活动，在符合现行法律法规前提下，除国家重大战略项目外，仅允许对生态功能不造成破坏的有限人为活动；—般生态空间按限制开发区域的要求进行管理，原则上不再新建各类开发区和扩大现有工业园区面积，已有的工业开发区要逐步改造成为低能耗、可循环、“零污染”的生态型工业区，鼓励发展“飞地经济”。</w:t>
                  </w:r>
                </w:p>
                <w:p>
                  <w:pPr>
                    <w:widowControl/>
                    <w:jc w:val="center"/>
                    <w:textAlignment w:val="center"/>
                    <w:rPr>
                      <w:color w:val="auto"/>
                      <w:sz w:val="18"/>
                      <w:szCs w:val="18"/>
                      <w:highlight w:val="none"/>
                    </w:rPr>
                  </w:pPr>
                  <w:r>
                    <w:rPr>
                      <w:color w:val="auto"/>
                      <w:kern w:val="0"/>
                      <w:sz w:val="18"/>
                      <w:szCs w:val="18"/>
                      <w:highlight w:val="none"/>
                      <w:lang w:bidi="ar"/>
                    </w:rPr>
                    <w:t>重点管控单元中，针对环境质量是否达标以及经济社会发展水平等因素，制定差别化的生态环境准入要求，对环境质量不达标区域，提出污染物削减比例要求，对环境质量达标区域，提出允许排放量建议指标。</w:t>
                  </w:r>
                </w:p>
                <w:p>
                  <w:pPr>
                    <w:widowControl/>
                    <w:jc w:val="center"/>
                    <w:textAlignment w:val="center"/>
                    <w:rPr>
                      <w:color w:val="auto"/>
                      <w:sz w:val="18"/>
                      <w:szCs w:val="18"/>
                      <w:highlight w:val="none"/>
                    </w:rPr>
                  </w:pPr>
                  <w:r>
                    <w:rPr>
                      <w:color w:val="auto"/>
                      <w:kern w:val="0"/>
                      <w:sz w:val="18"/>
                      <w:szCs w:val="18"/>
                      <w:highlight w:val="none"/>
                      <w:lang w:bidi="ar"/>
                    </w:rPr>
                    <w:t>一般管控单元中，执行区域生态环境保护的基本要求；对其中的永久基本农田实施永久特殊保护，不得擅自占用或者改变用途；对其中要素重点管控区提出水和大气污染重点管控要求。</w:t>
                  </w:r>
                </w:p>
              </w:tc>
              <w:tc>
                <w:tcPr>
                  <w:tcW w:w="923" w:type="dxa"/>
                  <w:vMerge w:val="restart"/>
                  <w:noWrap w:val="0"/>
                  <w:vAlign w:val="center"/>
                </w:tcPr>
                <w:p>
                  <w:pPr>
                    <w:widowControl/>
                    <w:jc w:val="center"/>
                    <w:textAlignment w:val="center"/>
                    <w:rPr>
                      <w:color w:val="auto"/>
                      <w:sz w:val="18"/>
                      <w:szCs w:val="18"/>
                      <w:highlight w:val="none"/>
                    </w:rPr>
                  </w:pPr>
                  <w:r>
                    <w:rPr>
                      <w:color w:val="auto"/>
                      <w:kern w:val="0"/>
                      <w:sz w:val="18"/>
                      <w:szCs w:val="18"/>
                      <w:highlight w:val="none"/>
                      <w:lang w:bidi="ar"/>
                    </w:rPr>
                    <w:t>针对突出生态环境问题，大力优化调整产业结构，实施最严格的环境准入要求。加快GDP贡献小、污染排放强度大的产业如建材、家具等产业替代升级，结构优化。对重点发展的电子信息、装备制造、先进材料、食品饮料、生物医药等产业提出最严格的环境准入门槛。岷沱江流域执行岷沱江污染物排放标准。优化涉危涉化产业布局，严控环境风险，保障人居安全。</w:t>
                  </w:r>
                </w:p>
              </w:tc>
              <w:tc>
                <w:tcPr>
                  <w:tcW w:w="1240" w:type="dxa"/>
                  <w:vMerge w:val="restart"/>
                  <w:noWrap w:val="0"/>
                  <w:vAlign w:val="center"/>
                </w:tcPr>
                <w:p>
                  <w:pPr>
                    <w:widowControl/>
                    <w:jc w:val="center"/>
                    <w:textAlignment w:val="top"/>
                    <w:rPr>
                      <w:color w:val="auto"/>
                      <w:sz w:val="18"/>
                      <w:szCs w:val="18"/>
                      <w:highlight w:val="none"/>
                    </w:rPr>
                  </w:pPr>
                  <w:r>
                    <w:rPr>
                      <w:color w:val="auto"/>
                      <w:kern w:val="0"/>
                      <w:sz w:val="18"/>
                      <w:szCs w:val="18"/>
                      <w:highlight w:val="none"/>
                      <w:lang w:bidi="ar"/>
                    </w:rPr>
                    <w:t>对化工、水泥、陶瓷、造纸、铁合金等重点产业提出严格资源环境绩效水平要求；岷江干流岸线1km范围不得新建、扩建化工园区和化工项目，现有存在违法违规行为的化工企业，整改后仍不能达到要求的依法关闭，鼓励企业搬入合规园区；对城区影响大的水泥、陶瓷等大气排放量大的企业执行更严格总量控制和深度治理要求；按照“一总部三基地”的产业布局要求，加快现有工业园区的优化整合。</w:t>
                  </w:r>
                </w:p>
              </w:tc>
              <w:tc>
                <w:tcPr>
                  <w:tcW w:w="346" w:type="dxa"/>
                  <w:noWrap w:val="0"/>
                  <w:vAlign w:val="center"/>
                </w:tcPr>
                <w:p>
                  <w:pPr>
                    <w:widowControl/>
                    <w:jc w:val="center"/>
                    <w:textAlignment w:val="center"/>
                    <w:rPr>
                      <w:color w:val="auto"/>
                      <w:sz w:val="18"/>
                      <w:szCs w:val="18"/>
                      <w:highlight w:val="none"/>
                    </w:rPr>
                  </w:pPr>
                  <w:r>
                    <w:rPr>
                      <w:color w:val="auto"/>
                      <w:kern w:val="0"/>
                      <w:sz w:val="18"/>
                      <w:szCs w:val="18"/>
                      <w:highlight w:val="none"/>
                      <w:lang w:bidi="ar"/>
                    </w:rPr>
                    <w:t>空间布局约束</w:t>
                  </w:r>
                </w:p>
              </w:tc>
              <w:tc>
                <w:tcPr>
                  <w:tcW w:w="1327" w:type="dxa"/>
                  <w:noWrap w:val="0"/>
                  <w:vAlign w:val="center"/>
                </w:tcPr>
                <w:p>
                  <w:pPr>
                    <w:widowControl/>
                    <w:jc w:val="center"/>
                    <w:textAlignment w:val="center"/>
                    <w:rPr>
                      <w:color w:val="auto"/>
                      <w:kern w:val="0"/>
                      <w:sz w:val="18"/>
                      <w:szCs w:val="18"/>
                      <w:highlight w:val="none"/>
                      <w:lang w:bidi="ar"/>
                    </w:rPr>
                  </w:pPr>
                  <w:r>
                    <w:rPr>
                      <w:color w:val="auto"/>
                      <w:kern w:val="0"/>
                      <w:sz w:val="18"/>
                      <w:szCs w:val="18"/>
                      <w:highlight w:val="none"/>
                      <w:lang w:bidi="ar"/>
                    </w:rPr>
                    <w:t>禁止开发建设活动的要求</w:t>
                  </w:r>
                </w:p>
                <w:p>
                  <w:pPr>
                    <w:widowControl/>
                    <w:jc w:val="center"/>
                    <w:textAlignment w:val="center"/>
                    <w:rPr>
                      <w:color w:val="auto"/>
                      <w:kern w:val="0"/>
                      <w:sz w:val="18"/>
                      <w:szCs w:val="18"/>
                      <w:highlight w:val="none"/>
                      <w:lang w:bidi="ar"/>
                    </w:rPr>
                  </w:pPr>
                  <w:r>
                    <w:rPr>
                      <w:color w:val="auto"/>
                      <w:kern w:val="0"/>
                      <w:sz w:val="18"/>
                      <w:szCs w:val="18"/>
                      <w:highlight w:val="none"/>
                      <w:lang w:bidi="ar"/>
                    </w:rPr>
                    <w:t>同乐山市总体准入要求-要素重点管控单元。</w:t>
                  </w:r>
                </w:p>
                <w:p>
                  <w:pPr>
                    <w:widowControl/>
                    <w:jc w:val="center"/>
                    <w:textAlignment w:val="center"/>
                    <w:rPr>
                      <w:color w:val="auto"/>
                      <w:sz w:val="18"/>
                      <w:szCs w:val="18"/>
                      <w:highlight w:val="none"/>
                    </w:rPr>
                  </w:pPr>
                  <w:r>
                    <w:rPr>
                      <w:color w:val="auto"/>
                      <w:kern w:val="0"/>
                      <w:sz w:val="18"/>
                      <w:szCs w:val="18"/>
                      <w:highlight w:val="none"/>
                      <w:lang w:bidi="ar"/>
                    </w:rPr>
                    <w:t>限制开发建设活动的要求</w:t>
                  </w:r>
                </w:p>
                <w:p>
                  <w:pPr>
                    <w:widowControl/>
                    <w:jc w:val="center"/>
                    <w:textAlignment w:val="center"/>
                    <w:rPr>
                      <w:color w:val="auto"/>
                      <w:kern w:val="0"/>
                      <w:sz w:val="18"/>
                      <w:szCs w:val="18"/>
                      <w:highlight w:val="none"/>
                      <w:lang w:bidi="ar"/>
                    </w:rPr>
                  </w:pPr>
                  <w:r>
                    <w:rPr>
                      <w:color w:val="auto"/>
                      <w:kern w:val="0"/>
                      <w:sz w:val="18"/>
                      <w:szCs w:val="18"/>
                      <w:highlight w:val="none"/>
                      <w:lang w:bidi="ar"/>
                    </w:rPr>
                    <w:t xml:space="preserve">水环境工业污染重点管控区、城镇污染重点管控区,严格项目引入政策,严控新建用排水量大的、以水污染为主的企业。&lt;br&gt;大气布局敏感重点管控区,严格项目引入政策,严控新建以大气污染为主的企业。 </w:t>
                  </w:r>
                  <w:r>
                    <w:rPr>
                      <w:rStyle w:val="165"/>
                      <w:color w:val="auto"/>
                      <w:sz w:val="18"/>
                      <w:szCs w:val="18"/>
                      <w:highlight w:val="none"/>
                      <w:lang w:bidi="ar"/>
                    </w:rPr>
                    <w:t xml:space="preserve">                                                                                                                                                                                                                                                               </w:t>
                  </w:r>
                  <w:r>
                    <w:rPr>
                      <w:color w:val="auto"/>
                      <w:kern w:val="0"/>
                      <w:sz w:val="18"/>
                      <w:szCs w:val="18"/>
                      <w:highlight w:val="none"/>
                      <w:lang w:bidi="ar"/>
                    </w:rPr>
                    <w:t>同乐山市总体准入要求-要素重点管控单元。</w:t>
                  </w:r>
                </w:p>
                <w:p>
                  <w:pPr>
                    <w:widowControl/>
                    <w:jc w:val="center"/>
                    <w:textAlignment w:val="center"/>
                    <w:rPr>
                      <w:color w:val="auto"/>
                      <w:sz w:val="18"/>
                      <w:szCs w:val="18"/>
                      <w:highlight w:val="none"/>
                    </w:rPr>
                  </w:pPr>
                  <w:r>
                    <w:rPr>
                      <w:color w:val="auto"/>
                      <w:kern w:val="0"/>
                      <w:sz w:val="18"/>
                      <w:szCs w:val="18"/>
                      <w:highlight w:val="none"/>
                      <w:lang w:bidi="ar"/>
                    </w:rPr>
                    <w:t>允许开发建设活动的要求</w:t>
                  </w:r>
                </w:p>
                <w:p>
                  <w:pPr>
                    <w:widowControl/>
                    <w:jc w:val="center"/>
                    <w:textAlignment w:val="center"/>
                    <w:rPr>
                      <w:color w:val="auto"/>
                      <w:sz w:val="18"/>
                      <w:szCs w:val="18"/>
                      <w:highlight w:val="none"/>
                    </w:rPr>
                  </w:pPr>
                  <w:r>
                    <w:rPr>
                      <w:color w:val="auto"/>
                      <w:kern w:val="0"/>
                      <w:sz w:val="18"/>
                      <w:szCs w:val="18"/>
                      <w:highlight w:val="none"/>
                      <w:lang w:bidi="ar"/>
                    </w:rPr>
                    <w:t>/</w:t>
                  </w:r>
                </w:p>
                <w:p>
                  <w:pPr>
                    <w:widowControl/>
                    <w:jc w:val="center"/>
                    <w:textAlignment w:val="center"/>
                    <w:rPr>
                      <w:color w:val="auto"/>
                      <w:sz w:val="18"/>
                      <w:szCs w:val="18"/>
                      <w:highlight w:val="none"/>
                    </w:rPr>
                  </w:pPr>
                  <w:r>
                    <w:rPr>
                      <w:color w:val="auto"/>
                      <w:kern w:val="0"/>
                      <w:sz w:val="18"/>
                      <w:szCs w:val="18"/>
                      <w:highlight w:val="none"/>
                      <w:lang w:bidi="ar"/>
                    </w:rPr>
                    <w:t>不符合空间布局要求活动的退出要求                                                                                                                                                                                                                同乐山市总体准入要求-要素重点管控单元。</w:t>
                  </w:r>
                </w:p>
                <w:p>
                  <w:pPr>
                    <w:widowControl/>
                    <w:jc w:val="center"/>
                    <w:textAlignment w:val="center"/>
                    <w:rPr>
                      <w:color w:val="auto"/>
                      <w:sz w:val="18"/>
                      <w:szCs w:val="18"/>
                      <w:highlight w:val="none"/>
                    </w:rPr>
                  </w:pPr>
                  <w:r>
                    <w:rPr>
                      <w:color w:val="auto"/>
                      <w:kern w:val="0"/>
                      <w:sz w:val="18"/>
                      <w:szCs w:val="18"/>
                      <w:highlight w:val="none"/>
                      <w:lang w:bidi="ar"/>
                    </w:rPr>
                    <w:t>其他空间布局约束要求</w:t>
                  </w:r>
                </w:p>
                <w:p>
                  <w:pPr>
                    <w:widowControl/>
                    <w:jc w:val="center"/>
                    <w:textAlignment w:val="center"/>
                    <w:rPr>
                      <w:color w:val="auto"/>
                      <w:sz w:val="18"/>
                      <w:szCs w:val="18"/>
                      <w:highlight w:val="none"/>
                    </w:rPr>
                  </w:pPr>
                  <w:r>
                    <w:rPr>
                      <w:color w:val="auto"/>
                      <w:kern w:val="0"/>
                      <w:sz w:val="18"/>
                      <w:szCs w:val="18"/>
                      <w:highlight w:val="none"/>
                      <w:lang w:bidi="ar"/>
                    </w:rPr>
                    <w:t>/</w:t>
                  </w:r>
                </w:p>
              </w:tc>
              <w:tc>
                <w:tcPr>
                  <w:tcW w:w="716" w:type="dxa"/>
                  <w:noWrap/>
                  <w:vAlign w:val="center"/>
                </w:tcPr>
                <w:p>
                  <w:pPr>
                    <w:jc w:val="center"/>
                    <w:rPr>
                      <w:color w:val="auto"/>
                      <w:sz w:val="18"/>
                      <w:szCs w:val="18"/>
                      <w:highlight w:val="none"/>
                    </w:rPr>
                  </w:pPr>
                  <w:r>
                    <w:rPr>
                      <w:color w:val="auto"/>
                      <w:sz w:val="18"/>
                      <w:szCs w:val="18"/>
                      <w:highlight w:val="none"/>
                    </w:rPr>
                    <w:t>本项目属于其他非金属矿物制品业C3099，不属于化工、水泥、陶瓷、造纸、铁合金等重点产业；项目用水量水耗小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93" w:type="dxa"/>
                  <w:vMerge w:val="continue"/>
                  <w:noWrap w:val="0"/>
                  <w:vAlign w:val="center"/>
                </w:tcPr>
                <w:p>
                  <w:pPr>
                    <w:jc w:val="center"/>
                    <w:rPr>
                      <w:color w:val="auto"/>
                      <w:sz w:val="18"/>
                      <w:szCs w:val="18"/>
                      <w:highlight w:val="none"/>
                    </w:rPr>
                  </w:pPr>
                </w:p>
              </w:tc>
              <w:tc>
                <w:tcPr>
                  <w:tcW w:w="611" w:type="dxa"/>
                  <w:vMerge w:val="continue"/>
                  <w:noWrap w:val="0"/>
                  <w:vAlign w:val="center"/>
                </w:tcPr>
                <w:p>
                  <w:pPr>
                    <w:jc w:val="center"/>
                    <w:rPr>
                      <w:color w:val="auto"/>
                      <w:sz w:val="18"/>
                      <w:szCs w:val="18"/>
                      <w:highlight w:val="none"/>
                    </w:rPr>
                  </w:pPr>
                </w:p>
              </w:tc>
              <w:tc>
                <w:tcPr>
                  <w:tcW w:w="1172" w:type="dxa"/>
                  <w:vMerge w:val="continue"/>
                  <w:noWrap/>
                  <w:vAlign w:val="center"/>
                </w:tcPr>
                <w:p>
                  <w:pPr>
                    <w:jc w:val="center"/>
                    <w:rPr>
                      <w:color w:val="auto"/>
                      <w:sz w:val="18"/>
                      <w:szCs w:val="18"/>
                      <w:highlight w:val="none"/>
                    </w:rPr>
                  </w:pPr>
                </w:p>
              </w:tc>
              <w:tc>
                <w:tcPr>
                  <w:tcW w:w="923" w:type="dxa"/>
                  <w:vMerge w:val="continue"/>
                  <w:noWrap w:val="0"/>
                  <w:vAlign w:val="center"/>
                </w:tcPr>
                <w:p>
                  <w:pPr>
                    <w:jc w:val="center"/>
                    <w:rPr>
                      <w:color w:val="auto"/>
                      <w:sz w:val="18"/>
                      <w:szCs w:val="18"/>
                      <w:highlight w:val="none"/>
                    </w:rPr>
                  </w:pPr>
                </w:p>
              </w:tc>
              <w:tc>
                <w:tcPr>
                  <w:tcW w:w="1240" w:type="dxa"/>
                  <w:vMerge w:val="continue"/>
                  <w:noWrap w:val="0"/>
                  <w:vAlign w:val="center"/>
                </w:tcPr>
                <w:p>
                  <w:pPr>
                    <w:jc w:val="center"/>
                    <w:rPr>
                      <w:color w:val="auto"/>
                      <w:sz w:val="18"/>
                      <w:szCs w:val="18"/>
                      <w:highlight w:val="none"/>
                    </w:rPr>
                  </w:pPr>
                </w:p>
              </w:tc>
              <w:tc>
                <w:tcPr>
                  <w:tcW w:w="346" w:type="dxa"/>
                  <w:noWrap w:val="0"/>
                  <w:vAlign w:val="center"/>
                </w:tcPr>
                <w:p>
                  <w:pPr>
                    <w:widowControl/>
                    <w:jc w:val="center"/>
                    <w:textAlignment w:val="center"/>
                    <w:rPr>
                      <w:color w:val="auto"/>
                      <w:sz w:val="18"/>
                      <w:szCs w:val="18"/>
                      <w:highlight w:val="none"/>
                    </w:rPr>
                  </w:pPr>
                  <w:r>
                    <w:rPr>
                      <w:color w:val="auto"/>
                      <w:kern w:val="0"/>
                      <w:sz w:val="18"/>
                      <w:szCs w:val="18"/>
                      <w:highlight w:val="none"/>
                      <w:lang w:bidi="ar"/>
                    </w:rPr>
                    <w:t>污染物排放管控</w:t>
                  </w:r>
                </w:p>
              </w:tc>
              <w:tc>
                <w:tcPr>
                  <w:tcW w:w="1327" w:type="dxa"/>
                  <w:noWrap w:val="0"/>
                  <w:vAlign w:val="center"/>
                </w:tcPr>
                <w:p>
                  <w:pPr>
                    <w:widowControl/>
                    <w:jc w:val="center"/>
                    <w:textAlignment w:val="center"/>
                    <w:rPr>
                      <w:color w:val="auto"/>
                      <w:kern w:val="0"/>
                      <w:sz w:val="18"/>
                      <w:szCs w:val="18"/>
                      <w:highlight w:val="none"/>
                      <w:lang w:bidi="ar"/>
                    </w:rPr>
                  </w:pPr>
                  <w:r>
                    <w:rPr>
                      <w:color w:val="auto"/>
                      <w:kern w:val="0"/>
                      <w:sz w:val="18"/>
                      <w:szCs w:val="18"/>
                      <w:highlight w:val="none"/>
                      <w:lang w:bidi="ar"/>
                    </w:rPr>
                    <w:t>现有源提标升级改造</w:t>
                  </w:r>
                </w:p>
                <w:p>
                  <w:pPr>
                    <w:widowControl/>
                    <w:jc w:val="center"/>
                    <w:textAlignment w:val="center"/>
                    <w:rPr>
                      <w:color w:val="auto"/>
                      <w:sz w:val="18"/>
                      <w:szCs w:val="18"/>
                      <w:highlight w:val="none"/>
                    </w:rPr>
                  </w:pPr>
                  <w:r>
                    <w:rPr>
                      <w:color w:val="auto"/>
                      <w:kern w:val="0"/>
                      <w:sz w:val="18"/>
                      <w:szCs w:val="18"/>
                      <w:highlight w:val="none"/>
                      <w:lang w:bidi="ar"/>
                    </w:rPr>
                    <w:t>水环境工业污染重点管控区、农业污染重点管控区内,现有白酒、造纸等水污染重点企业,限期进行深度治理,满足《白酒产业差别化环境准入指标体系研究》、《竹浆造纸产业差别化环境准入指标体系研究》中提出的水环境超标区域约束性指标,或关停并转。</w:t>
                  </w:r>
                </w:p>
                <w:p>
                  <w:pPr>
                    <w:widowControl/>
                    <w:jc w:val="center"/>
                    <w:textAlignment w:val="center"/>
                    <w:rPr>
                      <w:color w:val="auto"/>
                      <w:sz w:val="18"/>
                      <w:szCs w:val="18"/>
                      <w:highlight w:val="none"/>
                    </w:rPr>
                  </w:pPr>
                  <w:r>
                    <w:rPr>
                      <w:color w:val="auto"/>
                      <w:kern w:val="0"/>
                      <w:sz w:val="18"/>
                      <w:szCs w:val="18"/>
                      <w:highlight w:val="none"/>
                      <w:lang w:bidi="ar"/>
                    </w:rPr>
                    <w:t>同乐山市总体准入要求-要素重点管控单元。</w:t>
                  </w:r>
                </w:p>
                <w:p>
                  <w:pPr>
                    <w:widowControl/>
                    <w:jc w:val="center"/>
                    <w:textAlignment w:val="center"/>
                    <w:rPr>
                      <w:color w:val="auto"/>
                      <w:sz w:val="18"/>
                      <w:szCs w:val="18"/>
                      <w:highlight w:val="none"/>
                    </w:rPr>
                  </w:pPr>
                  <w:r>
                    <w:rPr>
                      <w:color w:val="auto"/>
                      <w:kern w:val="0"/>
                      <w:sz w:val="18"/>
                      <w:szCs w:val="18"/>
                      <w:highlight w:val="none"/>
                      <w:lang w:bidi="ar"/>
                    </w:rPr>
                    <w:t>新增源等量或倍量替代</w:t>
                  </w:r>
                </w:p>
                <w:p>
                  <w:pPr>
                    <w:widowControl/>
                    <w:jc w:val="center"/>
                    <w:textAlignment w:val="center"/>
                    <w:rPr>
                      <w:color w:val="auto"/>
                      <w:sz w:val="18"/>
                      <w:szCs w:val="18"/>
                      <w:highlight w:val="none"/>
                    </w:rPr>
                  </w:pPr>
                  <w:r>
                    <w:rPr>
                      <w:color w:val="auto"/>
                      <w:kern w:val="0"/>
                      <w:sz w:val="18"/>
                      <w:szCs w:val="18"/>
                      <w:highlight w:val="none"/>
                      <w:lang w:bidi="ar"/>
                    </w:rPr>
                    <w:t>同乐山市总体准入要求-要素重点管控单元。</w:t>
                  </w:r>
                </w:p>
                <w:p>
                  <w:pPr>
                    <w:widowControl/>
                    <w:jc w:val="center"/>
                    <w:textAlignment w:val="center"/>
                    <w:rPr>
                      <w:color w:val="auto"/>
                      <w:sz w:val="18"/>
                      <w:szCs w:val="18"/>
                      <w:highlight w:val="none"/>
                    </w:rPr>
                  </w:pPr>
                  <w:r>
                    <w:rPr>
                      <w:color w:val="auto"/>
                      <w:kern w:val="0"/>
                      <w:sz w:val="18"/>
                      <w:szCs w:val="18"/>
                      <w:highlight w:val="none"/>
                      <w:lang w:bidi="ar"/>
                    </w:rPr>
                    <w:t>新增源排放标准限值</w:t>
                  </w:r>
                </w:p>
                <w:p>
                  <w:pPr>
                    <w:widowControl/>
                    <w:jc w:val="center"/>
                    <w:textAlignment w:val="center"/>
                    <w:rPr>
                      <w:color w:val="auto"/>
                      <w:sz w:val="18"/>
                      <w:szCs w:val="18"/>
                      <w:highlight w:val="none"/>
                    </w:rPr>
                  </w:pPr>
                  <w:r>
                    <w:rPr>
                      <w:color w:val="auto"/>
                      <w:kern w:val="0"/>
                      <w:sz w:val="18"/>
                      <w:szCs w:val="18"/>
                      <w:highlight w:val="none"/>
                      <w:lang w:bidi="ar"/>
                    </w:rPr>
                    <w:t>污染物排放绩效水平准入要求</w:t>
                  </w:r>
                </w:p>
                <w:p>
                  <w:pPr>
                    <w:widowControl/>
                    <w:jc w:val="center"/>
                    <w:textAlignment w:val="center"/>
                    <w:rPr>
                      <w:color w:val="auto"/>
                      <w:sz w:val="18"/>
                      <w:szCs w:val="18"/>
                      <w:highlight w:val="none"/>
                    </w:rPr>
                  </w:pPr>
                  <w:r>
                    <w:rPr>
                      <w:color w:val="auto"/>
                      <w:kern w:val="0"/>
                      <w:sz w:val="18"/>
                      <w:szCs w:val="18"/>
                      <w:highlight w:val="none"/>
                      <w:lang w:bidi="ar"/>
                    </w:rPr>
                    <w:t>同乐山市总体准入要求-要素重点管控单元。</w:t>
                  </w:r>
                </w:p>
                <w:p>
                  <w:pPr>
                    <w:widowControl/>
                    <w:jc w:val="center"/>
                    <w:textAlignment w:val="center"/>
                    <w:rPr>
                      <w:color w:val="auto"/>
                      <w:sz w:val="18"/>
                      <w:szCs w:val="18"/>
                      <w:highlight w:val="none"/>
                    </w:rPr>
                  </w:pPr>
                  <w:r>
                    <w:rPr>
                      <w:color w:val="auto"/>
                      <w:kern w:val="0"/>
                      <w:sz w:val="18"/>
                      <w:szCs w:val="18"/>
                      <w:highlight w:val="none"/>
                      <w:lang w:bidi="ar"/>
                    </w:rPr>
                    <w:t>其他污染物排放管控要求</w:t>
                  </w:r>
                </w:p>
                <w:p>
                  <w:pPr>
                    <w:widowControl/>
                    <w:jc w:val="center"/>
                    <w:textAlignment w:val="center"/>
                    <w:rPr>
                      <w:color w:val="auto"/>
                      <w:sz w:val="18"/>
                      <w:szCs w:val="18"/>
                      <w:highlight w:val="none"/>
                    </w:rPr>
                  </w:pPr>
                  <w:r>
                    <w:rPr>
                      <w:color w:val="auto"/>
                      <w:kern w:val="0"/>
                      <w:sz w:val="18"/>
                      <w:szCs w:val="18"/>
                      <w:highlight w:val="none"/>
                      <w:lang w:bidi="ar"/>
                    </w:rPr>
                    <w:t>/</w:t>
                  </w:r>
                </w:p>
              </w:tc>
              <w:tc>
                <w:tcPr>
                  <w:tcW w:w="716" w:type="dxa"/>
                  <w:noWrap/>
                  <w:vAlign w:val="center"/>
                </w:tcPr>
                <w:p>
                  <w:pPr>
                    <w:jc w:val="center"/>
                    <w:rPr>
                      <w:color w:val="auto"/>
                      <w:sz w:val="18"/>
                      <w:szCs w:val="18"/>
                      <w:highlight w:val="none"/>
                    </w:rPr>
                  </w:pPr>
                  <w:r>
                    <w:rPr>
                      <w:color w:val="auto"/>
                      <w:kern w:val="0"/>
                      <w:sz w:val="18"/>
                      <w:szCs w:val="18"/>
                      <w:highlight w:val="none"/>
                      <w:lang w:bidi="ar"/>
                    </w:rPr>
                    <w:t>本项目本次改建后环保设施升级，污染物排放量减少，符合污染物排放管控要求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93" w:type="dxa"/>
                  <w:vMerge w:val="continue"/>
                  <w:noWrap w:val="0"/>
                  <w:vAlign w:val="center"/>
                </w:tcPr>
                <w:p>
                  <w:pPr>
                    <w:jc w:val="center"/>
                    <w:rPr>
                      <w:color w:val="auto"/>
                      <w:sz w:val="18"/>
                      <w:szCs w:val="18"/>
                      <w:highlight w:val="none"/>
                    </w:rPr>
                  </w:pPr>
                </w:p>
              </w:tc>
              <w:tc>
                <w:tcPr>
                  <w:tcW w:w="611" w:type="dxa"/>
                  <w:vMerge w:val="continue"/>
                  <w:noWrap w:val="0"/>
                  <w:vAlign w:val="center"/>
                </w:tcPr>
                <w:p>
                  <w:pPr>
                    <w:jc w:val="center"/>
                    <w:rPr>
                      <w:color w:val="auto"/>
                      <w:sz w:val="18"/>
                      <w:szCs w:val="18"/>
                      <w:highlight w:val="none"/>
                    </w:rPr>
                  </w:pPr>
                </w:p>
              </w:tc>
              <w:tc>
                <w:tcPr>
                  <w:tcW w:w="1172" w:type="dxa"/>
                  <w:vMerge w:val="continue"/>
                  <w:noWrap/>
                  <w:vAlign w:val="center"/>
                </w:tcPr>
                <w:p>
                  <w:pPr>
                    <w:jc w:val="center"/>
                    <w:rPr>
                      <w:color w:val="auto"/>
                      <w:sz w:val="18"/>
                      <w:szCs w:val="18"/>
                      <w:highlight w:val="none"/>
                    </w:rPr>
                  </w:pPr>
                </w:p>
              </w:tc>
              <w:tc>
                <w:tcPr>
                  <w:tcW w:w="923" w:type="dxa"/>
                  <w:vMerge w:val="continue"/>
                  <w:noWrap w:val="0"/>
                  <w:vAlign w:val="center"/>
                </w:tcPr>
                <w:p>
                  <w:pPr>
                    <w:jc w:val="center"/>
                    <w:rPr>
                      <w:color w:val="auto"/>
                      <w:sz w:val="18"/>
                      <w:szCs w:val="18"/>
                      <w:highlight w:val="none"/>
                    </w:rPr>
                  </w:pPr>
                </w:p>
              </w:tc>
              <w:tc>
                <w:tcPr>
                  <w:tcW w:w="1240" w:type="dxa"/>
                  <w:vMerge w:val="continue"/>
                  <w:noWrap w:val="0"/>
                  <w:vAlign w:val="center"/>
                </w:tcPr>
                <w:p>
                  <w:pPr>
                    <w:jc w:val="center"/>
                    <w:rPr>
                      <w:color w:val="auto"/>
                      <w:sz w:val="18"/>
                      <w:szCs w:val="18"/>
                      <w:highlight w:val="none"/>
                    </w:rPr>
                  </w:pPr>
                </w:p>
              </w:tc>
              <w:tc>
                <w:tcPr>
                  <w:tcW w:w="346" w:type="dxa"/>
                  <w:noWrap w:val="0"/>
                  <w:vAlign w:val="center"/>
                </w:tcPr>
                <w:p>
                  <w:pPr>
                    <w:widowControl/>
                    <w:jc w:val="center"/>
                    <w:textAlignment w:val="center"/>
                    <w:rPr>
                      <w:color w:val="auto"/>
                      <w:sz w:val="18"/>
                      <w:szCs w:val="18"/>
                      <w:highlight w:val="none"/>
                    </w:rPr>
                  </w:pPr>
                  <w:r>
                    <w:rPr>
                      <w:color w:val="auto"/>
                      <w:kern w:val="0"/>
                      <w:sz w:val="18"/>
                      <w:szCs w:val="18"/>
                      <w:highlight w:val="none"/>
                      <w:lang w:bidi="ar"/>
                    </w:rPr>
                    <w:t>环境风险防控</w:t>
                  </w:r>
                </w:p>
              </w:tc>
              <w:tc>
                <w:tcPr>
                  <w:tcW w:w="1327" w:type="dxa"/>
                  <w:noWrap w:val="0"/>
                  <w:vAlign w:val="center"/>
                </w:tcPr>
                <w:p>
                  <w:pPr>
                    <w:widowControl/>
                    <w:jc w:val="center"/>
                    <w:textAlignment w:val="center"/>
                    <w:rPr>
                      <w:color w:val="auto"/>
                      <w:kern w:val="0"/>
                      <w:sz w:val="18"/>
                      <w:szCs w:val="18"/>
                      <w:highlight w:val="none"/>
                      <w:lang w:bidi="ar"/>
                    </w:rPr>
                  </w:pPr>
                  <w:r>
                    <w:rPr>
                      <w:color w:val="auto"/>
                      <w:kern w:val="0"/>
                      <w:sz w:val="18"/>
                      <w:szCs w:val="18"/>
                      <w:highlight w:val="none"/>
                      <w:lang w:bidi="ar"/>
                    </w:rPr>
                    <w:t>严格管控类农用地管控要求</w:t>
                  </w:r>
                </w:p>
                <w:p>
                  <w:pPr>
                    <w:widowControl/>
                    <w:jc w:val="center"/>
                    <w:textAlignment w:val="center"/>
                    <w:rPr>
                      <w:color w:val="auto"/>
                      <w:sz w:val="18"/>
                      <w:szCs w:val="18"/>
                      <w:highlight w:val="none"/>
                    </w:rPr>
                  </w:pPr>
                  <w:r>
                    <w:rPr>
                      <w:color w:val="auto"/>
                      <w:kern w:val="0"/>
                      <w:sz w:val="18"/>
                      <w:szCs w:val="18"/>
                      <w:highlight w:val="none"/>
                      <w:lang w:bidi="ar"/>
                    </w:rPr>
                    <w:t>/</w:t>
                  </w:r>
                </w:p>
                <w:p>
                  <w:pPr>
                    <w:widowControl/>
                    <w:jc w:val="center"/>
                    <w:textAlignment w:val="center"/>
                    <w:rPr>
                      <w:color w:val="auto"/>
                      <w:sz w:val="18"/>
                      <w:szCs w:val="18"/>
                      <w:highlight w:val="none"/>
                    </w:rPr>
                  </w:pPr>
                  <w:r>
                    <w:rPr>
                      <w:color w:val="auto"/>
                      <w:kern w:val="0"/>
                      <w:sz w:val="18"/>
                      <w:szCs w:val="18"/>
                      <w:highlight w:val="none"/>
                      <w:lang w:bidi="ar"/>
                    </w:rPr>
                    <w:t>安全利用类农用地管控要求</w:t>
                  </w:r>
                </w:p>
                <w:p>
                  <w:pPr>
                    <w:widowControl/>
                    <w:jc w:val="center"/>
                    <w:textAlignment w:val="center"/>
                    <w:rPr>
                      <w:color w:val="auto"/>
                      <w:sz w:val="18"/>
                      <w:szCs w:val="18"/>
                      <w:highlight w:val="none"/>
                    </w:rPr>
                  </w:pPr>
                  <w:r>
                    <w:rPr>
                      <w:color w:val="auto"/>
                      <w:kern w:val="0"/>
                      <w:sz w:val="18"/>
                      <w:szCs w:val="18"/>
                      <w:highlight w:val="none"/>
                      <w:lang w:bidi="ar"/>
                    </w:rPr>
                    <w:t>/</w:t>
                  </w:r>
                </w:p>
                <w:p>
                  <w:pPr>
                    <w:widowControl/>
                    <w:jc w:val="center"/>
                    <w:textAlignment w:val="center"/>
                    <w:rPr>
                      <w:color w:val="auto"/>
                      <w:sz w:val="18"/>
                      <w:szCs w:val="18"/>
                      <w:highlight w:val="none"/>
                    </w:rPr>
                  </w:pPr>
                  <w:r>
                    <w:rPr>
                      <w:color w:val="auto"/>
                      <w:kern w:val="0"/>
                      <w:sz w:val="18"/>
                      <w:szCs w:val="18"/>
                      <w:highlight w:val="none"/>
                      <w:lang w:bidi="ar"/>
                    </w:rPr>
                    <w:t>污染地块管控要求</w:t>
                  </w:r>
                </w:p>
                <w:p>
                  <w:pPr>
                    <w:widowControl/>
                    <w:jc w:val="center"/>
                    <w:textAlignment w:val="center"/>
                    <w:rPr>
                      <w:color w:val="auto"/>
                      <w:sz w:val="18"/>
                      <w:szCs w:val="18"/>
                      <w:highlight w:val="none"/>
                    </w:rPr>
                  </w:pPr>
                  <w:r>
                    <w:rPr>
                      <w:color w:val="auto"/>
                      <w:kern w:val="0"/>
                      <w:sz w:val="18"/>
                      <w:szCs w:val="18"/>
                      <w:highlight w:val="none"/>
                      <w:lang w:bidi="ar"/>
                    </w:rPr>
                    <w:t>同乐山市总体准入要求-要素重点管控单元。</w:t>
                  </w:r>
                </w:p>
                <w:p>
                  <w:pPr>
                    <w:widowControl/>
                    <w:jc w:val="center"/>
                    <w:textAlignment w:val="center"/>
                    <w:rPr>
                      <w:color w:val="auto"/>
                      <w:sz w:val="18"/>
                      <w:szCs w:val="18"/>
                      <w:highlight w:val="none"/>
                    </w:rPr>
                  </w:pPr>
                  <w:r>
                    <w:rPr>
                      <w:color w:val="auto"/>
                      <w:kern w:val="0"/>
                      <w:sz w:val="18"/>
                      <w:szCs w:val="18"/>
                      <w:highlight w:val="none"/>
                      <w:lang w:bidi="ar"/>
                    </w:rPr>
                    <w:t>园区环境风险防控要求</w:t>
                  </w:r>
                </w:p>
                <w:p>
                  <w:pPr>
                    <w:widowControl/>
                    <w:jc w:val="center"/>
                    <w:textAlignment w:val="center"/>
                    <w:rPr>
                      <w:color w:val="auto"/>
                      <w:sz w:val="18"/>
                      <w:szCs w:val="18"/>
                      <w:highlight w:val="none"/>
                    </w:rPr>
                  </w:pPr>
                  <w:r>
                    <w:rPr>
                      <w:color w:val="auto"/>
                      <w:kern w:val="0"/>
                      <w:sz w:val="18"/>
                      <w:szCs w:val="18"/>
                      <w:highlight w:val="none"/>
                      <w:lang w:bidi="ar"/>
                    </w:rPr>
                    <w:t>/</w:t>
                  </w:r>
                </w:p>
                <w:p>
                  <w:pPr>
                    <w:widowControl/>
                    <w:jc w:val="center"/>
                    <w:textAlignment w:val="center"/>
                    <w:rPr>
                      <w:color w:val="auto"/>
                      <w:sz w:val="18"/>
                      <w:szCs w:val="18"/>
                      <w:highlight w:val="none"/>
                    </w:rPr>
                  </w:pPr>
                  <w:r>
                    <w:rPr>
                      <w:color w:val="auto"/>
                      <w:kern w:val="0"/>
                      <w:sz w:val="18"/>
                      <w:szCs w:val="18"/>
                      <w:highlight w:val="none"/>
                      <w:lang w:bidi="ar"/>
                    </w:rPr>
                    <w:t>企业环境风险防控要求</w:t>
                  </w:r>
                </w:p>
                <w:p>
                  <w:pPr>
                    <w:widowControl/>
                    <w:jc w:val="center"/>
                    <w:textAlignment w:val="center"/>
                    <w:rPr>
                      <w:color w:val="auto"/>
                      <w:sz w:val="18"/>
                      <w:szCs w:val="18"/>
                      <w:highlight w:val="none"/>
                    </w:rPr>
                  </w:pPr>
                  <w:r>
                    <w:rPr>
                      <w:color w:val="auto"/>
                      <w:kern w:val="0"/>
                      <w:sz w:val="18"/>
                      <w:szCs w:val="18"/>
                      <w:highlight w:val="none"/>
                      <w:lang w:bidi="ar"/>
                    </w:rPr>
                    <w:t>同乐山市总体准入要求-要素重点管控单元。</w:t>
                  </w:r>
                </w:p>
                <w:p>
                  <w:pPr>
                    <w:widowControl/>
                    <w:jc w:val="center"/>
                    <w:textAlignment w:val="center"/>
                    <w:rPr>
                      <w:color w:val="auto"/>
                      <w:sz w:val="18"/>
                      <w:szCs w:val="18"/>
                      <w:highlight w:val="none"/>
                    </w:rPr>
                  </w:pPr>
                  <w:r>
                    <w:rPr>
                      <w:color w:val="auto"/>
                      <w:kern w:val="0"/>
                      <w:sz w:val="18"/>
                      <w:szCs w:val="18"/>
                      <w:highlight w:val="none"/>
                      <w:lang w:bidi="ar"/>
                    </w:rPr>
                    <w:t>其他环境风险防控要求</w:t>
                  </w:r>
                </w:p>
                <w:p>
                  <w:pPr>
                    <w:widowControl/>
                    <w:jc w:val="center"/>
                    <w:textAlignment w:val="center"/>
                    <w:rPr>
                      <w:color w:val="auto"/>
                      <w:sz w:val="18"/>
                      <w:szCs w:val="18"/>
                      <w:highlight w:val="none"/>
                    </w:rPr>
                  </w:pPr>
                  <w:r>
                    <w:rPr>
                      <w:color w:val="auto"/>
                      <w:kern w:val="0"/>
                      <w:sz w:val="18"/>
                      <w:szCs w:val="18"/>
                      <w:highlight w:val="none"/>
                      <w:lang w:bidi="ar"/>
                    </w:rPr>
                    <w:t>/</w:t>
                  </w:r>
                </w:p>
              </w:tc>
              <w:tc>
                <w:tcPr>
                  <w:tcW w:w="716" w:type="dxa"/>
                  <w:noWrap/>
                  <w:vAlign w:val="center"/>
                </w:tcPr>
                <w:p>
                  <w:pPr>
                    <w:jc w:val="center"/>
                    <w:rPr>
                      <w:color w:val="auto"/>
                      <w:sz w:val="18"/>
                      <w:szCs w:val="18"/>
                      <w:highlight w:val="none"/>
                    </w:rPr>
                  </w:pPr>
                  <w:r>
                    <w:rPr>
                      <w:color w:val="auto"/>
                      <w:sz w:val="18"/>
                      <w:szCs w:val="18"/>
                      <w:highlight w:val="none"/>
                    </w:rPr>
                    <w:t>项目用地属于工业用地，用地要求将严格按照相关管控要求执行</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93" w:type="dxa"/>
                  <w:vMerge w:val="continue"/>
                  <w:noWrap w:val="0"/>
                  <w:vAlign w:val="center"/>
                </w:tcPr>
                <w:p>
                  <w:pPr>
                    <w:jc w:val="center"/>
                    <w:rPr>
                      <w:color w:val="auto"/>
                      <w:sz w:val="18"/>
                      <w:szCs w:val="18"/>
                      <w:highlight w:val="none"/>
                    </w:rPr>
                  </w:pPr>
                </w:p>
              </w:tc>
              <w:tc>
                <w:tcPr>
                  <w:tcW w:w="611" w:type="dxa"/>
                  <w:vMerge w:val="continue"/>
                  <w:noWrap w:val="0"/>
                  <w:vAlign w:val="center"/>
                </w:tcPr>
                <w:p>
                  <w:pPr>
                    <w:jc w:val="center"/>
                    <w:rPr>
                      <w:color w:val="auto"/>
                      <w:sz w:val="18"/>
                      <w:szCs w:val="18"/>
                      <w:highlight w:val="none"/>
                    </w:rPr>
                  </w:pPr>
                </w:p>
              </w:tc>
              <w:tc>
                <w:tcPr>
                  <w:tcW w:w="1172" w:type="dxa"/>
                  <w:vMerge w:val="continue"/>
                  <w:noWrap/>
                  <w:vAlign w:val="center"/>
                </w:tcPr>
                <w:p>
                  <w:pPr>
                    <w:jc w:val="center"/>
                    <w:rPr>
                      <w:color w:val="auto"/>
                      <w:sz w:val="18"/>
                      <w:szCs w:val="18"/>
                      <w:highlight w:val="none"/>
                    </w:rPr>
                  </w:pPr>
                </w:p>
              </w:tc>
              <w:tc>
                <w:tcPr>
                  <w:tcW w:w="923" w:type="dxa"/>
                  <w:vMerge w:val="continue"/>
                  <w:noWrap w:val="0"/>
                  <w:vAlign w:val="center"/>
                </w:tcPr>
                <w:p>
                  <w:pPr>
                    <w:jc w:val="center"/>
                    <w:rPr>
                      <w:color w:val="auto"/>
                      <w:sz w:val="18"/>
                      <w:szCs w:val="18"/>
                      <w:highlight w:val="none"/>
                    </w:rPr>
                  </w:pPr>
                </w:p>
              </w:tc>
              <w:tc>
                <w:tcPr>
                  <w:tcW w:w="1240" w:type="dxa"/>
                  <w:vMerge w:val="continue"/>
                  <w:noWrap w:val="0"/>
                  <w:vAlign w:val="center"/>
                </w:tcPr>
                <w:p>
                  <w:pPr>
                    <w:jc w:val="center"/>
                    <w:rPr>
                      <w:color w:val="auto"/>
                      <w:sz w:val="18"/>
                      <w:szCs w:val="18"/>
                      <w:highlight w:val="none"/>
                    </w:rPr>
                  </w:pPr>
                </w:p>
              </w:tc>
              <w:tc>
                <w:tcPr>
                  <w:tcW w:w="346" w:type="dxa"/>
                  <w:noWrap w:val="0"/>
                  <w:vAlign w:val="center"/>
                </w:tcPr>
                <w:p>
                  <w:pPr>
                    <w:widowControl/>
                    <w:jc w:val="center"/>
                    <w:textAlignment w:val="center"/>
                    <w:rPr>
                      <w:color w:val="auto"/>
                      <w:sz w:val="18"/>
                      <w:szCs w:val="18"/>
                      <w:highlight w:val="none"/>
                    </w:rPr>
                  </w:pPr>
                  <w:r>
                    <w:rPr>
                      <w:color w:val="auto"/>
                      <w:kern w:val="0"/>
                      <w:sz w:val="18"/>
                      <w:szCs w:val="18"/>
                      <w:highlight w:val="none"/>
                      <w:lang w:bidi="ar"/>
                    </w:rPr>
                    <w:t>资源开发效率要求</w:t>
                  </w:r>
                </w:p>
              </w:tc>
              <w:tc>
                <w:tcPr>
                  <w:tcW w:w="1327" w:type="dxa"/>
                  <w:noWrap w:val="0"/>
                  <w:vAlign w:val="center"/>
                </w:tcPr>
                <w:p>
                  <w:pPr>
                    <w:widowControl/>
                    <w:jc w:val="center"/>
                    <w:textAlignment w:val="center"/>
                    <w:rPr>
                      <w:color w:val="auto"/>
                      <w:kern w:val="0"/>
                      <w:sz w:val="18"/>
                      <w:szCs w:val="18"/>
                      <w:highlight w:val="none"/>
                      <w:lang w:bidi="ar"/>
                    </w:rPr>
                  </w:pPr>
                  <w:r>
                    <w:rPr>
                      <w:color w:val="auto"/>
                      <w:kern w:val="0"/>
                      <w:sz w:val="18"/>
                      <w:szCs w:val="18"/>
                      <w:highlight w:val="none"/>
                      <w:lang w:bidi="ar"/>
                    </w:rPr>
                    <w:t>水资源利用效率要求</w:t>
                  </w:r>
                </w:p>
                <w:p>
                  <w:pPr>
                    <w:widowControl/>
                    <w:jc w:val="center"/>
                    <w:textAlignment w:val="center"/>
                    <w:rPr>
                      <w:color w:val="auto"/>
                      <w:sz w:val="18"/>
                      <w:szCs w:val="18"/>
                      <w:highlight w:val="none"/>
                    </w:rPr>
                  </w:pPr>
                  <w:r>
                    <w:rPr>
                      <w:color w:val="auto"/>
                      <w:kern w:val="0"/>
                      <w:sz w:val="18"/>
                      <w:szCs w:val="18"/>
                      <w:highlight w:val="none"/>
                      <w:lang w:bidi="ar"/>
                    </w:rPr>
                    <w:t>同乐山市总体准入要求-要素重点管控单元。</w:t>
                  </w:r>
                </w:p>
                <w:p>
                  <w:pPr>
                    <w:widowControl/>
                    <w:jc w:val="center"/>
                    <w:textAlignment w:val="center"/>
                    <w:rPr>
                      <w:color w:val="auto"/>
                      <w:sz w:val="18"/>
                      <w:szCs w:val="18"/>
                      <w:highlight w:val="none"/>
                    </w:rPr>
                  </w:pPr>
                  <w:r>
                    <w:rPr>
                      <w:color w:val="auto"/>
                      <w:kern w:val="0"/>
                      <w:sz w:val="18"/>
                      <w:szCs w:val="18"/>
                      <w:highlight w:val="none"/>
                      <w:lang w:bidi="ar"/>
                    </w:rPr>
                    <w:t>地下水开采要求</w:t>
                  </w:r>
                </w:p>
                <w:p>
                  <w:pPr>
                    <w:widowControl/>
                    <w:jc w:val="center"/>
                    <w:textAlignment w:val="center"/>
                    <w:rPr>
                      <w:color w:val="auto"/>
                      <w:sz w:val="18"/>
                      <w:szCs w:val="18"/>
                      <w:highlight w:val="none"/>
                    </w:rPr>
                  </w:pPr>
                  <w:r>
                    <w:rPr>
                      <w:color w:val="auto"/>
                      <w:kern w:val="0"/>
                      <w:sz w:val="18"/>
                      <w:szCs w:val="18"/>
                      <w:highlight w:val="none"/>
                      <w:lang w:bidi="ar"/>
                    </w:rPr>
                    <w:t>/</w:t>
                  </w:r>
                </w:p>
                <w:p>
                  <w:pPr>
                    <w:widowControl/>
                    <w:jc w:val="center"/>
                    <w:textAlignment w:val="center"/>
                    <w:rPr>
                      <w:color w:val="auto"/>
                      <w:sz w:val="18"/>
                      <w:szCs w:val="18"/>
                      <w:highlight w:val="none"/>
                    </w:rPr>
                  </w:pPr>
                  <w:r>
                    <w:rPr>
                      <w:color w:val="auto"/>
                      <w:kern w:val="0"/>
                      <w:sz w:val="18"/>
                      <w:szCs w:val="18"/>
                      <w:highlight w:val="none"/>
                      <w:lang w:bidi="ar"/>
                    </w:rPr>
                    <w:t>能源利用效率要求</w:t>
                  </w:r>
                </w:p>
                <w:p>
                  <w:pPr>
                    <w:widowControl/>
                    <w:jc w:val="center"/>
                    <w:textAlignment w:val="center"/>
                    <w:rPr>
                      <w:color w:val="auto"/>
                      <w:sz w:val="18"/>
                      <w:szCs w:val="18"/>
                      <w:highlight w:val="none"/>
                    </w:rPr>
                  </w:pPr>
                  <w:r>
                    <w:rPr>
                      <w:color w:val="auto"/>
                      <w:kern w:val="0"/>
                      <w:sz w:val="18"/>
                      <w:szCs w:val="18"/>
                      <w:highlight w:val="none"/>
                      <w:lang w:bidi="ar"/>
                    </w:rPr>
                    <w:t>同乐山市总体准入要求-要素重点管控单元。</w:t>
                  </w:r>
                </w:p>
                <w:p>
                  <w:pPr>
                    <w:widowControl/>
                    <w:jc w:val="center"/>
                    <w:textAlignment w:val="center"/>
                    <w:rPr>
                      <w:color w:val="auto"/>
                      <w:sz w:val="18"/>
                      <w:szCs w:val="18"/>
                      <w:highlight w:val="none"/>
                    </w:rPr>
                  </w:pPr>
                  <w:r>
                    <w:rPr>
                      <w:color w:val="auto"/>
                      <w:kern w:val="0"/>
                      <w:sz w:val="18"/>
                      <w:szCs w:val="18"/>
                      <w:highlight w:val="none"/>
                      <w:lang w:bidi="ar"/>
                    </w:rPr>
                    <w:t>其他资源利用效率要求</w:t>
                  </w:r>
                </w:p>
                <w:p>
                  <w:pPr>
                    <w:widowControl/>
                    <w:jc w:val="center"/>
                    <w:textAlignment w:val="center"/>
                    <w:rPr>
                      <w:color w:val="auto"/>
                      <w:sz w:val="18"/>
                      <w:szCs w:val="18"/>
                      <w:highlight w:val="none"/>
                    </w:rPr>
                  </w:pPr>
                  <w:r>
                    <w:rPr>
                      <w:color w:val="auto"/>
                      <w:kern w:val="0"/>
                      <w:sz w:val="18"/>
                      <w:szCs w:val="18"/>
                      <w:highlight w:val="none"/>
                      <w:lang w:bidi="ar"/>
                    </w:rPr>
                    <w:t>/</w:t>
                  </w:r>
                </w:p>
              </w:tc>
              <w:tc>
                <w:tcPr>
                  <w:tcW w:w="716" w:type="dxa"/>
                  <w:noWrap/>
                  <w:vAlign w:val="center"/>
                </w:tcPr>
                <w:p>
                  <w:pPr>
                    <w:jc w:val="center"/>
                    <w:rPr>
                      <w:color w:val="auto"/>
                      <w:sz w:val="18"/>
                      <w:szCs w:val="18"/>
                      <w:highlight w:val="none"/>
                    </w:rPr>
                  </w:pPr>
                  <w:r>
                    <w:rPr>
                      <w:color w:val="auto"/>
                      <w:sz w:val="18"/>
                      <w:szCs w:val="18"/>
                      <w:highlight w:val="none"/>
                    </w:rPr>
                    <w:t>严格按照相关管控要求执行</w:t>
                  </w:r>
                </w:p>
              </w:tc>
            </w:tr>
          </w:tbl>
          <w:p>
            <w:pPr>
              <w:autoSpaceDE w:val="0"/>
              <w:autoSpaceDN w:val="0"/>
              <w:adjustRightInd w:val="0"/>
              <w:snapToGrid w:val="0"/>
              <w:spacing w:line="360" w:lineRule="auto"/>
              <w:ind w:firstLine="480" w:firstLineChars="200"/>
              <w:rPr>
                <w:rFonts w:ascii="宋体" w:hAnsi="宋体" w:cs="宋体"/>
                <w:color w:val="auto"/>
                <w:kern w:val="0"/>
                <w:sz w:val="24"/>
                <w:highlight w:val="none"/>
              </w:rPr>
            </w:pPr>
            <w:r>
              <w:rPr>
                <w:rFonts w:ascii="宋体" w:hAnsi="宋体" w:cs="宋体"/>
                <w:color w:val="auto"/>
                <w:kern w:val="0"/>
                <w:sz w:val="24"/>
                <w:highlight w:val="none"/>
              </w:rPr>
              <w:t>根据以上分析，本项目与“三线一单”的要求，汇总如下：</w:t>
            </w:r>
          </w:p>
          <w:p>
            <w:pPr>
              <w:autoSpaceDE w:val="0"/>
              <w:autoSpaceDN w:val="0"/>
              <w:adjustRightInd w:val="0"/>
              <w:snapToGrid w:val="0"/>
              <w:spacing w:line="360" w:lineRule="auto"/>
              <w:jc w:val="center"/>
              <w:rPr>
                <w:rFonts w:ascii="宋体" w:hAnsi="宋体" w:cs="宋体"/>
                <w:color w:val="auto"/>
                <w:kern w:val="0"/>
                <w:sz w:val="24"/>
                <w:highlight w:val="none"/>
              </w:rPr>
            </w:pPr>
            <w:r>
              <w:rPr>
                <w:rFonts w:ascii="宋体" w:hAnsi="宋体" w:cs="宋体"/>
                <w:b/>
                <w:bCs/>
                <w:color w:val="auto"/>
                <w:kern w:val="0"/>
                <w:sz w:val="24"/>
                <w:highlight w:val="none"/>
              </w:rPr>
              <w:t>表</w:t>
            </w:r>
            <w:r>
              <w:rPr>
                <w:rFonts w:hint="eastAsia" w:ascii="宋体" w:hAnsi="宋体" w:cs="宋体"/>
                <w:b/>
                <w:bCs/>
                <w:color w:val="auto"/>
                <w:kern w:val="0"/>
                <w:sz w:val="24"/>
                <w:highlight w:val="none"/>
              </w:rPr>
              <w:t>1-5</w:t>
            </w:r>
            <w:r>
              <w:rPr>
                <w:rFonts w:ascii="宋体" w:hAnsi="宋体" w:cs="宋体"/>
                <w:b/>
                <w:bCs/>
                <w:color w:val="auto"/>
                <w:kern w:val="0"/>
                <w:sz w:val="24"/>
                <w:highlight w:val="none"/>
              </w:rPr>
              <w:t xml:space="preserve">  项目“三线一单”符合性分析</w:t>
            </w:r>
          </w:p>
          <w:tbl>
            <w:tblPr>
              <w:tblStyle w:val="39"/>
              <w:tblW w:w="0" w:type="auto"/>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1156"/>
              <w:gridCol w:w="1608"/>
              <w:gridCol w:w="803"/>
              <w:gridCol w:w="803"/>
              <w:gridCol w:w="647"/>
              <w:gridCol w:w="803"/>
              <w:gridCol w:w="805"/>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1156" w:type="dxa"/>
                  <w:vMerge w:val="restart"/>
                  <w:noWrap w:val="0"/>
                  <w:tcMar>
                    <w:top w:w="12" w:type="dxa"/>
                    <w:left w:w="12" w:type="dxa"/>
                    <w:right w:w="12" w:type="dxa"/>
                  </w:tcMar>
                  <w:vAlign w:val="center"/>
                </w:tcPr>
                <w:p>
                  <w:pPr>
                    <w:autoSpaceDE w:val="0"/>
                    <w:autoSpaceDN w:val="0"/>
                    <w:adjustRightInd w:val="0"/>
                    <w:snapToGrid w:val="0"/>
                    <w:jc w:val="center"/>
                    <w:rPr>
                      <w:b/>
                      <w:bCs/>
                      <w:color w:val="auto"/>
                      <w:kern w:val="0"/>
                      <w:szCs w:val="21"/>
                      <w:highlight w:val="none"/>
                    </w:rPr>
                  </w:pPr>
                  <w:r>
                    <w:rPr>
                      <w:b/>
                      <w:bCs/>
                      <w:color w:val="auto"/>
                      <w:kern w:val="0"/>
                      <w:szCs w:val="21"/>
                      <w:highlight w:val="none"/>
                    </w:rPr>
                    <w:t>“三线一单”</w:t>
                  </w:r>
                </w:p>
              </w:tc>
              <w:tc>
                <w:tcPr>
                  <w:tcW w:w="1608" w:type="dxa"/>
                  <w:vMerge w:val="restart"/>
                  <w:noWrap w:val="0"/>
                  <w:tcMar>
                    <w:top w:w="12" w:type="dxa"/>
                    <w:left w:w="12" w:type="dxa"/>
                    <w:right w:w="12" w:type="dxa"/>
                  </w:tcMar>
                  <w:vAlign w:val="center"/>
                </w:tcPr>
                <w:p>
                  <w:pPr>
                    <w:autoSpaceDE w:val="0"/>
                    <w:autoSpaceDN w:val="0"/>
                    <w:adjustRightInd w:val="0"/>
                    <w:snapToGrid w:val="0"/>
                    <w:jc w:val="center"/>
                    <w:rPr>
                      <w:b/>
                      <w:bCs/>
                      <w:color w:val="auto"/>
                      <w:kern w:val="0"/>
                      <w:szCs w:val="21"/>
                      <w:highlight w:val="none"/>
                    </w:rPr>
                  </w:pPr>
                  <w:r>
                    <w:rPr>
                      <w:b/>
                      <w:bCs/>
                      <w:color w:val="auto"/>
                      <w:kern w:val="0"/>
                      <w:szCs w:val="21"/>
                      <w:highlight w:val="none"/>
                    </w:rPr>
                    <w:t>生态红线</w:t>
                  </w:r>
                </w:p>
              </w:tc>
              <w:tc>
                <w:tcPr>
                  <w:tcW w:w="2253" w:type="dxa"/>
                  <w:gridSpan w:val="3"/>
                  <w:noWrap w:val="0"/>
                  <w:tcMar>
                    <w:top w:w="12" w:type="dxa"/>
                    <w:left w:w="12" w:type="dxa"/>
                    <w:right w:w="12" w:type="dxa"/>
                  </w:tcMar>
                  <w:vAlign w:val="center"/>
                </w:tcPr>
                <w:p>
                  <w:pPr>
                    <w:autoSpaceDE w:val="0"/>
                    <w:autoSpaceDN w:val="0"/>
                    <w:adjustRightInd w:val="0"/>
                    <w:snapToGrid w:val="0"/>
                    <w:jc w:val="center"/>
                    <w:rPr>
                      <w:b/>
                      <w:bCs/>
                      <w:color w:val="auto"/>
                      <w:kern w:val="0"/>
                      <w:szCs w:val="21"/>
                      <w:highlight w:val="none"/>
                    </w:rPr>
                  </w:pPr>
                  <w:r>
                    <w:rPr>
                      <w:b/>
                      <w:bCs/>
                      <w:color w:val="auto"/>
                      <w:kern w:val="0"/>
                      <w:szCs w:val="21"/>
                      <w:highlight w:val="none"/>
                    </w:rPr>
                    <w:t>环境质量底线</w:t>
                  </w:r>
                </w:p>
              </w:tc>
              <w:tc>
                <w:tcPr>
                  <w:tcW w:w="803" w:type="dxa"/>
                  <w:vMerge w:val="restart"/>
                  <w:noWrap w:val="0"/>
                  <w:tcMar>
                    <w:top w:w="12" w:type="dxa"/>
                    <w:left w:w="12" w:type="dxa"/>
                    <w:right w:w="12" w:type="dxa"/>
                  </w:tcMar>
                  <w:vAlign w:val="center"/>
                </w:tcPr>
                <w:p>
                  <w:pPr>
                    <w:autoSpaceDE w:val="0"/>
                    <w:autoSpaceDN w:val="0"/>
                    <w:adjustRightInd w:val="0"/>
                    <w:snapToGrid w:val="0"/>
                    <w:jc w:val="center"/>
                    <w:rPr>
                      <w:b/>
                      <w:bCs/>
                      <w:color w:val="auto"/>
                      <w:kern w:val="0"/>
                      <w:szCs w:val="21"/>
                      <w:highlight w:val="none"/>
                    </w:rPr>
                  </w:pPr>
                  <w:r>
                    <w:rPr>
                      <w:b/>
                      <w:bCs/>
                      <w:color w:val="auto"/>
                      <w:kern w:val="0"/>
                      <w:szCs w:val="21"/>
                      <w:highlight w:val="none"/>
                    </w:rPr>
                    <w:t>资源利用上线</w:t>
                  </w:r>
                </w:p>
              </w:tc>
              <w:tc>
                <w:tcPr>
                  <w:tcW w:w="805" w:type="dxa"/>
                  <w:vMerge w:val="restart"/>
                  <w:noWrap w:val="0"/>
                  <w:tcMar>
                    <w:top w:w="12" w:type="dxa"/>
                    <w:left w:w="12" w:type="dxa"/>
                    <w:right w:w="12" w:type="dxa"/>
                  </w:tcMar>
                  <w:vAlign w:val="center"/>
                </w:tcPr>
                <w:p>
                  <w:pPr>
                    <w:autoSpaceDE w:val="0"/>
                    <w:autoSpaceDN w:val="0"/>
                    <w:adjustRightInd w:val="0"/>
                    <w:snapToGrid w:val="0"/>
                    <w:jc w:val="center"/>
                    <w:rPr>
                      <w:b/>
                      <w:bCs/>
                      <w:color w:val="auto"/>
                      <w:kern w:val="0"/>
                      <w:szCs w:val="21"/>
                      <w:highlight w:val="none"/>
                    </w:rPr>
                  </w:pPr>
                  <w:r>
                    <w:rPr>
                      <w:b/>
                      <w:bCs/>
                      <w:color w:val="auto"/>
                      <w:kern w:val="0"/>
                      <w:szCs w:val="21"/>
                      <w:highlight w:val="none"/>
                    </w:rPr>
                    <w:t>生态环境准入清单</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1156" w:type="dxa"/>
                  <w:vMerge w:val="continue"/>
                  <w:noWrap w:val="0"/>
                  <w:tcMar>
                    <w:top w:w="12" w:type="dxa"/>
                    <w:left w:w="12" w:type="dxa"/>
                    <w:right w:w="12" w:type="dxa"/>
                  </w:tcMar>
                  <w:vAlign w:val="center"/>
                </w:tcPr>
                <w:p>
                  <w:pPr>
                    <w:autoSpaceDE w:val="0"/>
                    <w:autoSpaceDN w:val="0"/>
                    <w:adjustRightInd w:val="0"/>
                    <w:snapToGrid w:val="0"/>
                    <w:jc w:val="center"/>
                    <w:rPr>
                      <w:color w:val="auto"/>
                      <w:kern w:val="0"/>
                      <w:szCs w:val="21"/>
                      <w:highlight w:val="none"/>
                    </w:rPr>
                  </w:pPr>
                </w:p>
              </w:tc>
              <w:tc>
                <w:tcPr>
                  <w:tcW w:w="1608" w:type="dxa"/>
                  <w:vMerge w:val="continue"/>
                  <w:noWrap w:val="0"/>
                  <w:tcMar>
                    <w:top w:w="12" w:type="dxa"/>
                    <w:left w:w="12" w:type="dxa"/>
                    <w:right w:w="12" w:type="dxa"/>
                  </w:tcMar>
                  <w:vAlign w:val="center"/>
                </w:tcPr>
                <w:p>
                  <w:pPr>
                    <w:autoSpaceDE w:val="0"/>
                    <w:autoSpaceDN w:val="0"/>
                    <w:adjustRightInd w:val="0"/>
                    <w:snapToGrid w:val="0"/>
                    <w:jc w:val="center"/>
                    <w:rPr>
                      <w:color w:val="auto"/>
                      <w:kern w:val="0"/>
                      <w:szCs w:val="21"/>
                      <w:highlight w:val="none"/>
                    </w:rPr>
                  </w:pPr>
                </w:p>
              </w:tc>
              <w:tc>
                <w:tcPr>
                  <w:tcW w:w="803" w:type="dxa"/>
                  <w:noWrap w:val="0"/>
                  <w:tcMar>
                    <w:top w:w="12" w:type="dxa"/>
                    <w:left w:w="12" w:type="dxa"/>
                    <w:right w:w="12" w:type="dxa"/>
                  </w:tcMar>
                  <w:vAlign w:val="center"/>
                </w:tcPr>
                <w:p>
                  <w:pPr>
                    <w:autoSpaceDE w:val="0"/>
                    <w:autoSpaceDN w:val="0"/>
                    <w:adjustRightInd w:val="0"/>
                    <w:snapToGrid w:val="0"/>
                    <w:jc w:val="center"/>
                    <w:rPr>
                      <w:b/>
                      <w:bCs/>
                      <w:color w:val="auto"/>
                      <w:kern w:val="0"/>
                      <w:szCs w:val="21"/>
                      <w:highlight w:val="none"/>
                    </w:rPr>
                  </w:pPr>
                  <w:r>
                    <w:rPr>
                      <w:b/>
                      <w:bCs/>
                      <w:color w:val="auto"/>
                      <w:kern w:val="0"/>
                      <w:szCs w:val="21"/>
                      <w:highlight w:val="none"/>
                    </w:rPr>
                    <w:t>地表水</w:t>
                  </w:r>
                </w:p>
              </w:tc>
              <w:tc>
                <w:tcPr>
                  <w:tcW w:w="803" w:type="dxa"/>
                  <w:noWrap w:val="0"/>
                  <w:tcMar>
                    <w:top w:w="12" w:type="dxa"/>
                    <w:left w:w="12" w:type="dxa"/>
                    <w:right w:w="12" w:type="dxa"/>
                  </w:tcMar>
                  <w:vAlign w:val="center"/>
                </w:tcPr>
                <w:p>
                  <w:pPr>
                    <w:autoSpaceDE w:val="0"/>
                    <w:autoSpaceDN w:val="0"/>
                    <w:adjustRightInd w:val="0"/>
                    <w:snapToGrid w:val="0"/>
                    <w:jc w:val="center"/>
                    <w:rPr>
                      <w:b/>
                      <w:bCs/>
                      <w:color w:val="auto"/>
                      <w:kern w:val="0"/>
                      <w:szCs w:val="21"/>
                      <w:highlight w:val="none"/>
                    </w:rPr>
                  </w:pPr>
                  <w:r>
                    <w:rPr>
                      <w:b/>
                      <w:bCs/>
                      <w:color w:val="auto"/>
                      <w:kern w:val="0"/>
                      <w:szCs w:val="21"/>
                      <w:highlight w:val="none"/>
                    </w:rPr>
                    <w:t>大气</w:t>
                  </w:r>
                </w:p>
              </w:tc>
              <w:tc>
                <w:tcPr>
                  <w:tcW w:w="647" w:type="dxa"/>
                  <w:noWrap w:val="0"/>
                  <w:tcMar>
                    <w:top w:w="12" w:type="dxa"/>
                    <w:left w:w="12" w:type="dxa"/>
                    <w:right w:w="12" w:type="dxa"/>
                  </w:tcMar>
                  <w:vAlign w:val="center"/>
                </w:tcPr>
                <w:p>
                  <w:pPr>
                    <w:autoSpaceDE w:val="0"/>
                    <w:autoSpaceDN w:val="0"/>
                    <w:adjustRightInd w:val="0"/>
                    <w:snapToGrid w:val="0"/>
                    <w:jc w:val="center"/>
                    <w:rPr>
                      <w:b/>
                      <w:bCs/>
                      <w:color w:val="auto"/>
                      <w:kern w:val="0"/>
                      <w:szCs w:val="21"/>
                      <w:highlight w:val="none"/>
                    </w:rPr>
                  </w:pPr>
                  <w:r>
                    <w:rPr>
                      <w:b/>
                      <w:bCs/>
                      <w:color w:val="auto"/>
                      <w:kern w:val="0"/>
                      <w:szCs w:val="21"/>
                      <w:highlight w:val="none"/>
                    </w:rPr>
                    <w:t>土壤</w:t>
                  </w:r>
                </w:p>
              </w:tc>
              <w:tc>
                <w:tcPr>
                  <w:tcW w:w="803" w:type="dxa"/>
                  <w:vMerge w:val="continue"/>
                  <w:noWrap w:val="0"/>
                  <w:tcMar>
                    <w:top w:w="12" w:type="dxa"/>
                    <w:left w:w="12" w:type="dxa"/>
                    <w:right w:w="12" w:type="dxa"/>
                  </w:tcMar>
                  <w:vAlign w:val="center"/>
                </w:tcPr>
                <w:p>
                  <w:pPr>
                    <w:autoSpaceDE w:val="0"/>
                    <w:autoSpaceDN w:val="0"/>
                    <w:adjustRightInd w:val="0"/>
                    <w:snapToGrid w:val="0"/>
                    <w:jc w:val="center"/>
                    <w:rPr>
                      <w:color w:val="auto"/>
                      <w:kern w:val="0"/>
                      <w:szCs w:val="21"/>
                      <w:highlight w:val="none"/>
                    </w:rPr>
                  </w:pPr>
                </w:p>
              </w:tc>
              <w:tc>
                <w:tcPr>
                  <w:tcW w:w="805" w:type="dxa"/>
                  <w:vMerge w:val="continue"/>
                  <w:noWrap w:val="0"/>
                  <w:tcMar>
                    <w:top w:w="12" w:type="dxa"/>
                    <w:left w:w="12" w:type="dxa"/>
                    <w:right w:w="12" w:type="dxa"/>
                  </w:tcMar>
                  <w:vAlign w:val="center"/>
                </w:tcPr>
                <w:p>
                  <w:pPr>
                    <w:autoSpaceDE w:val="0"/>
                    <w:autoSpaceDN w:val="0"/>
                    <w:adjustRightInd w:val="0"/>
                    <w:snapToGrid w:val="0"/>
                    <w:jc w:val="center"/>
                    <w:rPr>
                      <w:color w:val="auto"/>
                      <w:kern w:val="0"/>
                      <w:szCs w:val="21"/>
                      <w:highlight w:val="none"/>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1156" w:type="dxa"/>
                  <w:noWrap w:val="0"/>
                  <w:tcMar>
                    <w:top w:w="12" w:type="dxa"/>
                    <w:left w:w="12" w:type="dxa"/>
                    <w:right w:w="12" w:type="dxa"/>
                  </w:tcMar>
                  <w:vAlign w:val="center"/>
                </w:tcPr>
                <w:p>
                  <w:pPr>
                    <w:autoSpaceDE w:val="0"/>
                    <w:autoSpaceDN w:val="0"/>
                    <w:adjustRightInd w:val="0"/>
                    <w:snapToGrid w:val="0"/>
                    <w:jc w:val="center"/>
                    <w:rPr>
                      <w:color w:val="auto"/>
                      <w:kern w:val="0"/>
                      <w:szCs w:val="21"/>
                      <w:highlight w:val="none"/>
                    </w:rPr>
                  </w:pPr>
                  <w:r>
                    <w:rPr>
                      <w:color w:val="auto"/>
                      <w:kern w:val="0"/>
                      <w:szCs w:val="21"/>
                      <w:highlight w:val="none"/>
                    </w:rPr>
                    <w:t>符合性分析</w:t>
                  </w:r>
                </w:p>
              </w:tc>
              <w:tc>
                <w:tcPr>
                  <w:tcW w:w="1608" w:type="dxa"/>
                  <w:noWrap w:val="0"/>
                  <w:tcMar>
                    <w:top w:w="12" w:type="dxa"/>
                    <w:left w:w="12" w:type="dxa"/>
                    <w:right w:w="12" w:type="dxa"/>
                  </w:tcMar>
                  <w:vAlign w:val="center"/>
                </w:tcPr>
                <w:p>
                  <w:pPr>
                    <w:autoSpaceDE w:val="0"/>
                    <w:autoSpaceDN w:val="0"/>
                    <w:adjustRightInd w:val="0"/>
                    <w:snapToGrid w:val="0"/>
                    <w:jc w:val="center"/>
                    <w:rPr>
                      <w:color w:val="auto"/>
                      <w:kern w:val="0"/>
                      <w:szCs w:val="21"/>
                      <w:highlight w:val="none"/>
                    </w:rPr>
                  </w:pPr>
                  <w:r>
                    <w:rPr>
                      <w:color w:val="auto"/>
                      <w:kern w:val="0"/>
                      <w:szCs w:val="21"/>
                      <w:highlight w:val="none"/>
                    </w:rPr>
                    <w:t>符合</w:t>
                  </w:r>
                </w:p>
              </w:tc>
              <w:tc>
                <w:tcPr>
                  <w:tcW w:w="2253" w:type="dxa"/>
                  <w:gridSpan w:val="3"/>
                  <w:noWrap w:val="0"/>
                  <w:tcMar>
                    <w:top w:w="12" w:type="dxa"/>
                    <w:left w:w="12" w:type="dxa"/>
                    <w:right w:w="12" w:type="dxa"/>
                  </w:tcMar>
                  <w:vAlign w:val="center"/>
                </w:tcPr>
                <w:p>
                  <w:pPr>
                    <w:autoSpaceDE w:val="0"/>
                    <w:autoSpaceDN w:val="0"/>
                    <w:adjustRightInd w:val="0"/>
                    <w:snapToGrid w:val="0"/>
                    <w:jc w:val="center"/>
                    <w:rPr>
                      <w:color w:val="auto"/>
                      <w:kern w:val="0"/>
                      <w:szCs w:val="21"/>
                      <w:highlight w:val="none"/>
                    </w:rPr>
                  </w:pPr>
                  <w:r>
                    <w:rPr>
                      <w:color w:val="auto"/>
                      <w:kern w:val="0"/>
                      <w:szCs w:val="21"/>
                      <w:highlight w:val="none"/>
                    </w:rPr>
                    <w:t>符合</w:t>
                  </w:r>
                </w:p>
              </w:tc>
              <w:tc>
                <w:tcPr>
                  <w:tcW w:w="803" w:type="dxa"/>
                  <w:noWrap w:val="0"/>
                  <w:tcMar>
                    <w:top w:w="12" w:type="dxa"/>
                    <w:left w:w="12" w:type="dxa"/>
                    <w:right w:w="12" w:type="dxa"/>
                  </w:tcMar>
                  <w:vAlign w:val="center"/>
                </w:tcPr>
                <w:p>
                  <w:pPr>
                    <w:autoSpaceDE w:val="0"/>
                    <w:autoSpaceDN w:val="0"/>
                    <w:adjustRightInd w:val="0"/>
                    <w:snapToGrid w:val="0"/>
                    <w:jc w:val="center"/>
                    <w:rPr>
                      <w:color w:val="auto"/>
                      <w:kern w:val="0"/>
                      <w:szCs w:val="21"/>
                      <w:highlight w:val="none"/>
                    </w:rPr>
                  </w:pPr>
                  <w:r>
                    <w:rPr>
                      <w:color w:val="auto"/>
                      <w:kern w:val="0"/>
                      <w:szCs w:val="21"/>
                      <w:highlight w:val="none"/>
                    </w:rPr>
                    <w:t>符合</w:t>
                  </w:r>
                </w:p>
              </w:tc>
              <w:tc>
                <w:tcPr>
                  <w:tcW w:w="805" w:type="dxa"/>
                  <w:noWrap w:val="0"/>
                  <w:tcMar>
                    <w:top w:w="12" w:type="dxa"/>
                    <w:left w:w="12" w:type="dxa"/>
                    <w:right w:w="12" w:type="dxa"/>
                  </w:tcMar>
                  <w:vAlign w:val="center"/>
                </w:tcPr>
                <w:p>
                  <w:pPr>
                    <w:autoSpaceDE w:val="0"/>
                    <w:autoSpaceDN w:val="0"/>
                    <w:adjustRightInd w:val="0"/>
                    <w:snapToGrid w:val="0"/>
                    <w:jc w:val="center"/>
                    <w:rPr>
                      <w:color w:val="auto"/>
                      <w:kern w:val="0"/>
                      <w:szCs w:val="21"/>
                      <w:highlight w:val="none"/>
                    </w:rPr>
                  </w:pPr>
                  <w:r>
                    <w:rPr>
                      <w:color w:val="auto"/>
                      <w:kern w:val="0"/>
                      <w:szCs w:val="21"/>
                      <w:highlight w:val="none"/>
                    </w:rPr>
                    <w:t>符合</w:t>
                  </w:r>
                </w:p>
              </w:tc>
            </w:tr>
          </w:tbl>
          <w:p>
            <w:pPr>
              <w:spacing w:line="360" w:lineRule="auto"/>
              <w:rPr>
                <w:rFonts w:hint="eastAsia"/>
                <w:b/>
                <w:bCs/>
                <w:color w:val="auto"/>
                <w:sz w:val="24"/>
                <w:highlight w:val="none"/>
              </w:rPr>
            </w:pPr>
            <w:r>
              <w:rPr>
                <w:rFonts w:hint="eastAsia"/>
                <w:b/>
                <w:bCs/>
                <w:color w:val="auto"/>
                <w:sz w:val="24"/>
                <w:highlight w:val="none"/>
              </w:rPr>
              <w:t>3、项目选址及环境可行性分析</w:t>
            </w:r>
          </w:p>
          <w:p>
            <w:pPr>
              <w:autoSpaceDE w:val="0"/>
              <w:autoSpaceDN w:val="0"/>
              <w:adjustRightInd w:val="0"/>
              <w:snapToGrid w:val="0"/>
              <w:spacing w:line="360" w:lineRule="auto"/>
              <w:ind w:firstLine="480" w:firstLineChars="200"/>
              <w:rPr>
                <w:rFonts w:hint="eastAsia" w:ascii="宋体" w:hAnsi="宋体" w:cs="宋体"/>
                <w:color w:val="auto"/>
                <w:kern w:val="0"/>
                <w:sz w:val="24"/>
                <w:highlight w:val="none"/>
              </w:rPr>
            </w:pPr>
            <w:r>
              <w:rPr>
                <w:rFonts w:ascii="宋体" w:hAnsi="宋体" w:cs="宋体"/>
                <w:color w:val="auto"/>
                <w:kern w:val="0"/>
                <w:sz w:val="24"/>
                <w:highlight w:val="none"/>
              </w:rPr>
              <w:t>项目所在区域不涉及自然保护区、世界文化和自然遗产地等，不涉及风景名胜区、森林公园、地质公园、重要湿地、原始天然林、珍稀濒危野生动植物天然集中分布区、重要水生生物的自然产卵场及索饵场、越冬场和洄游通道、天然渔场等。本项目目前占地</w:t>
            </w:r>
            <w:r>
              <w:rPr>
                <w:rFonts w:hint="eastAsia" w:ascii="宋体" w:hAnsi="宋体" w:cs="宋体"/>
                <w:color w:val="auto"/>
                <w:kern w:val="0"/>
                <w:sz w:val="24"/>
                <w:highlight w:val="none"/>
              </w:rPr>
              <w:t>属于工业用地</w:t>
            </w:r>
            <w:r>
              <w:rPr>
                <w:rFonts w:ascii="宋体" w:hAnsi="宋体" w:cs="宋体"/>
                <w:color w:val="auto"/>
                <w:kern w:val="0"/>
                <w:sz w:val="24"/>
                <w:highlight w:val="none"/>
              </w:rPr>
              <w:t>。参照沥青拌合站选址与管理要求，</w:t>
            </w:r>
            <w:r>
              <w:rPr>
                <w:rFonts w:hint="eastAsia" w:ascii="宋体" w:hAnsi="宋体" w:cs="宋体"/>
                <w:color w:val="auto"/>
                <w:kern w:val="0"/>
                <w:sz w:val="24"/>
                <w:highlight w:val="none"/>
              </w:rPr>
              <w:t>《公路环境保护设计规范》（JTG B04-2010）中明确“沥青混合料应集中场站搅拌,其设备污染物排放应符合现行《大气污染物综合排放标准》(GB 16297)的规定；搅拌场站距环境敏感点的距离不宜小于300m,并应设置在当地施工季节最小频率风向的被保护对象的上风侧。”此处所指环境敏感点也称环境敏感区，包括需特殊保护地区、生态敏感与脆弱区和社会关注区等。根据《建设项目环境保护分类管理名录》（2002年10月13日）中对“需特殊保护地区、生态敏感与脆弱区和社会关注区”解释为：“三、本名录所称环境敏感区，是指具有下列特征的区域:</w:t>
            </w:r>
          </w:p>
          <w:p>
            <w:pPr>
              <w:autoSpaceDE w:val="0"/>
              <w:autoSpaceDN w:val="0"/>
              <w:adjustRightInd w:val="0"/>
              <w:snapToGrid w:val="0"/>
              <w:spacing w:line="360" w:lineRule="auto"/>
              <w:ind w:firstLine="480" w:firstLineChars="200"/>
              <w:rPr>
                <w:color w:val="auto"/>
                <w:kern w:val="0"/>
                <w:sz w:val="24"/>
                <w:highlight w:val="none"/>
              </w:rPr>
            </w:pPr>
            <w:r>
              <w:rPr>
                <w:color w:val="auto"/>
                <w:kern w:val="0"/>
                <w:sz w:val="24"/>
                <w:highlight w:val="none"/>
              </w:rPr>
              <w:t>1.需特殊保护地区:国家法律、法规、行政规章及规划确定或经县级以上人民政府批准的需要特殊保护的地区，如饮用水水源保护区、自然保护区、风景名胜区、生态功能保护区、基本农田保护区、水土流失重点防治区、森林公园、地质公园、世界遗产地、国家重点文物保护单位、历史文化保护地等。</w:t>
            </w:r>
          </w:p>
          <w:p>
            <w:pPr>
              <w:autoSpaceDE w:val="0"/>
              <w:autoSpaceDN w:val="0"/>
              <w:adjustRightInd w:val="0"/>
              <w:snapToGrid w:val="0"/>
              <w:spacing w:line="360" w:lineRule="auto"/>
              <w:ind w:firstLine="480" w:firstLineChars="200"/>
              <w:rPr>
                <w:color w:val="auto"/>
                <w:kern w:val="0"/>
                <w:sz w:val="24"/>
                <w:highlight w:val="none"/>
              </w:rPr>
            </w:pPr>
            <w:r>
              <w:rPr>
                <w:color w:val="auto"/>
                <w:kern w:val="0"/>
                <w:sz w:val="24"/>
                <w:highlight w:val="none"/>
              </w:rPr>
              <w:t>2.生态敏感与脆弱区:沙尘暴源区、荒漠中的绿洲、严重缺水地区、珍稀动植物栖息地或特殊生态系统、天然林、热带雨林、红树林、珊瑚礁、鱼虾产卵场、重要湿地和天然渔场等。</w:t>
            </w:r>
          </w:p>
          <w:p>
            <w:pPr>
              <w:autoSpaceDE w:val="0"/>
              <w:autoSpaceDN w:val="0"/>
              <w:adjustRightInd w:val="0"/>
              <w:snapToGrid w:val="0"/>
              <w:spacing w:line="360" w:lineRule="auto"/>
              <w:ind w:firstLine="480" w:firstLineChars="200"/>
              <w:rPr>
                <w:color w:val="auto"/>
                <w:kern w:val="0"/>
                <w:sz w:val="24"/>
                <w:highlight w:val="none"/>
              </w:rPr>
            </w:pPr>
            <w:r>
              <w:rPr>
                <w:color w:val="auto"/>
                <w:kern w:val="0"/>
                <w:sz w:val="24"/>
                <w:highlight w:val="none"/>
              </w:rPr>
              <w:t>3．社会关注区:人口密集区、文教区、党政机关集中的办公地点、疗养地、医院等，以及具有历史、文化、科学、民族意义的保护地等。”</w:t>
            </w:r>
          </w:p>
          <w:p>
            <w:pPr>
              <w:autoSpaceDE w:val="0"/>
              <w:autoSpaceDN w:val="0"/>
              <w:adjustRightInd w:val="0"/>
              <w:snapToGrid w:val="0"/>
              <w:spacing w:line="360" w:lineRule="auto"/>
              <w:ind w:firstLine="480" w:firstLineChars="200"/>
              <w:rPr>
                <w:color w:val="auto"/>
                <w:kern w:val="0"/>
                <w:sz w:val="24"/>
                <w:highlight w:val="none"/>
              </w:rPr>
            </w:pPr>
            <w:r>
              <w:rPr>
                <w:color w:val="auto"/>
                <w:kern w:val="0"/>
                <w:sz w:val="24"/>
                <w:highlight w:val="none"/>
              </w:rPr>
              <w:t>本项目选址不属于以上区域，周边存在部分村镇散户居民，但不涉及人口密集区等。根据现场勘查，项目所在地临近公路，交通运输方便，项目厂界外500米范围内存在部分村镇散户居民。运营期经采取一定的环保措施后，污染物可达标排放，对周边环境影响较小，因此,项目选址可行。</w:t>
            </w:r>
          </w:p>
          <w:p>
            <w:pPr>
              <w:spacing w:line="360" w:lineRule="auto"/>
              <w:rPr>
                <w:b/>
                <w:bCs/>
                <w:color w:val="auto"/>
                <w:sz w:val="24"/>
                <w:highlight w:val="none"/>
              </w:rPr>
            </w:pPr>
            <w:r>
              <w:rPr>
                <w:rFonts w:hint="eastAsia"/>
                <w:b/>
                <w:bCs/>
                <w:color w:val="auto"/>
                <w:sz w:val="24"/>
                <w:highlight w:val="none"/>
              </w:rPr>
              <w:t>4、项目与相关政策文件符合性分析</w:t>
            </w:r>
          </w:p>
          <w:p>
            <w:pPr>
              <w:pStyle w:val="16"/>
              <w:spacing w:after="0" w:line="360" w:lineRule="auto"/>
              <w:ind w:firstLine="480"/>
              <w:rPr>
                <w:b/>
                <w:bCs/>
                <w:color w:val="auto"/>
                <w:sz w:val="24"/>
                <w:szCs w:val="24"/>
                <w:highlight w:val="none"/>
              </w:rPr>
            </w:pPr>
            <w:r>
              <w:rPr>
                <w:b/>
                <w:bCs/>
                <w:color w:val="auto"/>
                <w:sz w:val="24"/>
                <w:szCs w:val="24"/>
                <w:highlight w:val="none"/>
              </w:rPr>
              <w:t>（</w:t>
            </w:r>
            <w:r>
              <w:rPr>
                <w:rFonts w:hint="eastAsia"/>
                <w:b/>
                <w:bCs/>
                <w:color w:val="auto"/>
                <w:sz w:val="24"/>
                <w:szCs w:val="24"/>
                <w:highlight w:val="none"/>
              </w:rPr>
              <w:t>1</w:t>
            </w:r>
            <w:r>
              <w:rPr>
                <w:b/>
                <w:bCs/>
                <w:color w:val="auto"/>
                <w:sz w:val="24"/>
                <w:szCs w:val="24"/>
                <w:highlight w:val="none"/>
              </w:rPr>
              <w:t>）与《四川省长江经济带发展负面清单实施细则（试行）》符合性分析</w:t>
            </w:r>
          </w:p>
          <w:p>
            <w:pPr>
              <w:pStyle w:val="16"/>
              <w:spacing w:after="0" w:line="360" w:lineRule="auto"/>
              <w:ind w:firstLine="480"/>
              <w:jc w:val="left"/>
              <w:rPr>
                <w:b/>
                <w:bCs/>
                <w:color w:val="auto"/>
                <w:sz w:val="24"/>
                <w:szCs w:val="24"/>
                <w:highlight w:val="none"/>
              </w:rPr>
            </w:pPr>
            <w:r>
              <w:rPr>
                <w:b/>
                <w:bCs/>
                <w:color w:val="auto"/>
                <w:sz w:val="24"/>
                <w:szCs w:val="24"/>
                <w:highlight w:val="none"/>
              </w:rPr>
              <w:t>表1-</w:t>
            </w:r>
            <w:r>
              <w:rPr>
                <w:rFonts w:hint="eastAsia"/>
                <w:b/>
                <w:bCs/>
                <w:color w:val="auto"/>
                <w:sz w:val="24"/>
                <w:szCs w:val="24"/>
                <w:highlight w:val="none"/>
              </w:rPr>
              <w:t>6</w:t>
            </w:r>
            <w:r>
              <w:rPr>
                <w:b/>
                <w:bCs/>
                <w:color w:val="auto"/>
                <w:sz w:val="24"/>
                <w:szCs w:val="24"/>
                <w:highlight w:val="none"/>
              </w:rPr>
              <w:t xml:space="preserve">  《四川省长江经济带发展负面清单实施细则（试行）》符合性分析</w:t>
            </w:r>
          </w:p>
          <w:tbl>
            <w:tblPr>
              <w:tblStyle w:val="39"/>
              <w:tblW w:w="0" w:type="auto"/>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537"/>
              <w:gridCol w:w="2948"/>
              <w:gridCol w:w="2524"/>
              <w:gridCol w:w="616"/>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tblHeader/>
              </w:trPr>
              <w:tc>
                <w:tcPr>
                  <w:tcW w:w="537" w:type="dxa"/>
                  <w:noWrap w:val="0"/>
                  <w:tcMar>
                    <w:top w:w="15" w:type="dxa"/>
                    <w:left w:w="15" w:type="dxa"/>
                    <w:right w:w="15" w:type="dxa"/>
                  </w:tcMar>
                  <w:vAlign w:val="center"/>
                </w:tcPr>
                <w:p>
                  <w:pPr>
                    <w:pStyle w:val="16"/>
                    <w:spacing w:after="0" w:line="240" w:lineRule="auto"/>
                    <w:jc w:val="center"/>
                    <w:rPr>
                      <w:b/>
                      <w:bCs/>
                      <w:color w:val="auto"/>
                      <w:sz w:val="21"/>
                      <w:szCs w:val="21"/>
                      <w:highlight w:val="none"/>
                    </w:rPr>
                  </w:pPr>
                  <w:r>
                    <w:rPr>
                      <w:b/>
                      <w:bCs/>
                      <w:color w:val="auto"/>
                      <w:sz w:val="21"/>
                      <w:szCs w:val="21"/>
                      <w:highlight w:val="none"/>
                    </w:rPr>
                    <w:t>序号</w:t>
                  </w:r>
                </w:p>
              </w:tc>
              <w:tc>
                <w:tcPr>
                  <w:tcW w:w="2948" w:type="dxa"/>
                  <w:noWrap w:val="0"/>
                  <w:tcMar>
                    <w:top w:w="15" w:type="dxa"/>
                    <w:left w:w="15" w:type="dxa"/>
                    <w:right w:w="15" w:type="dxa"/>
                  </w:tcMar>
                  <w:vAlign w:val="center"/>
                </w:tcPr>
                <w:p>
                  <w:pPr>
                    <w:pStyle w:val="16"/>
                    <w:spacing w:after="0" w:line="240" w:lineRule="auto"/>
                    <w:jc w:val="center"/>
                    <w:rPr>
                      <w:b/>
                      <w:bCs/>
                      <w:color w:val="auto"/>
                      <w:sz w:val="21"/>
                      <w:szCs w:val="21"/>
                      <w:highlight w:val="none"/>
                    </w:rPr>
                  </w:pPr>
                  <w:r>
                    <w:rPr>
                      <w:b/>
                      <w:bCs/>
                      <w:color w:val="auto"/>
                      <w:sz w:val="21"/>
                      <w:szCs w:val="21"/>
                      <w:highlight w:val="none"/>
                    </w:rPr>
                    <w:t>负面清单内容</w:t>
                  </w:r>
                </w:p>
              </w:tc>
              <w:tc>
                <w:tcPr>
                  <w:tcW w:w="2524" w:type="dxa"/>
                  <w:noWrap w:val="0"/>
                  <w:tcMar>
                    <w:top w:w="15" w:type="dxa"/>
                    <w:left w:w="15" w:type="dxa"/>
                    <w:right w:w="15" w:type="dxa"/>
                  </w:tcMar>
                  <w:vAlign w:val="center"/>
                </w:tcPr>
                <w:p>
                  <w:pPr>
                    <w:pStyle w:val="16"/>
                    <w:spacing w:after="0" w:line="240" w:lineRule="auto"/>
                    <w:jc w:val="center"/>
                    <w:rPr>
                      <w:b/>
                      <w:bCs/>
                      <w:color w:val="auto"/>
                      <w:sz w:val="21"/>
                      <w:szCs w:val="21"/>
                      <w:highlight w:val="none"/>
                    </w:rPr>
                  </w:pPr>
                  <w:r>
                    <w:rPr>
                      <w:b/>
                      <w:bCs/>
                      <w:color w:val="auto"/>
                      <w:sz w:val="21"/>
                      <w:szCs w:val="21"/>
                      <w:highlight w:val="none"/>
                    </w:rPr>
                    <w:t>本项目与负面清单对照</w:t>
                  </w:r>
                </w:p>
              </w:tc>
              <w:tc>
                <w:tcPr>
                  <w:tcW w:w="616" w:type="dxa"/>
                  <w:noWrap w:val="0"/>
                  <w:tcMar>
                    <w:top w:w="15" w:type="dxa"/>
                    <w:left w:w="15" w:type="dxa"/>
                    <w:right w:w="15" w:type="dxa"/>
                  </w:tcMar>
                  <w:vAlign w:val="center"/>
                </w:tcPr>
                <w:p>
                  <w:pPr>
                    <w:pStyle w:val="16"/>
                    <w:spacing w:after="0" w:line="240" w:lineRule="auto"/>
                    <w:jc w:val="center"/>
                    <w:rPr>
                      <w:b/>
                      <w:bCs/>
                      <w:color w:val="auto"/>
                      <w:sz w:val="21"/>
                      <w:szCs w:val="21"/>
                      <w:highlight w:val="none"/>
                    </w:rPr>
                  </w:pPr>
                  <w:r>
                    <w:rPr>
                      <w:b/>
                      <w:bCs/>
                      <w:color w:val="auto"/>
                      <w:sz w:val="21"/>
                      <w:szCs w:val="21"/>
                      <w:highlight w:val="none"/>
                    </w:rPr>
                    <w:t>符合性</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537" w:type="dxa"/>
                  <w:noWrap w:val="0"/>
                  <w:tcMar>
                    <w:top w:w="15" w:type="dxa"/>
                    <w:left w:w="15" w:type="dxa"/>
                    <w:right w:w="15" w:type="dxa"/>
                  </w:tcMar>
                  <w:vAlign w:val="center"/>
                </w:tcPr>
                <w:p>
                  <w:pPr>
                    <w:pStyle w:val="16"/>
                    <w:spacing w:after="0" w:line="240" w:lineRule="auto"/>
                    <w:jc w:val="center"/>
                    <w:rPr>
                      <w:color w:val="auto"/>
                      <w:sz w:val="21"/>
                      <w:szCs w:val="21"/>
                      <w:highlight w:val="none"/>
                    </w:rPr>
                  </w:pPr>
                  <w:r>
                    <w:rPr>
                      <w:color w:val="auto"/>
                      <w:sz w:val="21"/>
                      <w:szCs w:val="21"/>
                      <w:highlight w:val="none"/>
                    </w:rPr>
                    <w:t>1</w:t>
                  </w:r>
                </w:p>
              </w:tc>
              <w:tc>
                <w:tcPr>
                  <w:tcW w:w="2948" w:type="dxa"/>
                  <w:noWrap w:val="0"/>
                  <w:tcMar>
                    <w:top w:w="15" w:type="dxa"/>
                    <w:left w:w="15" w:type="dxa"/>
                    <w:right w:w="15" w:type="dxa"/>
                  </w:tcMar>
                  <w:vAlign w:val="center"/>
                </w:tcPr>
                <w:p>
                  <w:pPr>
                    <w:pStyle w:val="16"/>
                    <w:spacing w:after="0" w:line="240" w:lineRule="auto"/>
                    <w:jc w:val="center"/>
                    <w:rPr>
                      <w:color w:val="auto"/>
                      <w:sz w:val="21"/>
                      <w:szCs w:val="21"/>
                      <w:highlight w:val="none"/>
                    </w:rPr>
                  </w:pPr>
                  <w:r>
                    <w:rPr>
                      <w:color w:val="auto"/>
                      <w:sz w:val="21"/>
                      <w:szCs w:val="21"/>
                      <w:highlight w:val="none"/>
                    </w:rPr>
                    <w:t>禁止在长江干流和主要支流（包括：岷江干流、沱江干流、赤水河干流、嘉陵江干流、雅砻江干流）1 公里〔指长江干支流岸线边界（即水利部门河道管理范围边界）向陆域纵深 1 公里〕范围内新建、扩建化工园区和化工项目</w:t>
                  </w:r>
                </w:p>
              </w:tc>
              <w:tc>
                <w:tcPr>
                  <w:tcW w:w="2524" w:type="dxa"/>
                  <w:noWrap w:val="0"/>
                  <w:tcMar>
                    <w:top w:w="15" w:type="dxa"/>
                    <w:left w:w="15" w:type="dxa"/>
                    <w:right w:w="15" w:type="dxa"/>
                  </w:tcMar>
                  <w:vAlign w:val="center"/>
                </w:tcPr>
                <w:p>
                  <w:pPr>
                    <w:pStyle w:val="16"/>
                    <w:spacing w:after="0" w:line="240" w:lineRule="auto"/>
                    <w:jc w:val="center"/>
                    <w:rPr>
                      <w:color w:val="auto"/>
                      <w:sz w:val="21"/>
                      <w:szCs w:val="21"/>
                      <w:highlight w:val="none"/>
                    </w:rPr>
                  </w:pPr>
                  <w:r>
                    <w:rPr>
                      <w:color w:val="auto"/>
                      <w:sz w:val="21"/>
                      <w:szCs w:val="21"/>
                      <w:highlight w:val="none"/>
                    </w:rPr>
                    <w:t>本项目距离</w:t>
                  </w:r>
                  <w:r>
                    <w:rPr>
                      <w:rFonts w:hint="eastAsia"/>
                      <w:color w:val="auto"/>
                      <w:sz w:val="21"/>
                      <w:szCs w:val="21"/>
                      <w:highlight w:val="none"/>
                    </w:rPr>
                    <w:t>青衣江1.4km</w:t>
                  </w:r>
                  <w:r>
                    <w:rPr>
                      <w:color w:val="auto"/>
                      <w:sz w:val="21"/>
                      <w:szCs w:val="21"/>
                      <w:highlight w:val="none"/>
                    </w:rPr>
                    <w:t>，不属于“岷江干流、沱江干流、赤水河干流、嘉陵江干流、雅砻江干流”。</w:t>
                  </w:r>
                </w:p>
                <w:p>
                  <w:pPr>
                    <w:pStyle w:val="16"/>
                    <w:spacing w:after="0" w:line="240" w:lineRule="auto"/>
                    <w:jc w:val="center"/>
                    <w:rPr>
                      <w:color w:val="auto"/>
                      <w:sz w:val="21"/>
                      <w:szCs w:val="21"/>
                      <w:highlight w:val="none"/>
                    </w:rPr>
                  </w:pPr>
                  <w:r>
                    <w:rPr>
                      <w:color w:val="auto"/>
                      <w:sz w:val="21"/>
                      <w:szCs w:val="21"/>
                      <w:highlight w:val="none"/>
                    </w:rPr>
                    <w:t>本项目为</w:t>
                  </w:r>
                  <w:r>
                    <w:rPr>
                      <w:rFonts w:hint="eastAsia"/>
                      <w:color w:val="auto"/>
                      <w:sz w:val="21"/>
                      <w:szCs w:val="21"/>
                      <w:highlight w:val="none"/>
                    </w:rPr>
                    <w:t>沥青混凝土拌和站项</w:t>
                  </w:r>
                  <w:r>
                    <w:rPr>
                      <w:color w:val="auto"/>
                      <w:sz w:val="21"/>
                      <w:szCs w:val="21"/>
                      <w:highlight w:val="none"/>
                    </w:rPr>
                    <w:t>目，属于C3099其他非金属矿物制品制造，不属于化工项目。</w:t>
                  </w:r>
                </w:p>
              </w:tc>
              <w:tc>
                <w:tcPr>
                  <w:tcW w:w="616" w:type="dxa"/>
                  <w:noWrap w:val="0"/>
                  <w:tcMar>
                    <w:top w:w="15" w:type="dxa"/>
                    <w:left w:w="15" w:type="dxa"/>
                    <w:right w:w="15" w:type="dxa"/>
                  </w:tcMar>
                  <w:vAlign w:val="center"/>
                </w:tcPr>
                <w:p>
                  <w:pPr>
                    <w:pStyle w:val="16"/>
                    <w:spacing w:after="0" w:line="240" w:lineRule="auto"/>
                    <w:jc w:val="center"/>
                    <w:rPr>
                      <w:color w:val="auto"/>
                      <w:sz w:val="21"/>
                      <w:szCs w:val="21"/>
                      <w:highlight w:val="none"/>
                    </w:rPr>
                  </w:pPr>
                  <w:r>
                    <w:rPr>
                      <w:color w:val="auto"/>
                      <w:sz w:val="21"/>
                      <w:szCs w:val="21"/>
                      <w:highlight w:val="none"/>
                    </w:rPr>
                    <w:t>符合</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537" w:type="dxa"/>
                  <w:noWrap w:val="0"/>
                  <w:tcMar>
                    <w:top w:w="15" w:type="dxa"/>
                    <w:left w:w="15" w:type="dxa"/>
                    <w:right w:w="15" w:type="dxa"/>
                  </w:tcMar>
                  <w:vAlign w:val="center"/>
                </w:tcPr>
                <w:p>
                  <w:pPr>
                    <w:pStyle w:val="16"/>
                    <w:spacing w:after="0" w:line="240" w:lineRule="auto"/>
                    <w:jc w:val="center"/>
                    <w:rPr>
                      <w:color w:val="auto"/>
                      <w:sz w:val="21"/>
                      <w:szCs w:val="21"/>
                      <w:highlight w:val="none"/>
                    </w:rPr>
                  </w:pPr>
                  <w:r>
                    <w:rPr>
                      <w:color w:val="auto"/>
                      <w:sz w:val="21"/>
                      <w:szCs w:val="21"/>
                      <w:highlight w:val="none"/>
                    </w:rPr>
                    <w:t>2</w:t>
                  </w:r>
                </w:p>
              </w:tc>
              <w:tc>
                <w:tcPr>
                  <w:tcW w:w="2948" w:type="dxa"/>
                  <w:noWrap w:val="0"/>
                  <w:tcMar>
                    <w:top w:w="15" w:type="dxa"/>
                    <w:left w:w="15" w:type="dxa"/>
                    <w:right w:w="15" w:type="dxa"/>
                  </w:tcMar>
                  <w:vAlign w:val="center"/>
                </w:tcPr>
                <w:p>
                  <w:pPr>
                    <w:pStyle w:val="16"/>
                    <w:spacing w:after="0" w:line="240" w:lineRule="auto"/>
                    <w:jc w:val="center"/>
                    <w:rPr>
                      <w:color w:val="auto"/>
                      <w:sz w:val="21"/>
                      <w:szCs w:val="21"/>
                      <w:highlight w:val="none"/>
                    </w:rPr>
                  </w:pPr>
                  <w:r>
                    <w:rPr>
                      <w:color w:val="auto"/>
                      <w:sz w:val="21"/>
                      <w:szCs w:val="21"/>
                      <w:highlight w:val="none"/>
                    </w:rPr>
                    <w:t>禁止在合规园区外新建、扩建钢铁、石化、化工、焦化、建材、有色等高污染项目。合规园区指列入《中国开发区审核公告目录（2018 年版）》或是由省级人民政府批准设立的园区。高污染项目应严格按照《环境保护综合名录（2017 年版）》“高污染”产品名录执行</w:t>
                  </w:r>
                </w:p>
              </w:tc>
              <w:tc>
                <w:tcPr>
                  <w:tcW w:w="2524" w:type="dxa"/>
                  <w:noWrap w:val="0"/>
                  <w:tcMar>
                    <w:top w:w="15" w:type="dxa"/>
                    <w:left w:w="15" w:type="dxa"/>
                    <w:right w:w="15" w:type="dxa"/>
                  </w:tcMar>
                  <w:vAlign w:val="center"/>
                </w:tcPr>
                <w:p>
                  <w:pPr>
                    <w:pStyle w:val="16"/>
                    <w:spacing w:after="0" w:line="240" w:lineRule="auto"/>
                    <w:jc w:val="center"/>
                    <w:rPr>
                      <w:color w:val="auto"/>
                      <w:sz w:val="21"/>
                      <w:szCs w:val="21"/>
                      <w:highlight w:val="none"/>
                    </w:rPr>
                  </w:pPr>
                  <w:r>
                    <w:rPr>
                      <w:color w:val="auto"/>
                      <w:sz w:val="21"/>
                      <w:szCs w:val="21"/>
                      <w:highlight w:val="none"/>
                    </w:rPr>
                    <w:t>本项目属于C3099其他非金属矿物制品制造，根据《环境保护综合名录（20</w:t>
                  </w:r>
                  <w:r>
                    <w:rPr>
                      <w:rFonts w:hint="eastAsia"/>
                      <w:color w:val="auto"/>
                      <w:sz w:val="21"/>
                      <w:szCs w:val="21"/>
                      <w:highlight w:val="none"/>
                    </w:rPr>
                    <w:t>21</w:t>
                  </w:r>
                  <w:r>
                    <w:rPr>
                      <w:color w:val="auto"/>
                      <w:sz w:val="21"/>
                      <w:szCs w:val="21"/>
                      <w:highlight w:val="none"/>
                    </w:rPr>
                    <w:t xml:space="preserve"> 年版）》“高污染”产品名录该行业类别只有“活性白土（半湿法、逆流洗涤废酸综合利用工艺除外）”属于高污染项目，因此，本项目不属于高污染项目</w:t>
                  </w:r>
                </w:p>
              </w:tc>
              <w:tc>
                <w:tcPr>
                  <w:tcW w:w="616" w:type="dxa"/>
                  <w:noWrap w:val="0"/>
                  <w:tcMar>
                    <w:top w:w="15" w:type="dxa"/>
                    <w:left w:w="15" w:type="dxa"/>
                    <w:right w:w="15" w:type="dxa"/>
                  </w:tcMar>
                  <w:vAlign w:val="center"/>
                </w:tcPr>
                <w:p>
                  <w:pPr>
                    <w:pStyle w:val="16"/>
                    <w:spacing w:after="0" w:line="240" w:lineRule="auto"/>
                    <w:jc w:val="center"/>
                    <w:rPr>
                      <w:color w:val="auto"/>
                      <w:sz w:val="21"/>
                      <w:szCs w:val="21"/>
                      <w:highlight w:val="none"/>
                    </w:rPr>
                  </w:pPr>
                  <w:r>
                    <w:rPr>
                      <w:color w:val="auto"/>
                      <w:sz w:val="21"/>
                      <w:szCs w:val="21"/>
                      <w:highlight w:val="none"/>
                    </w:rPr>
                    <w:t>符合</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537" w:type="dxa"/>
                  <w:noWrap w:val="0"/>
                  <w:tcMar>
                    <w:top w:w="15" w:type="dxa"/>
                    <w:left w:w="15" w:type="dxa"/>
                    <w:right w:w="15" w:type="dxa"/>
                  </w:tcMar>
                  <w:vAlign w:val="center"/>
                </w:tcPr>
                <w:p>
                  <w:pPr>
                    <w:pStyle w:val="16"/>
                    <w:spacing w:after="0" w:line="240" w:lineRule="auto"/>
                    <w:jc w:val="center"/>
                    <w:rPr>
                      <w:color w:val="auto"/>
                      <w:sz w:val="21"/>
                      <w:szCs w:val="21"/>
                      <w:highlight w:val="none"/>
                    </w:rPr>
                  </w:pPr>
                  <w:r>
                    <w:rPr>
                      <w:color w:val="auto"/>
                      <w:sz w:val="21"/>
                      <w:szCs w:val="21"/>
                      <w:highlight w:val="none"/>
                    </w:rPr>
                    <w:t>3</w:t>
                  </w:r>
                </w:p>
              </w:tc>
              <w:tc>
                <w:tcPr>
                  <w:tcW w:w="2948" w:type="dxa"/>
                  <w:noWrap w:val="0"/>
                  <w:tcMar>
                    <w:top w:w="15" w:type="dxa"/>
                    <w:left w:w="15" w:type="dxa"/>
                    <w:right w:w="15" w:type="dxa"/>
                  </w:tcMar>
                  <w:vAlign w:val="center"/>
                </w:tcPr>
                <w:p>
                  <w:pPr>
                    <w:pStyle w:val="16"/>
                    <w:spacing w:after="0" w:line="240" w:lineRule="auto"/>
                    <w:jc w:val="center"/>
                    <w:rPr>
                      <w:color w:val="auto"/>
                      <w:sz w:val="21"/>
                      <w:szCs w:val="21"/>
                      <w:highlight w:val="none"/>
                    </w:rPr>
                  </w:pPr>
                  <w:r>
                    <w:rPr>
                      <w:color w:val="auto"/>
                      <w:sz w:val="21"/>
                      <w:szCs w:val="21"/>
                      <w:highlight w:val="none"/>
                    </w:rPr>
                    <w:t>禁止新建、扩建法律法规和相关政策明令禁止的落后产能项目。对《产业结构调整指导目录》中淘汰类项目，禁止投资；限制类的新建项目，禁止投资，对属于限制类的现有生产能力，允许企业在一定期限内采取措施改造升级</w:t>
                  </w:r>
                </w:p>
              </w:tc>
              <w:tc>
                <w:tcPr>
                  <w:tcW w:w="2524" w:type="dxa"/>
                  <w:noWrap w:val="0"/>
                  <w:tcMar>
                    <w:top w:w="15" w:type="dxa"/>
                    <w:left w:w="15" w:type="dxa"/>
                    <w:right w:w="15" w:type="dxa"/>
                  </w:tcMar>
                  <w:vAlign w:val="center"/>
                </w:tcPr>
                <w:p>
                  <w:pPr>
                    <w:pStyle w:val="16"/>
                    <w:spacing w:after="0" w:line="240" w:lineRule="auto"/>
                    <w:jc w:val="center"/>
                    <w:rPr>
                      <w:color w:val="auto"/>
                      <w:sz w:val="21"/>
                      <w:szCs w:val="21"/>
                      <w:highlight w:val="none"/>
                    </w:rPr>
                  </w:pPr>
                  <w:r>
                    <w:rPr>
                      <w:color w:val="auto"/>
                      <w:sz w:val="21"/>
                      <w:szCs w:val="21"/>
                      <w:highlight w:val="none"/>
                    </w:rPr>
                    <w:t>本项目不属于《产业结构调整指导目录（2019 年本）》中的鼓励类、淘汰类及限制类项目，视为允许类</w:t>
                  </w:r>
                </w:p>
              </w:tc>
              <w:tc>
                <w:tcPr>
                  <w:tcW w:w="616" w:type="dxa"/>
                  <w:noWrap w:val="0"/>
                  <w:tcMar>
                    <w:top w:w="15" w:type="dxa"/>
                    <w:left w:w="15" w:type="dxa"/>
                    <w:right w:w="15" w:type="dxa"/>
                  </w:tcMar>
                  <w:vAlign w:val="center"/>
                </w:tcPr>
                <w:p>
                  <w:pPr>
                    <w:pStyle w:val="16"/>
                    <w:spacing w:after="0" w:line="240" w:lineRule="auto"/>
                    <w:jc w:val="center"/>
                    <w:rPr>
                      <w:color w:val="auto"/>
                      <w:sz w:val="21"/>
                      <w:szCs w:val="21"/>
                      <w:highlight w:val="none"/>
                    </w:rPr>
                  </w:pPr>
                  <w:r>
                    <w:rPr>
                      <w:color w:val="auto"/>
                      <w:sz w:val="21"/>
                      <w:szCs w:val="21"/>
                      <w:highlight w:val="none"/>
                    </w:rPr>
                    <w:t>符合</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537" w:type="dxa"/>
                  <w:noWrap w:val="0"/>
                  <w:tcMar>
                    <w:top w:w="15" w:type="dxa"/>
                    <w:left w:w="15" w:type="dxa"/>
                    <w:right w:w="15" w:type="dxa"/>
                  </w:tcMar>
                  <w:vAlign w:val="center"/>
                </w:tcPr>
                <w:p>
                  <w:pPr>
                    <w:pStyle w:val="16"/>
                    <w:spacing w:after="0" w:line="240" w:lineRule="auto"/>
                    <w:jc w:val="center"/>
                    <w:rPr>
                      <w:color w:val="auto"/>
                      <w:sz w:val="21"/>
                      <w:szCs w:val="21"/>
                      <w:highlight w:val="none"/>
                    </w:rPr>
                  </w:pPr>
                  <w:r>
                    <w:rPr>
                      <w:color w:val="auto"/>
                      <w:sz w:val="21"/>
                      <w:szCs w:val="21"/>
                      <w:highlight w:val="none"/>
                    </w:rPr>
                    <w:t>4</w:t>
                  </w:r>
                </w:p>
              </w:tc>
              <w:tc>
                <w:tcPr>
                  <w:tcW w:w="2948" w:type="dxa"/>
                  <w:noWrap w:val="0"/>
                  <w:tcMar>
                    <w:top w:w="15" w:type="dxa"/>
                    <w:left w:w="15" w:type="dxa"/>
                    <w:right w:w="15" w:type="dxa"/>
                  </w:tcMar>
                  <w:vAlign w:val="center"/>
                </w:tcPr>
                <w:p>
                  <w:pPr>
                    <w:pStyle w:val="16"/>
                    <w:spacing w:after="0" w:line="240" w:lineRule="auto"/>
                    <w:jc w:val="center"/>
                    <w:rPr>
                      <w:color w:val="auto"/>
                      <w:sz w:val="21"/>
                      <w:szCs w:val="21"/>
                      <w:highlight w:val="none"/>
                    </w:rPr>
                  </w:pPr>
                  <w:r>
                    <w:rPr>
                      <w:color w:val="auto"/>
                      <w:sz w:val="21"/>
                      <w:szCs w:val="21"/>
                      <w:highlight w:val="none"/>
                    </w:rPr>
                    <w:t>禁止新建、扩建不符合国家产能置换要求的严重过剩产能行业的项目。对于不符合国家产能置换要求的严重过剩产能行业，不得以其他任何名义、任何方式备案新增产能项目</w:t>
                  </w:r>
                </w:p>
              </w:tc>
              <w:tc>
                <w:tcPr>
                  <w:tcW w:w="2524" w:type="dxa"/>
                  <w:noWrap w:val="0"/>
                  <w:tcMar>
                    <w:top w:w="15" w:type="dxa"/>
                    <w:left w:w="15" w:type="dxa"/>
                    <w:right w:w="15" w:type="dxa"/>
                  </w:tcMar>
                  <w:vAlign w:val="center"/>
                </w:tcPr>
                <w:p>
                  <w:pPr>
                    <w:pStyle w:val="16"/>
                    <w:spacing w:after="0" w:line="240" w:lineRule="auto"/>
                    <w:jc w:val="center"/>
                    <w:rPr>
                      <w:color w:val="auto"/>
                      <w:sz w:val="21"/>
                      <w:szCs w:val="21"/>
                      <w:highlight w:val="none"/>
                    </w:rPr>
                  </w:pPr>
                  <w:r>
                    <w:rPr>
                      <w:color w:val="auto"/>
                      <w:sz w:val="21"/>
                      <w:szCs w:val="21"/>
                      <w:highlight w:val="none"/>
                    </w:rPr>
                    <w:t>本项目属于C3099其他非金属矿物制品制造，不属于严重过剩产能行业的项目</w:t>
                  </w:r>
                </w:p>
              </w:tc>
              <w:tc>
                <w:tcPr>
                  <w:tcW w:w="616" w:type="dxa"/>
                  <w:noWrap w:val="0"/>
                  <w:tcMar>
                    <w:top w:w="15" w:type="dxa"/>
                    <w:left w:w="15" w:type="dxa"/>
                    <w:right w:w="15" w:type="dxa"/>
                  </w:tcMar>
                  <w:vAlign w:val="center"/>
                </w:tcPr>
                <w:p>
                  <w:pPr>
                    <w:pStyle w:val="16"/>
                    <w:spacing w:after="0" w:line="240" w:lineRule="auto"/>
                    <w:jc w:val="center"/>
                    <w:rPr>
                      <w:color w:val="auto"/>
                      <w:sz w:val="21"/>
                      <w:szCs w:val="21"/>
                      <w:highlight w:val="none"/>
                    </w:rPr>
                  </w:pPr>
                  <w:r>
                    <w:rPr>
                      <w:color w:val="auto"/>
                      <w:sz w:val="21"/>
                      <w:szCs w:val="21"/>
                      <w:highlight w:val="none"/>
                    </w:rPr>
                    <w:t>符合</w:t>
                  </w:r>
                </w:p>
              </w:tc>
            </w:tr>
          </w:tbl>
          <w:p>
            <w:pPr>
              <w:pStyle w:val="16"/>
              <w:spacing w:after="0" w:line="360" w:lineRule="auto"/>
              <w:ind w:firstLine="480"/>
              <w:rPr>
                <w:color w:val="auto"/>
                <w:sz w:val="24"/>
                <w:szCs w:val="24"/>
                <w:highlight w:val="none"/>
              </w:rPr>
            </w:pPr>
            <w:r>
              <w:rPr>
                <w:color w:val="auto"/>
                <w:sz w:val="24"/>
                <w:szCs w:val="24"/>
                <w:highlight w:val="none"/>
              </w:rPr>
              <w:t>根据上表，本项目与《四川省长江经济带发展负面清单实施细则（试行）》相符合。</w:t>
            </w:r>
          </w:p>
          <w:p>
            <w:pPr>
              <w:pStyle w:val="16"/>
              <w:spacing w:after="0" w:line="360" w:lineRule="auto"/>
              <w:ind w:firstLine="480"/>
              <w:rPr>
                <w:b/>
                <w:bCs/>
                <w:color w:val="auto"/>
                <w:sz w:val="24"/>
                <w:szCs w:val="24"/>
                <w:highlight w:val="none"/>
              </w:rPr>
            </w:pPr>
            <w:r>
              <w:rPr>
                <w:b/>
                <w:bCs/>
                <w:color w:val="auto"/>
                <w:sz w:val="24"/>
                <w:szCs w:val="24"/>
                <w:highlight w:val="none"/>
              </w:rPr>
              <w:t>（</w:t>
            </w:r>
            <w:r>
              <w:rPr>
                <w:rFonts w:hint="eastAsia"/>
                <w:b/>
                <w:bCs/>
                <w:color w:val="auto"/>
                <w:sz w:val="24"/>
                <w:szCs w:val="24"/>
                <w:highlight w:val="none"/>
              </w:rPr>
              <w:t>2</w:t>
            </w:r>
            <w:r>
              <w:rPr>
                <w:b/>
                <w:bCs/>
                <w:color w:val="auto"/>
                <w:sz w:val="24"/>
                <w:szCs w:val="24"/>
                <w:highlight w:val="none"/>
              </w:rPr>
              <w:t>）与《长江经济带生态环境保护规划》、《长江经济带发展清单指南（试行）》、《中华人民共和国长江保护法》的符合性分析</w:t>
            </w:r>
          </w:p>
          <w:p>
            <w:pPr>
              <w:pStyle w:val="16"/>
              <w:spacing w:before="0" w:after="0" w:line="360" w:lineRule="auto"/>
              <w:ind w:right="0"/>
              <w:jc w:val="center"/>
              <w:rPr>
                <w:b/>
                <w:bCs/>
                <w:color w:val="auto"/>
                <w:sz w:val="24"/>
                <w:szCs w:val="24"/>
                <w:highlight w:val="none"/>
              </w:rPr>
            </w:pPr>
            <w:r>
              <w:rPr>
                <w:b/>
                <w:bCs/>
                <w:color w:val="auto"/>
                <w:sz w:val="24"/>
                <w:szCs w:val="24"/>
                <w:highlight w:val="none"/>
              </w:rPr>
              <w:t>表1-</w:t>
            </w:r>
            <w:r>
              <w:rPr>
                <w:rFonts w:hint="eastAsia"/>
                <w:b/>
                <w:bCs/>
                <w:color w:val="auto"/>
                <w:sz w:val="24"/>
                <w:szCs w:val="24"/>
                <w:highlight w:val="none"/>
              </w:rPr>
              <w:t>7</w:t>
            </w:r>
            <w:r>
              <w:rPr>
                <w:b/>
                <w:bCs/>
                <w:color w:val="auto"/>
                <w:sz w:val="24"/>
                <w:szCs w:val="24"/>
                <w:highlight w:val="none"/>
              </w:rPr>
              <w:t xml:space="preserve">  相关规划符合性分析</w:t>
            </w:r>
          </w:p>
          <w:tbl>
            <w:tblPr>
              <w:tblStyle w:val="39"/>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67"/>
              <w:gridCol w:w="3697"/>
              <w:gridCol w:w="1641"/>
              <w:gridCol w:w="52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67" w:type="dxa"/>
                  <w:noWrap w:val="0"/>
                  <w:vAlign w:val="center"/>
                </w:tcPr>
                <w:p>
                  <w:pPr>
                    <w:pStyle w:val="16"/>
                    <w:spacing w:after="0" w:line="240" w:lineRule="auto"/>
                    <w:jc w:val="center"/>
                    <w:rPr>
                      <w:b/>
                      <w:bCs/>
                      <w:color w:val="auto"/>
                      <w:sz w:val="21"/>
                      <w:szCs w:val="21"/>
                      <w:highlight w:val="none"/>
                    </w:rPr>
                  </w:pPr>
                  <w:r>
                    <w:rPr>
                      <w:b/>
                      <w:bCs/>
                      <w:color w:val="auto"/>
                      <w:sz w:val="21"/>
                      <w:szCs w:val="21"/>
                      <w:highlight w:val="none"/>
                    </w:rPr>
                    <w:t>规划或政策名称</w:t>
                  </w:r>
                </w:p>
              </w:tc>
              <w:tc>
                <w:tcPr>
                  <w:tcW w:w="3697" w:type="dxa"/>
                  <w:noWrap w:val="0"/>
                  <w:vAlign w:val="center"/>
                </w:tcPr>
                <w:p>
                  <w:pPr>
                    <w:pStyle w:val="16"/>
                    <w:spacing w:after="0" w:line="240" w:lineRule="auto"/>
                    <w:jc w:val="center"/>
                    <w:rPr>
                      <w:b/>
                      <w:bCs/>
                      <w:color w:val="auto"/>
                      <w:sz w:val="21"/>
                      <w:szCs w:val="21"/>
                      <w:highlight w:val="none"/>
                    </w:rPr>
                  </w:pPr>
                  <w:r>
                    <w:rPr>
                      <w:b/>
                      <w:bCs/>
                      <w:color w:val="auto"/>
                      <w:sz w:val="21"/>
                      <w:szCs w:val="21"/>
                      <w:highlight w:val="none"/>
                    </w:rPr>
                    <w:t>规划或政策相关内容</w:t>
                  </w:r>
                </w:p>
              </w:tc>
              <w:tc>
                <w:tcPr>
                  <w:tcW w:w="1641" w:type="dxa"/>
                  <w:noWrap w:val="0"/>
                  <w:vAlign w:val="center"/>
                </w:tcPr>
                <w:p>
                  <w:pPr>
                    <w:pStyle w:val="16"/>
                    <w:spacing w:after="0" w:line="240" w:lineRule="auto"/>
                    <w:jc w:val="center"/>
                    <w:rPr>
                      <w:b/>
                      <w:bCs/>
                      <w:color w:val="auto"/>
                      <w:sz w:val="21"/>
                      <w:szCs w:val="21"/>
                      <w:highlight w:val="none"/>
                    </w:rPr>
                  </w:pPr>
                  <w:r>
                    <w:rPr>
                      <w:b/>
                      <w:bCs/>
                      <w:color w:val="auto"/>
                      <w:sz w:val="21"/>
                      <w:szCs w:val="21"/>
                      <w:highlight w:val="none"/>
                    </w:rPr>
                    <w:t>协调性分析</w:t>
                  </w:r>
                </w:p>
              </w:tc>
              <w:tc>
                <w:tcPr>
                  <w:tcW w:w="523" w:type="dxa"/>
                  <w:noWrap w:val="0"/>
                  <w:vAlign w:val="center"/>
                </w:tcPr>
                <w:p>
                  <w:pPr>
                    <w:pStyle w:val="16"/>
                    <w:spacing w:after="0" w:line="240" w:lineRule="auto"/>
                    <w:jc w:val="center"/>
                    <w:rPr>
                      <w:b/>
                      <w:bCs/>
                      <w:color w:val="auto"/>
                      <w:sz w:val="21"/>
                      <w:szCs w:val="21"/>
                      <w:highlight w:val="none"/>
                    </w:rPr>
                  </w:pPr>
                  <w:r>
                    <w:rPr>
                      <w:b/>
                      <w:bCs/>
                      <w:color w:val="auto"/>
                      <w:sz w:val="21"/>
                      <w:szCs w:val="21"/>
                      <w:highlight w:val="none"/>
                    </w:rPr>
                    <w:t>相符性判断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67" w:type="dxa"/>
                  <w:noWrap w:val="0"/>
                  <w:vAlign w:val="center"/>
                </w:tcPr>
                <w:p>
                  <w:pPr>
                    <w:pStyle w:val="16"/>
                    <w:spacing w:after="0" w:line="240" w:lineRule="auto"/>
                    <w:jc w:val="center"/>
                    <w:rPr>
                      <w:color w:val="auto"/>
                      <w:sz w:val="21"/>
                      <w:szCs w:val="21"/>
                      <w:highlight w:val="none"/>
                    </w:rPr>
                  </w:pPr>
                  <w:r>
                    <w:rPr>
                      <w:color w:val="auto"/>
                      <w:sz w:val="21"/>
                      <w:szCs w:val="21"/>
                      <w:highlight w:val="none"/>
                    </w:rPr>
                    <w:t>《长江经济带生态环境保护规划》</w:t>
                  </w:r>
                </w:p>
              </w:tc>
              <w:tc>
                <w:tcPr>
                  <w:tcW w:w="3697" w:type="dxa"/>
                  <w:noWrap w:val="0"/>
                  <w:vAlign w:val="center"/>
                </w:tcPr>
                <w:p>
                  <w:pPr>
                    <w:pStyle w:val="16"/>
                    <w:spacing w:after="0" w:line="240" w:lineRule="auto"/>
                    <w:jc w:val="center"/>
                    <w:rPr>
                      <w:color w:val="auto"/>
                      <w:sz w:val="21"/>
                      <w:szCs w:val="21"/>
                      <w:highlight w:val="none"/>
                    </w:rPr>
                  </w:pPr>
                  <w:r>
                    <w:rPr>
                      <w:color w:val="auto"/>
                      <w:sz w:val="21"/>
                      <w:szCs w:val="21"/>
                      <w:highlight w:val="none"/>
                    </w:rPr>
                    <w:t>压缩水泥等行业过剩产能，限制高硫分、高灰分煤炭开采使用，加快川南地区城市产业升级改造。</w:t>
                  </w:r>
                </w:p>
                <w:p>
                  <w:pPr>
                    <w:pStyle w:val="16"/>
                    <w:spacing w:after="0" w:line="240" w:lineRule="auto"/>
                    <w:jc w:val="center"/>
                    <w:rPr>
                      <w:color w:val="auto"/>
                      <w:sz w:val="21"/>
                      <w:szCs w:val="21"/>
                      <w:highlight w:val="none"/>
                    </w:rPr>
                  </w:pPr>
                  <w:r>
                    <w:rPr>
                      <w:color w:val="auto"/>
                      <w:sz w:val="21"/>
                      <w:szCs w:val="21"/>
                      <w:highlight w:val="none"/>
                    </w:rPr>
                    <w:t>不符合要求占用岸线、河段、土地和布局的产业，必须无条件退出。除在建项目外，严禁在干流及主要支流岸线1公里范围内布局新建重化工园区，严控在中上游沿岸地区新建石油化工和煤化工项目。严控下游高污染、高排放企业向上游转移。</w:t>
                  </w:r>
                </w:p>
                <w:p>
                  <w:pPr>
                    <w:pStyle w:val="16"/>
                    <w:spacing w:after="0" w:line="240" w:lineRule="auto"/>
                    <w:jc w:val="center"/>
                    <w:rPr>
                      <w:color w:val="auto"/>
                      <w:sz w:val="21"/>
                      <w:szCs w:val="21"/>
                      <w:highlight w:val="none"/>
                    </w:rPr>
                  </w:pPr>
                  <w:r>
                    <w:rPr>
                      <w:color w:val="auto"/>
                      <w:sz w:val="21"/>
                      <w:szCs w:val="21"/>
                      <w:highlight w:val="none"/>
                    </w:rPr>
                    <w:t>立足当地资源环境承载能力，优化产业布局和规模，严格禁止污染型产业、企业向中上游地区转移，切实防止环境风险聚集。禁止在长江干流自然保护区、风景名胜区、“四大家鱼”产卵场等管控重点区域新建工业类和污染类项目，现有高风险企业实施限期治理。</w:t>
                  </w:r>
                </w:p>
                <w:p>
                  <w:pPr>
                    <w:pStyle w:val="16"/>
                    <w:spacing w:after="0" w:line="240" w:lineRule="auto"/>
                    <w:jc w:val="center"/>
                    <w:rPr>
                      <w:color w:val="auto"/>
                      <w:sz w:val="21"/>
                      <w:szCs w:val="21"/>
                      <w:highlight w:val="none"/>
                    </w:rPr>
                  </w:pPr>
                  <w:r>
                    <w:rPr>
                      <w:color w:val="auto"/>
                      <w:sz w:val="21"/>
                      <w:szCs w:val="21"/>
                      <w:highlight w:val="none"/>
                    </w:rPr>
                    <w:t>严格落实十大重点行业新建、改建、扩建项目主要水污染物排放等量或减量置换要求。加快布局分散的企业向工业园区集中，有序推动工业园区水污染集中治理工作。</w:t>
                  </w:r>
                </w:p>
                <w:p>
                  <w:pPr>
                    <w:pStyle w:val="16"/>
                    <w:spacing w:after="0" w:line="240" w:lineRule="auto"/>
                    <w:jc w:val="center"/>
                    <w:rPr>
                      <w:color w:val="auto"/>
                      <w:sz w:val="21"/>
                      <w:szCs w:val="21"/>
                      <w:highlight w:val="none"/>
                    </w:rPr>
                  </w:pPr>
                  <w:r>
                    <w:rPr>
                      <w:color w:val="auto"/>
                      <w:sz w:val="21"/>
                      <w:szCs w:val="21"/>
                      <w:highlight w:val="none"/>
                    </w:rPr>
                    <w:t>对总磷超标的地区实施总磷总量控制，包括贵州黔南布依族苗族自治州、黔东南苗族侗族自治州，湖北潜江市、荆门市、十堰市，湖南常德市、益阳市、岳阳市，江西南昌市、九江市，四川宜宾市、泸州市、眉山市、乐山市、成都市、德阳市、资阳市，云南玉溪市等。集中推进三峡库区及其上游、长江干流湖南和湖北段、沱江、岷江、乌江等河段总磷污染防治。</w:t>
                  </w:r>
                </w:p>
                <w:p>
                  <w:pPr>
                    <w:pStyle w:val="16"/>
                    <w:spacing w:after="0" w:line="240" w:lineRule="auto"/>
                    <w:jc w:val="center"/>
                    <w:rPr>
                      <w:color w:val="auto"/>
                      <w:sz w:val="21"/>
                      <w:szCs w:val="21"/>
                      <w:highlight w:val="none"/>
                    </w:rPr>
                  </w:pPr>
                  <w:r>
                    <w:rPr>
                      <w:color w:val="auto"/>
                      <w:sz w:val="21"/>
                      <w:szCs w:val="21"/>
                      <w:highlight w:val="none"/>
                    </w:rPr>
                    <w:t>禁止在长江干流自然保护区、风景名胜区、“四大家鱼”产卵场等管控重点区域新建工业类和污染类项目，现有高风险企业实施限期治理。</w:t>
                  </w:r>
                </w:p>
              </w:tc>
              <w:tc>
                <w:tcPr>
                  <w:tcW w:w="1641" w:type="dxa"/>
                  <w:noWrap w:val="0"/>
                  <w:vAlign w:val="center"/>
                </w:tcPr>
                <w:p>
                  <w:pPr>
                    <w:pStyle w:val="16"/>
                    <w:spacing w:after="0" w:line="240" w:lineRule="auto"/>
                    <w:jc w:val="center"/>
                    <w:rPr>
                      <w:color w:val="auto"/>
                      <w:sz w:val="21"/>
                      <w:szCs w:val="21"/>
                      <w:highlight w:val="none"/>
                    </w:rPr>
                  </w:pPr>
                  <w:r>
                    <w:rPr>
                      <w:color w:val="auto"/>
                      <w:sz w:val="21"/>
                      <w:szCs w:val="21"/>
                      <w:highlight w:val="none"/>
                    </w:rPr>
                    <w:t>本项目不属于过剩产能和高污染、高排放项目。</w:t>
                  </w:r>
                </w:p>
                <w:p>
                  <w:pPr>
                    <w:pStyle w:val="16"/>
                    <w:spacing w:after="0" w:line="240" w:lineRule="auto"/>
                    <w:jc w:val="center"/>
                    <w:rPr>
                      <w:color w:val="auto"/>
                      <w:sz w:val="21"/>
                      <w:szCs w:val="21"/>
                      <w:highlight w:val="none"/>
                    </w:rPr>
                  </w:pPr>
                  <w:r>
                    <w:rPr>
                      <w:color w:val="auto"/>
                      <w:sz w:val="21"/>
                      <w:szCs w:val="21"/>
                      <w:highlight w:val="none"/>
                    </w:rPr>
                    <w:t>项目不涉长江干流自然保护区、风景名胜区、“四大家鱼”产卵场等管控重点区域。</w:t>
                  </w:r>
                </w:p>
                <w:p>
                  <w:pPr>
                    <w:pStyle w:val="16"/>
                    <w:spacing w:after="0" w:line="240" w:lineRule="auto"/>
                    <w:jc w:val="center"/>
                    <w:rPr>
                      <w:color w:val="auto"/>
                      <w:sz w:val="21"/>
                      <w:szCs w:val="21"/>
                      <w:highlight w:val="none"/>
                    </w:rPr>
                  </w:pPr>
                  <w:r>
                    <w:rPr>
                      <w:color w:val="auto"/>
                      <w:sz w:val="21"/>
                      <w:szCs w:val="21"/>
                      <w:highlight w:val="none"/>
                    </w:rPr>
                    <w:t>项目不属于十大重点行业，不涉及工业废水排放</w:t>
                  </w:r>
                </w:p>
              </w:tc>
              <w:tc>
                <w:tcPr>
                  <w:tcW w:w="523" w:type="dxa"/>
                  <w:noWrap w:val="0"/>
                  <w:vAlign w:val="center"/>
                </w:tcPr>
                <w:p>
                  <w:pPr>
                    <w:pStyle w:val="16"/>
                    <w:spacing w:after="0" w:line="240" w:lineRule="auto"/>
                    <w:jc w:val="center"/>
                    <w:rPr>
                      <w:color w:val="auto"/>
                      <w:sz w:val="21"/>
                      <w:szCs w:val="21"/>
                      <w:highlight w:val="none"/>
                    </w:rPr>
                  </w:pPr>
                  <w:r>
                    <w:rPr>
                      <w:color w:val="auto"/>
                      <w:sz w:val="21"/>
                      <w:szCs w:val="21"/>
                      <w:highlight w:val="none"/>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67" w:type="dxa"/>
                  <w:noWrap w:val="0"/>
                  <w:vAlign w:val="center"/>
                </w:tcPr>
                <w:p>
                  <w:pPr>
                    <w:pStyle w:val="16"/>
                    <w:spacing w:after="0" w:line="240" w:lineRule="auto"/>
                    <w:jc w:val="center"/>
                    <w:rPr>
                      <w:color w:val="auto"/>
                      <w:sz w:val="21"/>
                      <w:szCs w:val="21"/>
                      <w:highlight w:val="none"/>
                    </w:rPr>
                  </w:pPr>
                  <w:r>
                    <w:rPr>
                      <w:color w:val="auto"/>
                      <w:sz w:val="21"/>
                      <w:szCs w:val="21"/>
                      <w:highlight w:val="none"/>
                    </w:rPr>
                    <w:t>《长江经济带发展清单指南（试行）》</w:t>
                  </w:r>
                </w:p>
              </w:tc>
              <w:tc>
                <w:tcPr>
                  <w:tcW w:w="3697" w:type="dxa"/>
                  <w:noWrap w:val="0"/>
                  <w:vAlign w:val="center"/>
                </w:tcPr>
                <w:p>
                  <w:pPr>
                    <w:pStyle w:val="16"/>
                    <w:spacing w:after="0" w:line="240" w:lineRule="auto"/>
                    <w:jc w:val="center"/>
                    <w:rPr>
                      <w:color w:val="auto"/>
                      <w:sz w:val="21"/>
                      <w:szCs w:val="21"/>
                      <w:highlight w:val="none"/>
                    </w:rPr>
                  </w:pPr>
                  <w:r>
                    <w:rPr>
                      <w:color w:val="auto"/>
                      <w:sz w:val="21"/>
                      <w:szCs w:val="21"/>
                      <w:highlight w:val="none"/>
                    </w:rPr>
                    <w:t>“3、禁止在饮用水源一级保护区的岸线和河段范围内新建、改建、扩建与供水设施和保护水源无关的项目，以及网箱养殖、旅游等可能污染饮用水水体的投资建设项目。禁止在饮用水源二级保护区的岸线和河段范围内新建、改建、扩建排放污染物的投资建设项目。</w:t>
                  </w:r>
                </w:p>
                <w:p>
                  <w:pPr>
                    <w:pStyle w:val="16"/>
                    <w:spacing w:after="0" w:line="240" w:lineRule="auto"/>
                    <w:jc w:val="center"/>
                    <w:rPr>
                      <w:color w:val="auto"/>
                      <w:sz w:val="21"/>
                      <w:szCs w:val="21"/>
                      <w:highlight w:val="none"/>
                    </w:rPr>
                  </w:pPr>
                  <w:r>
                    <w:rPr>
                      <w:color w:val="auto"/>
                      <w:sz w:val="21"/>
                      <w:szCs w:val="21"/>
                      <w:highlight w:val="none"/>
                    </w:rPr>
                    <w:t>7、禁止在长江干支流1公里范围内新建、扩建化工园区和化工项目。禁止在合规园区外新建、扩建钢铁、石化、化工、焦化、建材、有色等高污染项目。”</w:t>
                  </w:r>
                </w:p>
              </w:tc>
              <w:tc>
                <w:tcPr>
                  <w:tcW w:w="1641" w:type="dxa"/>
                  <w:noWrap w:val="0"/>
                  <w:vAlign w:val="center"/>
                </w:tcPr>
                <w:p>
                  <w:pPr>
                    <w:pStyle w:val="16"/>
                    <w:spacing w:after="0" w:line="240" w:lineRule="auto"/>
                    <w:jc w:val="center"/>
                    <w:rPr>
                      <w:color w:val="auto"/>
                      <w:sz w:val="21"/>
                      <w:szCs w:val="21"/>
                      <w:highlight w:val="none"/>
                    </w:rPr>
                  </w:pPr>
                  <w:r>
                    <w:rPr>
                      <w:color w:val="auto"/>
                      <w:sz w:val="21"/>
                      <w:szCs w:val="21"/>
                      <w:highlight w:val="none"/>
                    </w:rPr>
                    <w:t>本项目属于C3099其他非金属矿物制品制造，根据《环境保护综合名录（20</w:t>
                  </w:r>
                  <w:r>
                    <w:rPr>
                      <w:rFonts w:hint="eastAsia"/>
                      <w:color w:val="auto"/>
                      <w:sz w:val="21"/>
                      <w:szCs w:val="21"/>
                      <w:highlight w:val="none"/>
                    </w:rPr>
                    <w:t>21</w:t>
                  </w:r>
                  <w:r>
                    <w:rPr>
                      <w:color w:val="auto"/>
                      <w:sz w:val="21"/>
                      <w:szCs w:val="21"/>
                      <w:highlight w:val="none"/>
                    </w:rPr>
                    <w:t xml:space="preserve"> 年版）》“高污染”产品名录该行业类别只有“活性白土（半湿法、逆流洗涤废酸综合利用工艺除外）”属于高污染项目，因此，本项目不属于高污染项目</w:t>
                  </w:r>
                </w:p>
              </w:tc>
              <w:tc>
                <w:tcPr>
                  <w:tcW w:w="523" w:type="dxa"/>
                  <w:noWrap w:val="0"/>
                  <w:vAlign w:val="center"/>
                </w:tcPr>
                <w:p>
                  <w:pPr>
                    <w:pStyle w:val="16"/>
                    <w:spacing w:after="0" w:line="240" w:lineRule="auto"/>
                    <w:jc w:val="center"/>
                    <w:rPr>
                      <w:color w:val="auto"/>
                      <w:sz w:val="21"/>
                      <w:szCs w:val="21"/>
                      <w:highlight w:val="none"/>
                    </w:rPr>
                  </w:pPr>
                  <w:r>
                    <w:rPr>
                      <w:color w:val="auto"/>
                      <w:sz w:val="21"/>
                      <w:szCs w:val="21"/>
                      <w:highlight w:val="none"/>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67" w:type="dxa"/>
                  <w:noWrap w:val="0"/>
                  <w:vAlign w:val="center"/>
                </w:tcPr>
                <w:p>
                  <w:pPr>
                    <w:pStyle w:val="16"/>
                    <w:spacing w:after="0" w:line="240" w:lineRule="auto"/>
                    <w:jc w:val="center"/>
                    <w:rPr>
                      <w:color w:val="auto"/>
                      <w:sz w:val="21"/>
                      <w:szCs w:val="21"/>
                      <w:highlight w:val="none"/>
                    </w:rPr>
                  </w:pPr>
                  <w:r>
                    <w:rPr>
                      <w:color w:val="auto"/>
                      <w:sz w:val="21"/>
                      <w:szCs w:val="21"/>
                      <w:highlight w:val="none"/>
                    </w:rPr>
                    <w:t>《中华人民共和国长江保护法》</w:t>
                  </w:r>
                </w:p>
              </w:tc>
              <w:tc>
                <w:tcPr>
                  <w:tcW w:w="3697" w:type="dxa"/>
                  <w:noWrap w:val="0"/>
                  <w:vAlign w:val="center"/>
                </w:tcPr>
                <w:p>
                  <w:pPr>
                    <w:pStyle w:val="16"/>
                    <w:spacing w:after="0" w:line="240" w:lineRule="auto"/>
                    <w:jc w:val="center"/>
                    <w:rPr>
                      <w:color w:val="auto"/>
                      <w:sz w:val="21"/>
                      <w:szCs w:val="21"/>
                      <w:highlight w:val="none"/>
                    </w:rPr>
                  </w:pPr>
                  <w:r>
                    <w:rPr>
                      <w:color w:val="auto"/>
                      <w:sz w:val="21"/>
                      <w:szCs w:val="21"/>
                      <w:highlight w:val="none"/>
                    </w:rPr>
                    <w:t>禁止在长江干支流岸线一公里范围内新建、扩建化工园区和化工项目。</w:t>
                  </w:r>
                </w:p>
                <w:p>
                  <w:pPr>
                    <w:pStyle w:val="16"/>
                    <w:spacing w:after="0" w:line="240" w:lineRule="auto"/>
                    <w:jc w:val="center"/>
                    <w:rPr>
                      <w:color w:val="auto"/>
                      <w:sz w:val="21"/>
                      <w:szCs w:val="21"/>
                      <w:highlight w:val="none"/>
                    </w:rPr>
                  </w:pPr>
                  <w:r>
                    <w:rPr>
                      <w:color w:val="auto"/>
                      <w:sz w:val="21"/>
                      <w:szCs w:val="21"/>
                      <w:highlight w:val="none"/>
                    </w:rPr>
                    <w:t>禁止在长江干流岸线三公里范围内和重要支流岸线一公里范围内新建、改建、扩建尾矿库；但是以提升安全、生态环境保护水平为目的的改建除外</w:t>
                  </w:r>
                </w:p>
              </w:tc>
              <w:tc>
                <w:tcPr>
                  <w:tcW w:w="1641" w:type="dxa"/>
                  <w:noWrap w:val="0"/>
                  <w:vAlign w:val="center"/>
                </w:tcPr>
                <w:p>
                  <w:pPr>
                    <w:pStyle w:val="16"/>
                    <w:spacing w:after="0" w:line="240" w:lineRule="auto"/>
                    <w:jc w:val="center"/>
                    <w:rPr>
                      <w:color w:val="auto"/>
                      <w:sz w:val="21"/>
                      <w:szCs w:val="21"/>
                      <w:highlight w:val="none"/>
                    </w:rPr>
                  </w:pPr>
                  <w:r>
                    <w:rPr>
                      <w:color w:val="auto"/>
                      <w:sz w:val="21"/>
                      <w:szCs w:val="21"/>
                      <w:highlight w:val="none"/>
                    </w:rPr>
                    <w:t>本项目为</w:t>
                  </w:r>
                  <w:r>
                    <w:rPr>
                      <w:rFonts w:hint="eastAsia"/>
                      <w:color w:val="auto"/>
                      <w:sz w:val="21"/>
                      <w:szCs w:val="21"/>
                      <w:highlight w:val="none"/>
                    </w:rPr>
                    <w:t>沥青混凝土拌和料生产</w:t>
                  </w:r>
                  <w:r>
                    <w:rPr>
                      <w:color w:val="auto"/>
                      <w:sz w:val="21"/>
                      <w:szCs w:val="21"/>
                      <w:highlight w:val="none"/>
                    </w:rPr>
                    <w:t>项目，属于属于C3099其他非金属矿物制品制造，不属于化工项目、尾矿库项目</w:t>
                  </w:r>
                  <w:r>
                    <w:rPr>
                      <w:rFonts w:hint="eastAsia"/>
                      <w:color w:val="auto"/>
                      <w:sz w:val="21"/>
                      <w:szCs w:val="21"/>
                      <w:highlight w:val="none"/>
                    </w:rPr>
                    <w:t>，且项目所在区域不在</w:t>
                  </w:r>
                  <w:r>
                    <w:rPr>
                      <w:color w:val="auto"/>
                      <w:sz w:val="21"/>
                      <w:szCs w:val="21"/>
                      <w:highlight w:val="none"/>
                    </w:rPr>
                    <w:t>长江干支流岸线一公里范围内</w:t>
                  </w:r>
                </w:p>
              </w:tc>
              <w:tc>
                <w:tcPr>
                  <w:tcW w:w="523" w:type="dxa"/>
                  <w:noWrap w:val="0"/>
                  <w:vAlign w:val="center"/>
                </w:tcPr>
                <w:p>
                  <w:pPr>
                    <w:pStyle w:val="16"/>
                    <w:spacing w:after="0" w:line="240" w:lineRule="auto"/>
                    <w:jc w:val="center"/>
                    <w:rPr>
                      <w:color w:val="auto"/>
                      <w:sz w:val="21"/>
                      <w:szCs w:val="21"/>
                      <w:highlight w:val="none"/>
                    </w:rPr>
                  </w:pPr>
                  <w:r>
                    <w:rPr>
                      <w:color w:val="auto"/>
                      <w:sz w:val="21"/>
                      <w:szCs w:val="21"/>
                      <w:highlight w:val="none"/>
                    </w:rPr>
                    <w:t>符合</w:t>
                  </w:r>
                </w:p>
              </w:tc>
            </w:tr>
          </w:tbl>
          <w:p>
            <w:pPr>
              <w:pStyle w:val="16"/>
              <w:spacing w:after="0" w:line="360" w:lineRule="auto"/>
              <w:ind w:firstLine="480"/>
              <w:rPr>
                <w:color w:val="auto"/>
                <w:sz w:val="24"/>
                <w:szCs w:val="24"/>
                <w:highlight w:val="none"/>
              </w:rPr>
            </w:pPr>
            <w:r>
              <w:rPr>
                <w:color w:val="auto"/>
                <w:sz w:val="24"/>
                <w:szCs w:val="24"/>
                <w:highlight w:val="none"/>
              </w:rPr>
              <w:t>综上，建设项目与《长江经济带生态环境保护规划》、《长江经济带发展清单指南（试行）》、《中华人民共和国长江保护法》等规划及政策内容相符合。</w:t>
            </w:r>
          </w:p>
          <w:p>
            <w:pPr>
              <w:autoSpaceDE w:val="0"/>
              <w:autoSpaceDN w:val="0"/>
              <w:adjustRightInd w:val="0"/>
              <w:snapToGrid w:val="0"/>
              <w:spacing w:line="360" w:lineRule="auto"/>
              <w:ind w:firstLine="482" w:firstLineChars="200"/>
              <w:rPr>
                <w:rFonts w:ascii="宋体" w:hAnsi="宋体" w:cs="宋体"/>
                <w:b/>
                <w:bCs/>
                <w:color w:val="auto"/>
                <w:kern w:val="0"/>
                <w:sz w:val="24"/>
                <w:highlight w:val="none"/>
              </w:rPr>
            </w:pPr>
            <w:r>
              <w:rPr>
                <w:rFonts w:hint="eastAsia" w:ascii="宋体" w:hAnsi="宋体" w:cs="宋体"/>
                <w:b/>
                <w:bCs/>
                <w:color w:val="auto"/>
                <w:kern w:val="0"/>
                <w:sz w:val="24"/>
                <w:highlight w:val="none"/>
              </w:rPr>
              <w:t>（3）</w:t>
            </w:r>
            <w:r>
              <w:rPr>
                <w:rFonts w:ascii="宋体" w:hAnsi="宋体" w:cs="宋体"/>
                <w:b/>
                <w:bCs/>
                <w:color w:val="auto"/>
                <w:kern w:val="0"/>
                <w:sz w:val="24"/>
                <w:highlight w:val="none"/>
              </w:rPr>
              <w:t>与《大气污染防治行动计划》（“国十条”）的符合性分析</w:t>
            </w:r>
          </w:p>
          <w:p>
            <w:pPr>
              <w:autoSpaceDE w:val="0"/>
              <w:autoSpaceDN w:val="0"/>
              <w:adjustRightInd w:val="0"/>
              <w:snapToGrid w:val="0"/>
              <w:spacing w:line="360" w:lineRule="auto"/>
              <w:ind w:firstLine="480" w:firstLineChars="200"/>
              <w:rPr>
                <w:rFonts w:ascii="宋体" w:hAnsi="宋体" w:cs="宋体"/>
                <w:color w:val="auto"/>
                <w:kern w:val="0"/>
                <w:sz w:val="24"/>
                <w:highlight w:val="none"/>
              </w:rPr>
            </w:pPr>
            <w:r>
              <w:rPr>
                <w:rFonts w:ascii="宋体" w:hAnsi="宋体" w:cs="宋体"/>
                <w:color w:val="auto"/>
                <w:kern w:val="0"/>
                <w:sz w:val="24"/>
                <w:highlight w:val="none"/>
              </w:rPr>
              <w:t>“深化面源污染治理。综合整治城市扬尘。加强施工扬尘监管，积极推进绿色施工，建设工程施工现场应全封闭设置围挡墙，严禁敞开式作业，施工现场道路应进行地面硬化。渣土运输车辆应采取密闭措施，并逐步安装卫星定位系统。推行道路机械化清扫等低尘作业方式。大型煤堆、料堆要实现封闭储存或建设防风抑尘设施。推进城市及周边绿化和防风防沙林建设，扩大城市建成区绿地规模。</w:t>
            </w:r>
          </w:p>
          <w:p>
            <w:pPr>
              <w:autoSpaceDE w:val="0"/>
              <w:autoSpaceDN w:val="0"/>
              <w:adjustRightInd w:val="0"/>
              <w:snapToGrid w:val="0"/>
              <w:spacing w:line="360" w:lineRule="auto"/>
              <w:ind w:firstLine="480" w:firstLineChars="200"/>
              <w:rPr>
                <w:rFonts w:ascii="宋体" w:hAnsi="宋体" w:cs="宋体"/>
                <w:color w:val="auto"/>
                <w:kern w:val="0"/>
                <w:sz w:val="24"/>
                <w:highlight w:val="none"/>
              </w:rPr>
            </w:pPr>
            <w:r>
              <w:rPr>
                <w:rFonts w:ascii="宋体" w:hAnsi="宋体" w:cs="宋体"/>
                <w:color w:val="auto"/>
                <w:kern w:val="0"/>
                <w:sz w:val="24"/>
                <w:highlight w:val="none"/>
              </w:rPr>
              <w:t>强化移动源污染防治。加强城市交通管理。优化城市功能和布局规划，推广智能交通管理，缓解城市交通拥堵。实施公交优先战略，提高公共交通出行比例，加强步行、自行车交通系统建设。根据城市发展规划，合理控制机动车保有量。通过鼓励绿色出行、增加使用成本等措施，降低机动车使用强度。”</w:t>
            </w:r>
          </w:p>
          <w:p>
            <w:pPr>
              <w:autoSpaceDE w:val="0"/>
              <w:autoSpaceDN w:val="0"/>
              <w:adjustRightInd w:val="0"/>
              <w:snapToGrid w:val="0"/>
              <w:spacing w:line="360" w:lineRule="auto"/>
              <w:ind w:firstLine="480" w:firstLineChars="200"/>
              <w:rPr>
                <w:rFonts w:ascii="宋体" w:hAnsi="宋体" w:cs="宋体"/>
                <w:color w:val="auto"/>
                <w:kern w:val="0"/>
                <w:sz w:val="24"/>
                <w:highlight w:val="none"/>
              </w:rPr>
            </w:pPr>
            <w:r>
              <w:rPr>
                <w:rFonts w:ascii="宋体" w:hAnsi="宋体" w:cs="宋体"/>
                <w:color w:val="auto"/>
                <w:kern w:val="0"/>
                <w:sz w:val="24"/>
                <w:highlight w:val="none"/>
              </w:rPr>
              <w:t>本项目</w:t>
            </w:r>
            <w:r>
              <w:rPr>
                <w:rFonts w:hint="eastAsia" w:ascii="宋体" w:hAnsi="宋体" w:cs="宋体"/>
                <w:color w:val="auto"/>
                <w:kern w:val="0"/>
                <w:sz w:val="24"/>
                <w:highlight w:val="none"/>
              </w:rPr>
              <w:t>扬尘的产生</w:t>
            </w:r>
            <w:r>
              <w:rPr>
                <w:rFonts w:ascii="宋体" w:hAnsi="宋体" w:cs="宋体"/>
                <w:color w:val="auto"/>
                <w:kern w:val="0"/>
                <w:sz w:val="24"/>
                <w:highlight w:val="none"/>
              </w:rPr>
              <w:t>主要为原料堆场的粉尘扬尘，</w:t>
            </w:r>
            <w:r>
              <w:rPr>
                <w:rFonts w:hint="eastAsia" w:ascii="宋体" w:hAnsi="宋体" w:cs="宋体"/>
                <w:color w:val="auto"/>
                <w:kern w:val="0"/>
                <w:sz w:val="24"/>
                <w:highlight w:val="none"/>
              </w:rPr>
              <w:t>本次改建拟将</w:t>
            </w:r>
            <w:r>
              <w:rPr>
                <w:rFonts w:ascii="宋体" w:hAnsi="宋体" w:cs="宋体"/>
                <w:color w:val="auto"/>
                <w:kern w:val="0"/>
                <w:sz w:val="24"/>
                <w:highlight w:val="none"/>
              </w:rPr>
              <w:t>项目原料堆场</w:t>
            </w:r>
            <w:r>
              <w:rPr>
                <w:rFonts w:hint="eastAsia" w:ascii="宋体" w:hAnsi="宋体" w:cs="宋体"/>
                <w:color w:val="auto"/>
                <w:kern w:val="0"/>
                <w:sz w:val="24"/>
                <w:highlight w:val="none"/>
              </w:rPr>
              <w:t>改</w:t>
            </w:r>
            <w:r>
              <w:rPr>
                <w:rFonts w:ascii="宋体" w:hAnsi="宋体" w:cs="宋体"/>
                <w:color w:val="auto"/>
                <w:kern w:val="0"/>
                <w:sz w:val="24"/>
                <w:highlight w:val="none"/>
              </w:rPr>
              <w:t>建为三面封闭顶棚式结构，同时在堆场设置喷淋装置，减少堆场粉尘产生量。严格按照《大气污染防治行动计划》中的相关要求执行，因此，本项目与《大气污染防治行动计划》（“国十条”）相符合。</w:t>
            </w:r>
          </w:p>
          <w:p>
            <w:pPr>
              <w:autoSpaceDE w:val="0"/>
              <w:autoSpaceDN w:val="0"/>
              <w:adjustRightInd w:val="0"/>
              <w:snapToGrid w:val="0"/>
              <w:spacing w:line="360" w:lineRule="auto"/>
              <w:ind w:firstLine="482" w:firstLineChars="200"/>
              <w:rPr>
                <w:rFonts w:ascii="宋体" w:hAnsi="宋体" w:cs="宋体"/>
                <w:b/>
                <w:bCs/>
                <w:color w:val="auto"/>
                <w:kern w:val="0"/>
                <w:sz w:val="24"/>
                <w:highlight w:val="none"/>
              </w:rPr>
            </w:pPr>
            <w:r>
              <w:rPr>
                <w:rFonts w:hint="eastAsia" w:ascii="宋体" w:hAnsi="宋体" w:cs="宋体"/>
                <w:b/>
                <w:bCs/>
                <w:color w:val="auto"/>
                <w:kern w:val="0"/>
                <w:sz w:val="24"/>
                <w:highlight w:val="none"/>
              </w:rPr>
              <w:t>（4）</w:t>
            </w:r>
            <w:r>
              <w:rPr>
                <w:rFonts w:ascii="宋体" w:hAnsi="宋体" w:cs="宋体"/>
                <w:b/>
                <w:bCs/>
                <w:color w:val="auto"/>
                <w:kern w:val="0"/>
                <w:sz w:val="24"/>
                <w:highlight w:val="none"/>
              </w:rPr>
              <w:t>与《</w:t>
            </w:r>
            <w:r>
              <w:rPr>
                <w:rFonts w:hint="eastAsia" w:ascii="宋体" w:hAnsi="宋体" w:cs="宋体"/>
                <w:b/>
                <w:bCs/>
                <w:color w:val="auto"/>
                <w:kern w:val="0"/>
                <w:sz w:val="24"/>
                <w:highlight w:val="none"/>
              </w:rPr>
              <w:t>乐山市扬尘污染防治条例</w:t>
            </w:r>
            <w:r>
              <w:rPr>
                <w:rFonts w:ascii="宋体" w:hAnsi="宋体" w:cs="宋体"/>
                <w:b/>
                <w:bCs/>
                <w:color w:val="auto"/>
                <w:kern w:val="0"/>
                <w:sz w:val="24"/>
                <w:highlight w:val="none"/>
              </w:rPr>
              <w:t>》的符合性分析</w:t>
            </w:r>
          </w:p>
          <w:p>
            <w:pPr>
              <w:autoSpaceDE w:val="0"/>
              <w:autoSpaceDN w:val="0"/>
              <w:adjustRightInd w:val="0"/>
              <w:snapToGrid w:val="0"/>
              <w:spacing w:line="360" w:lineRule="auto"/>
              <w:ind w:firstLine="480" w:firstLineChars="200"/>
              <w:rPr>
                <w:rFonts w:hint="eastAsia" w:ascii="宋体" w:hAnsi="宋体" w:cs="宋体"/>
                <w:color w:val="auto"/>
                <w:kern w:val="0"/>
                <w:sz w:val="24"/>
                <w:highlight w:val="none"/>
              </w:rPr>
            </w:pPr>
            <w:r>
              <w:rPr>
                <w:rFonts w:ascii="宋体" w:hAnsi="宋体" w:cs="宋体"/>
                <w:color w:val="auto"/>
                <w:kern w:val="0"/>
                <w:sz w:val="24"/>
                <w:highlight w:val="none"/>
              </w:rPr>
              <w:t>“使用预拌混凝土、预拌砂浆等建筑材料；按照国家和省有关规定可以现场搅拌的，采取密闭搅拌方式，禁止现场露天搅拌</w:t>
            </w:r>
            <w:r>
              <w:rPr>
                <w:rFonts w:hint="eastAsia" w:ascii="宋体" w:hAnsi="宋体" w:cs="宋体"/>
                <w:color w:val="auto"/>
                <w:kern w:val="0"/>
                <w:sz w:val="24"/>
                <w:highlight w:val="none"/>
              </w:rPr>
              <w:t>；</w:t>
            </w:r>
          </w:p>
          <w:p>
            <w:pPr>
              <w:autoSpaceDE w:val="0"/>
              <w:autoSpaceDN w:val="0"/>
              <w:adjustRightInd w:val="0"/>
              <w:snapToGrid w:val="0"/>
              <w:spacing w:line="360" w:lineRule="auto"/>
              <w:ind w:firstLine="480" w:firstLineChars="200"/>
              <w:rPr>
                <w:rFonts w:ascii="宋体" w:hAnsi="宋体" w:cs="宋体"/>
                <w:color w:val="auto"/>
                <w:kern w:val="0"/>
                <w:sz w:val="24"/>
                <w:highlight w:val="none"/>
              </w:rPr>
            </w:pPr>
            <w:r>
              <w:rPr>
                <w:rFonts w:ascii="宋体" w:hAnsi="宋体" w:cs="宋体"/>
                <w:color w:val="auto"/>
                <w:kern w:val="0"/>
                <w:sz w:val="24"/>
                <w:highlight w:val="none"/>
              </w:rPr>
              <w:t>第十七条砂石、陶瓷、水泥生产和混凝土、砂浆搅拌等易产生扬尘的工业企业生产加工应当采取下列措施防治扬尘污染：</w:t>
            </w:r>
          </w:p>
          <w:p>
            <w:pPr>
              <w:autoSpaceDE w:val="0"/>
              <w:autoSpaceDN w:val="0"/>
              <w:adjustRightInd w:val="0"/>
              <w:snapToGrid w:val="0"/>
              <w:spacing w:line="360" w:lineRule="auto"/>
              <w:ind w:firstLine="480" w:firstLineChars="200"/>
              <w:rPr>
                <w:rFonts w:ascii="宋体" w:hAnsi="宋体" w:cs="宋体"/>
                <w:color w:val="auto"/>
                <w:kern w:val="0"/>
                <w:sz w:val="24"/>
                <w:highlight w:val="none"/>
              </w:rPr>
            </w:pPr>
            <w:r>
              <w:rPr>
                <w:rFonts w:ascii="宋体" w:hAnsi="宋体" w:cs="宋体"/>
                <w:color w:val="auto"/>
                <w:kern w:val="0"/>
                <w:sz w:val="24"/>
                <w:highlight w:val="none"/>
              </w:rPr>
              <w:t>（一）采取集中收集处理和密闭、围挡、遮盖、清扫、洒水等措施，防止生产加工和内部物料的堆存、传输、装卸等环节产生扬尘污染；</w:t>
            </w:r>
          </w:p>
          <w:p>
            <w:pPr>
              <w:autoSpaceDE w:val="0"/>
              <w:autoSpaceDN w:val="0"/>
              <w:adjustRightInd w:val="0"/>
              <w:snapToGrid w:val="0"/>
              <w:spacing w:line="360" w:lineRule="auto"/>
              <w:ind w:firstLine="480" w:firstLineChars="200"/>
              <w:rPr>
                <w:rFonts w:ascii="宋体" w:hAnsi="宋体" w:cs="宋体"/>
                <w:color w:val="auto"/>
                <w:kern w:val="0"/>
                <w:sz w:val="24"/>
                <w:highlight w:val="none"/>
              </w:rPr>
            </w:pPr>
            <w:r>
              <w:rPr>
                <w:rFonts w:ascii="宋体" w:hAnsi="宋体" w:cs="宋体"/>
                <w:color w:val="auto"/>
                <w:kern w:val="0"/>
                <w:sz w:val="24"/>
                <w:highlight w:val="none"/>
              </w:rPr>
              <w:t>（二）场内运输道路进行铺装或者硬化处理，并及时清扫、洒水，保持道路整洁；</w:t>
            </w:r>
          </w:p>
          <w:p>
            <w:pPr>
              <w:autoSpaceDE w:val="0"/>
              <w:autoSpaceDN w:val="0"/>
              <w:adjustRightInd w:val="0"/>
              <w:snapToGrid w:val="0"/>
              <w:spacing w:line="360" w:lineRule="auto"/>
              <w:ind w:firstLine="480" w:firstLineChars="200"/>
              <w:rPr>
                <w:rFonts w:ascii="宋体" w:hAnsi="宋体" w:cs="宋体"/>
                <w:color w:val="auto"/>
                <w:kern w:val="0"/>
                <w:sz w:val="24"/>
                <w:highlight w:val="none"/>
              </w:rPr>
            </w:pPr>
            <w:r>
              <w:rPr>
                <w:rFonts w:ascii="宋体" w:hAnsi="宋体" w:cs="宋体"/>
                <w:color w:val="auto"/>
                <w:kern w:val="0"/>
                <w:sz w:val="24"/>
                <w:highlight w:val="none"/>
              </w:rPr>
              <w:t>（三）法律、法规规定的其他措施。</w:t>
            </w:r>
          </w:p>
          <w:p>
            <w:pPr>
              <w:autoSpaceDE w:val="0"/>
              <w:autoSpaceDN w:val="0"/>
              <w:adjustRightInd w:val="0"/>
              <w:snapToGrid w:val="0"/>
              <w:spacing w:line="360" w:lineRule="auto"/>
              <w:ind w:firstLine="480" w:firstLineChars="200"/>
              <w:rPr>
                <w:rFonts w:ascii="宋体" w:hAnsi="宋体" w:cs="宋体"/>
                <w:color w:val="auto"/>
                <w:kern w:val="0"/>
                <w:sz w:val="24"/>
                <w:highlight w:val="none"/>
              </w:rPr>
            </w:pPr>
            <w:r>
              <w:rPr>
                <w:rFonts w:ascii="宋体" w:hAnsi="宋体" w:cs="宋体"/>
                <w:color w:val="auto"/>
                <w:kern w:val="0"/>
                <w:sz w:val="24"/>
                <w:highlight w:val="none"/>
              </w:rPr>
              <w:t>石材加工企业应当采用湿法加工工艺，无法使用湿法工艺的应当安装收尘装置；在城镇建成区内从事石材销售、加工的企业和其他生产经营者，不得进行石材露天切割、打磨等作业。</w:t>
            </w:r>
          </w:p>
          <w:p>
            <w:pPr>
              <w:autoSpaceDE w:val="0"/>
              <w:autoSpaceDN w:val="0"/>
              <w:adjustRightInd w:val="0"/>
              <w:snapToGrid w:val="0"/>
              <w:spacing w:line="360" w:lineRule="auto"/>
              <w:ind w:firstLine="480" w:firstLineChars="200"/>
              <w:rPr>
                <w:rFonts w:ascii="宋体" w:hAnsi="宋体" w:cs="宋体"/>
                <w:color w:val="auto"/>
                <w:kern w:val="0"/>
                <w:sz w:val="24"/>
                <w:highlight w:val="none"/>
              </w:rPr>
            </w:pPr>
            <w:r>
              <w:rPr>
                <w:rFonts w:ascii="宋体" w:hAnsi="宋体" w:cs="宋体"/>
                <w:color w:val="auto"/>
                <w:kern w:val="0"/>
                <w:sz w:val="24"/>
                <w:highlight w:val="none"/>
              </w:rPr>
              <w:t>第十九条运输矿石、矿渣、煤炭、垃圾、渣土、砂石、土方、灰浆、水泥等散装、流体物料的车辆，应当采取下列措施防治扬尘污染：</w:t>
            </w:r>
          </w:p>
          <w:p>
            <w:pPr>
              <w:autoSpaceDE w:val="0"/>
              <w:autoSpaceDN w:val="0"/>
              <w:adjustRightInd w:val="0"/>
              <w:snapToGrid w:val="0"/>
              <w:spacing w:line="360" w:lineRule="auto"/>
              <w:ind w:firstLine="480" w:firstLineChars="200"/>
              <w:rPr>
                <w:rFonts w:ascii="宋体" w:hAnsi="宋体" w:cs="宋体"/>
                <w:color w:val="auto"/>
                <w:kern w:val="0"/>
                <w:sz w:val="24"/>
                <w:highlight w:val="none"/>
              </w:rPr>
            </w:pPr>
          </w:p>
          <w:p>
            <w:pPr>
              <w:autoSpaceDE w:val="0"/>
              <w:autoSpaceDN w:val="0"/>
              <w:adjustRightInd w:val="0"/>
              <w:snapToGrid w:val="0"/>
              <w:spacing w:line="360" w:lineRule="auto"/>
              <w:ind w:firstLine="480" w:firstLineChars="200"/>
              <w:rPr>
                <w:rFonts w:ascii="宋体" w:hAnsi="宋体" w:cs="宋体"/>
                <w:color w:val="auto"/>
                <w:kern w:val="0"/>
                <w:sz w:val="24"/>
                <w:highlight w:val="none"/>
              </w:rPr>
            </w:pPr>
            <w:r>
              <w:rPr>
                <w:rFonts w:ascii="宋体" w:hAnsi="宋体" w:cs="宋体"/>
                <w:color w:val="auto"/>
                <w:kern w:val="0"/>
                <w:sz w:val="24"/>
                <w:highlight w:val="none"/>
              </w:rPr>
              <w:t>（一）出场前对车身及车轮进行清理，车辆经除泥、冲洗干净后方可上路行驶，并保持车容整洁；</w:t>
            </w:r>
          </w:p>
          <w:p>
            <w:pPr>
              <w:autoSpaceDE w:val="0"/>
              <w:autoSpaceDN w:val="0"/>
              <w:adjustRightInd w:val="0"/>
              <w:snapToGrid w:val="0"/>
              <w:spacing w:line="360" w:lineRule="auto"/>
              <w:ind w:firstLine="480" w:firstLineChars="200"/>
              <w:rPr>
                <w:rFonts w:ascii="宋体" w:hAnsi="宋体" w:cs="宋体"/>
                <w:color w:val="auto"/>
                <w:kern w:val="0"/>
                <w:sz w:val="24"/>
                <w:highlight w:val="none"/>
              </w:rPr>
            </w:pPr>
            <w:r>
              <w:rPr>
                <w:rFonts w:ascii="宋体" w:hAnsi="宋体" w:cs="宋体"/>
                <w:color w:val="auto"/>
                <w:kern w:val="0"/>
                <w:sz w:val="24"/>
                <w:highlight w:val="none"/>
              </w:rPr>
              <w:t>（二）上路行驶应当采取密闭、覆盖等措施，不得泄漏遗撒和违规倾倒；</w:t>
            </w:r>
          </w:p>
          <w:p>
            <w:pPr>
              <w:autoSpaceDE w:val="0"/>
              <w:autoSpaceDN w:val="0"/>
              <w:adjustRightInd w:val="0"/>
              <w:snapToGrid w:val="0"/>
              <w:spacing w:line="360" w:lineRule="auto"/>
              <w:ind w:firstLine="480" w:firstLineChars="200"/>
              <w:rPr>
                <w:rFonts w:ascii="宋体" w:hAnsi="宋体" w:cs="宋体"/>
                <w:color w:val="auto"/>
                <w:kern w:val="0"/>
                <w:sz w:val="24"/>
                <w:highlight w:val="none"/>
              </w:rPr>
            </w:pPr>
            <w:r>
              <w:rPr>
                <w:rFonts w:ascii="宋体" w:hAnsi="宋体" w:cs="宋体"/>
                <w:color w:val="auto"/>
                <w:kern w:val="0"/>
                <w:sz w:val="24"/>
                <w:highlight w:val="none"/>
              </w:rPr>
              <w:t>（三）须经公安机关核定运输时间、运输路线的，按照核定的时间和路线行驶；</w:t>
            </w:r>
          </w:p>
          <w:p>
            <w:pPr>
              <w:autoSpaceDE w:val="0"/>
              <w:autoSpaceDN w:val="0"/>
              <w:adjustRightInd w:val="0"/>
              <w:snapToGrid w:val="0"/>
              <w:spacing w:line="360" w:lineRule="auto"/>
              <w:ind w:firstLine="480" w:firstLineChars="200"/>
              <w:rPr>
                <w:rFonts w:ascii="宋体" w:hAnsi="宋体" w:cs="宋体"/>
                <w:color w:val="auto"/>
                <w:kern w:val="0"/>
                <w:sz w:val="24"/>
                <w:highlight w:val="none"/>
              </w:rPr>
            </w:pPr>
            <w:r>
              <w:rPr>
                <w:rFonts w:ascii="宋体" w:hAnsi="宋体" w:cs="宋体"/>
                <w:color w:val="auto"/>
                <w:kern w:val="0"/>
                <w:sz w:val="24"/>
                <w:highlight w:val="none"/>
              </w:rPr>
              <w:t>（四）法律、法规规定的其他措施。</w:t>
            </w:r>
          </w:p>
          <w:p>
            <w:pPr>
              <w:autoSpaceDE w:val="0"/>
              <w:autoSpaceDN w:val="0"/>
              <w:adjustRightInd w:val="0"/>
              <w:snapToGrid w:val="0"/>
              <w:spacing w:line="360" w:lineRule="auto"/>
              <w:ind w:firstLine="480" w:firstLineChars="200"/>
              <w:rPr>
                <w:rFonts w:ascii="宋体" w:hAnsi="宋体" w:cs="宋体"/>
                <w:color w:val="auto"/>
                <w:kern w:val="0"/>
                <w:sz w:val="24"/>
                <w:highlight w:val="none"/>
              </w:rPr>
            </w:pPr>
            <w:r>
              <w:rPr>
                <w:rFonts w:ascii="宋体" w:hAnsi="宋体" w:cs="宋体"/>
                <w:color w:val="auto"/>
                <w:kern w:val="0"/>
                <w:sz w:val="24"/>
                <w:highlight w:val="none"/>
              </w:rPr>
              <w:t>市、县级人民政府应当建立建筑垃圾分类处理制度，加强建筑垃圾填埋消纳设施建设，保障处置安全，推进综合利用，防止污染环境。</w:t>
            </w:r>
          </w:p>
          <w:p>
            <w:pPr>
              <w:autoSpaceDE w:val="0"/>
              <w:autoSpaceDN w:val="0"/>
              <w:adjustRightInd w:val="0"/>
              <w:snapToGrid w:val="0"/>
              <w:spacing w:line="360" w:lineRule="auto"/>
              <w:ind w:firstLine="480" w:firstLineChars="200"/>
              <w:rPr>
                <w:rFonts w:ascii="宋体" w:hAnsi="宋体" w:cs="宋体"/>
                <w:color w:val="auto"/>
                <w:kern w:val="0"/>
                <w:sz w:val="24"/>
                <w:highlight w:val="none"/>
              </w:rPr>
            </w:pPr>
            <w:r>
              <w:rPr>
                <w:rFonts w:ascii="宋体" w:hAnsi="宋体" w:cs="宋体"/>
                <w:color w:val="auto"/>
                <w:kern w:val="0"/>
                <w:sz w:val="24"/>
                <w:highlight w:val="none"/>
              </w:rPr>
              <w:t>市、县级人民政府应当推行建筑垃圾、工程渣土专业化运输，划定实行建筑垃圾、工程渣土专业化运输的区域。</w:t>
            </w:r>
          </w:p>
          <w:p>
            <w:pPr>
              <w:autoSpaceDE w:val="0"/>
              <w:autoSpaceDN w:val="0"/>
              <w:adjustRightInd w:val="0"/>
              <w:snapToGrid w:val="0"/>
              <w:spacing w:line="360" w:lineRule="auto"/>
              <w:ind w:firstLine="480" w:firstLineChars="200"/>
              <w:rPr>
                <w:rFonts w:ascii="宋体" w:hAnsi="宋体" w:cs="宋体"/>
                <w:color w:val="auto"/>
                <w:kern w:val="0"/>
                <w:sz w:val="24"/>
                <w:highlight w:val="none"/>
              </w:rPr>
            </w:pPr>
            <w:r>
              <w:rPr>
                <w:rFonts w:ascii="宋体" w:hAnsi="宋体" w:cs="宋体"/>
                <w:color w:val="auto"/>
                <w:kern w:val="0"/>
                <w:sz w:val="24"/>
                <w:highlight w:val="none"/>
              </w:rPr>
              <w:t>第二十九条违反本条例第十六条、第十七条第一款规定，矿山开采或者砂石、陶瓷、水泥生产和</w:t>
            </w:r>
            <w:r>
              <w:rPr>
                <w:rFonts w:ascii="宋体" w:hAnsi="宋体" w:cs="宋体"/>
                <w:b/>
                <w:bCs/>
                <w:color w:val="auto"/>
                <w:kern w:val="0"/>
                <w:sz w:val="24"/>
                <w:highlight w:val="none"/>
              </w:rPr>
              <w:t>混凝土</w:t>
            </w:r>
            <w:r>
              <w:rPr>
                <w:rFonts w:ascii="宋体" w:hAnsi="宋体" w:cs="宋体"/>
                <w:color w:val="auto"/>
                <w:kern w:val="0"/>
                <w:sz w:val="24"/>
                <w:highlight w:val="none"/>
              </w:rPr>
              <w:t>、砂浆搅拌等易产生扬尘的工业企业生产加工不符合扬尘污染防治要求的，由生态环境主管部门责令改正，处二万元以上十万元以下罚款；情节严重的，处十万元以上二十万元以下罚款；拒不改正的，责令停工整治或者停业整治。</w:t>
            </w:r>
          </w:p>
          <w:p>
            <w:pPr>
              <w:autoSpaceDE w:val="0"/>
              <w:autoSpaceDN w:val="0"/>
              <w:adjustRightInd w:val="0"/>
              <w:snapToGrid w:val="0"/>
              <w:spacing w:line="360" w:lineRule="auto"/>
              <w:ind w:firstLine="480" w:firstLineChars="200"/>
              <w:rPr>
                <w:rFonts w:ascii="宋体" w:hAnsi="宋体" w:cs="宋体"/>
                <w:color w:val="auto"/>
                <w:kern w:val="0"/>
                <w:sz w:val="24"/>
                <w:highlight w:val="none"/>
              </w:rPr>
            </w:pPr>
            <w:r>
              <w:rPr>
                <w:rFonts w:ascii="宋体" w:hAnsi="宋体" w:cs="宋体"/>
                <w:color w:val="auto"/>
                <w:kern w:val="0"/>
                <w:sz w:val="24"/>
                <w:highlight w:val="none"/>
              </w:rPr>
              <w:t>第三十一条违反本条例第十九条第一款规定，上路行驶的物料运输车辆不符合扬尘污染防治要求的，由城市管理行政执法部门或者交通运输主管部门按照职责分工，责令改正，对单位处二千元以上二万元以下罚款，对个人处一百元以上五百元以下罚款；拒不改正的，车辆不得上路行驶。”</w:t>
            </w:r>
          </w:p>
          <w:p>
            <w:pPr>
              <w:autoSpaceDE w:val="0"/>
              <w:autoSpaceDN w:val="0"/>
              <w:adjustRightInd w:val="0"/>
              <w:snapToGrid w:val="0"/>
              <w:spacing w:line="360" w:lineRule="auto"/>
              <w:ind w:firstLine="480" w:firstLineChars="200"/>
              <w:rPr>
                <w:color w:val="auto"/>
                <w:sz w:val="24"/>
                <w:highlight w:val="none"/>
              </w:rPr>
            </w:pPr>
            <w:r>
              <w:rPr>
                <w:rFonts w:ascii="宋体" w:hAnsi="宋体" w:cs="宋体"/>
                <w:color w:val="auto"/>
                <w:kern w:val="0"/>
                <w:sz w:val="24"/>
                <w:highlight w:val="none"/>
              </w:rPr>
              <w:t>本项目建设实施将严格按照《乐山市扬尘污染防治条例》中的相关要求，做好原料、固废堆场的扬尘控制措施，原料堆场修建为三面封闭顶棚式结构，同时在堆场设置喷淋装置，因此，本项目建设符合《</w:t>
            </w:r>
            <w:r>
              <w:rPr>
                <w:rFonts w:hint="eastAsia" w:ascii="宋体" w:hAnsi="宋体" w:cs="宋体"/>
                <w:b/>
                <w:bCs/>
                <w:color w:val="auto"/>
                <w:kern w:val="0"/>
                <w:sz w:val="24"/>
                <w:highlight w:val="none"/>
              </w:rPr>
              <w:t>乐山市扬尘污染防治条例</w:t>
            </w:r>
            <w:r>
              <w:rPr>
                <w:rFonts w:ascii="宋体" w:hAnsi="宋体" w:cs="宋体"/>
                <w:color w:val="auto"/>
                <w:kern w:val="0"/>
                <w:sz w:val="24"/>
                <w:highlight w:val="none"/>
              </w:rPr>
              <w:t>》中对大气污染控制的要求。</w:t>
            </w:r>
          </w:p>
        </w:tc>
      </w:tr>
    </w:tbl>
    <w:p>
      <w:pPr>
        <w:spacing w:line="360" w:lineRule="auto"/>
        <w:outlineLvl w:val="0"/>
        <w:rPr>
          <w:rFonts w:eastAsia="黑体"/>
          <w:color w:val="auto"/>
          <w:sz w:val="30"/>
          <w:highlight w:val="none"/>
        </w:rPr>
        <w:sectPr>
          <w:footerReference r:id="rId5" w:type="default"/>
          <w:pgSz w:w="11906" w:h="16838"/>
          <w:pgMar w:top="1701" w:right="1531" w:bottom="1701" w:left="1531" w:header="851" w:footer="1077" w:gutter="0"/>
          <w:pgBorders>
            <w:top w:val="none" w:sz="0" w:space="0"/>
            <w:left w:val="none" w:sz="0" w:space="0"/>
            <w:bottom w:val="none" w:sz="0" w:space="0"/>
            <w:right w:val="none" w:sz="0" w:space="0"/>
          </w:pgBorders>
          <w:pgNumType w:start="1"/>
          <w:cols w:space="720" w:num="1"/>
          <w:docGrid w:linePitch="312" w:charSpace="0"/>
        </w:sectPr>
      </w:pPr>
    </w:p>
    <w:p>
      <w:pPr>
        <w:pStyle w:val="35"/>
        <w:jc w:val="center"/>
        <w:outlineLvl w:val="0"/>
        <w:rPr>
          <w:rFonts w:ascii="黑体" w:hAnsi="黑体" w:eastAsia="黑体"/>
          <w:snapToGrid w:val="0"/>
          <w:color w:val="auto"/>
          <w:sz w:val="30"/>
          <w:szCs w:val="30"/>
          <w:highlight w:val="none"/>
        </w:rPr>
      </w:pPr>
      <w:r>
        <w:rPr>
          <w:rFonts w:hint="eastAsia" w:ascii="黑体" w:hAnsi="黑体" w:eastAsia="黑体"/>
          <w:snapToGrid w:val="0"/>
          <w:color w:val="auto"/>
          <w:sz w:val="30"/>
          <w:szCs w:val="30"/>
          <w:highlight w:val="none"/>
        </w:rPr>
        <w:t>二、建设项目工程分析</w:t>
      </w:r>
    </w:p>
    <w:tbl>
      <w:tblPr>
        <w:tblStyle w:val="39"/>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22"/>
        <w:gridCol w:w="863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92" w:hRule="atLeast"/>
          <w:jc w:val="center"/>
        </w:trPr>
        <w:tc>
          <w:tcPr>
            <w:tcW w:w="823" w:type="dxa"/>
            <w:noWrap w:val="0"/>
            <w:vAlign w:val="center"/>
          </w:tcPr>
          <w:p>
            <w:pPr>
              <w:pStyle w:val="35"/>
              <w:adjustRightInd w:val="0"/>
              <w:snapToGrid w:val="0"/>
              <w:spacing w:before="0" w:beforeAutospacing="0" w:after="0" w:afterAutospacing="0"/>
              <w:jc w:val="center"/>
              <w:rPr>
                <w:rFonts w:cs="宋体"/>
                <w:color w:val="auto"/>
                <w:sz w:val="21"/>
                <w:szCs w:val="21"/>
                <w:highlight w:val="none"/>
              </w:rPr>
            </w:pPr>
            <w:r>
              <w:rPr>
                <w:rFonts w:hint="eastAsia" w:cs="宋体"/>
                <w:color w:val="auto"/>
                <w:sz w:val="21"/>
                <w:szCs w:val="21"/>
                <w:highlight w:val="none"/>
              </w:rPr>
              <w:t>建设内容</w:t>
            </w:r>
          </w:p>
        </w:tc>
        <w:tc>
          <w:tcPr>
            <w:tcW w:w="8161" w:type="dxa"/>
            <w:noWrap w:val="0"/>
            <w:vAlign w:val="top"/>
          </w:tcPr>
          <w:p>
            <w:pPr>
              <w:snapToGrid w:val="0"/>
              <w:spacing w:line="360" w:lineRule="auto"/>
              <w:ind w:firstLine="480" w:firstLineChars="200"/>
              <w:rPr>
                <w:color w:val="auto"/>
                <w:sz w:val="24"/>
                <w:highlight w:val="none"/>
              </w:rPr>
            </w:pPr>
            <w:r>
              <w:rPr>
                <w:rFonts w:hint="eastAsia"/>
                <w:color w:val="auto"/>
                <w:sz w:val="24"/>
                <w:highlight w:val="none"/>
              </w:rPr>
              <w:t>1、基本情况</w:t>
            </w:r>
          </w:p>
          <w:p>
            <w:pPr>
              <w:snapToGrid w:val="0"/>
              <w:spacing w:line="360" w:lineRule="auto"/>
              <w:ind w:firstLine="480" w:firstLineChars="200"/>
              <w:rPr>
                <w:rFonts w:hint="eastAsia"/>
                <w:color w:val="auto"/>
                <w:sz w:val="24"/>
                <w:highlight w:val="none"/>
              </w:rPr>
            </w:pPr>
            <w:r>
              <w:rPr>
                <w:rFonts w:hint="eastAsia"/>
                <w:color w:val="auto"/>
                <w:sz w:val="24"/>
                <w:highlight w:val="none"/>
              </w:rPr>
              <w:t>四川大跃建设工程有限公司于2006年通过原乐山市市中区环境保护局取得“关于四川大跃建设工程有限公司沥青混凝土拌和站环境影响登记表的批复”（乐中建环环管[2006]43号）。同意四川大跃建设工程有限公司沥青混凝土拌合站在乐山市市中区绵竹乡冷水寺村一组设立，从事沥青混凝土拌合料生产，年产沥青拌合料1万吨。生产工艺为：使用江苏无锡锡通工程机械有限公司出厂的QLB-2000型沥青砼拌和楼进行给料——烘干——振动——配料——产品生产。</w:t>
            </w:r>
          </w:p>
          <w:p>
            <w:pPr>
              <w:snapToGrid w:val="0"/>
              <w:spacing w:line="360" w:lineRule="auto"/>
              <w:ind w:firstLine="480" w:firstLineChars="200"/>
              <w:rPr>
                <w:rFonts w:hint="eastAsia"/>
                <w:color w:val="auto"/>
                <w:sz w:val="24"/>
                <w:highlight w:val="none"/>
              </w:rPr>
            </w:pPr>
            <w:r>
              <w:rPr>
                <w:rFonts w:hint="eastAsia"/>
                <w:color w:val="auto"/>
                <w:sz w:val="24"/>
                <w:highlight w:val="none"/>
              </w:rPr>
              <w:t>2017年由乐山市市中区生态环境局审批，沥青混凝土拌合站项目进行了建设项目竣工环境保护验收，验收批复文号为：乐中环验[2017]5号。</w:t>
            </w:r>
          </w:p>
          <w:p>
            <w:pPr>
              <w:snapToGrid w:val="0"/>
              <w:spacing w:line="360" w:lineRule="auto"/>
              <w:ind w:firstLine="480" w:firstLineChars="200"/>
              <w:rPr>
                <w:rFonts w:hint="eastAsia"/>
                <w:color w:val="auto"/>
                <w:sz w:val="24"/>
                <w:highlight w:val="none"/>
              </w:rPr>
            </w:pPr>
            <w:r>
              <w:rPr>
                <w:rFonts w:hint="eastAsia"/>
                <w:color w:val="auto"/>
                <w:sz w:val="24"/>
                <w:highlight w:val="none"/>
              </w:rPr>
              <w:t>四川大跃建设工程有限公司乐山分公司系四川大跃建设工程有限公司牵头在2006年11月成立，由于经营管理不善于2017年10月9日注销。位于乐山市市中区绵竹镇冷水村的沥青拌合站属四川大跃建设工程有限公司乐山分公司所有，分公司注销后其资产归四川大跃建设工程有限公司所有，沥青拌和站使用土地为租赁。鉴于四川大跃建设工程有限公司乐山分公司已经注销，为减少损失，充分发挥沥青拌合站旧设备、资产的价值，于2018年4月四川大跃建设工程有限公司将沥青拌合站资产全部转让给乐山市大川建设有限公司。</w:t>
            </w:r>
          </w:p>
          <w:p>
            <w:pPr>
              <w:snapToGrid w:val="0"/>
              <w:spacing w:line="360" w:lineRule="auto"/>
              <w:ind w:firstLine="480" w:firstLineChars="200"/>
              <w:rPr>
                <w:color w:val="auto"/>
                <w:sz w:val="24"/>
                <w:highlight w:val="none"/>
              </w:rPr>
            </w:pPr>
            <w:r>
              <w:rPr>
                <w:rFonts w:hint="eastAsia"/>
                <w:color w:val="auto"/>
                <w:sz w:val="24"/>
                <w:highlight w:val="none"/>
              </w:rPr>
              <w:t>项目</w:t>
            </w:r>
            <w:r>
              <w:rPr>
                <w:color w:val="auto"/>
                <w:sz w:val="24"/>
                <w:highlight w:val="none"/>
              </w:rPr>
              <w:t>在运营期间，积极响应国家环保政策要求，落实</w:t>
            </w:r>
            <w:r>
              <w:rPr>
                <w:rFonts w:hint="eastAsia"/>
                <w:color w:val="auto"/>
                <w:sz w:val="24"/>
                <w:highlight w:val="none"/>
              </w:rPr>
              <w:t>环评、验收</w:t>
            </w:r>
            <w:r>
              <w:rPr>
                <w:color w:val="auto"/>
                <w:sz w:val="24"/>
                <w:highlight w:val="none"/>
              </w:rPr>
              <w:t>等各项环境保护工作，</w:t>
            </w:r>
            <w:r>
              <w:rPr>
                <w:rFonts w:hint="eastAsia"/>
                <w:color w:val="auto"/>
                <w:sz w:val="24"/>
                <w:highlight w:val="none"/>
              </w:rPr>
              <w:t>经核实运营期间无环保投诉问题，</w:t>
            </w:r>
            <w:r>
              <w:rPr>
                <w:color w:val="auto"/>
                <w:sz w:val="24"/>
                <w:highlight w:val="none"/>
              </w:rPr>
              <w:t xml:space="preserve">公司有关环保手续可见下表 </w:t>
            </w:r>
            <w:r>
              <w:rPr>
                <w:rFonts w:hint="eastAsia"/>
                <w:color w:val="auto"/>
                <w:sz w:val="24"/>
                <w:highlight w:val="none"/>
              </w:rPr>
              <w:t>2</w:t>
            </w:r>
            <w:r>
              <w:rPr>
                <w:color w:val="auto"/>
                <w:sz w:val="24"/>
                <w:highlight w:val="none"/>
              </w:rPr>
              <w:t>-1</w:t>
            </w:r>
          </w:p>
          <w:p>
            <w:pPr>
              <w:adjustRightInd w:val="0"/>
              <w:snapToGrid w:val="0"/>
              <w:jc w:val="center"/>
              <w:rPr>
                <w:rFonts w:hint="eastAsia"/>
                <w:b/>
                <w:bCs/>
                <w:color w:val="auto"/>
                <w:sz w:val="24"/>
                <w:highlight w:val="none"/>
              </w:rPr>
            </w:pPr>
            <w:r>
              <w:rPr>
                <w:rFonts w:hint="eastAsia"/>
                <w:b/>
                <w:bCs/>
                <w:color w:val="auto"/>
                <w:sz w:val="24"/>
                <w:highlight w:val="none"/>
              </w:rPr>
              <w:t>表2-1沥青混凝土拌合站环保手续办理情况</w:t>
            </w:r>
          </w:p>
          <w:tbl>
            <w:tblPr>
              <w:tblStyle w:val="39"/>
              <w:tblW w:w="0" w:type="auto"/>
              <w:tblInd w:w="7" w:type="dxa"/>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autofit"/>
              <w:tblCellMar>
                <w:top w:w="15" w:type="dxa"/>
                <w:left w:w="15" w:type="dxa"/>
                <w:bottom w:w="15" w:type="dxa"/>
                <w:right w:w="15" w:type="dxa"/>
              </w:tblCellMar>
            </w:tblPr>
            <w:tblGrid>
              <w:gridCol w:w="499"/>
              <w:gridCol w:w="2617"/>
              <w:gridCol w:w="1456"/>
              <w:gridCol w:w="1853"/>
              <w:gridCol w:w="1515"/>
            </w:tblGrid>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15" w:type="dxa"/>
                  <w:left w:w="15" w:type="dxa"/>
                  <w:bottom w:w="15" w:type="dxa"/>
                  <w:right w:w="15" w:type="dxa"/>
                </w:tblCellMar>
              </w:tblPrEx>
              <w:trPr>
                <w:trHeight w:val="195" w:hRule="atLeast"/>
              </w:trPr>
              <w:tc>
                <w:tcPr>
                  <w:tcW w:w="499" w:type="dxa"/>
                  <w:noWrap w:val="0"/>
                  <w:tcMar>
                    <w:top w:w="60" w:type="dxa"/>
                    <w:left w:w="60" w:type="dxa"/>
                    <w:bottom w:w="45" w:type="dxa"/>
                    <w:right w:w="60" w:type="dxa"/>
                  </w:tcMar>
                  <w:vAlign w:val="center"/>
                </w:tcPr>
                <w:p>
                  <w:pPr>
                    <w:pStyle w:val="35"/>
                    <w:spacing w:before="0" w:beforeAutospacing="0" w:after="0" w:afterAutospacing="0"/>
                    <w:jc w:val="center"/>
                    <w:rPr>
                      <w:rFonts w:ascii="Times New Roman" w:hAnsi="Times New Roman"/>
                      <w:color w:val="auto"/>
                      <w:sz w:val="21"/>
                      <w:szCs w:val="21"/>
                      <w:highlight w:val="none"/>
                    </w:rPr>
                  </w:pPr>
                  <w:r>
                    <w:rPr>
                      <w:rFonts w:ascii="Times New Roman" w:hAnsi="Times New Roman"/>
                      <w:color w:val="auto"/>
                      <w:sz w:val="21"/>
                      <w:szCs w:val="21"/>
                      <w:highlight w:val="none"/>
                    </w:rPr>
                    <w:t>序号</w:t>
                  </w:r>
                </w:p>
              </w:tc>
              <w:tc>
                <w:tcPr>
                  <w:tcW w:w="2617" w:type="dxa"/>
                  <w:noWrap w:val="0"/>
                  <w:tcMar>
                    <w:top w:w="60" w:type="dxa"/>
                    <w:left w:w="60" w:type="dxa"/>
                    <w:bottom w:w="45" w:type="dxa"/>
                    <w:right w:w="60" w:type="dxa"/>
                  </w:tcMar>
                  <w:vAlign w:val="center"/>
                </w:tcPr>
                <w:p>
                  <w:pPr>
                    <w:pStyle w:val="35"/>
                    <w:spacing w:before="0" w:beforeAutospacing="0" w:after="0" w:afterAutospacing="0"/>
                    <w:jc w:val="center"/>
                    <w:rPr>
                      <w:rFonts w:ascii="Times New Roman" w:hAnsi="Times New Roman"/>
                      <w:color w:val="auto"/>
                      <w:sz w:val="21"/>
                      <w:szCs w:val="21"/>
                      <w:highlight w:val="none"/>
                    </w:rPr>
                  </w:pPr>
                  <w:r>
                    <w:rPr>
                      <w:rFonts w:ascii="Times New Roman" w:hAnsi="Times New Roman"/>
                      <w:color w:val="auto"/>
                      <w:sz w:val="21"/>
                      <w:szCs w:val="21"/>
                      <w:highlight w:val="none"/>
                    </w:rPr>
                    <w:t>文件</w:t>
                  </w:r>
                </w:p>
              </w:tc>
              <w:tc>
                <w:tcPr>
                  <w:tcW w:w="1456" w:type="dxa"/>
                  <w:noWrap w:val="0"/>
                  <w:tcMar>
                    <w:top w:w="60" w:type="dxa"/>
                    <w:left w:w="60" w:type="dxa"/>
                    <w:bottom w:w="45" w:type="dxa"/>
                    <w:right w:w="60" w:type="dxa"/>
                  </w:tcMar>
                  <w:vAlign w:val="center"/>
                </w:tcPr>
                <w:p>
                  <w:pPr>
                    <w:pStyle w:val="35"/>
                    <w:spacing w:before="0" w:beforeAutospacing="0" w:after="0" w:afterAutospacing="0"/>
                    <w:jc w:val="center"/>
                    <w:rPr>
                      <w:rFonts w:ascii="Times New Roman" w:hAnsi="Times New Roman"/>
                      <w:color w:val="auto"/>
                      <w:sz w:val="21"/>
                      <w:szCs w:val="21"/>
                      <w:highlight w:val="none"/>
                    </w:rPr>
                  </w:pPr>
                  <w:r>
                    <w:rPr>
                      <w:rFonts w:ascii="Times New Roman" w:hAnsi="Times New Roman"/>
                      <w:color w:val="auto"/>
                      <w:sz w:val="21"/>
                      <w:szCs w:val="21"/>
                      <w:highlight w:val="none"/>
                    </w:rPr>
                    <w:t>文件号</w:t>
                  </w:r>
                </w:p>
              </w:tc>
              <w:tc>
                <w:tcPr>
                  <w:tcW w:w="1853" w:type="dxa"/>
                  <w:noWrap w:val="0"/>
                  <w:tcMar>
                    <w:top w:w="60" w:type="dxa"/>
                    <w:left w:w="60" w:type="dxa"/>
                    <w:bottom w:w="45" w:type="dxa"/>
                    <w:right w:w="60" w:type="dxa"/>
                  </w:tcMar>
                  <w:vAlign w:val="center"/>
                </w:tcPr>
                <w:p>
                  <w:pPr>
                    <w:pStyle w:val="35"/>
                    <w:spacing w:before="0" w:beforeAutospacing="0" w:after="0" w:afterAutospacing="0"/>
                    <w:jc w:val="center"/>
                    <w:rPr>
                      <w:rFonts w:ascii="Times New Roman" w:hAnsi="Times New Roman"/>
                      <w:color w:val="auto"/>
                      <w:sz w:val="21"/>
                      <w:szCs w:val="21"/>
                      <w:highlight w:val="none"/>
                    </w:rPr>
                  </w:pPr>
                  <w:r>
                    <w:rPr>
                      <w:rFonts w:ascii="Times New Roman" w:hAnsi="Times New Roman"/>
                      <w:color w:val="auto"/>
                      <w:sz w:val="21"/>
                      <w:szCs w:val="21"/>
                      <w:highlight w:val="none"/>
                    </w:rPr>
                    <w:t>发文单位或编制单位</w:t>
                  </w:r>
                </w:p>
              </w:tc>
              <w:tc>
                <w:tcPr>
                  <w:tcW w:w="1515" w:type="dxa"/>
                  <w:noWrap w:val="0"/>
                  <w:tcMar>
                    <w:top w:w="60" w:type="dxa"/>
                    <w:left w:w="60" w:type="dxa"/>
                    <w:bottom w:w="45" w:type="dxa"/>
                    <w:right w:w="60" w:type="dxa"/>
                  </w:tcMar>
                  <w:vAlign w:val="center"/>
                </w:tcPr>
                <w:p>
                  <w:pPr>
                    <w:pStyle w:val="35"/>
                    <w:spacing w:before="0" w:beforeAutospacing="0" w:after="0" w:afterAutospacing="0"/>
                    <w:jc w:val="center"/>
                    <w:rPr>
                      <w:rFonts w:ascii="Times New Roman" w:hAnsi="Times New Roman"/>
                      <w:color w:val="auto"/>
                      <w:sz w:val="21"/>
                      <w:szCs w:val="21"/>
                      <w:highlight w:val="none"/>
                    </w:rPr>
                  </w:pPr>
                  <w:r>
                    <w:rPr>
                      <w:rFonts w:ascii="Times New Roman" w:hAnsi="Times New Roman"/>
                      <w:color w:val="auto"/>
                      <w:sz w:val="21"/>
                      <w:szCs w:val="21"/>
                      <w:highlight w:val="none"/>
                    </w:rPr>
                    <w:t>时间</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15" w:type="dxa"/>
                  <w:left w:w="15" w:type="dxa"/>
                  <w:bottom w:w="15" w:type="dxa"/>
                  <w:right w:w="15" w:type="dxa"/>
                </w:tblCellMar>
              </w:tblPrEx>
              <w:trPr>
                <w:trHeight w:val="375" w:hRule="atLeast"/>
              </w:trPr>
              <w:tc>
                <w:tcPr>
                  <w:tcW w:w="499" w:type="dxa"/>
                  <w:noWrap w:val="0"/>
                  <w:tcMar>
                    <w:top w:w="60" w:type="dxa"/>
                    <w:left w:w="60" w:type="dxa"/>
                    <w:bottom w:w="45" w:type="dxa"/>
                    <w:right w:w="60" w:type="dxa"/>
                  </w:tcMar>
                  <w:vAlign w:val="center"/>
                </w:tcPr>
                <w:p>
                  <w:pPr>
                    <w:jc w:val="center"/>
                    <w:rPr>
                      <w:rFonts w:hint="eastAsia"/>
                      <w:color w:val="auto"/>
                      <w:szCs w:val="21"/>
                      <w:highlight w:val="none"/>
                    </w:rPr>
                  </w:pPr>
                  <w:r>
                    <w:rPr>
                      <w:rFonts w:hint="eastAsia"/>
                      <w:color w:val="auto"/>
                      <w:szCs w:val="21"/>
                      <w:highlight w:val="none"/>
                    </w:rPr>
                    <w:t>1</w:t>
                  </w:r>
                </w:p>
              </w:tc>
              <w:tc>
                <w:tcPr>
                  <w:tcW w:w="2617" w:type="dxa"/>
                  <w:noWrap w:val="0"/>
                  <w:tcMar>
                    <w:top w:w="60" w:type="dxa"/>
                    <w:left w:w="60" w:type="dxa"/>
                    <w:bottom w:w="45" w:type="dxa"/>
                    <w:right w:w="60" w:type="dxa"/>
                  </w:tcMar>
                  <w:vAlign w:val="center"/>
                </w:tcPr>
                <w:p>
                  <w:pPr>
                    <w:pStyle w:val="35"/>
                    <w:spacing w:before="0" w:beforeAutospacing="0" w:after="0" w:afterAutospacing="0"/>
                    <w:jc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关于四川大跃建设工程有限公司沥青混凝土拌和站环境影响登记表的批复</w:t>
                  </w:r>
                </w:p>
              </w:tc>
              <w:tc>
                <w:tcPr>
                  <w:tcW w:w="1456" w:type="dxa"/>
                  <w:noWrap w:val="0"/>
                  <w:tcMar>
                    <w:top w:w="60" w:type="dxa"/>
                    <w:left w:w="60" w:type="dxa"/>
                    <w:bottom w:w="45" w:type="dxa"/>
                    <w:right w:w="60" w:type="dxa"/>
                  </w:tcMar>
                  <w:vAlign w:val="center"/>
                </w:tcPr>
                <w:p>
                  <w:pPr>
                    <w:pStyle w:val="35"/>
                    <w:spacing w:before="0" w:beforeAutospacing="0" w:after="0" w:afterAutospacing="0"/>
                    <w:jc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乐中建环环管[2006]43号</w:t>
                  </w:r>
                </w:p>
              </w:tc>
              <w:tc>
                <w:tcPr>
                  <w:tcW w:w="1853" w:type="dxa"/>
                  <w:noWrap w:val="0"/>
                  <w:tcMar>
                    <w:top w:w="60" w:type="dxa"/>
                    <w:left w:w="60" w:type="dxa"/>
                    <w:bottom w:w="45" w:type="dxa"/>
                    <w:right w:w="60" w:type="dxa"/>
                  </w:tcMar>
                  <w:vAlign w:val="center"/>
                </w:tcPr>
                <w:p>
                  <w:pPr>
                    <w:pStyle w:val="35"/>
                    <w:spacing w:before="0" w:beforeAutospacing="0" w:after="0" w:afterAutospacing="0"/>
                    <w:jc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乐山市市中区建设环境保护局</w:t>
                  </w:r>
                </w:p>
              </w:tc>
              <w:tc>
                <w:tcPr>
                  <w:tcW w:w="1515" w:type="dxa"/>
                  <w:noWrap w:val="0"/>
                  <w:tcMar>
                    <w:top w:w="60" w:type="dxa"/>
                    <w:left w:w="60" w:type="dxa"/>
                    <w:bottom w:w="45" w:type="dxa"/>
                    <w:right w:w="60" w:type="dxa"/>
                  </w:tcMar>
                  <w:vAlign w:val="center"/>
                </w:tcPr>
                <w:p>
                  <w:pPr>
                    <w:pStyle w:val="35"/>
                    <w:spacing w:before="0" w:beforeAutospacing="0" w:after="0" w:afterAutospacing="0"/>
                    <w:jc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2006.06</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15" w:type="dxa"/>
                  <w:left w:w="15" w:type="dxa"/>
                  <w:bottom w:w="15" w:type="dxa"/>
                  <w:right w:w="15" w:type="dxa"/>
                </w:tblCellMar>
              </w:tblPrEx>
              <w:trPr>
                <w:trHeight w:val="180" w:hRule="atLeast"/>
              </w:trPr>
              <w:tc>
                <w:tcPr>
                  <w:tcW w:w="499" w:type="dxa"/>
                  <w:noWrap w:val="0"/>
                  <w:tcMar>
                    <w:top w:w="60" w:type="dxa"/>
                    <w:left w:w="60" w:type="dxa"/>
                    <w:bottom w:w="45" w:type="dxa"/>
                    <w:right w:w="60" w:type="dxa"/>
                  </w:tcMar>
                  <w:vAlign w:val="center"/>
                </w:tcPr>
                <w:p>
                  <w:pPr>
                    <w:jc w:val="center"/>
                    <w:rPr>
                      <w:rFonts w:hint="eastAsia"/>
                      <w:color w:val="auto"/>
                      <w:szCs w:val="21"/>
                      <w:highlight w:val="none"/>
                    </w:rPr>
                  </w:pPr>
                  <w:r>
                    <w:rPr>
                      <w:rFonts w:hint="eastAsia"/>
                      <w:color w:val="auto"/>
                      <w:szCs w:val="21"/>
                      <w:highlight w:val="none"/>
                    </w:rPr>
                    <w:t>2</w:t>
                  </w:r>
                </w:p>
              </w:tc>
              <w:tc>
                <w:tcPr>
                  <w:tcW w:w="2617" w:type="dxa"/>
                  <w:noWrap w:val="0"/>
                  <w:tcMar>
                    <w:top w:w="60" w:type="dxa"/>
                    <w:left w:w="60" w:type="dxa"/>
                    <w:bottom w:w="45" w:type="dxa"/>
                    <w:right w:w="60" w:type="dxa"/>
                  </w:tcMar>
                  <w:vAlign w:val="center"/>
                </w:tcPr>
                <w:p>
                  <w:pPr>
                    <w:pStyle w:val="35"/>
                    <w:spacing w:before="0" w:beforeAutospacing="0" w:after="0" w:afterAutospacing="0"/>
                    <w:jc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建设项目竣工环境保护验收申请登记卡</w:t>
                  </w:r>
                </w:p>
              </w:tc>
              <w:tc>
                <w:tcPr>
                  <w:tcW w:w="1456" w:type="dxa"/>
                  <w:noWrap w:val="0"/>
                  <w:tcMar>
                    <w:top w:w="60" w:type="dxa"/>
                    <w:left w:w="60" w:type="dxa"/>
                    <w:bottom w:w="45" w:type="dxa"/>
                    <w:right w:w="60" w:type="dxa"/>
                  </w:tcMar>
                  <w:vAlign w:val="center"/>
                </w:tcPr>
                <w:p>
                  <w:pPr>
                    <w:pStyle w:val="35"/>
                    <w:spacing w:before="0" w:beforeAutospacing="0" w:after="0" w:afterAutospacing="0"/>
                    <w:jc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乐中环验[2017]5号</w:t>
                  </w:r>
                </w:p>
              </w:tc>
              <w:tc>
                <w:tcPr>
                  <w:tcW w:w="1853" w:type="dxa"/>
                  <w:noWrap w:val="0"/>
                  <w:tcMar>
                    <w:top w:w="60" w:type="dxa"/>
                    <w:left w:w="60" w:type="dxa"/>
                    <w:bottom w:w="45" w:type="dxa"/>
                    <w:right w:w="60" w:type="dxa"/>
                  </w:tcMar>
                  <w:vAlign w:val="center"/>
                </w:tcPr>
                <w:p>
                  <w:pPr>
                    <w:pStyle w:val="35"/>
                    <w:spacing w:before="0" w:beforeAutospacing="0" w:after="0" w:afterAutospacing="0"/>
                    <w:jc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乐山市市中区环境保护局</w:t>
                  </w:r>
                </w:p>
              </w:tc>
              <w:tc>
                <w:tcPr>
                  <w:tcW w:w="1515" w:type="dxa"/>
                  <w:noWrap w:val="0"/>
                  <w:tcMar>
                    <w:top w:w="60" w:type="dxa"/>
                    <w:left w:w="60" w:type="dxa"/>
                    <w:bottom w:w="45" w:type="dxa"/>
                    <w:right w:w="60" w:type="dxa"/>
                  </w:tcMar>
                  <w:vAlign w:val="center"/>
                </w:tcPr>
                <w:p>
                  <w:pPr>
                    <w:pStyle w:val="35"/>
                    <w:spacing w:before="0" w:beforeAutospacing="0" w:after="0" w:afterAutospacing="0"/>
                    <w:jc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2017.03</w:t>
                  </w:r>
                </w:p>
              </w:tc>
            </w:tr>
          </w:tbl>
          <w:p>
            <w:pPr>
              <w:adjustRightInd w:val="0"/>
              <w:snapToGrid w:val="0"/>
              <w:spacing w:line="360" w:lineRule="auto"/>
              <w:ind w:firstLine="480" w:firstLineChars="200"/>
              <w:rPr>
                <w:rFonts w:hint="eastAsia"/>
                <w:color w:val="auto"/>
                <w:sz w:val="24"/>
                <w:highlight w:val="none"/>
              </w:rPr>
            </w:pPr>
            <w:r>
              <w:rPr>
                <w:rFonts w:hint="eastAsia"/>
                <w:color w:val="auto"/>
                <w:sz w:val="24"/>
                <w:highlight w:val="none"/>
              </w:rPr>
              <w:t>由于现有沥青拌和站建成时间较早，很多设备老旧，环保设施建设不满足要求。为了节省资源能源的消耗，减少大气污染物的排放。同时，便于管理和节约劳动力成本等。乐山市大川建设有限公司决定对原1万吨沥青混凝土拌和站生产线进行改建，整体设备更换，拟将旧的生产线设备全部更换，同时整个生产线在厂区内东移到东侧厂区内的空地， 产能不变。</w:t>
            </w:r>
          </w:p>
          <w:p>
            <w:pPr>
              <w:pStyle w:val="50"/>
              <w:numPr>
                <w:ilvl w:val="0"/>
                <w:numId w:val="3"/>
              </w:numPr>
              <w:snapToGrid w:val="0"/>
              <w:rPr>
                <w:rFonts w:hint="eastAsia" w:ascii="Times New Roman" w:hAnsi="Times New Roman"/>
                <w:color w:val="auto"/>
                <w:szCs w:val="24"/>
                <w:highlight w:val="none"/>
              </w:rPr>
            </w:pPr>
            <w:r>
              <w:rPr>
                <w:rFonts w:hint="eastAsia" w:ascii="Times New Roman" w:hAnsi="Times New Roman"/>
                <w:color w:val="auto"/>
                <w:szCs w:val="24"/>
                <w:highlight w:val="none"/>
              </w:rPr>
              <w:t>改建前后建设内容变化情况</w:t>
            </w:r>
          </w:p>
          <w:p>
            <w:pPr>
              <w:adjustRightInd w:val="0"/>
              <w:snapToGrid w:val="0"/>
              <w:spacing w:line="360" w:lineRule="auto"/>
              <w:ind w:firstLine="480" w:firstLineChars="200"/>
              <w:rPr>
                <w:rFonts w:hint="eastAsia"/>
                <w:color w:val="auto"/>
                <w:sz w:val="24"/>
                <w:highlight w:val="none"/>
              </w:rPr>
            </w:pPr>
            <w:r>
              <w:rPr>
                <w:rFonts w:hint="eastAsia"/>
                <w:color w:val="auto"/>
                <w:sz w:val="24"/>
                <w:highlight w:val="none"/>
              </w:rPr>
              <w:t>淘汰现有1万t/a沥青拌合料生产线，在厂区空地新建1万t/a沥青拌和料生产线，工艺不变，主要是更新设备，同时设置改进配套环保设施；同时，对厂区车间平面布置进行调整，主要对骨料堆场进行优化调整，由原来的露天堆放改为三面加顶封闭式堆放。</w:t>
            </w:r>
          </w:p>
          <w:p>
            <w:pPr>
              <w:adjustRightInd w:val="0"/>
              <w:snapToGrid w:val="0"/>
              <w:jc w:val="center"/>
              <w:rPr>
                <w:rFonts w:ascii="宋体" w:hAnsi="宋体" w:cs="宋体"/>
                <w:bCs/>
                <w:color w:val="auto"/>
                <w:szCs w:val="21"/>
                <w:highlight w:val="none"/>
              </w:rPr>
            </w:pPr>
            <w:r>
              <w:rPr>
                <w:rFonts w:hint="eastAsia"/>
                <w:b/>
                <w:bCs/>
                <w:color w:val="auto"/>
                <w:sz w:val="24"/>
                <w:highlight w:val="none"/>
              </w:rPr>
              <w:t>表2-2 项目改建前后组成及主要环境问题一览表</w:t>
            </w:r>
          </w:p>
          <w:tbl>
            <w:tblPr>
              <w:tblStyle w:val="39"/>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88"/>
              <w:gridCol w:w="769"/>
              <w:gridCol w:w="2399"/>
              <w:gridCol w:w="1956"/>
              <w:gridCol w:w="1065"/>
              <w:gridCol w:w="106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tblHeader/>
                <w:jc w:val="center"/>
              </w:trPr>
              <w:tc>
                <w:tcPr>
                  <w:tcW w:w="688" w:type="dxa"/>
                  <w:noWrap w:val="0"/>
                  <w:vAlign w:val="center"/>
                </w:tcPr>
                <w:p>
                  <w:pPr>
                    <w:snapToGrid w:val="0"/>
                    <w:ind w:left="-72" w:leftChars="-30" w:right="-72" w:rightChars="-30"/>
                    <w:jc w:val="center"/>
                    <w:rPr>
                      <w:b/>
                      <w:color w:val="auto"/>
                      <w:sz w:val="18"/>
                      <w:szCs w:val="18"/>
                      <w:highlight w:val="none"/>
                    </w:rPr>
                  </w:pPr>
                  <w:r>
                    <w:rPr>
                      <w:b/>
                      <w:color w:val="auto"/>
                      <w:sz w:val="18"/>
                      <w:szCs w:val="18"/>
                      <w:highlight w:val="none"/>
                    </w:rPr>
                    <w:t>工程</w:t>
                  </w:r>
                </w:p>
                <w:p>
                  <w:pPr>
                    <w:snapToGrid w:val="0"/>
                    <w:ind w:left="-72" w:leftChars="-30" w:right="-72" w:rightChars="-30"/>
                    <w:jc w:val="center"/>
                    <w:rPr>
                      <w:b/>
                      <w:color w:val="auto"/>
                      <w:sz w:val="18"/>
                      <w:szCs w:val="18"/>
                      <w:highlight w:val="none"/>
                    </w:rPr>
                  </w:pPr>
                  <w:r>
                    <w:rPr>
                      <w:b/>
                      <w:color w:val="auto"/>
                      <w:sz w:val="18"/>
                      <w:szCs w:val="18"/>
                      <w:highlight w:val="none"/>
                    </w:rPr>
                    <w:t>分类</w:t>
                  </w:r>
                </w:p>
              </w:tc>
              <w:tc>
                <w:tcPr>
                  <w:tcW w:w="769" w:type="dxa"/>
                  <w:noWrap w:val="0"/>
                  <w:vAlign w:val="center"/>
                </w:tcPr>
                <w:p>
                  <w:pPr>
                    <w:snapToGrid w:val="0"/>
                    <w:jc w:val="center"/>
                    <w:rPr>
                      <w:b/>
                      <w:color w:val="auto"/>
                      <w:sz w:val="18"/>
                      <w:szCs w:val="18"/>
                      <w:highlight w:val="none"/>
                    </w:rPr>
                  </w:pPr>
                  <w:r>
                    <w:rPr>
                      <w:b/>
                      <w:color w:val="auto"/>
                      <w:sz w:val="18"/>
                      <w:szCs w:val="18"/>
                      <w:highlight w:val="none"/>
                    </w:rPr>
                    <w:t>项目</w:t>
                  </w:r>
                </w:p>
                <w:p>
                  <w:pPr>
                    <w:snapToGrid w:val="0"/>
                    <w:jc w:val="center"/>
                    <w:rPr>
                      <w:b/>
                      <w:color w:val="auto"/>
                      <w:sz w:val="18"/>
                      <w:szCs w:val="18"/>
                      <w:highlight w:val="none"/>
                    </w:rPr>
                  </w:pPr>
                  <w:r>
                    <w:rPr>
                      <w:b/>
                      <w:color w:val="auto"/>
                      <w:sz w:val="18"/>
                      <w:szCs w:val="18"/>
                      <w:highlight w:val="none"/>
                    </w:rPr>
                    <w:t>名称</w:t>
                  </w:r>
                </w:p>
              </w:tc>
              <w:tc>
                <w:tcPr>
                  <w:tcW w:w="2399" w:type="dxa"/>
                  <w:noWrap w:val="0"/>
                  <w:vAlign w:val="center"/>
                </w:tcPr>
                <w:p>
                  <w:pPr>
                    <w:snapToGrid w:val="0"/>
                    <w:ind w:left="-72" w:leftChars="-30" w:right="-72" w:rightChars="-30"/>
                    <w:jc w:val="center"/>
                    <w:rPr>
                      <w:b/>
                      <w:color w:val="auto"/>
                      <w:sz w:val="18"/>
                      <w:szCs w:val="18"/>
                      <w:highlight w:val="none"/>
                    </w:rPr>
                  </w:pPr>
                  <w:r>
                    <w:rPr>
                      <w:b/>
                      <w:color w:val="auto"/>
                      <w:sz w:val="18"/>
                      <w:szCs w:val="18"/>
                      <w:highlight w:val="none"/>
                    </w:rPr>
                    <w:t>原环评建设内容</w:t>
                  </w:r>
                </w:p>
              </w:tc>
              <w:tc>
                <w:tcPr>
                  <w:tcW w:w="1956" w:type="dxa"/>
                  <w:noWrap w:val="0"/>
                  <w:vAlign w:val="center"/>
                </w:tcPr>
                <w:p>
                  <w:pPr>
                    <w:snapToGrid w:val="0"/>
                    <w:ind w:left="-72" w:leftChars="-30" w:right="-72" w:rightChars="-30"/>
                    <w:jc w:val="center"/>
                    <w:rPr>
                      <w:b/>
                      <w:color w:val="auto"/>
                      <w:sz w:val="18"/>
                      <w:szCs w:val="18"/>
                      <w:highlight w:val="none"/>
                    </w:rPr>
                  </w:pPr>
                  <w:r>
                    <w:rPr>
                      <w:b/>
                      <w:color w:val="auto"/>
                      <w:sz w:val="18"/>
                      <w:szCs w:val="18"/>
                      <w:highlight w:val="none"/>
                    </w:rPr>
                    <w:t>技改后建设内容</w:t>
                  </w:r>
                </w:p>
              </w:tc>
              <w:tc>
                <w:tcPr>
                  <w:tcW w:w="1065" w:type="dxa"/>
                  <w:noWrap w:val="0"/>
                  <w:vAlign w:val="center"/>
                </w:tcPr>
                <w:p>
                  <w:pPr>
                    <w:snapToGrid w:val="0"/>
                    <w:ind w:left="-72" w:leftChars="-30" w:right="-72" w:rightChars="-30"/>
                    <w:jc w:val="center"/>
                    <w:rPr>
                      <w:b/>
                      <w:color w:val="auto"/>
                      <w:sz w:val="18"/>
                      <w:szCs w:val="18"/>
                      <w:highlight w:val="none"/>
                    </w:rPr>
                  </w:pPr>
                  <w:r>
                    <w:rPr>
                      <w:b/>
                      <w:color w:val="auto"/>
                      <w:sz w:val="18"/>
                      <w:szCs w:val="18"/>
                      <w:highlight w:val="none"/>
                    </w:rPr>
                    <w:t>营运期主要</w:t>
                  </w:r>
                </w:p>
                <w:p>
                  <w:pPr>
                    <w:snapToGrid w:val="0"/>
                    <w:ind w:left="-72" w:leftChars="-30" w:right="-72" w:rightChars="-30"/>
                    <w:jc w:val="center"/>
                    <w:rPr>
                      <w:b/>
                      <w:color w:val="auto"/>
                      <w:sz w:val="18"/>
                      <w:szCs w:val="18"/>
                      <w:highlight w:val="none"/>
                    </w:rPr>
                  </w:pPr>
                  <w:r>
                    <w:rPr>
                      <w:b/>
                      <w:color w:val="auto"/>
                      <w:sz w:val="18"/>
                      <w:szCs w:val="18"/>
                      <w:highlight w:val="none"/>
                    </w:rPr>
                    <w:t>环境问题</w:t>
                  </w:r>
                </w:p>
              </w:tc>
              <w:tc>
                <w:tcPr>
                  <w:tcW w:w="1065" w:type="dxa"/>
                  <w:noWrap w:val="0"/>
                  <w:vAlign w:val="center"/>
                </w:tcPr>
                <w:p>
                  <w:pPr>
                    <w:snapToGrid w:val="0"/>
                    <w:ind w:left="-72" w:leftChars="-30" w:right="-72" w:rightChars="-30"/>
                    <w:jc w:val="center"/>
                    <w:rPr>
                      <w:b/>
                      <w:color w:val="auto"/>
                      <w:sz w:val="18"/>
                      <w:szCs w:val="18"/>
                      <w:highlight w:val="none"/>
                    </w:rPr>
                  </w:pPr>
                  <w:r>
                    <w:rPr>
                      <w:rFonts w:hint="eastAsia"/>
                      <w:b/>
                      <w:color w:val="auto"/>
                      <w:sz w:val="18"/>
                      <w:szCs w:val="18"/>
                      <w:highlight w:val="none"/>
                    </w:rPr>
                    <w:t>改建后建设内容现状建设情况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88" w:type="dxa"/>
                  <w:vMerge w:val="restart"/>
                  <w:noWrap w:val="0"/>
                  <w:vAlign w:val="center"/>
                </w:tcPr>
                <w:p>
                  <w:pPr>
                    <w:snapToGrid w:val="0"/>
                    <w:ind w:left="-72" w:leftChars="-30" w:right="-72" w:rightChars="-30"/>
                    <w:jc w:val="center"/>
                    <w:rPr>
                      <w:color w:val="auto"/>
                      <w:sz w:val="18"/>
                      <w:szCs w:val="18"/>
                      <w:highlight w:val="none"/>
                    </w:rPr>
                  </w:pPr>
                  <w:r>
                    <w:rPr>
                      <w:color w:val="auto"/>
                      <w:sz w:val="18"/>
                      <w:szCs w:val="18"/>
                      <w:highlight w:val="none"/>
                    </w:rPr>
                    <w:t>主体</w:t>
                  </w:r>
                </w:p>
                <w:p>
                  <w:pPr>
                    <w:snapToGrid w:val="0"/>
                    <w:ind w:left="-72" w:leftChars="-30" w:right="-72" w:rightChars="-30"/>
                    <w:jc w:val="center"/>
                    <w:rPr>
                      <w:color w:val="auto"/>
                      <w:sz w:val="18"/>
                      <w:szCs w:val="18"/>
                      <w:highlight w:val="none"/>
                    </w:rPr>
                  </w:pPr>
                  <w:r>
                    <w:rPr>
                      <w:color w:val="auto"/>
                      <w:sz w:val="18"/>
                      <w:szCs w:val="18"/>
                      <w:highlight w:val="none"/>
                    </w:rPr>
                    <w:t>工程</w:t>
                  </w:r>
                </w:p>
              </w:tc>
              <w:tc>
                <w:tcPr>
                  <w:tcW w:w="769" w:type="dxa"/>
                  <w:noWrap w:val="0"/>
                  <w:vAlign w:val="center"/>
                </w:tcPr>
                <w:p>
                  <w:pPr>
                    <w:snapToGrid w:val="0"/>
                    <w:jc w:val="center"/>
                    <w:rPr>
                      <w:color w:val="auto"/>
                      <w:sz w:val="18"/>
                      <w:szCs w:val="18"/>
                      <w:highlight w:val="none"/>
                    </w:rPr>
                  </w:pPr>
                  <w:r>
                    <w:rPr>
                      <w:color w:val="auto"/>
                      <w:sz w:val="18"/>
                      <w:szCs w:val="18"/>
                      <w:highlight w:val="none"/>
                    </w:rPr>
                    <w:t>沥青搅拌主楼</w:t>
                  </w:r>
                </w:p>
              </w:tc>
              <w:tc>
                <w:tcPr>
                  <w:tcW w:w="2399" w:type="dxa"/>
                  <w:noWrap w:val="0"/>
                  <w:vAlign w:val="center"/>
                </w:tcPr>
                <w:p>
                  <w:pPr>
                    <w:snapToGrid w:val="0"/>
                    <w:jc w:val="center"/>
                    <w:rPr>
                      <w:color w:val="auto"/>
                      <w:sz w:val="18"/>
                      <w:szCs w:val="18"/>
                      <w:highlight w:val="none"/>
                    </w:rPr>
                  </w:pPr>
                  <w:r>
                    <w:rPr>
                      <w:color w:val="auto"/>
                      <w:sz w:val="18"/>
                      <w:szCs w:val="18"/>
                      <w:highlight w:val="none"/>
                    </w:rPr>
                    <w:t>沥青搅拌站主楼（建筑面积1500m</w:t>
                  </w:r>
                  <w:r>
                    <w:rPr>
                      <w:color w:val="auto"/>
                      <w:sz w:val="18"/>
                      <w:szCs w:val="18"/>
                      <w:highlight w:val="none"/>
                      <w:vertAlign w:val="superscript"/>
                    </w:rPr>
                    <w:t>2</w:t>
                  </w:r>
                  <w:r>
                    <w:rPr>
                      <w:color w:val="auto"/>
                      <w:sz w:val="18"/>
                      <w:szCs w:val="18"/>
                      <w:highlight w:val="none"/>
                    </w:rPr>
                    <w:t>），主要布置LB2000C型间歇强制式沥青混合料搅拌设备，主要由以下几部分组成:主机设备包括冷料给料系统、烘干加热系统、热料提升系统、筛分及存储系统、称重计量系统、粉料储存及供给系统、搅拌器、除尘系统、沥青系统等。年生产沥青混凝土1万吨。</w:t>
                  </w:r>
                </w:p>
              </w:tc>
              <w:tc>
                <w:tcPr>
                  <w:tcW w:w="1956" w:type="dxa"/>
                  <w:noWrap w:val="0"/>
                  <w:vAlign w:val="center"/>
                </w:tcPr>
                <w:p>
                  <w:pPr>
                    <w:snapToGrid w:val="0"/>
                    <w:rPr>
                      <w:color w:val="auto"/>
                      <w:sz w:val="18"/>
                      <w:szCs w:val="18"/>
                      <w:highlight w:val="none"/>
                    </w:rPr>
                  </w:pPr>
                  <w:r>
                    <w:rPr>
                      <w:color w:val="auto"/>
                      <w:sz w:val="18"/>
                      <w:szCs w:val="18"/>
                      <w:highlight w:val="none"/>
                    </w:rPr>
                    <w:t>面积调整为1250m</w:t>
                  </w:r>
                  <w:r>
                    <w:rPr>
                      <w:color w:val="auto"/>
                      <w:sz w:val="18"/>
                      <w:szCs w:val="18"/>
                      <w:highlight w:val="none"/>
                      <w:vertAlign w:val="superscript"/>
                    </w:rPr>
                    <w:t>2</w:t>
                  </w:r>
                  <w:r>
                    <w:rPr>
                      <w:color w:val="auto"/>
                      <w:sz w:val="18"/>
                      <w:szCs w:val="18"/>
                      <w:highlight w:val="none"/>
                    </w:rPr>
                    <w:t>，位置向东移，生产线规模保持不变。主要布置SLB4000C8 型间歇强制式沥青混合料搅拌设备主要由以下几部分组成:主机设备包括冷料给料系统、烘干加热系统、热料提升系统、筛分及存储系统、称重计量系统、粉料储存及供给系统、搅拌器、除尘系统、沥青系统等。年生产沥青混凝土1万吨。</w:t>
                  </w:r>
                </w:p>
              </w:tc>
              <w:tc>
                <w:tcPr>
                  <w:tcW w:w="1065" w:type="dxa"/>
                  <w:noWrap w:val="0"/>
                  <w:vAlign w:val="center"/>
                </w:tcPr>
                <w:p>
                  <w:pPr>
                    <w:snapToGrid w:val="0"/>
                    <w:ind w:left="-30" w:right="-30"/>
                    <w:jc w:val="center"/>
                    <w:rPr>
                      <w:color w:val="auto"/>
                      <w:sz w:val="18"/>
                      <w:szCs w:val="18"/>
                      <w:highlight w:val="none"/>
                    </w:rPr>
                  </w:pPr>
                  <w:r>
                    <w:rPr>
                      <w:color w:val="auto"/>
                      <w:sz w:val="18"/>
                      <w:szCs w:val="18"/>
                      <w:highlight w:val="none"/>
                    </w:rPr>
                    <w:t>废热气；设备噪声</w:t>
                  </w:r>
                </w:p>
              </w:tc>
              <w:tc>
                <w:tcPr>
                  <w:tcW w:w="1065" w:type="dxa"/>
                  <w:noWrap w:val="0"/>
                  <w:vAlign w:val="center"/>
                </w:tcPr>
                <w:p>
                  <w:pPr>
                    <w:snapToGrid w:val="0"/>
                    <w:ind w:left="-30" w:right="-30"/>
                    <w:jc w:val="center"/>
                    <w:rPr>
                      <w:color w:val="auto"/>
                      <w:sz w:val="18"/>
                      <w:szCs w:val="18"/>
                      <w:highlight w:val="none"/>
                    </w:rPr>
                  </w:pPr>
                  <w:r>
                    <w:rPr>
                      <w:rFonts w:hint="eastAsia"/>
                      <w:color w:val="auto"/>
                      <w:sz w:val="18"/>
                      <w:szCs w:val="18"/>
                      <w:highlight w:val="none"/>
                    </w:rPr>
                    <w:t>新生产线已建成（未运行），旧生产线在运行，环评要求在新生产线运行前，旧生产线需全部拆除</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88" w:type="dxa"/>
                  <w:vMerge w:val="continue"/>
                  <w:noWrap w:val="0"/>
                  <w:vAlign w:val="center"/>
                </w:tcPr>
                <w:p>
                  <w:pPr>
                    <w:snapToGrid w:val="0"/>
                    <w:ind w:left="-72" w:leftChars="-30" w:right="-72" w:rightChars="-30"/>
                    <w:jc w:val="center"/>
                    <w:rPr>
                      <w:color w:val="auto"/>
                      <w:sz w:val="18"/>
                      <w:szCs w:val="18"/>
                      <w:highlight w:val="none"/>
                    </w:rPr>
                  </w:pPr>
                </w:p>
              </w:tc>
              <w:tc>
                <w:tcPr>
                  <w:tcW w:w="769" w:type="dxa"/>
                  <w:noWrap w:val="0"/>
                  <w:vAlign w:val="center"/>
                </w:tcPr>
                <w:p>
                  <w:pPr>
                    <w:snapToGrid w:val="0"/>
                    <w:jc w:val="center"/>
                    <w:rPr>
                      <w:color w:val="auto"/>
                      <w:sz w:val="18"/>
                      <w:szCs w:val="18"/>
                      <w:highlight w:val="none"/>
                    </w:rPr>
                  </w:pPr>
                  <w:r>
                    <w:rPr>
                      <w:color w:val="auto"/>
                      <w:sz w:val="18"/>
                      <w:szCs w:val="18"/>
                      <w:highlight w:val="none"/>
                    </w:rPr>
                    <w:t>微机控制室</w:t>
                  </w:r>
                </w:p>
              </w:tc>
              <w:tc>
                <w:tcPr>
                  <w:tcW w:w="2399" w:type="dxa"/>
                  <w:noWrap w:val="0"/>
                  <w:vAlign w:val="center"/>
                </w:tcPr>
                <w:p>
                  <w:pPr>
                    <w:snapToGrid w:val="0"/>
                    <w:jc w:val="center"/>
                    <w:rPr>
                      <w:color w:val="auto"/>
                      <w:sz w:val="18"/>
                      <w:szCs w:val="18"/>
                      <w:highlight w:val="none"/>
                    </w:rPr>
                  </w:pPr>
                  <w:r>
                    <w:rPr>
                      <w:color w:val="auto"/>
                      <w:sz w:val="18"/>
                      <w:szCs w:val="18"/>
                      <w:highlight w:val="none"/>
                    </w:rPr>
                    <w:t>通过微机对生产过程进行控制，位于沥青搅拌站主楼旁，建筑面积6m</w:t>
                  </w:r>
                  <w:r>
                    <w:rPr>
                      <w:color w:val="auto"/>
                      <w:sz w:val="18"/>
                      <w:szCs w:val="18"/>
                      <w:highlight w:val="none"/>
                      <w:vertAlign w:val="superscript"/>
                    </w:rPr>
                    <w:t>2</w:t>
                  </w:r>
                  <w:r>
                    <w:rPr>
                      <w:color w:val="auto"/>
                      <w:sz w:val="18"/>
                      <w:szCs w:val="18"/>
                      <w:highlight w:val="none"/>
                    </w:rPr>
                    <w:t>，跟配电房一体</w:t>
                  </w:r>
                </w:p>
              </w:tc>
              <w:tc>
                <w:tcPr>
                  <w:tcW w:w="1956" w:type="dxa"/>
                  <w:noWrap w:val="0"/>
                  <w:vAlign w:val="center"/>
                </w:tcPr>
                <w:p>
                  <w:pPr>
                    <w:snapToGrid w:val="0"/>
                    <w:ind w:left="-30" w:right="-30"/>
                    <w:rPr>
                      <w:color w:val="auto"/>
                      <w:sz w:val="18"/>
                      <w:szCs w:val="18"/>
                      <w:highlight w:val="none"/>
                    </w:rPr>
                  </w:pPr>
                  <w:r>
                    <w:rPr>
                      <w:color w:val="auto"/>
                      <w:sz w:val="18"/>
                      <w:szCs w:val="18"/>
                      <w:highlight w:val="none"/>
                    </w:rPr>
                    <w:t>位置同拌和主楼调整位置，面积几乎未变，单独设置。</w:t>
                  </w:r>
                </w:p>
              </w:tc>
              <w:tc>
                <w:tcPr>
                  <w:tcW w:w="1065" w:type="dxa"/>
                  <w:noWrap w:val="0"/>
                  <w:vAlign w:val="center"/>
                </w:tcPr>
                <w:p>
                  <w:pPr>
                    <w:snapToGrid w:val="0"/>
                    <w:ind w:left="-30" w:right="-30"/>
                    <w:jc w:val="center"/>
                    <w:rPr>
                      <w:color w:val="auto"/>
                      <w:sz w:val="18"/>
                      <w:szCs w:val="18"/>
                      <w:highlight w:val="none"/>
                    </w:rPr>
                  </w:pPr>
                  <w:r>
                    <w:rPr>
                      <w:color w:val="auto"/>
                      <w:sz w:val="18"/>
                      <w:szCs w:val="18"/>
                      <w:highlight w:val="none"/>
                    </w:rPr>
                    <w:t>设备噪声</w:t>
                  </w:r>
                </w:p>
              </w:tc>
              <w:tc>
                <w:tcPr>
                  <w:tcW w:w="1065" w:type="dxa"/>
                  <w:noWrap w:val="0"/>
                  <w:vAlign w:val="center"/>
                </w:tcPr>
                <w:p>
                  <w:pPr>
                    <w:snapToGrid w:val="0"/>
                    <w:ind w:left="-30" w:right="-30"/>
                    <w:jc w:val="center"/>
                    <w:rPr>
                      <w:color w:val="auto"/>
                      <w:sz w:val="18"/>
                      <w:szCs w:val="18"/>
                      <w:highlight w:val="none"/>
                    </w:rPr>
                  </w:pPr>
                  <w:r>
                    <w:rPr>
                      <w:rFonts w:hint="eastAsia"/>
                      <w:color w:val="auto"/>
                      <w:sz w:val="18"/>
                      <w:szCs w:val="18"/>
                      <w:highlight w:val="none"/>
                    </w:rPr>
                    <w:t>已建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88" w:type="dxa"/>
                  <w:vMerge w:val="restart"/>
                  <w:noWrap w:val="0"/>
                  <w:vAlign w:val="center"/>
                </w:tcPr>
                <w:p>
                  <w:pPr>
                    <w:widowControl/>
                    <w:jc w:val="center"/>
                    <w:textAlignment w:val="bottom"/>
                    <w:rPr>
                      <w:color w:val="auto"/>
                      <w:sz w:val="18"/>
                      <w:szCs w:val="18"/>
                      <w:highlight w:val="none"/>
                    </w:rPr>
                  </w:pPr>
                  <w:r>
                    <w:rPr>
                      <w:color w:val="auto"/>
                      <w:kern w:val="0"/>
                      <w:sz w:val="18"/>
                      <w:szCs w:val="18"/>
                      <w:highlight w:val="none"/>
                      <w:lang w:bidi="ar"/>
                    </w:rPr>
                    <w:t>辅</w:t>
                  </w:r>
                  <w:r>
                    <w:rPr>
                      <w:color w:val="auto"/>
                      <w:kern w:val="0"/>
                      <w:sz w:val="18"/>
                      <w:szCs w:val="18"/>
                      <w:highlight w:val="none"/>
                      <w:lang w:bidi="ar"/>
                    </w:rPr>
                    <w:br w:type="textWrapping"/>
                  </w:r>
                  <w:r>
                    <w:rPr>
                      <w:color w:val="auto"/>
                      <w:kern w:val="0"/>
                      <w:sz w:val="18"/>
                      <w:szCs w:val="18"/>
                      <w:highlight w:val="none"/>
                      <w:lang w:bidi="ar"/>
                    </w:rPr>
                    <w:t>助</w:t>
                  </w:r>
                  <w:r>
                    <w:rPr>
                      <w:color w:val="auto"/>
                      <w:kern w:val="0"/>
                      <w:sz w:val="18"/>
                      <w:szCs w:val="18"/>
                      <w:highlight w:val="none"/>
                      <w:lang w:bidi="ar"/>
                    </w:rPr>
                    <w:br w:type="textWrapping"/>
                  </w:r>
                  <w:r>
                    <w:rPr>
                      <w:color w:val="auto"/>
                      <w:kern w:val="0"/>
                      <w:sz w:val="18"/>
                      <w:szCs w:val="18"/>
                      <w:highlight w:val="none"/>
                      <w:lang w:bidi="ar"/>
                    </w:rPr>
                    <w:t>工</w:t>
                  </w:r>
                  <w:r>
                    <w:rPr>
                      <w:color w:val="auto"/>
                      <w:kern w:val="0"/>
                      <w:sz w:val="18"/>
                      <w:szCs w:val="18"/>
                      <w:highlight w:val="none"/>
                      <w:lang w:bidi="ar"/>
                    </w:rPr>
                    <w:br w:type="textWrapping"/>
                  </w:r>
                  <w:r>
                    <w:rPr>
                      <w:color w:val="auto"/>
                      <w:kern w:val="0"/>
                      <w:sz w:val="18"/>
                      <w:szCs w:val="18"/>
                      <w:highlight w:val="none"/>
                      <w:lang w:bidi="ar"/>
                    </w:rPr>
                    <w:t>程</w:t>
                  </w:r>
                </w:p>
              </w:tc>
              <w:tc>
                <w:tcPr>
                  <w:tcW w:w="769" w:type="dxa"/>
                  <w:noWrap w:val="0"/>
                  <w:vAlign w:val="center"/>
                </w:tcPr>
                <w:p>
                  <w:pPr>
                    <w:widowControl/>
                    <w:jc w:val="center"/>
                    <w:textAlignment w:val="bottom"/>
                    <w:rPr>
                      <w:color w:val="auto"/>
                      <w:sz w:val="18"/>
                      <w:szCs w:val="18"/>
                      <w:highlight w:val="none"/>
                    </w:rPr>
                  </w:pPr>
                  <w:r>
                    <w:rPr>
                      <w:color w:val="auto"/>
                      <w:kern w:val="0"/>
                      <w:sz w:val="18"/>
                      <w:szCs w:val="18"/>
                      <w:highlight w:val="none"/>
                      <w:lang w:bidi="ar"/>
                    </w:rPr>
                    <w:t>配电房</w:t>
                  </w:r>
                </w:p>
              </w:tc>
              <w:tc>
                <w:tcPr>
                  <w:tcW w:w="2399" w:type="dxa"/>
                  <w:noWrap w:val="0"/>
                  <w:vAlign w:val="center"/>
                </w:tcPr>
                <w:p>
                  <w:pPr>
                    <w:widowControl/>
                    <w:jc w:val="center"/>
                    <w:textAlignment w:val="bottom"/>
                    <w:rPr>
                      <w:color w:val="auto"/>
                      <w:sz w:val="18"/>
                      <w:szCs w:val="18"/>
                      <w:highlight w:val="none"/>
                    </w:rPr>
                  </w:pPr>
                  <w:r>
                    <w:rPr>
                      <w:color w:val="auto"/>
                      <w:kern w:val="0"/>
                      <w:sz w:val="18"/>
                      <w:szCs w:val="18"/>
                      <w:highlight w:val="none"/>
                      <w:lang w:bidi="ar"/>
                    </w:rPr>
                    <w:t>电源来自棉竹镇供电站</w:t>
                  </w:r>
                  <w:r>
                    <w:rPr>
                      <w:color w:val="auto"/>
                      <w:sz w:val="18"/>
                      <w:szCs w:val="18"/>
                      <w:highlight w:val="none"/>
                    </w:rPr>
                    <w:t>，项目设置配电房1个，建筑面积30m</w:t>
                  </w:r>
                  <w:r>
                    <w:rPr>
                      <w:color w:val="auto"/>
                      <w:sz w:val="18"/>
                      <w:szCs w:val="18"/>
                      <w:highlight w:val="none"/>
                      <w:vertAlign w:val="superscript"/>
                    </w:rPr>
                    <w:t>2</w:t>
                  </w:r>
                </w:p>
              </w:tc>
              <w:tc>
                <w:tcPr>
                  <w:tcW w:w="1956" w:type="dxa"/>
                  <w:noWrap w:val="0"/>
                  <w:vAlign w:val="center"/>
                </w:tcPr>
                <w:p>
                  <w:pPr>
                    <w:snapToGrid w:val="0"/>
                    <w:jc w:val="center"/>
                    <w:rPr>
                      <w:color w:val="auto"/>
                      <w:sz w:val="18"/>
                      <w:szCs w:val="18"/>
                      <w:highlight w:val="none"/>
                    </w:rPr>
                  </w:pPr>
                  <w:r>
                    <w:rPr>
                      <w:color w:val="auto"/>
                      <w:sz w:val="18"/>
                      <w:szCs w:val="18"/>
                      <w:highlight w:val="none"/>
                    </w:rPr>
                    <w:t>项目设置配电房2个，建筑面积30m</w:t>
                  </w:r>
                  <w:r>
                    <w:rPr>
                      <w:color w:val="auto"/>
                      <w:sz w:val="18"/>
                      <w:szCs w:val="18"/>
                      <w:highlight w:val="none"/>
                      <w:vertAlign w:val="superscript"/>
                    </w:rPr>
                    <w:t>2</w:t>
                  </w:r>
                  <w:r>
                    <w:rPr>
                      <w:color w:val="auto"/>
                      <w:sz w:val="18"/>
                      <w:szCs w:val="18"/>
                      <w:highlight w:val="none"/>
                    </w:rPr>
                    <w:t>，将强电弱电分开，同时与微机控制室隔离</w:t>
                  </w:r>
                </w:p>
              </w:tc>
              <w:tc>
                <w:tcPr>
                  <w:tcW w:w="1065" w:type="dxa"/>
                  <w:noWrap w:val="0"/>
                  <w:vAlign w:val="center"/>
                </w:tcPr>
                <w:p>
                  <w:pPr>
                    <w:snapToGrid w:val="0"/>
                    <w:rPr>
                      <w:color w:val="auto"/>
                      <w:sz w:val="18"/>
                      <w:szCs w:val="18"/>
                      <w:highlight w:val="none"/>
                    </w:rPr>
                  </w:pPr>
                  <w:r>
                    <w:rPr>
                      <w:color w:val="auto"/>
                      <w:sz w:val="18"/>
                      <w:szCs w:val="18"/>
                      <w:highlight w:val="none"/>
                    </w:rPr>
                    <w:t>设备噪声</w:t>
                  </w:r>
                </w:p>
              </w:tc>
              <w:tc>
                <w:tcPr>
                  <w:tcW w:w="1065" w:type="dxa"/>
                  <w:noWrap w:val="0"/>
                  <w:vAlign w:val="center"/>
                </w:tcPr>
                <w:p>
                  <w:pPr>
                    <w:snapToGrid w:val="0"/>
                    <w:jc w:val="center"/>
                    <w:rPr>
                      <w:rFonts w:hint="eastAsia"/>
                      <w:color w:val="auto"/>
                      <w:sz w:val="18"/>
                      <w:szCs w:val="18"/>
                      <w:highlight w:val="none"/>
                    </w:rPr>
                  </w:pPr>
                  <w:r>
                    <w:rPr>
                      <w:rFonts w:hint="eastAsia"/>
                      <w:color w:val="auto"/>
                      <w:sz w:val="18"/>
                      <w:szCs w:val="18"/>
                      <w:highlight w:val="none"/>
                    </w:rPr>
                    <w:t>已建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88" w:type="dxa"/>
                  <w:vMerge w:val="continue"/>
                  <w:noWrap w:val="0"/>
                  <w:vAlign w:val="center"/>
                </w:tcPr>
                <w:p>
                  <w:pPr>
                    <w:widowControl/>
                    <w:jc w:val="center"/>
                    <w:textAlignment w:val="bottom"/>
                    <w:rPr>
                      <w:color w:val="auto"/>
                      <w:sz w:val="18"/>
                      <w:szCs w:val="18"/>
                      <w:highlight w:val="none"/>
                    </w:rPr>
                  </w:pPr>
                </w:p>
              </w:tc>
              <w:tc>
                <w:tcPr>
                  <w:tcW w:w="769" w:type="dxa"/>
                  <w:noWrap w:val="0"/>
                  <w:vAlign w:val="center"/>
                </w:tcPr>
                <w:p>
                  <w:pPr>
                    <w:widowControl/>
                    <w:jc w:val="center"/>
                    <w:textAlignment w:val="bottom"/>
                    <w:rPr>
                      <w:color w:val="auto"/>
                      <w:sz w:val="18"/>
                      <w:szCs w:val="18"/>
                      <w:highlight w:val="none"/>
                    </w:rPr>
                  </w:pPr>
                  <w:r>
                    <w:rPr>
                      <w:color w:val="auto"/>
                      <w:kern w:val="0"/>
                      <w:sz w:val="18"/>
                      <w:szCs w:val="18"/>
                      <w:highlight w:val="none"/>
                      <w:lang w:bidi="ar"/>
                    </w:rPr>
                    <w:t>工具间</w:t>
                  </w:r>
                </w:p>
              </w:tc>
              <w:tc>
                <w:tcPr>
                  <w:tcW w:w="2399" w:type="dxa"/>
                  <w:noWrap w:val="0"/>
                  <w:vAlign w:val="center"/>
                </w:tcPr>
                <w:p>
                  <w:pPr>
                    <w:widowControl/>
                    <w:jc w:val="center"/>
                    <w:textAlignment w:val="bottom"/>
                    <w:rPr>
                      <w:color w:val="auto"/>
                      <w:sz w:val="18"/>
                      <w:szCs w:val="18"/>
                      <w:highlight w:val="none"/>
                    </w:rPr>
                  </w:pPr>
                  <w:r>
                    <w:rPr>
                      <w:color w:val="auto"/>
                      <w:kern w:val="0"/>
                      <w:sz w:val="18"/>
                      <w:szCs w:val="18"/>
                      <w:highlight w:val="none"/>
                      <w:lang w:bidi="ar"/>
                    </w:rPr>
                    <w:t>位于食堂东侧，占地面积160m</w:t>
                  </w:r>
                  <w:r>
                    <w:rPr>
                      <w:color w:val="auto"/>
                      <w:kern w:val="0"/>
                      <w:sz w:val="18"/>
                      <w:szCs w:val="18"/>
                      <w:highlight w:val="none"/>
                      <w:vertAlign w:val="superscript"/>
                      <w:lang w:bidi="ar"/>
                    </w:rPr>
                    <w:t>2</w:t>
                  </w:r>
                  <w:r>
                    <w:rPr>
                      <w:color w:val="auto"/>
                      <w:kern w:val="0"/>
                      <w:sz w:val="18"/>
                      <w:szCs w:val="18"/>
                      <w:highlight w:val="none"/>
                      <w:lang w:bidi="ar"/>
                    </w:rPr>
                    <w:t>，主要放置扳手、管子钳、圆头锤等工具设施。</w:t>
                  </w:r>
                </w:p>
              </w:tc>
              <w:tc>
                <w:tcPr>
                  <w:tcW w:w="1956" w:type="dxa"/>
                  <w:noWrap w:val="0"/>
                  <w:vAlign w:val="center"/>
                </w:tcPr>
                <w:p>
                  <w:pPr>
                    <w:snapToGrid w:val="0"/>
                    <w:jc w:val="center"/>
                    <w:rPr>
                      <w:color w:val="auto"/>
                      <w:sz w:val="18"/>
                      <w:szCs w:val="18"/>
                      <w:highlight w:val="none"/>
                    </w:rPr>
                  </w:pPr>
                  <w:r>
                    <w:rPr>
                      <w:color w:val="auto"/>
                      <w:sz w:val="18"/>
                      <w:szCs w:val="18"/>
                      <w:highlight w:val="none"/>
                    </w:rPr>
                    <w:t>不变</w:t>
                  </w:r>
                </w:p>
              </w:tc>
              <w:tc>
                <w:tcPr>
                  <w:tcW w:w="1065" w:type="dxa"/>
                  <w:noWrap w:val="0"/>
                  <w:vAlign w:val="center"/>
                </w:tcPr>
                <w:p>
                  <w:pPr>
                    <w:widowControl/>
                    <w:jc w:val="center"/>
                    <w:textAlignment w:val="bottom"/>
                    <w:rPr>
                      <w:color w:val="auto"/>
                      <w:sz w:val="18"/>
                      <w:szCs w:val="18"/>
                      <w:highlight w:val="none"/>
                    </w:rPr>
                  </w:pPr>
                  <w:r>
                    <w:rPr>
                      <w:color w:val="auto"/>
                      <w:kern w:val="0"/>
                      <w:sz w:val="18"/>
                      <w:szCs w:val="18"/>
                      <w:highlight w:val="none"/>
                      <w:lang w:bidi="ar"/>
                    </w:rPr>
                    <w:t>/</w:t>
                  </w:r>
                </w:p>
              </w:tc>
              <w:tc>
                <w:tcPr>
                  <w:tcW w:w="1065" w:type="dxa"/>
                  <w:noWrap w:val="0"/>
                  <w:vAlign w:val="center"/>
                </w:tcPr>
                <w:p>
                  <w:pPr>
                    <w:widowControl/>
                    <w:jc w:val="center"/>
                    <w:textAlignment w:val="bottom"/>
                    <w:rPr>
                      <w:color w:val="auto"/>
                      <w:kern w:val="0"/>
                      <w:sz w:val="18"/>
                      <w:szCs w:val="18"/>
                      <w:highlight w:val="none"/>
                      <w:lang w:bidi="ar"/>
                    </w:rPr>
                  </w:pPr>
                  <w:r>
                    <w:rPr>
                      <w:rFonts w:hint="eastAsia"/>
                      <w:color w:val="auto"/>
                      <w:kern w:val="0"/>
                      <w:sz w:val="18"/>
                      <w:szCs w:val="18"/>
                      <w:highlight w:val="none"/>
                      <w:lang w:bidi="ar"/>
                    </w:rPr>
                    <w:t>依托原项目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88" w:type="dxa"/>
                  <w:vMerge w:val="continue"/>
                  <w:noWrap w:val="0"/>
                  <w:vAlign w:val="center"/>
                </w:tcPr>
                <w:p>
                  <w:pPr>
                    <w:widowControl/>
                    <w:jc w:val="center"/>
                    <w:textAlignment w:val="bottom"/>
                    <w:rPr>
                      <w:color w:val="auto"/>
                      <w:sz w:val="18"/>
                      <w:szCs w:val="18"/>
                      <w:highlight w:val="none"/>
                    </w:rPr>
                  </w:pPr>
                </w:p>
              </w:tc>
              <w:tc>
                <w:tcPr>
                  <w:tcW w:w="769" w:type="dxa"/>
                  <w:noWrap w:val="0"/>
                  <w:vAlign w:val="center"/>
                </w:tcPr>
                <w:p>
                  <w:pPr>
                    <w:widowControl/>
                    <w:jc w:val="center"/>
                    <w:textAlignment w:val="bottom"/>
                    <w:rPr>
                      <w:color w:val="auto"/>
                      <w:sz w:val="18"/>
                      <w:szCs w:val="18"/>
                      <w:highlight w:val="none"/>
                    </w:rPr>
                  </w:pPr>
                  <w:r>
                    <w:rPr>
                      <w:color w:val="auto"/>
                      <w:kern w:val="0"/>
                      <w:sz w:val="18"/>
                      <w:szCs w:val="18"/>
                      <w:highlight w:val="none"/>
                      <w:lang w:bidi="ar"/>
                    </w:rPr>
                    <w:t>机修车间</w:t>
                  </w:r>
                </w:p>
              </w:tc>
              <w:tc>
                <w:tcPr>
                  <w:tcW w:w="2399" w:type="dxa"/>
                  <w:noWrap w:val="0"/>
                  <w:vAlign w:val="center"/>
                </w:tcPr>
                <w:p>
                  <w:pPr>
                    <w:widowControl/>
                    <w:jc w:val="center"/>
                    <w:textAlignment w:val="bottom"/>
                    <w:rPr>
                      <w:color w:val="auto"/>
                      <w:sz w:val="18"/>
                      <w:szCs w:val="18"/>
                      <w:highlight w:val="none"/>
                    </w:rPr>
                  </w:pPr>
                  <w:r>
                    <w:rPr>
                      <w:color w:val="auto"/>
                      <w:kern w:val="0"/>
                      <w:sz w:val="18"/>
                      <w:szCs w:val="18"/>
                      <w:highlight w:val="none"/>
                      <w:lang w:bidi="ar"/>
                    </w:rPr>
                    <w:t>占地面积320m</w:t>
                  </w:r>
                  <w:r>
                    <w:rPr>
                      <w:color w:val="auto"/>
                      <w:kern w:val="0"/>
                      <w:sz w:val="18"/>
                      <w:szCs w:val="18"/>
                      <w:highlight w:val="none"/>
                      <w:vertAlign w:val="superscript"/>
                      <w:lang w:bidi="ar"/>
                    </w:rPr>
                    <w:t>2</w:t>
                  </w:r>
                  <w:r>
                    <w:rPr>
                      <w:color w:val="auto"/>
                      <w:kern w:val="0"/>
                      <w:sz w:val="18"/>
                      <w:szCs w:val="18"/>
                      <w:highlight w:val="none"/>
                      <w:lang w:bidi="ar"/>
                    </w:rPr>
                    <w:t>，三面封闭式顶棚结构，临时停放压路机、运输车辆，同时具备车辆的检修的功能</w:t>
                  </w:r>
                </w:p>
              </w:tc>
              <w:tc>
                <w:tcPr>
                  <w:tcW w:w="1956" w:type="dxa"/>
                  <w:noWrap w:val="0"/>
                  <w:vAlign w:val="center"/>
                </w:tcPr>
                <w:p>
                  <w:pPr>
                    <w:snapToGrid w:val="0"/>
                    <w:jc w:val="center"/>
                    <w:rPr>
                      <w:color w:val="auto"/>
                      <w:sz w:val="18"/>
                      <w:szCs w:val="18"/>
                      <w:highlight w:val="none"/>
                    </w:rPr>
                  </w:pPr>
                  <w:r>
                    <w:rPr>
                      <w:color w:val="auto"/>
                      <w:sz w:val="18"/>
                      <w:szCs w:val="18"/>
                      <w:highlight w:val="none"/>
                    </w:rPr>
                    <w:t>不变</w:t>
                  </w:r>
                </w:p>
              </w:tc>
              <w:tc>
                <w:tcPr>
                  <w:tcW w:w="1065" w:type="dxa"/>
                  <w:noWrap w:val="0"/>
                  <w:vAlign w:val="center"/>
                </w:tcPr>
                <w:p>
                  <w:pPr>
                    <w:widowControl/>
                    <w:jc w:val="center"/>
                    <w:textAlignment w:val="bottom"/>
                    <w:rPr>
                      <w:color w:val="auto"/>
                      <w:sz w:val="18"/>
                      <w:szCs w:val="18"/>
                      <w:highlight w:val="none"/>
                    </w:rPr>
                  </w:pPr>
                  <w:r>
                    <w:rPr>
                      <w:color w:val="auto"/>
                      <w:kern w:val="0"/>
                      <w:sz w:val="18"/>
                      <w:szCs w:val="18"/>
                      <w:highlight w:val="none"/>
                      <w:lang w:bidi="ar"/>
                    </w:rPr>
                    <w:t>废机油、废润滑油等</w:t>
                  </w:r>
                </w:p>
              </w:tc>
              <w:tc>
                <w:tcPr>
                  <w:tcW w:w="1065" w:type="dxa"/>
                  <w:noWrap w:val="0"/>
                  <w:vAlign w:val="center"/>
                </w:tcPr>
                <w:p>
                  <w:pPr>
                    <w:widowControl/>
                    <w:jc w:val="center"/>
                    <w:textAlignment w:val="bottom"/>
                    <w:rPr>
                      <w:color w:val="auto"/>
                      <w:kern w:val="0"/>
                      <w:sz w:val="18"/>
                      <w:szCs w:val="18"/>
                      <w:highlight w:val="none"/>
                      <w:lang w:bidi="ar"/>
                    </w:rPr>
                  </w:pPr>
                  <w:r>
                    <w:rPr>
                      <w:rFonts w:hint="eastAsia"/>
                      <w:color w:val="auto"/>
                      <w:kern w:val="0"/>
                      <w:sz w:val="18"/>
                      <w:szCs w:val="18"/>
                      <w:highlight w:val="none"/>
                      <w:lang w:bidi="ar"/>
                    </w:rPr>
                    <w:t>依托原项目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88" w:type="dxa"/>
                  <w:vMerge w:val="restart"/>
                  <w:noWrap w:val="0"/>
                  <w:vAlign w:val="center"/>
                </w:tcPr>
                <w:p>
                  <w:pPr>
                    <w:snapToGrid w:val="0"/>
                    <w:jc w:val="center"/>
                    <w:rPr>
                      <w:color w:val="auto"/>
                      <w:sz w:val="18"/>
                      <w:szCs w:val="18"/>
                      <w:highlight w:val="none"/>
                    </w:rPr>
                  </w:pPr>
                  <w:r>
                    <w:rPr>
                      <w:color w:val="auto"/>
                      <w:sz w:val="18"/>
                      <w:szCs w:val="18"/>
                      <w:highlight w:val="none"/>
                    </w:rPr>
                    <w:t>公用</w:t>
                  </w:r>
                </w:p>
                <w:p>
                  <w:pPr>
                    <w:snapToGrid w:val="0"/>
                    <w:jc w:val="center"/>
                    <w:rPr>
                      <w:color w:val="auto"/>
                      <w:sz w:val="18"/>
                      <w:szCs w:val="18"/>
                      <w:highlight w:val="none"/>
                    </w:rPr>
                  </w:pPr>
                  <w:r>
                    <w:rPr>
                      <w:color w:val="auto"/>
                      <w:sz w:val="18"/>
                      <w:szCs w:val="18"/>
                      <w:highlight w:val="none"/>
                    </w:rPr>
                    <w:t>环保</w:t>
                  </w:r>
                </w:p>
                <w:p>
                  <w:pPr>
                    <w:snapToGrid w:val="0"/>
                    <w:jc w:val="center"/>
                    <w:rPr>
                      <w:color w:val="auto"/>
                      <w:sz w:val="18"/>
                      <w:szCs w:val="18"/>
                      <w:highlight w:val="none"/>
                    </w:rPr>
                  </w:pPr>
                  <w:r>
                    <w:rPr>
                      <w:color w:val="auto"/>
                      <w:sz w:val="18"/>
                      <w:szCs w:val="18"/>
                      <w:highlight w:val="none"/>
                    </w:rPr>
                    <w:t>工程</w:t>
                  </w:r>
                </w:p>
              </w:tc>
              <w:tc>
                <w:tcPr>
                  <w:tcW w:w="769" w:type="dxa"/>
                  <w:noWrap w:val="0"/>
                  <w:vAlign w:val="center"/>
                </w:tcPr>
                <w:p>
                  <w:pPr>
                    <w:widowControl/>
                    <w:jc w:val="center"/>
                    <w:textAlignment w:val="bottom"/>
                    <w:rPr>
                      <w:color w:val="auto"/>
                      <w:sz w:val="18"/>
                      <w:szCs w:val="18"/>
                      <w:highlight w:val="none"/>
                    </w:rPr>
                  </w:pPr>
                  <w:r>
                    <w:rPr>
                      <w:color w:val="auto"/>
                      <w:kern w:val="0"/>
                      <w:sz w:val="18"/>
                      <w:szCs w:val="18"/>
                      <w:highlight w:val="none"/>
                      <w:lang w:bidi="ar"/>
                    </w:rPr>
                    <w:t>供水</w:t>
                  </w:r>
                </w:p>
              </w:tc>
              <w:tc>
                <w:tcPr>
                  <w:tcW w:w="2399" w:type="dxa"/>
                  <w:noWrap w:val="0"/>
                  <w:vAlign w:val="center"/>
                </w:tcPr>
                <w:p>
                  <w:pPr>
                    <w:widowControl/>
                    <w:jc w:val="center"/>
                    <w:textAlignment w:val="bottom"/>
                    <w:rPr>
                      <w:color w:val="auto"/>
                      <w:sz w:val="18"/>
                      <w:szCs w:val="18"/>
                      <w:highlight w:val="none"/>
                    </w:rPr>
                  </w:pPr>
                  <w:r>
                    <w:rPr>
                      <w:color w:val="auto"/>
                      <w:kern w:val="0"/>
                      <w:sz w:val="18"/>
                      <w:szCs w:val="18"/>
                      <w:highlight w:val="none"/>
                      <w:lang w:bidi="ar"/>
                    </w:rPr>
                    <w:t>来自地下水供水系统。自建地下水井设置两个10m</w:t>
                  </w:r>
                  <w:r>
                    <w:rPr>
                      <w:color w:val="auto"/>
                      <w:kern w:val="0"/>
                      <w:sz w:val="18"/>
                      <w:szCs w:val="18"/>
                      <w:highlight w:val="none"/>
                      <w:vertAlign w:val="superscript"/>
                      <w:lang w:bidi="ar"/>
                    </w:rPr>
                    <w:t>3</w:t>
                  </w:r>
                  <w:r>
                    <w:rPr>
                      <w:color w:val="auto"/>
                      <w:kern w:val="0"/>
                      <w:sz w:val="18"/>
                      <w:szCs w:val="18"/>
                      <w:highlight w:val="none"/>
                      <w:lang w:bidi="ar"/>
                    </w:rPr>
                    <w:t>的蓄水池，1个用于生活用水，1个用于厂区地面洒水</w:t>
                  </w:r>
                </w:p>
              </w:tc>
              <w:tc>
                <w:tcPr>
                  <w:tcW w:w="1956" w:type="dxa"/>
                  <w:noWrap w:val="0"/>
                  <w:vAlign w:val="center"/>
                </w:tcPr>
                <w:p>
                  <w:pPr>
                    <w:snapToGrid w:val="0"/>
                    <w:jc w:val="center"/>
                    <w:rPr>
                      <w:color w:val="auto"/>
                      <w:sz w:val="18"/>
                      <w:szCs w:val="18"/>
                      <w:highlight w:val="none"/>
                    </w:rPr>
                  </w:pPr>
                  <w:r>
                    <w:rPr>
                      <w:color w:val="auto"/>
                      <w:sz w:val="18"/>
                      <w:szCs w:val="18"/>
                      <w:highlight w:val="none"/>
                    </w:rPr>
                    <w:t>不变</w:t>
                  </w:r>
                </w:p>
              </w:tc>
              <w:tc>
                <w:tcPr>
                  <w:tcW w:w="1065" w:type="dxa"/>
                  <w:noWrap w:val="0"/>
                  <w:vAlign w:val="center"/>
                </w:tcPr>
                <w:p>
                  <w:pPr>
                    <w:snapToGrid w:val="0"/>
                    <w:rPr>
                      <w:color w:val="auto"/>
                      <w:sz w:val="18"/>
                      <w:szCs w:val="18"/>
                      <w:highlight w:val="none"/>
                    </w:rPr>
                  </w:pPr>
                  <w:r>
                    <w:rPr>
                      <w:color w:val="auto"/>
                      <w:sz w:val="18"/>
                      <w:szCs w:val="18"/>
                      <w:highlight w:val="none"/>
                    </w:rPr>
                    <w:t>设备噪声</w:t>
                  </w:r>
                </w:p>
              </w:tc>
              <w:tc>
                <w:tcPr>
                  <w:tcW w:w="1065" w:type="dxa"/>
                  <w:noWrap w:val="0"/>
                  <w:vAlign w:val="center"/>
                </w:tcPr>
                <w:p>
                  <w:pPr>
                    <w:snapToGrid w:val="0"/>
                    <w:rPr>
                      <w:color w:val="auto"/>
                      <w:sz w:val="18"/>
                      <w:szCs w:val="18"/>
                      <w:highlight w:val="none"/>
                    </w:rPr>
                  </w:pPr>
                  <w:r>
                    <w:rPr>
                      <w:rFonts w:hint="eastAsia"/>
                      <w:color w:val="auto"/>
                      <w:kern w:val="0"/>
                      <w:sz w:val="18"/>
                      <w:szCs w:val="18"/>
                      <w:highlight w:val="none"/>
                      <w:lang w:bidi="ar"/>
                    </w:rPr>
                    <w:t>依托原项目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88" w:type="dxa"/>
                  <w:vMerge w:val="continue"/>
                  <w:noWrap w:val="0"/>
                  <w:vAlign w:val="center"/>
                </w:tcPr>
                <w:p>
                  <w:pPr>
                    <w:snapToGrid w:val="0"/>
                    <w:jc w:val="center"/>
                    <w:rPr>
                      <w:color w:val="auto"/>
                      <w:sz w:val="18"/>
                      <w:szCs w:val="18"/>
                      <w:highlight w:val="none"/>
                    </w:rPr>
                  </w:pPr>
                </w:p>
              </w:tc>
              <w:tc>
                <w:tcPr>
                  <w:tcW w:w="769" w:type="dxa"/>
                  <w:noWrap w:val="0"/>
                  <w:vAlign w:val="center"/>
                </w:tcPr>
                <w:p>
                  <w:pPr>
                    <w:widowControl/>
                    <w:jc w:val="center"/>
                    <w:textAlignment w:val="bottom"/>
                    <w:rPr>
                      <w:color w:val="auto"/>
                      <w:sz w:val="18"/>
                      <w:szCs w:val="18"/>
                      <w:highlight w:val="none"/>
                    </w:rPr>
                  </w:pPr>
                  <w:r>
                    <w:rPr>
                      <w:color w:val="auto"/>
                      <w:kern w:val="0"/>
                      <w:sz w:val="18"/>
                      <w:szCs w:val="18"/>
                      <w:highlight w:val="none"/>
                      <w:lang w:bidi="ar"/>
                    </w:rPr>
                    <w:t>供电</w:t>
                  </w:r>
                </w:p>
              </w:tc>
              <w:tc>
                <w:tcPr>
                  <w:tcW w:w="2399" w:type="dxa"/>
                  <w:noWrap w:val="0"/>
                  <w:vAlign w:val="center"/>
                </w:tcPr>
                <w:p>
                  <w:pPr>
                    <w:widowControl/>
                    <w:jc w:val="center"/>
                    <w:textAlignment w:val="bottom"/>
                    <w:rPr>
                      <w:color w:val="auto"/>
                      <w:sz w:val="18"/>
                      <w:szCs w:val="18"/>
                      <w:highlight w:val="none"/>
                    </w:rPr>
                  </w:pPr>
                  <w:r>
                    <w:rPr>
                      <w:color w:val="auto"/>
                      <w:kern w:val="0"/>
                      <w:sz w:val="18"/>
                      <w:szCs w:val="18"/>
                      <w:highlight w:val="none"/>
                      <w:lang w:bidi="ar"/>
                    </w:rPr>
                    <w:t>电源来自棉竹镇供电站。</w:t>
                  </w:r>
                </w:p>
              </w:tc>
              <w:tc>
                <w:tcPr>
                  <w:tcW w:w="1956" w:type="dxa"/>
                  <w:noWrap w:val="0"/>
                  <w:vAlign w:val="center"/>
                </w:tcPr>
                <w:p>
                  <w:pPr>
                    <w:snapToGrid w:val="0"/>
                    <w:jc w:val="center"/>
                    <w:rPr>
                      <w:color w:val="auto"/>
                      <w:sz w:val="18"/>
                      <w:szCs w:val="18"/>
                      <w:highlight w:val="none"/>
                    </w:rPr>
                  </w:pPr>
                  <w:r>
                    <w:rPr>
                      <w:color w:val="auto"/>
                      <w:sz w:val="18"/>
                      <w:szCs w:val="18"/>
                      <w:highlight w:val="none"/>
                    </w:rPr>
                    <w:t>不变</w:t>
                  </w:r>
                </w:p>
              </w:tc>
              <w:tc>
                <w:tcPr>
                  <w:tcW w:w="1065" w:type="dxa"/>
                  <w:noWrap w:val="0"/>
                  <w:vAlign w:val="center"/>
                </w:tcPr>
                <w:p>
                  <w:pPr>
                    <w:snapToGrid w:val="0"/>
                    <w:jc w:val="center"/>
                    <w:rPr>
                      <w:color w:val="auto"/>
                      <w:sz w:val="18"/>
                      <w:szCs w:val="18"/>
                      <w:highlight w:val="none"/>
                    </w:rPr>
                  </w:pPr>
                  <w:r>
                    <w:rPr>
                      <w:color w:val="auto"/>
                      <w:sz w:val="18"/>
                      <w:szCs w:val="18"/>
                      <w:highlight w:val="none"/>
                    </w:rPr>
                    <w:t>-</w:t>
                  </w:r>
                </w:p>
              </w:tc>
              <w:tc>
                <w:tcPr>
                  <w:tcW w:w="1065" w:type="dxa"/>
                  <w:noWrap w:val="0"/>
                  <w:vAlign w:val="center"/>
                </w:tcPr>
                <w:p>
                  <w:pPr>
                    <w:snapToGrid w:val="0"/>
                    <w:jc w:val="center"/>
                    <w:rPr>
                      <w:color w:val="auto"/>
                      <w:sz w:val="18"/>
                      <w:szCs w:val="18"/>
                      <w:highlight w:val="none"/>
                    </w:rPr>
                  </w:pPr>
                  <w:r>
                    <w:rPr>
                      <w:rFonts w:hint="eastAsia"/>
                      <w:color w:val="auto"/>
                      <w:kern w:val="0"/>
                      <w:sz w:val="18"/>
                      <w:szCs w:val="18"/>
                      <w:highlight w:val="none"/>
                      <w:lang w:bidi="ar"/>
                    </w:rPr>
                    <w:t>依托原项目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88" w:type="dxa"/>
                  <w:vMerge w:val="continue"/>
                  <w:noWrap w:val="0"/>
                  <w:vAlign w:val="center"/>
                </w:tcPr>
                <w:p>
                  <w:pPr>
                    <w:snapToGrid w:val="0"/>
                    <w:ind w:left="-170" w:right="-170"/>
                    <w:jc w:val="center"/>
                    <w:rPr>
                      <w:color w:val="auto"/>
                      <w:sz w:val="18"/>
                      <w:szCs w:val="18"/>
                      <w:highlight w:val="none"/>
                    </w:rPr>
                  </w:pPr>
                </w:p>
              </w:tc>
              <w:tc>
                <w:tcPr>
                  <w:tcW w:w="769" w:type="dxa"/>
                  <w:noWrap w:val="0"/>
                  <w:vAlign w:val="center"/>
                </w:tcPr>
                <w:p>
                  <w:pPr>
                    <w:snapToGrid w:val="0"/>
                    <w:jc w:val="center"/>
                    <w:rPr>
                      <w:color w:val="auto"/>
                      <w:sz w:val="18"/>
                      <w:szCs w:val="18"/>
                      <w:highlight w:val="none"/>
                    </w:rPr>
                  </w:pPr>
                  <w:r>
                    <w:rPr>
                      <w:color w:val="auto"/>
                      <w:sz w:val="18"/>
                      <w:szCs w:val="18"/>
                      <w:highlight w:val="none"/>
                    </w:rPr>
                    <w:t>供气</w:t>
                  </w:r>
                </w:p>
              </w:tc>
              <w:tc>
                <w:tcPr>
                  <w:tcW w:w="2399" w:type="dxa"/>
                  <w:noWrap w:val="0"/>
                  <w:vAlign w:val="center"/>
                </w:tcPr>
                <w:p>
                  <w:pPr>
                    <w:snapToGrid w:val="0"/>
                    <w:ind w:left="-30" w:right="-30"/>
                    <w:jc w:val="left"/>
                    <w:rPr>
                      <w:color w:val="auto"/>
                      <w:sz w:val="18"/>
                      <w:szCs w:val="18"/>
                      <w:highlight w:val="none"/>
                    </w:rPr>
                  </w:pPr>
                  <w:r>
                    <w:rPr>
                      <w:color w:val="auto"/>
                      <w:sz w:val="18"/>
                      <w:szCs w:val="18"/>
                      <w:highlight w:val="none"/>
                    </w:rPr>
                    <w:t>项目厂区设置储量为4000Nm</w:t>
                  </w:r>
                  <w:r>
                    <w:rPr>
                      <w:color w:val="auto"/>
                      <w:sz w:val="18"/>
                      <w:szCs w:val="18"/>
                      <w:highlight w:val="none"/>
                      <w:vertAlign w:val="superscript"/>
                    </w:rPr>
                    <w:t>3</w:t>
                  </w:r>
                  <w:r>
                    <w:rPr>
                      <w:color w:val="auto"/>
                      <w:sz w:val="18"/>
                      <w:szCs w:val="18"/>
                      <w:highlight w:val="none"/>
                    </w:rPr>
                    <w:t>的燃气供应站</w:t>
                  </w:r>
                </w:p>
              </w:tc>
              <w:tc>
                <w:tcPr>
                  <w:tcW w:w="1956" w:type="dxa"/>
                  <w:noWrap w:val="0"/>
                  <w:vAlign w:val="center"/>
                </w:tcPr>
                <w:p>
                  <w:pPr>
                    <w:snapToGrid w:val="0"/>
                    <w:ind w:left="-30" w:right="-30"/>
                    <w:jc w:val="center"/>
                    <w:rPr>
                      <w:color w:val="auto"/>
                      <w:sz w:val="18"/>
                      <w:szCs w:val="18"/>
                      <w:highlight w:val="none"/>
                    </w:rPr>
                  </w:pPr>
                  <w:r>
                    <w:rPr>
                      <w:color w:val="auto"/>
                      <w:sz w:val="18"/>
                      <w:szCs w:val="18"/>
                      <w:highlight w:val="none"/>
                    </w:rPr>
                    <w:t>不变</w:t>
                  </w:r>
                </w:p>
              </w:tc>
              <w:tc>
                <w:tcPr>
                  <w:tcW w:w="1065" w:type="dxa"/>
                  <w:noWrap w:val="0"/>
                  <w:vAlign w:val="center"/>
                </w:tcPr>
                <w:p>
                  <w:pPr>
                    <w:snapToGrid w:val="0"/>
                    <w:ind w:left="-30" w:right="-30"/>
                    <w:jc w:val="center"/>
                    <w:rPr>
                      <w:color w:val="auto"/>
                      <w:sz w:val="18"/>
                      <w:szCs w:val="18"/>
                      <w:highlight w:val="none"/>
                    </w:rPr>
                  </w:pPr>
                  <w:r>
                    <w:rPr>
                      <w:color w:val="auto"/>
                      <w:sz w:val="18"/>
                      <w:szCs w:val="18"/>
                      <w:highlight w:val="none"/>
                    </w:rPr>
                    <w:t>/</w:t>
                  </w:r>
                </w:p>
              </w:tc>
              <w:tc>
                <w:tcPr>
                  <w:tcW w:w="1065" w:type="dxa"/>
                  <w:noWrap w:val="0"/>
                  <w:vAlign w:val="center"/>
                </w:tcPr>
                <w:p>
                  <w:pPr>
                    <w:snapToGrid w:val="0"/>
                    <w:ind w:left="-30" w:right="-30"/>
                    <w:jc w:val="center"/>
                    <w:rPr>
                      <w:color w:val="auto"/>
                      <w:sz w:val="18"/>
                      <w:szCs w:val="18"/>
                      <w:highlight w:val="none"/>
                    </w:rPr>
                  </w:pPr>
                  <w:r>
                    <w:rPr>
                      <w:rFonts w:hint="eastAsia"/>
                      <w:color w:val="auto"/>
                      <w:kern w:val="0"/>
                      <w:sz w:val="18"/>
                      <w:szCs w:val="18"/>
                      <w:highlight w:val="none"/>
                      <w:lang w:bidi="ar"/>
                    </w:rPr>
                    <w:t>依托原项目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88" w:type="dxa"/>
                  <w:vMerge w:val="restart"/>
                  <w:noWrap w:val="0"/>
                  <w:vAlign w:val="center"/>
                </w:tcPr>
                <w:p>
                  <w:pPr>
                    <w:snapToGrid w:val="0"/>
                    <w:ind w:left="-170" w:right="-170"/>
                    <w:jc w:val="center"/>
                    <w:rPr>
                      <w:color w:val="auto"/>
                      <w:sz w:val="18"/>
                      <w:szCs w:val="18"/>
                      <w:highlight w:val="none"/>
                    </w:rPr>
                  </w:pPr>
                  <w:r>
                    <w:rPr>
                      <w:color w:val="auto"/>
                      <w:sz w:val="18"/>
                      <w:szCs w:val="18"/>
                      <w:highlight w:val="none"/>
                    </w:rPr>
                    <w:t>储运工程</w:t>
                  </w:r>
                </w:p>
              </w:tc>
              <w:tc>
                <w:tcPr>
                  <w:tcW w:w="769" w:type="dxa"/>
                  <w:noWrap w:val="0"/>
                  <w:vAlign w:val="center"/>
                </w:tcPr>
                <w:p>
                  <w:pPr>
                    <w:widowControl/>
                    <w:jc w:val="center"/>
                    <w:textAlignment w:val="bottom"/>
                    <w:rPr>
                      <w:color w:val="auto"/>
                      <w:sz w:val="18"/>
                      <w:szCs w:val="18"/>
                      <w:highlight w:val="none"/>
                    </w:rPr>
                  </w:pPr>
                  <w:r>
                    <w:rPr>
                      <w:color w:val="auto"/>
                      <w:kern w:val="0"/>
                      <w:sz w:val="18"/>
                      <w:szCs w:val="18"/>
                      <w:highlight w:val="none"/>
                      <w:lang w:bidi="ar"/>
                    </w:rPr>
                    <w:t>仓储库</w:t>
                  </w:r>
                </w:p>
              </w:tc>
              <w:tc>
                <w:tcPr>
                  <w:tcW w:w="2399" w:type="dxa"/>
                  <w:noWrap w:val="0"/>
                  <w:vAlign w:val="center"/>
                </w:tcPr>
                <w:p>
                  <w:pPr>
                    <w:snapToGrid w:val="0"/>
                    <w:ind w:left="-30" w:right="-30"/>
                    <w:jc w:val="center"/>
                    <w:rPr>
                      <w:color w:val="auto"/>
                      <w:sz w:val="18"/>
                      <w:szCs w:val="18"/>
                      <w:highlight w:val="none"/>
                    </w:rPr>
                  </w:pPr>
                  <w:r>
                    <w:rPr>
                      <w:color w:val="auto"/>
                      <w:sz w:val="18"/>
                      <w:szCs w:val="18"/>
                      <w:highlight w:val="none"/>
                    </w:rPr>
                    <w:t>2个150m</w:t>
                  </w:r>
                  <w:r>
                    <w:rPr>
                      <w:color w:val="auto"/>
                      <w:sz w:val="18"/>
                      <w:szCs w:val="18"/>
                      <w:highlight w:val="none"/>
                      <w:vertAlign w:val="superscript"/>
                    </w:rPr>
                    <w:t>2</w:t>
                  </w:r>
                  <w:r>
                    <w:rPr>
                      <w:color w:val="auto"/>
                      <w:sz w:val="18"/>
                      <w:szCs w:val="18"/>
                      <w:highlight w:val="none"/>
                    </w:rPr>
                    <w:t>，位于旧沥青拌合楼东侧，主要用于存储纤维料</w:t>
                  </w:r>
                </w:p>
              </w:tc>
              <w:tc>
                <w:tcPr>
                  <w:tcW w:w="1956" w:type="dxa"/>
                  <w:noWrap w:val="0"/>
                  <w:vAlign w:val="center"/>
                </w:tcPr>
                <w:p>
                  <w:pPr>
                    <w:snapToGrid w:val="0"/>
                    <w:ind w:left="-30" w:right="-30"/>
                    <w:jc w:val="center"/>
                    <w:rPr>
                      <w:color w:val="auto"/>
                      <w:sz w:val="18"/>
                      <w:szCs w:val="18"/>
                      <w:highlight w:val="none"/>
                    </w:rPr>
                  </w:pPr>
                  <w:r>
                    <w:rPr>
                      <w:color w:val="auto"/>
                      <w:sz w:val="18"/>
                      <w:szCs w:val="18"/>
                      <w:highlight w:val="none"/>
                    </w:rPr>
                    <w:t>不变</w:t>
                  </w:r>
                </w:p>
              </w:tc>
              <w:tc>
                <w:tcPr>
                  <w:tcW w:w="1065" w:type="dxa"/>
                  <w:noWrap w:val="0"/>
                  <w:vAlign w:val="center"/>
                </w:tcPr>
                <w:p>
                  <w:pPr>
                    <w:snapToGrid w:val="0"/>
                    <w:ind w:left="-30" w:right="-30"/>
                    <w:jc w:val="center"/>
                    <w:rPr>
                      <w:color w:val="auto"/>
                      <w:sz w:val="18"/>
                      <w:szCs w:val="18"/>
                      <w:highlight w:val="none"/>
                    </w:rPr>
                  </w:pPr>
                  <w:r>
                    <w:rPr>
                      <w:color w:val="auto"/>
                      <w:sz w:val="18"/>
                      <w:szCs w:val="18"/>
                      <w:highlight w:val="none"/>
                    </w:rPr>
                    <w:t>/</w:t>
                  </w:r>
                </w:p>
              </w:tc>
              <w:tc>
                <w:tcPr>
                  <w:tcW w:w="1065" w:type="dxa"/>
                  <w:noWrap w:val="0"/>
                  <w:vAlign w:val="center"/>
                </w:tcPr>
                <w:p>
                  <w:pPr>
                    <w:snapToGrid w:val="0"/>
                    <w:ind w:left="-30" w:right="-30"/>
                    <w:jc w:val="center"/>
                    <w:rPr>
                      <w:color w:val="auto"/>
                      <w:sz w:val="18"/>
                      <w:szCs w:val="18"/>
                      <w:highlight w:val="none"/>
                    </w:rPr>
                  </w:pPr>
                  <w:r>
                    <w:rPr>
                      <w:rFonts w:hint="eastAsia"/>
                      <w:color w:val="auto"/>
                      <w:kern w:val="0"/>
                      <w:sz w:val="18"/>
                      <w:szCs w:val="18"/>
                      <w:highlight w:val="none"/>
                      <w:lang w:bidi="ar"/>
                    </w:rPr>
                    <w:t>依托原项目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88" w:type="dxa"/>
                  <w:vMerge w:val="continue"/>
                  <w:noWrap w:val="0"/>
                  <w:vAlign w:val="center"/>
                </w:tcPr>
                <w:p>
                  <w:pPr>
                    <w:snapToGrid w:val="0"/>
                    <w:ind w:left="-170" w:right="-170"/>
                    <w:jc w:val="center"/>
                    <w:rPr>
                      <w:color w:val="auto"/>
                      <w:sz w:val="18"/>
                      <w:szCs w:val="18"/>
                      <w:highlight w:val="none"/>
                    </w:rPr>
                  </w:pPr>
                </w:p>
              </w:tc>
              <w:tc>
                <w:tcPr>
                  <w:tcW w:w="769" w:type="dxa"/>
                  <w:noWrap w:val="0"/>
                  <w:vAlign w:val="center"/>
                </w:tcPr>
                <w:p>
                  <w:pPr>
                    <w:widowControl/>
                    <w:jc w:val="center"/>
                    <w:textAlignment w:val="bottom"/>
                    <w:rPr>
                      <w:color w:val="auto"/>
                      <w:sz w:val="18"/>
                      <w:szCs w:val="18"/>
                      <w:highlight w:val="none"/>
                    </w:rPr>
                  </w:pPr>
                  <w:r>
                    <w:rPr>
                      <w:color w:val="auto"/>
                      <w:kern w:val="0"/>
                      <w:sz w:val="18"/>
                      <w:szCs w:val="18"/>
                      <w:highlight w:val="none"/>
                      <w:lang w:bidi="ar"/>
                    </w:rPr>
                    <w:t>骨料堆</w:t>
                  </w:r>
                  <w:r>
                    <w:rPr>
                      <w:color w:val="auto"/>
                      <w:kern w:val="0"/>
                      <w:sz w:val="18"/>
                      <w:szCs w:val="18"/>
                      <w:highlight w:val="none"/>
                      <w:lang w:bidi="ar"/>
                    </w:rPr>
                    <w:br w:type="textWrapping"/>
                  </w:r>
                  <w:r>
                    <w:rPr>
                      <w:color w:val="auto"/>
                      <w:kern w:val="0"/>
                      <w:sz w:val="18"/>
                      <w:szCs w:val="18"/>
                      <w:highlight w:val="none"/>
                      <w:lang w:bidi="ar"/>
                    </w:rPr>
                    <w:t>场</w:t>
                  </w:r>
                </w:p>
              </w:tc>
              <w:tc>
                <w:tcPr>
                  <w:tcW w:w="2399" w:type="dxa"/>
                  <w:noWrap w:val="0"/>
                  <w:vAlign w:val="center"/>
                </w:tcPr>
                <w:p>
                  <w:pPr>
                    <w:widowControl/>
                    <w:jc w:val="center"/>
                    <w:textAlignment w:val="bottom"/>
                    <w:rPr>
                      <w:color w:val="auto"/>
                      <w:sz w:val="18"/>
                      <w:szCs w:val="18"/>
                      <w:highlight w:val="none"/>
                    </w:rPr>
                  </w:pPr>
                  <w:r>
                    <w:rPr>
                      <w:color w:val="auto"/>
                      <w:sz w:val="18"/>
                      <w:szCs w:val="18"/>
                      <w:highlight w:val="none"/>
                    </w:rPr>
                    <w:t>骨料堆场位于厂区入场口南侧及柴油房东侧，柴油房东侧为3面封闭加顶盖式骨料堆棚1，占地面积约1500m</w:t>
                  </w:r>
                  <w:r>
                    <w:rPr>
                      <w:color w:val="auto"/>
                      <w:sz w:val="18"/>
                      <w:szCs w:val="18"/>
                      <w:highlight w:val="none"/>
                      <w:vertAlign w:val="superscript"/>
                    </w:rPr>
                    <w:t>2</w:t>
                  </w:r>
                  <w:r>
                    <w:rPr>
                      <w:color w:val="auto"/>
                      <w:sz w:val="18"/>
                      <w:szCs w:val="18"/>
                      <w:highlight w:val="none"/>
                    </w:rPr>
                    <w:t>，而入场口南侧骨料露天堆放（骨料堆场2），占地面积约1500m</w:t>
                  </w:r>
                  <w:r>
                    <w:rPr>
                      <w:color w:val="auto"/>
                      <w:sz w:val="18"/>
                      <w:szCs w:val="18"/>
                      <w:highlight w:val="none"/>
                      <w:vertAlign w:val="superscript"/>
                    </w:rPr>
                    <w:t>2</w:t>
                  </w:r>
                  <w:r>
                    <w:rPr>
                      <w:color w:val="auto"/>
                      <w:sz w:val="18"/>
                      <w:szCs w:val="18"/>
                      <w:highlight w:val="none"/>
                    </w:rPr>
                    <w:t>，合计骨料堆放区占地面积3000m</w:t>
                  </w:r>
                  <w:r>
                    <w:rPr>
                      <w:color w:val="auto"/>
                      <w:sz w:val="18"/>
                      <w:szCs w:val="18"/>
                      <w:highlight w:val="none"/>
                      <w:vertAlign w:val="superscript"/>
                    </w:rPr>
                    <w:t>2</w:t>
                  </w:r>
                  <w:r>
                    <w:rPr>
                      <w:color w:val="auto"/>
                      <w:kern w:val="0"/>
                      <w:sz w:val="18"/>
                      <w:szCs w:val="18"/>
                      <w:highlight w:val="none"/>
                      <w:lang w:bidi="ar"/>
                    </w:rPr>
                    <w:t>。</w:t>
                  </w:r>
                </w:p>
              </w:tc>
              <w:tc>
                <w:tcPr>
                  <w:tcW w:w="1956" w:type="dxa"/>
                  <w:noWrap w:val="0"/>
                  <w:vAlign w:val="center"/>
                </w:tcPr>
                <w:p>
                  <w:pPr>
                    <w:snapToGrid w:val="0"/>
                    <w:ind w:left="-30" w:right="-30"/>
                    <w:rPr>
                      <w:color w:val="auto"/>
                      <w:sz w:val="18"/>
                      <w:szCs w:val="18"/>
                      <w:highlight w:val="none"/>
                    </w:rPr>
                  </w:pPr>
                  <w:r>
                    <w:rPr>
                      <w:color w:val="auto"/>
                      <w:sz w:val="18"/>
                      <w:szCs w:val="18"/>
                      <w:highlight w:val="none"/>
                    </w:rPr>
                    <w:t>调整骨料堆放区2，优化布局，占地面积未变，由入场口南侧骨料露天堆放调整为在旧拌和楼拆除后的用地上新建骨料堆棚，骨料仓1及骨料仓2总料仓占地合计3000m</w:t>
                  </w:r>
                  <w:r>
                    <w:rPr>
                      <w:color w:val="auto"/>
                      <w:sz w:val="18"/>
                      <w:szCs w:val="18"/>
                      <w:highlight w:val="none"/>
                      <w:vertAlign w:val="superscript"/>
                    </w:rPr>
                    <w:t>2</w:t>
                  </w:r>
                  <w:r>
                    <w:rPr>
                      <w:color w:val="auto"/>
                      <w:sz w:val="18"/>
                      <w:szCs w:val="18"/>
                      <w:highlight w:val="none"/>
                    </w:rPr>
                    <w:t>.</w:t>
                  </w:r>
                </w:p>
              </w:tc>
              <w:tc>
                <w:tcPr>
                  <w:tcW w:w="1065" w:type="dxa"/>
                  <w:noWrap w:val="0"/>
                  <w:vAlign w:val="center"/>
                </w:tcPr>
                <w:p>
                  <w:pPr>
                    <w:snapToGrid w:val="0"/>
                    <w:ind w:left="-30" w:right="-30"/>
                    <w:jc w:val="center"/>
                    <w:rPr>
                      <w:color w:val="auto"/>
                      <w:sz w:val="18"/>
                      <w:szCs w:val="18"/>
                      <w:highlight w:val="none"/>
                    </w:rPr>
                  </w:pPr>
                  <w:r>
                    <w:rPr>
                      <w:color w:val="auto"/>
                      <w:sz w:val="18"/>
                      <w:szCs w:val="18"/>
                      <w:highlight w:val="none"/>
                    </w:rPr>
                    <w:t>粉尘</w:t>
                  </w:r>
                </w:p>
              </w:tc>
              <w:tc>
                <w:tcPr>
                  <w:tcW w:w="1065" w:type="dxa"/>
                  <w:noWrap w:val="0"/>
                  <w:vAlign w:val="center"/>
                </w:tcPr>
                <w:p>
                  <w:pPr>
                    <w:snapToGrid w:val="0"/>
                    <w:ind w:left="-30" w:right="-30"/>
                    <w:jc w:val="center"/>
                    <w:rPr>
                      <w:color w:val="auto"/>
                      <w:sz w:val="18"/>
                      <w:szCs w:val="18"/>
                      <w:highlight w:val="none"/>
                    </w:rPr>
                  </w:pPr>
                  <w:r>
                    <w:rPr>
                      <w:rFonts w:hint="eastAsia"/>
                      <w:color w:val="auto"/>
                      <w:sz w:val="18"/>
                      <w:szCs w:val="18"/>
                      <w:highlight w:val="none"/>
                    </w:rPr>
                    <w:t>暂未建成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88" w:type="dxa"/>
                  <w:vMerge w:val="continue"/>
                  <w:noWrap w:val="0"/>
                  <w:vAlign w:val="center"/>
                </w:tcPr>
                <w:p>
                  <w:pPr>
                    <w:snapToGrid w:val="0"/>
                    <w:ind w:left="-170" w:right="-170"/>
                    <w:jc w:val="center"/>
                    <w:rPr>
                      <w:color w:val="auto"/>
                      <w:sz w:val="18"/>
                      <w:szCs w:val="18"/>
                      <w:highlight w:val="none"/>
                    </w:rPr>
                  </w:pPr>
                </w:p>
              </w:tc>
              <w:tc>
                <w:tcPr>
                  <w:tcW w:w="769" w:type="dxa"/>
                  <w:noWrap w:val="0"/>
                  <w:vAlign w:val="center"/>
                </w:tcPr>
                <w:p>
                  <w:pPr>
                    <w:widowControl/>
                    <w:jc w:val="center"/>
                    <w:textAlignment w:val="bottom"/>
                    <w:rPr>
                      <w:color w:val="auto"/>
                      <w:sz w:val="18"/>
                      <w:szCs w:val="18"/>
                      <w:highlight w:val="none"/>
                    </w:rPr>
                  </w:pPr>
                  <w:r>
                    <w:rPr>
                      <w:color w:val="auto"/>
                      <w:sz w:val="18"/>
                      <w:szCs w:val="18"/>
                      <w:highlight w:val="none"/>
                    </w:rPr>
                    <w:t>柴油储存房</w:t>
                  </w:r>
                </w:p>
              </w:tc>
              <w:tc>
                <w:tcPr>
                  <w:tcW w:w="2399" w:type="dxa"/>
                  <w:noWrap w:val="0"/>
                  <w:vAlign w:val="center"/>
                </w:tcPr>
                <w:p>
                  <w:pPr>
                    <w:widowControl/>
                    <w:jc w:val="center"/>
                    <w:textAlignment w:val="bottom"/>
                    <w:rPr>
                      <w:color w:val="auto"/>
                      <w:sz w:val="18"/>
                      <w:szCs w:val="18"/>
                      <w:highlight w:val="none"/>
                    </w:rPr>
                  </w:pPr>
                  <w:r>
                    <w:rPr>
                      <w:color w:val="auto"/>
                      <w:sz w:val="18"/>
                      <w:szCs w:val="18"/>
                      <w:highlight w:val="none"/>
                    </w:rPr>
                    <w:t>在办公楼东侧约有10m</w:t>
                  </w:r>
                  <w:r>
                    <w:rPr>
                      <w:color w:val="auto"/>
                      <w:sz w:val="18"/>
                      <w:szCs w:val="18"/>
                      <w:highlight w:val="none"/>
                      <w:vertAlign w:val="superscript"/>
                    </w:rPr>
                    <w:t>2</w:t>
                  </w:r>
                  <w:r>
                    <w:rPr>
                      <w:color w:val="auto"/>
                      <w:sz w:val="18"/>
                      <w:szCs w:val="18"/>
                      <w:highlight w:val="none"/>
                    </w:rPr>
                    <w:t>的柴油存储房，储存柴油约4t，主要用于压路机等机械设备的燃油，柴油用罐封装</w:t>
                  </w:r>
                </w:p>
              </w:tc>
              <w:tc>
                <w:tcPr>
                  <w:tcW w:w="1956" w:type="dxa"/>
                  <w:noWrap w:val="0"/>
                  <w:vAlign w:val="center"/>
                </w:tcPr>
                <w:p>
                  <w:pPr>
                    <w:snapToGrid w:val="0"/>
                    <w:ind w:left="-30" w:right="-30"/>
                    <w:jc w:val="center"/>
                    <w:rPr>
                      <w:color w:val="auto"/>
                      <w:sz w:val="18"/>
                      <w:szCs w:val="18"/>
                      <w:highlight w:val="none"/>
                    </w:rPr>
                  </w:pPr>
                  <w:r>
                    <w:rPr>
                      <w:color w:val="auto"/>
                      <w:sz w:val="18"/>
                      <w:szCs w:val="18"/>
                      <w:highlight w:val="none"/>
                    </w:rPr>
                    <w:t>不变</w:t>
                  </w:r>
                </w:p>
              </w:tc>
              <w:tc>
                <w:tcPr>
                  <w:tcW w:w="1065" w:type="dxa"/>
                  <w:noWrap w:val="0"/>
                  <w:vAlign w:val="center"/>
                </w:tcPr>
                <w:p>
                  <w:pPr>
                    <w:snapToGrid w:val="0"/>
                    <w:ind w:left="-30" w:right="-30"/>
                    <w:jc w:val="center"/>
                    <w:rPr>
                      <w:color w:val="auto"/>
                      <w:sz w:val="18"/>
                      <w:szCs w:val="18"/>
                      <w:highlight w:val="none"/>
                    </w:rPr>
                  </w:pPr>
                  <w:r>
                    <w:rPr>
                      <w:color w:val="auto"/>
                      <w:sz w:val="18"/>
                      <w:szCs w:val="18"/>
                      <w:highlight w:val="none"/>
                    </w:rPr>
                    <w:t>环境风险（火灾）</w:t>
                  </w:r>
                </w:p>
              </w:tc>
              <w:tc>
                <w:tcPr>
                  <w:tcW w:w="1065" w:type="dxa"/>
                  <w:noWrap w:val="0"/>
                  <w:vAlign w:val="center"/>
                </w:tcPr>
                <w:p>
                  <w:pPr>
                    <w:snapToGrid w:val="0"/>
                    <w:ind w:left="-30" w:right="-30"/>
                    <w:jc w:val="center"/>
                    <w:rPr>
                      <w:color w:val="auto"/>
                      <w:sz w:val="18"/>
                      <w:szCs w:val="18"/>
                      <w:highlight w:val="none"/>
                    </w:rPr>
                  </w:pPr>
                  <w:r>
                    <w:rPr>
                      <w:rFonts w:hint="eastAsia"/>
                      <w:color w:val="auto"/>
                      <w:kern w:val="0"/>
                      <w:sz w:val="18"/>
                      <w:szCs w:val="18"/>
                      <w:highlight w:val="none"/>
                      <w:lang w:bidi="ar"/>
                    </w:rPr>
                    <w:t>依托原项目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88" w:type="dxa"/>
                  <w:vMerge w:val="continue"/>
                  <w:noWrap w:val="0"/>
                  <w:vAlign w:val="center"/>
                </w:tcPr>
                <w:p>
                  <w:pPr>
                    <w:snapToGrid w:val="0"/>
                    <w:ind w:left="-170" w:right="-170"/>
                    <w:jc w:val="center"/>
                    <w:rPr>
                      <w:color w:val="auto"/>
                      <w:sz w:val="18"/>
                      <w:szCs w:val="18"/>
                      <w:highlight w:val="none"/>
                    </w:rPr>
                  </w:pPr>
                </w:p>
              </w:tc>
              <w:tc>
                <w:tcPr>
                  <w:tcW w:w="769" w:type="dxa"/>
                  <w:noWrap w:val="0"/>
                  <w:vAlign w:val="center"/>
                </w:tcPr>
                <w:p>
                  <w:pPr>
                    <w:widowControl/>
                    <w:jc w:val="center"/>
                    <w:textAlignment w:val="bottom"/>
                    <w:rPr>
                      <w:color w:val="auto"/>
                      <w:sz w:val="18"/>
                      <w:szCs w:val="18"/>
                      <w:highlight w:val="none"/>
                    </w:rPr>
                  </w:pPr>
                  <w:r>
                    <w:rPr>
                      <w:color w:val="auto"/>
                      <w:kern w:val="0"/>
                      <w:sz w:val="18"/>
                      <w:szCs w:val="18"/>
                      <w:highlight w:val="none"/>
                      <w:lang w:bidi="ar"/>
                    </w:rPr>
                    <w:t>物流运</w:t>
                  </w:r>
                  <w:r>
                    <w:rPr>
                      <w:color w:val="auto"/>
                      <w:kern w:val="0"/>
                      <w:sz w:val="18"/>
                      <w:szCs w:val="18"/>
                      <w:highlight w:val="none"/>
                      <w:lang w:bidi="ar"/>
                    </w:rPr>
                    <w:br w:type="textWrapping"/>
                  </w:r>
                  <w:r>
                    <w:rPr>
                      <w:color w:val="auto"/>
                      <w:kern w:val="0"/>
                      <w:sz w:val="18"/>
                      <w:szCs w:val="18"/>
                      <w:highlight w:val="none"/>
                      <w:lang w:bidi="ar"/>
                    </w:rPr>
                    <w:t>输</w:t>
                  </w:r>
                </w:p>
              </w:tc>
              <w:tc>
                <w:tcPr>
                  <w:tcW w:w="2399" w:type="dxa"/>
                  <w:noWrap w:val="0"/>
                  <w:vAlign w:val="center"/>
                </w:tcPr>
                <w:p>
                  <w:pPr>
                    <w:widowControl/>
                    <w:jc w:val="center"/>
                    <w:textAlignment w:val="bottom"/>
                    <w:rPr>
                      <w:color w:val="auto"/>
                      <w:sz w:val="18"/>
                      <w:szCs w:val="18"/>
                      <w:highlight w:val="none"/>
                    </w:rPr>
                  </w:pPr>
                  <w:r>
                    <w:rPr>
                      <w:color w:val="auto"/>
                      <w:kern w:val="0"/>
                      <w:sz w:val="18"/>
                      <w:szCs w:val="18"/>
                      <w:highlight w:val="none"/>
                      <w:lang w:bidi="ar"/>
                    </w:rPr>
                    <w:t>依托乐夹路及厂内道路</w:t>
                  </w:r>
                </w:p>
              </w:tc>
              <w:tc>
                <w:tcPr>
                  <w:tcW w:w="1956" w:type="dxa"/>
                  <w:noWrap w:val="0"/>
                  <w:vAlign w:val="center"/>
                </w:tcPr>
                <w:p>
                  <w:pPr>
                    <w:snapToGrid w:val="0"/>
                    <w:ind w:left="-30" w:right="-30"/>
                    <w:jc w:val="center"/>
                    <w:rPr>
                      <w:color w:val="auto"/>
                      <w:sz w:val="18"/>
                      <w:szCs w:val="18"/>
                      <w:highlight w:val="none"/>
                    </w:rPr>
                  </w:pPr>
                  <w:r>
                    <w:rPr>
                      <w:color w:val="auto"/>
                      <w:sz w:val="18"/>
                      <w:szCs w:val="18"/>
                      <w:highlight w:val="none"/>
                    </w:rPr>
                    <w:t>不变</w:t>
                  </w:r>
                </w:p>
              </w:tc>
              <w:tc>
                <w:tcPr>
                  <w:tcW w:w="1065" w:type="dxa"/>
                  <w:noWrap w:val="0"/>
                  <w:vAlign w:val="center"/>
                </w:tcPr>
                <w:p>
                  <w:pPr>
                    <w:snapToGrid w:val="0"/>
                    <w:ind w:left="-30" w:right="-30"/>
                    <w:jc w:val="center"/>
                    <w:rPr>
                      <w:color w:val="auto"/>
                      <w:sz w:val="18"/>
                      <w:szCs w:val="18"/>
                      <w:highlight w:val="none"/>
                    </w:rPr>
                  </w:pPr>
                  <w:r>
                    <w:rPr>
                      <w:color w:val="auto"/>
                      <w:sz w:val="18"/>
                      <w:szCs w:val="18"/>
                      <w:highlight w:val="none"/>
                    </w:rPr>
                    <w:t>扬尘</w:t>
                  </w:r>
                </w:p>
              </w:tc>
              <w:tc>
                <w:tcPr>
                  <w:tcW w:w="1065" w:type="dxa"/>
                  <w:noWrap w:val="0"/>
                  <w:vAlign w:val="center"/>
                </w:tcPr>
                <w:p>
                  <w:pPr>
                    <w:snapToGrid w:val="0"/>
                    <w:ind w:left="-30" w:right="-30"/>
                    <w:jc w:val="center"/>
                    <w:rPr>
                      <w:color w:val="auto"/>
                      <w:sz w:val="18"/>
                      <w:szCs w:val="18"/>
                      <w:highlight w:val="none"/>
                    </w:rPr>
                  </w:pPr>
                  <w:r>
                    <w:rPr>
                      <w:rFonts w:hint="eastAsia"/>
                      <w:color w:val="auto"/>
                      <w:kern w:val="0"/>
                      <w:sz w:val="18"/>
                      <w:szCs w:val="18"/>
                      <w:highlight w:val="none"/>
                      <w:lang w:bidi="ar"/>
                    </w:rPr>
                    <w:t>依托原项目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88" w:type="dxa"/>
                  <w:vMerge w:val="continue"/>
                  <w:noWrap w:val="0"/>
                  <w:vAlign w:val="center"/>
                </w:tcPr>
                <w:p>
                  <w:pPr>
                    <w:snapToGrid w:val="0"/>
                    <w:ind w:left="-170" w:right="-170"/>
                    <w:jc w:val="center"/>
                    <w:rPr>
                      <w:color w:val="auto"/>
                      <w:sz w:val="18"/>
                      <w:szCs w:val="18"/>
                      <w:highlight w:val="none"/>
                    </w:rPr>
                  </w:pPr>
                </w:p>
              </w:tc>
              <w:tc>
                <w:tcPr>
                  <w:tcW w:w="769" w:type="dxa"/>
                  <w:noWrap w:val="0"/>
                  <w:vAlign w:val="center"/>
                </w:tcPr>
                <w:p>
                  <w:pPr>
                    <w:widowControl/>
                    <w:jc w:val="center"/>
                    <w:textAlignment w:val="bottom"/>
                    <w:rPr>
                      <w:color w:val="auto"/>
                      <w:sz w:val="18"/>
                      <w:szCs w:val="18"/>
                      <w:highlight w:val="none"/>
                    </w:rPr>
                  </w:pPr>
                  <w:r>
                    <w:rPr>
                      <w:color w:val="auto"/>
                      <w:kern w:val="0"/>
                      <w:sz w:val="18"/>
                      <w:szCs w:val="18"/>
                      <w:highlight w:val="none"/>
                      <w:lang w:bidi="ar"/>
                    </w:rPr>
                    <w:t>沥青储罐</w:t>
                  </w:r>
                </w:p>
              </w:tc>
              <w:tc>
                <w:tcPr>
                  <w:tcW w:w="2399" w:type="dxa"/>
                  <w:noWrap w:val="0"/>
                  <w:vAlign w:val="center"/>
                </w:tcPr>
                <w:p>
                  <w:pPr>
                    <w:widowControl/>
                    <w:jc w:val="center"/>
                    <w:textAlignment w:val="bottom"/>
                    <w:rPr>
                      <w:color w:val="auto"/>
                      <w:sz w:val="18"/>
                      <w:szCs w:val="18"/>
                      <w:highlight w:val="none"/>
                    </w:rPr>
                  </w:pPr>
                  <w:r>
                    <w:rPr>
                      <w:color w:val="auto"/>
                      <w:kern w:val="0"/>
                      <w:sz w:val="18"/>
                      <w:szCs w:val="18"/>
                      <w:highlight w:val="none"/>
                      <w:lang w:bidi="ar"/>
                    </w:rPr>
                    <w:t>3个50m</w:t>
                  </w:r>
                  <w:r>
                    <w:rPr>
                      <w:color w:val="auto"/>
                      <w:kern w:val="0"/>
                      <w:sz w:val="18"/>
                      <w:szCs w:val="18"/>
                      <w:highlight w:val="none"/>
                      <w:vertAlign w:val="superscript"/>
                      <w:lang w:bidi="ar"/>
                    </w:rPr>
                    <w:t>3</w:t>
                  </w:r>
                  <w:r>
                    <w:rPr>
                      <w:color w:val="auto"/>
                      <w:kern w:val="0"/>
                      <w:sz w:val="18"/>
                      <w:szCs w:val="18"/>
                      <w:highlight w:val="none"/>
                      <w:lang w:bidi="ar"/>
                    </w:rPr>
                    <w:t>的沥青储罐，同时配一台导热油炉进行保温加热</w:t>
                  </w:r>
                </w:p>
              </w:tc>
              <w:tc>
                <w:tcPr>
                  <w:tcW w:w="1956" w:type="dxa"/>
                  <w:noWrap w:val="0"/>
                  <w:vAlign w:val="center"/>
                </w:tcPr>
                <w:p>
                  <w:pPr>
                    <w:snapToGrid w:val="0"/>
                    <w:ind w:left="-30" w:right="-30"/>
                    <w:jc w:val="center"/>
                    <w:rPr>
                      <w:color w:val="auto"/>
                      <w:sz w:val="18"/>
                      <w:szCs w:val="18"/>
                      <w:highlight w:val="none"/>
                    </w:rPr>
                  </w:pPr>
                  <w:r>
                    <w:rPr>
                      <w:color w:val="auto"/>
                      <w:kern w:val="0"/>
                      <w:sz w:val="18"/>
                      <w:szCs w:val="18"/>
                      <w:highlight w:val="none"/>
                      <w:lang w:bidi="ar"/>
                    </w:rPr>
                    <w:t>4个（3用1备）50m</w:t>
                  </w:r>
                  <w:r>
                    <w:rPr>
                      <w:color w:val="auto"/>
                      <w:kern w:val="0"/>
                      <w:sz w:val="18"/>
                      <w:szCs w:val="18"/>
                      <w:highlight w:val="none"/>
                      <w:vertAlign w:val="superscript"/>
                      <w:lang w:bidi="ar"/>
                    </w:rPr>
                    <w:t>3</w:t>
                  </w:r>
                  <w:r>
                    <w:rPr>
                      <w:color w:val="auto"/>
                      <w:kern w:val="0"/>
                      <w:sz w:val="18"/>
                      <w:szCs w:val="18"/>
                      <w:highlight w:val="none"/>
                      <w:lang w:bidi="ar"/>
                    </w:rPr>
                    <w:t>的沥青储罐，同时配一台导热油炉进行保温加热</w:t>
                  </w:r>
                </w:p>
              </w:tc>
              <w:tc>
                <w:tcPr>
                  <w:tcW w:w="1065" w:type="dxa"/>
                  <w:noWrap w:val="0"/>
                  <w:vAlign w:val="center"/>
                </w:tcPr>
                <w:p>
                  <w:pPr>
                    <w:snapToGrid w:val="0"/>
                    <w:ind w:left="-30" w:right="-30"/>
                    <w:jc w:val="center"/>
                    <w:rPr>
                      <w:color w:val="auto"/>
                      <w:sz w:val="18"/>
                      <w:szCs w:val="18"/>
                      <w:highlight w:val="none"/>
                    </w:rPr>
                  </w:pPr>
                  <w:r>
                    <w:rPr>
                      <w:color w:val="auto"/>
                      <w:sz w:val="18"/>
                      <w:szCs w:val="18"/>
                      <w:highlight w:val="none"/>
                    </w:rPr>
                    <w:t>沥青烟气</w:t>
                  </w:r>
                </w:p>
              </w:tc>
              <w:tc>
                <w:tcPr>
                  <w:tcW w:w="1065" w:type="dxa"/>
                  <w:noWrap w:val="0"/>
                  <w:vAlign w:val="center"/>
                </w:tcPr>
                <w:p>
                  <w:pPr>
                    <w:snapToGrid w:val="0"/>
                    <w:ind w:left="-30" w:right="-30"/>
                    <w:jc w:val="center"/>
                    <w:rPr>
                      <w:rFonts w:hint="eastAsia"/>
                      <w:color w:val="auto"/>
                      <w:sz w:val="18"/>
                      <w:szCs w:val="18"/>
                      <w:highlight w:val="none"/>
                    </w:rPr>
                  </w:pPr>
                  <w:r>
                    <w:rPr>
                      <w:rFonts w:hint="eastAsia"/>
                      <w:color w:val="auto"/>
                      <w:sz w:val="18"/>
                      <w:szCs w:val="18"/>
                      <w:highlight w:val="none"/>
                    </w:rPr>
                    <w:t>已建成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88" w:type="dxa"/>
                  <w:vMerge w:val="continue"/>
                  <w:noWrap w:val="0"/>
                  <w:vAlign w:val="center"/>
                </w:tcPr>
                <w:p>
                  <w:pPr>
                    <w:snapToGrid w:val="0"/>
                    <w:ind w:left="-170" w:right="-170"/>
                    <w:jc w:val="center"/>
                    <w:rPr>
                      <w:color w:val="auto"/>
                      <w:sz w:val="18"/>
                      <w:szCs w:val="18"/>
                      <w:highlight w:val="none"/>
                    </w:rPr>
                  </w:pPr>
                </w:p>
              </w:tc>
              <w:tc>
                <w:tcPr>
                  <w:tcW w:w="769" w:type="dxa"/>
                  <w:noWrap w:val="0"/>
                  <w:vAlign w:val="center"/>
                </w:tcPr>
                <w:p>
                  <w:pPr>
                    <w:widowControl/>
                    <w:jc w:val="center"/>
                    <w:textAlignment w:val="bottom"/>
                    <w:rPr>
                      <w:color w:val="auto"/>
                      <w:sz w:val="18"/>
                      <w:szCs w:val="18"/>
                      <w:highlight w:val="none"/>
                    </w:rPr>
                  </w:pPr>
                  <w:r>
                    <w:rPr>
                      <w:color w:val="auto"/>
                      <w:kern w:val="0"/>
                      <w:sz w:val="18"/>
                      <w:szCs w:val="18"/>
                      <w:highlight w:val="none"/>
                      <w:lang w:bidi="ar"/>
                    </w:rPr>
                    <w:t>仓储库</w:t>
                  </w:r>
                </w:p>
              </w:tc>
              <w:tc>
                <w:tcPr>
                  <w:tcW w:w="2399" w:type="dxa"/>
                  <w:noWrap w:val="0"/>
                  <w:vAlign w:val="center"/>
                </w:tcPr>
                <w:p>
                  <w:pPr>
                    <w:snapToGrid w:val="0"/>
                    <w:ind w:left="-30" w:right="-30"/>
                    <w:jc w:val="center"/>
                    <w:rPr>
                      <w:color w:val="auto"/>
                      <w:sz w:val="18"/>
                      <w:szCs w:val="18"/>
                      <w:highlight w:val="none"/>
                    </w:rPr>
                  </w:pPr>
                  <w:r>
                    <w:rPr>
                      <w:color w:val="auto"/>
                      <w:sz w:val="18"/>
                      <w:szCs w:val="18"/>
                      <w:highlight w:val="none"/>
                    </w:rPr>
                    <w:t>2个150m</w:t>
                  </w:r>
                  <w:r>
                    <w:rPr>
                      <w:color w:val="auto"/>
                      <w:sz w:val="18"/>
                      <w:szCs w:val="18"/>
                      <w:highlight w:val="none"/>
                      <w:vertAlign w:val="superscript"/>
                    </w:rPr>
                    <w:t>2</w:t>
                  </w:r>
                  <w:r>
                    <w:rPr>
                      <w:color w:val="auto"/>
                      <w:sz w:val="18"/>
                      <w:szCs w:val="18"/>
                      <w:highlight w:val="none"/>
                    </w:rPr>
                    <w:t>，位于旧沥青拌合楼东侧，主要用于存储纤维料</w:t>
                  </w:r>
                </w:p>
              </w:tc>
              <w:tc>
                <w:tcPr>
                  <w:tcW w:w="1956" w:type="dxa"/>
                  <w:noWrap w:val="0"/>
                  <w:vAlign w:val="center"/>
                </w:tcPr>
                <w:p>
                  <w:pPr>
                    <w:snapToGrid w:val="0"/>
                    <w:ind w:left="-30" w:right="-30"/>
                    <w:jc w:val="center"/>
                    <w:rPr>
                      <w:color w:val="auto"/>
                      <w:sz w:val="18"/>
                      <w:szCs w:val="18"/>
                      <w:highlight w:val="none"/>
                    </w:rPr>
                  </w:pPr>
                  <w:r>
                    <w:rPr>
                      <w:color w:val="auto"/>
                      <w:sz w:val="18"/>
                      <w:szCs w:val="18"/>
                      <w:highlight w:val="none"/>
                    </w:rPr>
                    <w:t>不变</w:t>
                  </w:r>
                </w:p>
              </w:tc>
              <w:tc>
                <w:tcPr>
                  <w:tcW w:w="1065" w:type="dxa"/>
                  <w:noWrap w:val="0"/>
                  <w:vAlign w:val="center"/>
                </w:tcPr>
                <w:p>
                  <w:pPr>
                    <w:snapToGrid w:val="0"/>
                    <w:ind w:left="-30" w:right="-30"/>
                    <w:jc w:val="center"/>
                    <w:rPr>
                      <w:color w:val="auto"/>
                      <w:sz w:val="18"/>
                      <w:szCs w:val="18"/>
                      <w:highlight w:val="none"/>
                    </w:rPr>
                  </w:pPr>
                  <w:r>
                    <w:rPr>
                      <w:color w:val="auto"/>
                      <w:sz w:val="18"/>
                      <w:szCs w:val="18"/>
                      <w:highlight w:val="none"/>
                    </w:rPr>
                    <w:t>粉尘</w:t>
                  </w:r>
                </w:p>
              </w:tc>
              <w:tc>
                <w:tcPr>
                  <w:tcW w:w="1065" w:type="dxa"/>
                  <w:noWrap w:val="0"/>
                  <w:vAlign w:val="center"/>
                </w:tcPr>
                <w:p>
                  <w:pPr>
                    <w:snapToGrid w:val="0"/>
                    <w:ind w:left="-30" w:right="-30"/>
                    <w:jc w:val="center"/>
                    <w:rPr>
                      <w:color w:val="auto"/>
                      <w:sz w:val="18"/>
                      <w:szCs w:val="18"/>
                      <w:highlight w:val="none"/>
                    </w:rPr>
                  </w:pPr>
                  <w:r>
                    <w:rPr>
                      <w:rFonts w:hint="eastAsia"/>
                      <w:color w:val="auto"/>
                      <w:kern w:val="0"/>
                      <w:sz w:val="18"/>
                      <w:szCs w:val="18"/>
                      <w:highlight w:val="none"/>
                      <w:lang w:bidi="ar"/>
                    </w:rPr>
                    <w:t>依托原项目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88" w:type="dxa"/>
                  <w:vMerge w:val="restart"/>
                  <w:noWrap w:val="0"/>
                  <w:vAlign w:val="center"/>
                </w:tcPr>
                <w:p>
                  <w:pPr>
                    <w:snapToGrid w:val="0"/>
                    <w:ind w:left="-170" w:right="-170"/>
                    <w:jc w:val="center"/>
                    <w:rPr>
                      <w:color w:val="auto"/>
                      <w:sz w:val="18"/>
                      <w:szCs w:val="18"/>
                      <w:highlight w:val="none"/>
                    </w:rPr>
                  </w:pPr>
                  <w:r>
                    <w:rPr>
                      <w:color w:val="auto"/>
                      <w:sz w:val="18"/>
                      <w:szCs w:val="18"/>
                      <w:highlight w:val="none"/>
                    </w:rPr>
                    <w:t>生活</w:t>
                  </w:r>
                </w:p>
                <w:p>
                  <w:pPr>
                    <w:snapToGrid w:val="0"/>
                    <w:ind w:left="-170" w:right="-170"/>
                    <w:jc w:val="center"/>
                    <w:rPr>
                      <w:color w:val="auto"/>
                      <w:sz w:val="18"/>
                      <w:szCs w:val="18"/>
                      <w:highlight w:val="none"/>
                    </w:rPr>
                  </w:pPr>
                  <w:r>
                    <w:rPr>
                      <w:color w:val="auto"/>
                      <w:sz w:val="18"/>
                      <w:szCs w:val="18"/>
                      <w:highlight w:val="none"/>
                    </w:rPr>
                    <w:t>办公</w:t>
                  </w:r>
                </w:p>
              </w:tc>
              <w:tc>
                <w:tcPr>
                  <w:tcW w:w="769" w:type="dxa"/>
                  <w:noWrap w:val="0"/>
                  <w:vAlign w:val="center"/>
                </w:tcPr>
                <w:p>
                  <w:pPr>
                    <w:snapToGrid w:val="0"/>
                    <w:jc w:val="center"/>
                    <w:rPr>
                      <w:color w:val="auto"/>
                      <w:sz w:val="18"/>
                      <w:szCs w:val="18"/>
                      <w:highlight w:val="none"/>
                    </w:rPr>
                  </w:pPr>
                  <w:r>
                    <w:rPr>
                      <w:color w:val="auto"/>
                      <w:sz w:val="18"/>
                      <w:szCs w:val="18"/>
                      <w:highlight w:val="none"/>
                    </w:rPr>
                    <w:t>办公楼</w:t>
                  </w:r>
                </w:p>
              </w:tc>
              <w:tc>
                <w:tcPr>
                  <w:tcW w:w="2399" w:type="dxa"/>
                  <w:noWrap w:val="0"/>
                  <w:vAlign w:val="center"/>
                </w:tcPr>
                <w:p>
                  <w:pPr>
                    <w:snapToGrid w:val="0"/>
                    <w:ind w:left="-30" w:right="-30"/>
                    <w:rPr>
                      <w:color w:val="auto"/>
                      <w:sz w:val="18"/>
                      <w:szCs w:val="18"/>
                      <w:highlight w:val="none"/>
                    </w:rPr>
                  </w:pPr>
                  <w:r>
                    <w:rPr>
                      <w:color w:val="auto"/>
                      <w:sz w:val="18"/>
                      <w:szCs w:val="18"/>
                      <w:highlight w:val="none"/>
                    </w:rPr>
                    <w:t>2层，建筑面积300m2，1F为办公用房，2F为职工住宿等生活设施。</w:t>
                  </w:r>
                </w:p>
              </w:tc>
              <w:tc>
                <w:tcPr>
                  <w:tcW w:w="1956" w:type="dxa"/>
                  <w:noWrap w:val="0"/>
                  <w:vAlign w:val="center"/>
                </w:tcPr>
                <w:p>
                  <w:pPr>
                    <w:snapToGrid w:val="0"/>
                    <w:ind w:left="-30" w:right="-30"/>
                    <w:jc w:val="center"/>
                    <w:rPr>
                      <w:color w:val="auto"/>
                      <w:sz w:val="18"/>
                      <w:szCs w:val="18"/>
                      <w:highlight w:val="none"/>
                    </w:rPr>
                  </w:pPr>
                  <w:r>
                    <w:rPr>
                      <w:color w:val="auto"/>
                      <w:sz w:val="18"/>
                      <w:szCs w:val="18"/>
                      <w:highlight w:val="none"/>
                    </w:rPr>
                    <w:t>不变</w:t>
                  </w:r>
                </w:p>
              </w:tc>
              <w:tc>
                <w:tcPr>
                  <w:tcW w:w="1065" w:type="dxa"/>
                  <w:noWrap w:val="0"/>
                  <w:vAlign w:val="center"/>
                </w:tcPr>
                <w:p>
                  <w:pPr>
                    <w:snapToGrid w:val="0"/>
                    <w:ind w:left="-30" w:right="-30"/>
                    <w:jc w:val="center"/>
                    <w:rPr>
                      <w:color w:val="auto"/>
                      <w:sz w:val="18"/>
                      <w:szCs w:val="18"/>
                      <w:highlight w:val="none"/>
                    </w:rPr>
                  </w:pPr>
                  <w:r>
                    <w:rPr>
                      <w:color w:val="auto"/>
                      <w:sz w:val="18"/>
                      <w:szCs w:val="18"/>
                      <w:highlight w:val="none"/>
                    </w:rPr>
                    <w:t>生活污水；生活垃圾</w:t>
                  </w:r>
                </w:p>
              </w:tc>
              <w:tc>
                <w:tcPr>
                  <w:tcW w:w="1065" w:type="dxa"/>
                  <w:noWrap w:val="0"/>
                  <w:vAlign w:val="center"/>
                </w:tcPr>
                <w:p>
                  <w:pPr>
                    <w:snapToGrid w:val="0"/>
                    <w:ind w:left="-30" w:right="-30"/>
                    <w:jc w:val="center"/>
                    <w:rPr>
                      <w:color w:val="auto"/>
                      <w:sz w:val="18"/>
                      <w:szCs w:val="18"/>
                      <w:highlight w:val="none"/>
                    </w:rPr>
                  </w:pPr>
                  <w:r>
                    <w:rPr>
                      <w:rFonts w:hint="eastAsia"/>
                      <w:color w:val="auto"/>
                      <w:kern w:val="0"/>
                      <w:sz w:val="18"/>
                      <w:szCs w:val="18"/>
                      <w:highlight w:val="none"/>
                      <w:lang w:bidi="ar"/>
                    </w:rPr>
                    <w:t>依托原项目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88" w:type="dxa"/>
                  <w:vMerge w:val="continue"/>
                  <w:noWrap w:val="0"/>
                  <w:vAlign w:val="center"/>
                </w:tcPr>
                <w:p>
                  <w:pPr>
                    <w:snapToGrid w:val="0"/>
                    <w:ind w:left="-170" w:right="-170"/>
                    <w:jc w:val="center"/>
                    <w:rPr>
                      <w:color w:val="auto"/>
                      <w:sz w:val="18"/>
                      <w:szCs w:val="18"/>
                      <w:highlight w:val="none"/>
                    </w:rPr>
                  </w:pPr>
                </w:p>
              </w:tc>
              <w:tc>
                <w:tcPr>
                  <w:tcW w:w="769" w:type="dxa"/>
                  <w:noWrap w:val="0"/>
                  <w:vAlign w:val="center"/>
                </w:tcPr>
                <w:p>
                  <w:pPr>
                    <w:snapToGrid w:val="0"/>
                    <w:jc w:val="center"/>
                    <w:rPr>
                      <w:color w:val="auto"/>
                      <w:sz w:val="18"/>
                      <w:szCs w:val="18"/>
                      <w:highlight w:val="none"/>
                    </w:rPr>
                  </w:pPr>
                  <w:r>
                    <w:rPr>
                      <w:color w:val="auto"/>
                      <w:sz w:val="18"/>
                      <w:szCs w:val="18"/>
                      <w:highlight w:val="none"/>
                    </w:rPr>
                    <w:t>食堂</w:t>
                  </w:r>
                </w:p>
              </w:tc>
              <w:tc>
                <w:tcPr>
                  <w:tcW w:w="2399" w:type="dxa"/>
                  <w:noWrap w:val="0"/>
                  <w:vAlign w:val="center"/>
                </w:tcPr>
                <w:p>
                  <w:pPr>
                    <w:snapToGrid w:val="0"/>
                    <w:ind w:left="-30" w:right="-30"/>
                    <w:rPr>
                      <w:color w:val="auto"/>
                      <w:sz w:val="18"/>
                      <w:szCs w:val="18"/>
                      <w:highlight w:val="none"/>
                    </w:rPr>
                  </w:pPr>
                  <w:r>
                    <w:rPr>
                      <w:color w:val="auto"/>
                      <w:kern w:val="0"/>
                      <w:sz w:val="18"/>
                      <w:szCs w:val="18"/>
                      <w:highlight w:val="none"/>
                      <w:lang w:bidi="ar"/>
                    </w:rPr>
                    <w:t>位于厂区南侧机修车间旁，1层，80m</w:t>
                  </w:r>
                  <w:r>
                    <w:rPr>
                      <w:color w:val="auto"/>
                      <w:kern w:val="0"/>
                      <w:sz w:val="18"/>
                      <w:szCs w:val="18"/>
                      <w:highlight w:val="none"/>
                      <w:vertAlign w:val="superscript"/>
                      <w:lang w:bidi="ar"/>
                    </w:rPr>
                    <w:t>2</w:t>
                  </w:r>
                  <w:r>
                    <w:rPr>
                      <w:color w:val="auto"/>
                      <w:kern w:val="0"/>
                      <w:sz w:val="18"/>
                      <w:szCs w:val="18"/>
                      <w:highlight w:val="none"/>
                      <w:lang w:bidi="ar"/>
                    </w:rPr>
                    <w:t>，正常情况下供10人就餐</w:t>
                  </w:r>
                </w:p>
              </w:tc>
              <w:tc>
                <w:tcPr>
                  <w:tcW w:w="1956" w:type="dxa"/>
                  <w:noWrap w:val="0"/>
                  <w:vAlign w:val="center"/>
                </w:tcPr>
                <w:p>
                  <w:pPr>
                    <w:snapToGrid w:val="0"/>
                    <w:ind w:left="-30" w:right="-30"/>
                    <w:jc w:val="center"/>
                    <w:rPr>
                      <w:color w:val="auto"/>
                      <w:sz w:val="18"/>
                      <w:szCs w:val="18"/>
                      <w:highlight w:val="none"/>
                    </w:rPr>
                  </w:pPr>
                  <w:r>
                    <w:rPr>
                      <w:color w:val="auto"/>
                      <w:sz w:val="18"/>
                      <w:szCs w:val="18"/>
                      <w:highlight w:val="none"/>
                    </w:rPr>
                    <w:t>不变</w:t>
                  </w:r>
                </w:p>
              </w:tc>
              <w:tc>
                <w:tcPr>
                  <w:tcW w:w="1065" w:type="dxa"/>
                  <w:noWrap w:val="0"/>
                  <w:vAlign w:val="center"/>
                </w:tcPr>
                <w:p>
                  <w:pPr>
                    <w:snapToGrid w:val="0"/>
                    <w:ind w:left="-30" w:right="-30"/>
                    <w:jc w:val="center"/>
                    <w:rPr>
                      <w:color w:val="auto"/>
                      <w:sz w:val="18"/>
                      <w:szCs w:val="18"/>
                      <w:highlight w:val="none"/>
                    </w:rPr>
                  </w:pPr>
                  <w:r>
                    <w:rPr>
                      <w:color w:val="auto"/>
                      <w:sz w:val="18"/>
                      <w:szCs w:val="18"/>
                      <w:highlight w:val="none"/>
                    </w:rPr>
                    <w:t>食堂油烟；餐厨垃圾</w:t>
                  </w:r>
                </w:p>
              </w:tc>
              <w:tc>
                <w:tcPr>
                  <w:tcW w:w="1065" w:type="dxa"/>
                  <w:noWrap w:val="0"/>
                  <w:vAlign w:val="center"/>
                </w:tcPr>
                <w:p>
                  <w:pPr>
                    <w:snapToGrid w:val="0"/>
                    <w:ind w:left="-30" w:right="-30"/>
                    <w:jc w:val="center"/>
                    <w:rPr>
                      <w:color w:val="auto"/>
                      <w:sz w:val="18"/>
                      <w:szCs w:val="18"/>
                      <w:highlight w:val="none"/>
                    </w:rPr>
                  </w:pPr>
                  <w:r>
                    <w:rPr>
                      <w:rFonts w:hint="eastAsia"/>
                      <w:color w:val="auto"/>
                      <w:kern w:val="0"/>
                      <w:sz w:val="18"/>
                      <w:szCs w:val="18"/>
                      <w:highlight w:val="none"/>
                      <w:lang w:bidi="ar"/>
                    </w:rPr>
                    <w:t>依托原项目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88" w:type="dxa"/>
                  <w:vMerge w:val="restart"/>
                  <w:noWrap w:val="0"/>
                  <w:vAlign w:val="center"/>
                </w:tcPr>
                <w:p>
                  <w:pPr>
                    <w:snapToGrid w:val="0"/>
                    <w:ind w:left="-170" w:right="-170"/>
                    <w:jc w:val="center"/>
                    <w:rPr>
                      <w:color w:val="auto"/>
                      <w:sz w:val="18"/>
                      <w:szCs w:val="18"/>
                      <w:highlight w:val="none"/>
                    </w:rPr>
                  </w:pPr>
                  <w:r>
                    <w:rPr>
                      <w:color w:val="auto"/>
                      <w:sz w:val="18"/>
                      <w:szCs w:val="18"/>
                      <w:highlight w:val="none"/>
                    </w:rPr>
                    <w:t>环保工程</w:t>
                  </w:r>
                </w:p>
              </w:tc>
              <w:tc>
                <w:tcPr>
                  <w:tcW w:w="769" w:type="dxa"/>
                  <w:noWrap w:val="0"/>
                  <w:vAlign w:val="center"/>
                </w:tcPr>
                <w:p>
                  <w:pPr>
                    <w:snapToGrid w:val="0"/>
                    <w:jc w:val="center"/>
                    <w:rPr>
                      <w:color w:val="auto"/>
                      <w:sz w:val="18"/>
                      <w:szCs w:val="18"/>
                      <w:highlight w:val="none"/>
                    </w:rPr>
                  </w:pPr>
                  <w:r>
                    <w:rPr>
                      <w:color w:val="auto"/>
                      <w:sz w:val="18"/>
                      <w:szCs w:val="18"/>
                      <w:highlight w:val="none"/>
                    </w:rPr>
                    <w:t>废气</w:t>
                  </w:r>
                </w:p>
              </w:tc>
              <w:tc>
                <w:tcPr>
                  <w:tcW w:w="2399" w:type="dxa"/>
                  <w:noWrap w:val="0"/>
                  <w:vAlign w:val="center"/>
                </w:tcPr>
                <w:p>
                  <w:pPr>
                    <w:snapToGrid w:val="0"/>
                    <w:ind w:left="-30" w:right="-30"/>
                    <w:rPr>
                      <w:color w:val="auto"/>
                      <w:sz w:val="18"/>
                      <w:szCs w:val="18"/>
                      <w:highlight w:val="none"/>
                    </w:rPr>
                  </w:pPr>
                  <w:r>
                    <w:rPr>
                      <w:color w:val="auto"/>
                      <w:sz w:val="18"/>
                      <w:szCs w:val="18"/>
                      <w:highlight w:val="none"/>
                    </w:rPr>
                    <w:t>有组织废气：烘干滚简骨料加热产生的粉尘和燃气烟气:烘干滚筒采用封闭形式，燃气废气及烘干筒粉尘等混合废气通过引风机（风量为55000m3h）引入布袋除尘器除尘后经一根高15m排气简（1#排气筒）排放。导热油炉燃烧尾气直接由15m排气筒排放；</w:t>
                  </w:r>
                </w:p>
                <w:p>
                  <w:pPr>
                    <w:snapToGrid w:val="0"/>
                    <w:ind w:left="-30" w:right="-30"/>
                    <w:rPr>
                      <w:color w:val="auto"/>
                      <w:sz w:val="18"/>
                      <w:szCs w:val="18"/>
                      <w:highlight w:val="none"/>
                    </w:rPr>
                  </w:pPr>
                  <w:r>
                    <w:rPr>
                      <w:color w:val="auto"/>
                      <w:sz w:val="18"/>
                      <w:szCs w:val="18"/>
                      <w:highlight w:val="none"/>
                    </w:rPr>
                    <w:t>无组织废气：沥青混凝土出料口、沥青混凝土卸料过程、搅拌缸内沥青烟气均采用无组织排放方式；沥青储罐</w:t>
                  </w:r>
                  <w:r>
                    <w:rPr>
                      <w:rFonts w:hint="eastAsia"/>
                      <w:color w:val="auto"/>
                      <w:sz w:val="18"/>
                      <w:szCs w:val="18"/>
                      <w:highlight w:val="none"/>
                    </w:rPr>
                    <w:t>加热产生沥青烟气</w:t>
                  </w:r>
                  <w:r>
                    <w:rPr>
                      <w:color w:val="auto"/>
                      <w:sz w:val="18"/>
                      <w:szCs w:val="18"/>
                      <w:highlight w:val="none"/>
                    </w:rPr>
                    <w:t>：无组织排放；骨料堆场粉尘：骨料堆场1为三面封闭式顶棚，骨料堆场2为敞开式，堆场上覆盖防尘网罩；厂区道路扬尘：道路未作硬化，主要是采取散水降尘的方式进行防尘抑尘；</w:t>
                  </w:r>
                </w:p>
              </w:tc>
              <w:tc>
                <w:tcPr>
                  <w:tcW w:w="1956" w:type="dxa"/>
                  <w:noWrap w:val="0"/>
                  <w:vAlign w:val="center"/>
                </w:tcPr>
                <w:p>
                  <w:pPr>
                    <w:snapToGrid w:val="0"/>
                    <w:ind w:left="-30" w:right="-30"/>
                    <w:jc w:val="center"/>
                    <w:rPr>
                      <w:color w:val="auto"/>
                      <w:sz w:val="18"/>
                      <w:szCs w:val="18"/>
                      <w:highlight w:val="none"/>
                    </w:rPr>
                  </w:pPr>
                  <w:r>
                    <w:rPr>
                      <w:color w:val="auto"/>
                      <w:sz w:val="18"/>
                      <w:szCs w:val="18"/>
                      <w:highlight w:val="none"/>
                    </w:rPr>
                    <w:t>①烘干滚筒骨料加热产生的粉尘和燃气烟气等混合废气通过引风机（风量105000m3/h）引入二级除尘系统（第一级惯性除尘，第二级分室反吹袋式除尘，惯性除尘效率为50%，布袋除尘效率为99%），除尘后的废气经过一根15m排气筒（1#排气筒）排放。</w:t>
                  </w:r>
                </w:p>
                <w:p>
                  <w:pPr>
                    <w:snapToGrid w:val="0"/>
                    <w:ind w:left="-30" w:right="-30"/>
                    <w:jc w:val="center"/>
                    <w:rPr>
                      <w:color w:val="auto"/>
                      <w:sz w:val="18"/>
                      <w:szCs w:val="18"/>
                      <w:highlight w:val="none"/>
                    </w:rPr>
                  </w:pPr>
                  <w:r>
                    <w:rPr>
                      <w:color w:val="auto"/>
                      <w:sz w:val="18"/>
                      <w:szCs w:val="18"/>
                      <w:highlight w:val="none"/>
                    </w:rPr>
                    <w:t>②加热油炉采用天然气为燃料，燃烧尾气经15m排气筒（2#）排放。</w:t>
                  </w:r>
                </w:p>
                <w:p>
                  <w:pPr>
                    <w:snapToGrid w:val="0"/>
                    <w:ind w:left="-30" w:right="-30"/>
                    <w:jc w:val="center"/>
                    <w:rPr>
                      <w:color w:val="auto"/>
                      <w:sz w:val="18"/>
                      <w:szCs w:val="18"/>
                      <w:highlight w:val="none"/>
                    </w:rPr>
                  </w:pPr>
                  <w:r>
                    <w:rPr>
                      <w:color w:val="auto"/>
                      <w:sz w:val="18"/>
                      <w:szCs w:val="18"/>
                      <w:highlight w:val="none"/>
                    </w:rPr>
                    <w:t>③沥青混凝土出料口处安装集气罩，沥青混凝土</w:t>
                  </w:r>
                  <w:r>
                    <w:rPr>
                      <w:rFonts w:hint="eastAsia"/>
                      <w:color w:val="auto"/>
                      <w:sz w:val="18"/>
                      <w:szCs w:val="18"/>
                      <w:highlight w:val="none"/>
                    </w:rPr>
                    <w:t>出</w:t>
                  </w:r>
                  <w:r>
                    <w:rPr>
                      <w:color w:val="auto"/>
                      <w:sz w:val="18"/>
                      <w:szCs w:val="18"/>
                      <w:highlight w:val="none"/>
                    </w:rPr>
                    <w:t>料过程中产生的沥青烟气通过设置的环形集气罩收集后引入总集气管道;搅拌缸内沥青烟气由风管引入总集气管道，沥青烟气收集后引入烘干滚筒燃烧器中燃烧后跟燃气废气一并从1#排气简排放，燃烧处理效率达90%。</w:t>
                  </w:r>
                </w:p>
                <w:p>
                  <w:pPr>
                    <w:snapToGrid w:val="0"/>
                    <w:ind w:left="-30" w:right="-30"/>
                    <w:jc w:val="center"/>
                    <w:rPr>
                      <w:color w:val="auto"/>
                      <w:sz w:val="18"/>
                      <w:szCs w:val="18"/>
                      <w:highlight w:val="none"/>
                    </w:rPr>
                  </w:pPr>
                  <w:r>
                    <w:rPr>
                      <w:color w:val="auto"/>
                      <w:sz w:val="18"/>
                      <w:szCs w:val="18"/>
                      <w:highlight w:val="none"/>
                    </w:rPr>
                    <w:t>④沥青储罐</w:t>
                  </w:r>
                  <w:r>
                    <w:rPr>
                      <w:rFonts w:hint="eastAsia"/>
                      <w:color w:val="auto"/>
                      <w:sz w:val="18"/>
                      <w:szCs w:val="18"/>
                      <w:highlight w:val="none"/>
                    </w:rPr>
                    <w:t>加热产生沥青烟气</w:t>
                  </w:r>
                  <w:r>
                    <w:rPr>
                      <w:color w:val="auto"/>
                      <w:sz w:val="18"/>
                      <w:szCs w:val="18"/>
                      <w:highlight w:val="none"/>
                    </w:rPr>
                    <w:t>：采用负压收集后由专用管道引致烘干筒燃烧器燃烧处置后与燃气废气一并从1#排气简排放，燃烧处理效率达90%。</w:t>
                  </w:r>
                </w:p>
                <w:p>
                  <w:pPr>
                    <w:snapToGrid w:val="0"/>
                    <w:ind w:left="-30" w:right="-30"/>
                    <w:jc w:val="center"/>
                    <w:rPr>
                      <w:color w:val="auto"/>
                      <w:sz w:val="18"/>
                      <w:szCs w:val="18"/>
                      <w:highlight w:val="none"/>
                    </w:rPr>
                  </w:pPr>
                  <w:r>
                    <w:rPr>
                      <w:color w:val="auto"/>
                      <w:sz w:val="18"/>
                      <w:szCs w:val="18"/>
                      <w:highlight w:val="none"/>
                    </w:rPr>
                    <w:t>⑤骨料堆场粉尘：骨料堆场调整为三面封闭，加装喷淋装置</w:t>
                  </w:r>
                </w:p>
                <w:p>
                  <w:pPr>
                    <w:snapToGrid w:val="0"/>
                    <w:ind w:left="-30" w:right="-30"/>
                    <w:jc w:val="center"/>
                    <w:rPr>
                      <w:color w:val="auto"/>
                      <w:sz w:val="18"/>
                      <w:szCs w:val="18"/>
                      <w:highlight w:val="none"/>
                    </w:rPr>
                  </w:pPr>
                  <w:r>
                    <w:rPr>
                      <w:color w:val="auto"/>
                      <w:sz w:val="18"/>
                      <w:szCs w:val="18"/>
                      <w:highlight w:val="none"/>
                    </w:rPr>
                    <w:t>⑥厂区道路扬尘：道路进行硬化，同时进行洒水降尘；</w:t>
                  </w:r>
                </w:p>
              </w:tc>
              <w:tc>
                <w:tcPr>
                  <w:tcW w:w="1065" w:type="dxa"/>
                  <w:noWrap w:val="0"/>
                  <w:vAlign w:val="center"/>
                </w:tcPr>
                <w:p>
                  <w:pPr>
                    <w:snapToGrid w:val="0"/>
                    <w:ind w:left="-30" w:right="-30"/>
                    <w:jc w:val="center"/>
                    <w:rPr>
                      <w:color w:val="auto"/>
                      <w:sz w:val="18"/>
                      <w:szCs w:val="18"/>
                      <w:highlight w:val="none"/>
                    </w:rPr>
                  </w:pPr>
                </w:p>
              </w:tc>
              <w:tc>
                <w:tcPr>
                  <w:tcW w:w="1065" w:type="dxa"/>
                  <w:noWrap w:val="0"/>
                  <w:vAlign w:val="center"/>
                </w:tcPr>
                <w:p>
                  <w:pPr>
                    <w:snapToGrid w:val="0"/>
                    <w:ind w:left="-30" w:right="-30"/>
                    <w:jc w:val="center"/>
                    <w:rPr>
                      <w:color w:val="auto"/>
                      <w:sz w:val="18"/>
                      <w:szCs w:val="18"/>
                      <w:highlight w:val="none"/>
                    </w:rPr>
                  </w:pPr>
                  <w:r>
                    <w:rPr>
                      <w:rFonts w:hint="eastAsia"/>
                      <w:color w:val="auto"/>
                      <w:sz w:val="18"/>
                      <w:szCs w:val="18"/>
                      <w:highlight w:val="none"/>
                    </w:rPr>
                    <w:t>已建成内容为①、②、⑤、⑥</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88" w:type="dxa"/>
                  <w:vMerge w:val="continue"/>
                  <w:noWrap w:val="0"/>
                  <w:vAlign w:val="center"/>
                </w:tcPr>
                <w:p>
                  <w:pPr>
                    <w:snapToGrid w:val="0"/>
                    <w:ind w:left="-170" w:right="-170"/>
                    <w:jc w:val="center"/>
                    <w:rPr>
                      <w:color w:val="auto"/>
                      <w:sz w:val="18"/>
                      <w:szCs w:val="18"/>
                      <w:highlight w:val="none"/>
                    </w:rPr>
                  </w:pPr>
                </w:p>
              </w:tc>
              <w:tc>
                <w:tcPr>
                  <w:tcW w:w="769" w:type="dxa"/>
                  <w:noWrap w:val="0"/>
                  <w:vAlign w:val="center"/>
                </w:tcPr>
                <w:p>
                  <w:pPr>
                    <w:snapToGrid w:val="0"/>
                    <w:jc w:val="center"/>
                    <w:rPr>
                      <w:color w:val="auto"/>
                      <w:sz w:val="18"/>
                      <w:szCs w:val="18"/>
                      <w:highlight w:val="none"/>
                    </w:rPr>
                  </w:pPr>
                  <w:r>
                    <w:rPr>
                      <w:color w:val="auto"/>
                      <w:sz w:val="18"/>
                      <w:szCs w:val="18"/>
                      <w:highlight w:val="none"/>
                    </w:rPr>
                    <w:t>噪声</w:t>
                  </w:r>
                </w:p>
              </w:tc>
              <w:tc>
                <w:tcPr>
                  <w:tcW w:w="2399" w:type="dxa"/>
                  <w:noWrap w:val="0"/>
                  <w:vAlign w:val="center"/>
                </w:tcPr>
                <w:p>
                  <w:pPr>
                    <w:snapToGrid w:val="0"/>
                    <w:ind w:left="-30" w:right="-30"/>
                    <w:rPr>
                      <w:color w:val="auto"/>
                      <w:kern w:val="0"/>
                      <w:sz w:val="18"/>
                      <w:szCs w:val="18"/>
                      <w:highlight w:val="none"/>
                      <w:lang w:bidi="ar"/>
                    </w:rPr>
                  </w:pPr>
                  <w:r>
                    <w:rPr>
                      <w:color w:val="auto"/>
                      <w:kern w:val="0"/>
                      <w:sz w:val="18"/>
                      <w:szCs w:val="18"/>
                      <w:highlight w:val="none"/>
                      <w:lang w:bidi="ar"/>
                    </w:rPr>
                    <w:t>选用低噪声设备，针对噪声源特点，通过在设备上设置缓冲器，在设备基座与基础之间设橡胶隔振垫，合理布局噪声源，并采取隔声、消声等措施。</w:t>
                  </w:r>
                </w:p>
              </w:tc>
              <w:tc>
                <w:tcPr>
                  <w:tcW w:w="1956" w:type="dxa"/>
                  <w:noWrap w:val="0"/>
                  <w:vAlign w:val="center"/>
                </w:tcPr>
                <w:p>
                  <w:pPr>
                    <w:snapToGrid w:val="0"/>
                    <w:ind w:left="-30" w:right="-30"/>
                    <w:jc w:val="center"/>
                    <w:rPr>
                      <w:color w:val="auto"/>
                      <w:sz w:val="18"/>
                      <w:szCs w:val="18"/>
                      <w:highlight w:val="none"/>
                    </w:rPr>
                  </w:pPr>
                  <w:r>
                    <w:rPr>
                      <w:color w:val="auto"/>
                      <w:sz w:val="18"/>
                      <w:szCs w:val="18"/>
                      <w:highlight w:val="none"/>
                    </w:rPr>
                    <w:t>基础减振、安消声器、厂房隔音、优化总图</w:t>
                  </w:r>
                </w:p>
              </w:tc>
              <w:tc>
                <w:tcPr>
                  <w:tcW w:w="1065" w:type="dxa"/>
                  <w:noWrap w:val="0"/>
                  <w:vAlign w:val="center"/>
                </w:tcPr>
                <w:p>
                  <w:pPr>
                    <w:snapToGrid w:val="0"/>
                    <w:ind w:left="-30" w:right="-30"/>
                    <w:jc w:val="center"/>
                    <w:rPr>
                      <w:color w:val="auto"/>
                      <w:sz w:val="18"/>
                      <w:szCs w:val="18"/>
                      <w:highlight w:val="none"/>
                    </w:rPr>
                  </w:pPr>
                </w:p>
              </w:tc>
              <w:tc>
                <w:tcPr>
                  <w:tcW w:w="1065" w:type="dxa"/>
                  <w:noWrap w:val="0"/>
                  <w:vAlign w:val="center"/>
                </w:tcPr>
                <w:p>
                  <w:pPr>
                    <w:snapToGrid w:val="0"/>
                    <w:ind w:left="-30" w:right="-30"/>
                    <w:jc w:val="center"/>
                    <w:rPr>
                      <w:rFonts w:hint="eastAsia"/>
                      <w:color w:val="auto"/>
                      <w:sz w:val="18"/>
                      <w:szCs w:val="18"/>
                      <w:highlight w:val="none"/>
                    </w:rPr>
                  </w:pPr>
                  <w:r>
                    <w:rPr>
                      <w:rFonts w:hint="eastAsia"/>
                      <w:color w:val="auto"/>
                      <w:sz w:val="18"/>
                      <w:szCs w:val="18"/>
                      <w:highlight w:val="none"/>
                    </w:rPr>
                    <w:t>已建成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88" w:type="dxa"/>
                  <w:vMerge w:val="continue"/>
                  <w:noWrap w:val="0"/>
                  <w:vAlign w:val="center"/>
                </w:tcPr>
                <w:p>
                  <w:pPr>
                    <w:snapToGrid w:val="0"/>
                    <w:ind w:left="-170" w:right="-170"/>
                    <w:jc w:val="center"/>
                    <w:rPr>
                      <w:color w:val="auto"/>
                      <w:sz w:val="18"/>
                      <w:szCs w:val="18"/>
                      <w:highlight w:val="none"/>
                    </w:rPr>
                  </w:pPr>
                </w:p>
              </w:tc>
              <w:tc>
                <w:tcPr>
                  <w:tcW w:w="769" w:type="dxa"/>
                  <w:noWrap w:val="0"/>
                  <w:vAlign w:val="center"/>
                </w:tcPr>
                <w:p>
                  <w:pPr>
                    <w:snapToGrid w:val="0"/>
                    <w:jc w:val="center"/>
                    <w:rPr>
                      <w:color w:val="auto"/>
                      <w:sz w:val="18"/>
                      <w:szCs w:val="18"/>
                      <w:highlight w:val="none"/>
                    </w:rPr>
                  </w:pPr>
                  <w:r>
                    <w:rPr>
                      <w:color w:val="auto"/>
                      <w:sz w:val="18"/>
                      <w:szCs w:val="18"/>
                      <w:highlight w:val="none"/>
                    </w:rPr>
                    <w:t>固体废物</w:t>
                  </w:r>
                </w:p>
              </w:tc>
              <w:tc>
                <w:tcPr>
                  <w:tcW w:w="2399" w:type="dxa"/>
                  <w:noWrap w:val="0"/>
                  <w:vAlign w:val="center"/>
                </w:tcPr>
                <w:p>
                  <w:pPr>
                    <w:snapToGrid w:val="0"/>
                    <w:ind w:left="-30" w:right="-30"/>
                    <w:rPr>
                      <w:color w:val="auto"/>
                      <w:kern w:val="0"/>
                      <w:sz w:val="18"/>
                      <w:szCs w:val="18"/>
                      <w:highlight w:val="none"/>
                      <w:lang w:bidi="ar"/>
                    </w:rPr>
                  </w:pPr>
                  <w:r>
                    <w:rPr>
                      <w:color w:val="auto"/>
                      <w:sz w:val="18"/>
                      <w:szCs w:val="18"/>
                      <w:highlight w:val="none"/>
                    </w:rPr>
                    <w:t>除尘器除尘灰全部收集后作为原料矿粉利用;废石料返回厂家粉碎后再利用;生活垃圾集中收集后交由环卫部门处理。</w:t>
                  </w:r>
                </w:p>
              </w:tc>
              <w:tc>
                <w:tcPr>
                  <w:tcW w:w="1956" w:type="dxa"/>
                  <w:noWrap w:val="0"/>
                  <w:vAlign w:val="center"/>
                </w:tcPr>
                <w:p>
                  <w:pPr>
                    <w:snapToGrid w:val="0"/>
                    <w:ind w:left="-30" w:right="-30"/>
                    <w:jc w:val="center"/>
                    <w:rPr>
                      <w:color w:val="auto"/>
                      <w:sz w:val="18"/>
                      <w:szCs w:val="18"/>
                      <w:highlight w:val="none"/>
                    </w:rPr>
                  </w:pPr>
                  <w:r>
                    <w:rPr>
                      <w:rFonts w:hint="eastAsia"/>
                      <w:color w:val="auto"/>
                      <w:sz w:val="18"/>
                      <w:szCs w:val="18"/>
                      <w:highlight w:val="none"/>
                    </w:rPr>
                    <w:t>①</w:t>
                  </w:r>
                  <w:r>
                    <w:rPr>
                      <w:color w:val="auto"/>
                      <w:sz w:val="18"/>
                      <w:szCs w:val="18"/>
                      <w:highlight w:val="none"/>
                    </w:rPr>
                    <w:t>除尘器除尘灰全部收集后作为原料矿粉利用;废石料返回厂家粉碎后再利用;生活垃圾集中收集后交由环卫部门处理。</w:t>
                  </w:r>
                </w:p>
                <w:p>
                  <w:pPr>
                    <w:snapToGrid w:val="0"/>
                    <w:ind w:left="-30" w:right="-30"/>
                    <w:jc w:val="center"/>
                    <w:rPr>
                      <w:rFonts w:hint="eastAsia"/>
                      <w:color w:val="auto"/>
                      <w:sz w:val="18"/>
                      <w:szCs w:val="18"/>
                      <w:highlight w:val="none"/>
                    </w:rPr>
                  </w:pPr>
                  <w:r>
                    <w:rPr>
                      <w:rFonts w:hint="eastAsia"/>
                      <w:color w:val="auto"/>
                      <w:sz w:val="18"/>
                      <w:szCs w:val="18"/>
                      <w:highlight w:val="none"/>
                    </w:rPr>
                    <w:t>②规范化建设危废暂存间：</w:t>
                  </w:r>
                  <w:r>
                    <w:rPr>
                      <w:color w:val="auto"/>
                      <w:sz w:val="18"/>
                      <w:szCs w:val="18"/>
                      <w:highlight w:val="none"/>
                    </w:rPr>
                    <w:t>检修废润滑油等危险废物依托厂内已有的危废暂存间（约5m</w:t>
                  </w:r>
                  <w:r>
                    <w:rPr>
                      <w:color w:val="auto"/>
                      <w:sz w:val="18"/>
                      <w:szCs w:val="18"/>
                      <w:highlight w:val="none"/>
                      <w:vertAlign w:val="superscript"/>
                    </w:rPr>
                    <w:t>3</w:t>
                  </w:r>
                  <w:r>
                    <w:rPr>
                      <w:color w:val="auto"/>
                      <w:sz w:val="18"/>
                      <w:szCs w:val="18"/>
                      <w:highlight w:val="none"/>
                    </w:rPr>
                    <w:t>)暂存后采用联单制转运，交有资质单位处理。</w:t>
                  </w:r>
                </w:p>
              </w:tc>
              <w:tc>
                <w:tcPr>
                  <w:tcW w:w="1065" w:type="dxa"/>
                  <w:noWrap w:val="0"/>
                  <w:vAlign w:val="center"/>
                </w:tcPr>
                <w:p>
                  <w:pPr>
                    <w:snapToGrid w:val="0"/>
                    <w:ind w:left="-30" w:right="-30"/>
                    <w:jc w:val="center"/>
                    <w:rPr>
                      <w:color w:val="auto"/>
                      <w:sz w:val="18"/>
                      <w:szCs w:val="18"/>
                      <w:highlight w:val="none"/>
                    </w:rPr>
                  </w:pPr>
                </w:p>
              </w:tc>
              <w:tc>
                <w:tcPr>
                  <w:tcW w:w="1065" w:type="dxa"/>
                  <w:noWrap w:val="0"/>
                  <w:vAlign w:val="center"/>
                </w:tcPr>
                <w:p>
                  <w:pPr>
                    <w:snapToGrid w:val="0"/>
                    <w:ind w:left="-30" w:right="-30"/>
                    <w:jc w:val="center"/>
                    <w:rPr>
                      <w:color w:val="auto"/>
                      <w:sz w:val="18"/>
                      <w:szCs w:val="18"/>
                      <w:highlight w:val="none"/>
                    </w:rPr>
                  </w:pPr>
                  <w:r>
                    <w:rPr>
                      <w:rFonts w:hint="eastAsia"/>
                      <w:color w:val="auto"/>
                      <w:kern w:val="0"/>
                      <w:sz w:val="18"/>
                      <w:szCs w:val="18"/>
                      <w:highlight w:val="none"/>
                      <w:lang w:bidi="ar"/>
                    </w:rPr>
                    <w:t>依托原项目，新建危废暂存间</w:t>
                  </w:r>
                </w:p>
              </w:tc>
            </w:tr>
          </w:tbl>
          <w:p>
            <w:pPr>
              <w:adjustRightInd w:val="0"/>
              <w:snapToGrid w:val="0"/>
              <w:jc w:val="center"/>
              <w:rPr>
                <w:rFonts w:ascii="宋体" w:hAnsi="宋体" w:cs="宋体"/>
                <w:bCs/>
                <w:color w:val="auto"/>
                <w:szCs w:val="21"/>
                <w:highlight w:val="none"/>
              </w:rPr>
            </w:pPr>
          </w:p>
          <w:p>
            <w:pPr>
              <w:pStyle w:val="50"/>
              <w:snapToGrid w:val="0"/>
              <w:ind w:firstLine="480" w:firstLineChars="200"/>
              <w:rPr>
                <w:rFonts w:ascii="Times New Roman" w:hAnsi="Times New Roman"/>
                <w:color w:val="auto"/>
                <w:szCs w:val="24"/>
                <w:highlight w:val="none"/>
              </w:rPr>
            </w:pPr>
            <w:r>
              <w:rPr>
                <w:rFonts w:hint="eastAsia" w:ascii="Times New Roman" w:hAnsi="Times New Roman"/>
                <w:color w:val="auto"/>
                <w:szCs w:val="24"/>
                <w:highlight w:val="none"/>
              </w:rPr>
              <w:t>改建后项目依托原项目主要为辅助工程、生活办公、部分仓储设施及环保设施（化粪池、隔油池等），由于改建后项目产能与原项目产能保持一致，未新增产能，且劳动定员及工作制度未改变，因此依托原项目公辅设施可行，可满足改建后项目正常运营。</w:t>
            </w:r>
          </w:p>
          <w:p>
            <w:pPr>
              <w:pStyle w:val="50"/>
              <w:numPr>
                <w:ilvl w:val="0"/>
                <w:numId w:val="3"/>
              </w:numPr>
              <w:snapToGrid w:val="0"/>
              <w:rPr>
                <w:rFonts w:hint="eastAsia" w:ascii="Times New Roman" w:hAnsi="Times New Roman"/>
                <w:color w:val="auto"/>
                <w:szCs w:val="24"/>
                <w:highlight w:val="none"/>
              </w:rPr>
            </w:pPr>
            <w:r>
              <w:rPr>
                <w:rFonts w:hint="eastAsia" w:ascii="Times New Roman" w:hAnsi="Times New Roman"/>
                <w:color w:val="auto"/>
                <w:szCs w:val="24"/>
                <w:highlight w:val="none"/>
              </w:rPr>
              <w:t>项目主要生产设备及原辅材料消耗</w:t>
            </w:r>
          </w:p>
          <w:p>
            <w:pPr>
              <w:spacing w:line="360" w:lineRule="auto"/>
              <w:ind w:firstLine="482"/>
              <w:jc w:val="center"/>
              <w:rPr>
                <w:rFonts w:hint="eastAsia" w:eastAsia="黑体"/>
                <w:color w:val="auto"/>
                <w:sz w:val="24"/>
                <w:highlight w:val="none"/>
              </w:rPr>
            </w:pPr>
            <w:r>
              <w:rPr>
                <w:rFonts w:hint="eastAsia" w:eastAsia="黑体"/>
                <w:color w:val="auto"/>
                <w:sz w:val="24"/>
                <w:highlight w:val="none"/>
              </w:rPr>
              <w:t>表2-3  主要设备及参数变化情况表</w:t>
            </w:r>
          </w:p>
          <w:tbl>
            <w:tblPr>
              <w:tblStyle w:val="39"/>
              <w:tblW w:w="0" w:type="auto"/>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580"/>
              <w:gridCol w:w="582"/>
              <w:gridCol w:w="1761"/>
              <w:gridCol w:w="1398"/>
              <w:gridCol w:w="1576"/>
              <w:gridCol w:w="986"/>
              <w:gridCol w:w="1057"/>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tblHeader/>
              </w:trPr>
              <w:tc>
                <w:tcPr>
                  <w:tcW w:w="580" w:type="dxa"/>
                  <w:vMerge w:val="restart"/>
                  <w:noWrap/>
                  <w:vAlign w:val="center"/>
                </w:tcPr>
                <w:p>
                  <w:pPr>
                    <w:widowControl/>
                    <w:jc w:val="center"/>
                    <w:textAlignment w:val="center"/>
                    <w:rPr>
                      <w:color w:val="auto"/>
                      <w:szCs w:val="21"/>
                      <w:highlight w:val="none"/>
                    </w:rPr>
                  </w:pPr>
                  <w:r>
                    <w:rPr>
                      <w:color w:val="auto"/>
                      <w:kern w:val="0"/>
                      <w:szCs w:val="21"/>
                      <w:highlight w:val="none"/>
                      <w:lang w:bidi="ar"/>
                    </w:rPr>
                    <w:t>序号</w:t>
                  </w:r>
                </w:p>
              </w:tc>
              <w:tc>
                <w:tcPr>
                  <w:tcW w:w="582" w:type="dxa"/>
                  <w:vMerge w:val="restart"/>
                  <w:noWrap/>
                  <w:vAlign w:val="center"/>
                </w:tcPr>
                <w:p>
                  <w:pPr>
                    <w:widowControl/>
                    <w:jc w:val="center"/>
                    <w:textAlignment w:val="center"/>
                    <w:rPr>
                      <w:b/>
                      <w:bCs/>
                      <w:color w:val="auto"/>
                      <w:szCs w:val="21"/>
                      <w:highlight w:val="none"/>
                    </w:rPr>
                  </w:pPr>
                  <w:r>
                    <w:rPr>
                      <w:b/>
                      <w:bCs/>
                      <w:color w:val="auto"/>
                      <w:kern w:val="0"/>
                      <w:szCs w:val="21"/>
                      <w:highlight w:val="none"/>
                      <w:lang w:bidi="ar"/>
                    </w:rPr>
                    <w:t>系统</w:t>
                  </w:r>
                </w:p>
              </w:tc>
              <w:tc>
                <w:tcPr>
                  <w:tcW w:w="1761" w:type="dxa"/>
                  <w:vMerge w:val="restart"/>
                  <w:noWrap/>
                  <w:vAlign w:val="center"/>
                </w:tcPr>
                <w:p>
                  <w:pPr>
                    <w:widowControl/>
                    <w:jc w:val="center"/>
                    <w:textAlignment w:val="center"/>
                    <w:rPr>
                      <w:color w:val="auto"/>
                      <w:szCs w:val="21"/>
                      <w:highlight w:val="none"/>
                    </w:rPr>
                  </w:pPr>
                  <w:r>
                    <w:rPr>
                      <w:color w:val="auto"/>
                      <w:kern w:val="0"/>
                      <w:szCs w:val="21"/>
                      <w:highlight w:val="none"/>
                      <w:lang w:bidi="ar"/>
                    </w:rPr>
                    <w:t>配套件名称</w:t>
                  </w:r>
                </w:p>
              </w:tc>
              <w:tc>
                <w:tcPr>
                  <w:tcW w:w="2974" w:type="dxa"/>
                  <w:gridSpan w:val="2"/>
                  <w:noWrap/>
                  <w:vAlign w:val="center"/>
                </w:tcPr>
                <w:p>
                  <w:pPr>
                    <w:widowControl/>
                    <w:jc w:val="center"/>
                    <w:textAlignment w:val="center"/>
                    <w:rPr>
                      <w:color w:val="auto"/>
                      <w:kern w:val="0"/>
                      <w:szCs w:val="21"/>
                      <w:highlight w:val="none"/>
                      <w:lang w:bidi="ar"/>
                    </w:rPr>
                  </w:pPr>
                  <w:r>
                    <w:rPr>
                      <w:color w:val="auto"/>
                      <w:kern w:val="0"/>
                      <w:szCs w:val="21"/>
                      <w:highlight w:val="none"/>
                      <w:lang w:bidi="ar"/>
                    </w:rPr>
                    <w:t>规格/功率</w:t>
                  </w:r>
                  <w:r>
                    <w:rPr>
                      <w:rFonts w:hint="eastAsia"/>
                      <w:color w:val="auto"/>
                      <w:kern w:val="0"/>
                      <w:szCs w:val="21"/>
                      <w:highlight w:val="none"/>
                      <w:lang w:bidi="ar"/>
                    </w:rPr>
                    <w:t>变化情况</w:t>
                  </w:r>
                </w:p>
              </w:tc>
              <w:tc>
                <w:tcPr>
                  <w:tcW w:w="2043" w:type="dxa"/>
                  <w:gridSpan w:val="2"/>
                  <w:noWrap/>
                  <w:vAlign w:val="center"/>
                </w:tcPr>
                <w:p>
                  <w:pPr>
                    <w:widowControl/>
                    <w:jc w:val="center"/>
                    <w:textAlignment w:val="center"/>
                    <w:rPr>
                      <w:color w:val="auto"/>
                      <w:kern w:val="0"/>
                      <w:szCs w:val="21"/>
                      <w:highlight w:val="none"/>
                      <w:lang w:bidi="ar"/>
                    </w:rPr>
                  </w:pPr>
                  <w:r>
                    <w:rPr>
                      <w:color w:val="auto"/>
                      <w:kern w:val="0"/>
                      <w:szCs w:val="21"/>
                      <w:highlight w:val="none"/>
                      <w:lang w:bidi="ar"/>
                    </w:rPr>
                    <w:t>数量</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tblHeader/>
              </w:trPr>
              <w:tc>
                <w:tcPr>
                  <w:tcW w:w="580" w:type="dxa"/>
                  <w:vMerge w:val="continue"/>
                  <w:noWrap/>
                  <w:vAlign w:val="center"/>
                </w:tcPr>
                <w:p>
                  <w:pPr>
                    <w:widowControl/>
                    <w:jc w:val="center"/>
                    <w:textAlignment w:val="center"/>
                    <w:rPr>
                      <w:color w:val="auto"/>
                      <w:szCs w:val="21"/>
                      <w:highlight w:val="none"/>
                    </w:rPr>
                  </w:pPr>
                </w:p>
              </w:tc>
              <w:tc>
                <w:tcPr>
                  <w:tcW w:w="582" w:type="dxa"/>
                  <w:vMerge w:val="continue"/>
                  <w:noWrap/>
                  <w:vAlign w:val="center"/>
                </w:tcPr>
                <w:p>
                  <w:pPr>
                    <w:widowControl/>
                    <w:jc w:val="center"/>
                    <w:textAlignment w:val="center"/>
                    <w:rPr>
                      <w:color w:val="auto"/>
                      <w:szCs w:val="21"/>
                      <w:highlight w:val="none"/>
                    </w:rPr>
                  </w:pPr>
                </w:p>
              </w:tc>
              <w:tc>
                <w:tcPr>
                  <w:tcW w:w="1761" w:type="dxa"/>
                  <w:vMerge w:val="continue"/>
                  <w:noWrap/>
                  <w:vAlign w:val="center"/>
                </w:tcPr>
                <w:p>
                  <w:pPr>
                    <w:widowControl/>
                    <w:jc w:val="center"/>
                    <w:textAlignment w:val="center"/>
                    <w:rPr>
                      <w:color w:val="auto"/>
                      <w:szCs w:val="21"/>
                      <w:highlight w:val="none"/>
                    </w:rPr>
                  </w:pPr>
                </w:p>
              </w:tc>
              <w:tc>
                <w:tcPr>
                  <w:tcW w:w="1398" w:type="dxa"/>
                  <w:noWrap/>
                  <w:vAlign w:val="center"/>
                </w:tcPr>
                <w:p>
                  <w:pPr>
                    <w:widowControl/>
                    <w:jc w:val="center"/>
                    <w:textAlignment w:val="center"/>
                    <w:rPr>
                      <w:color w:val="auto"/>
                      <w:kern w:val="0"/>
                      <w:szCs w:val="21"/>
                      <w:highlight w:val="none"/>
                      <w:lang w:bidi="ar"/>
                    </w:rPr>
                  </w:pPr>
                  <w:r>
                    <w:rPr>
                      <w:rFonts w:hint="eastAsia"/>
                      <w:color w:val="auto"/>
                      <w:kern w:val="0"/>
                      <w:szCs w:val="21"/>
                      <w:highlight w:val="none"/>
                      <w:lang w:bidi="ar"/>
                    </w:rPr>
                    <w:t>改建前</w:t>
                  </w:r>
                </w:p>
              </w:tc>
              <w:tc>
                <w:tcPr>
                  <w:tcW w:w="1576" w:type="dxa"/>
                  <w:noWrap/>
                  <w:vAlign w:val="center"/>
                </w:tcPr>
                <w:p>
                  <w:pPr>
                    <w:widowControl/>
                    <w:jc w:val="center"/>
                    <w:textAlignment w:val="center"/>
                    <w:rPr>
                      <w:color w:val="auto"/>
                      <w:kern w:val="0"/>
                      <w:szCs w:val="21"/>
                      <w:highlight w:val="none"/>
                      <w:lang w:bidi="ar"/>
                    </w:rPr>
                  </w:pPr>
                  <w:r>
                    <w:rPr>
                      <w:rFonts w:hint="eastAsia"/>
                      <w:color w:val="auto"/>
                      <w:kern w:val="0"/>
                      <w:szCs w:val="21"/>
                      <w:highlight w:val="none"/>
                      <w:lang w:bidi="ar"/>
                    </w:rPr>
                    <w:t>改建后</w:t>
                  </w:r>
                </w:p>
              </w:tc>
              <w:tc>
                <w:tcPr>
                  <w:tcW w:w="986" w:type="dxa"/>
                  <w:noWrap/>
                  <w:vAlign w:val="center"/>
                </w:tcPr>
                <w:p>
                  <w:pPr>
                    <w:widowControl/>
                    <w:jc w:val="center"/>
                    <w:textAlignment w:val="center"/>
                    <w:rPr>
                      <w:color w:val="auto"/>
                      <w:kern w:val="0"/>
                      <w:szCs w:val="21"/>
                      <w:highlight w:val="none"/>
                      <w:lang w:bidi="ar"/>
                    </w:rPr>
                  </w:pPr>
                  <w:r>
                    <w:rPr>
                      <w:rFonts w:hint="eastAsia"/>
                      <w:color w:val="auto"/>
                      <w:kern w:val="0"/>
                      <w:szCs w:val="21"/>
                      <w:highlight w:val="none"/>
                      <w:lang w:bidi="ar"/>
                    </w:rPr>
                    <w:t>改建前</w:t>
                  </w:r>
                </w:p>
              </w:tc>
              <w:tc>
                <w:tcPr>
                  <w:tcW w:w="1057" w:type="dxa"/>
                  <w:noWrap/>
                  <w:vAlign w:val="center"/>
                </w:tcPr>
                <w:p>
                  <w:pPr>
                    <w:widowControl/>
                    <w:jc w:val="center"/>
                    <w:textAlignment w:val="center"/>
                    <w:rPr>
                      <w:rFonts w:hint="eastAsia"/>
                      <w:color w:val="auto"/>
                      <w:kern w:val="0"/>
                      <w:szCs w:val="21"/>
                      <w:highlight w:val="none"/>
                      <w:lang w:bidi="ar"/>
                    </w:rPr>
                  </w:pPr>
                  <w:r>
                    <w:rPr>
                      <w:rFonts w:hint="eastAsia"/>
                      <w:color w:val="auto"/>
                      <w:kern w:val="0"/>
                      <w:szCs w:val="21"/>
                      <w:highlight w:val="none"/>
                      <w:lang w:bidi="ar"/>
                    </w:rPr>
                    <w:t>改建后</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580" w:type="dxa"/>
                  <w:vMerge w:val="restart"/>
                  <w:noWrap w:val="0"/>
                  <w:vAlign w:val="center"/>
                </w:tcPr>
                <w:p>
                  <w:pPr>
                    <w:widowControl/>
                    <w:jc w:val="center"/>
                    <w:textAlignment w:val="center"/>
                    <w:rPr>
                      <w:color w:val="auto"/>
                      <w:szCs w:val="21"/>
                      <w:highlight w:val="none"/>
                    </w:rPr>
                  </w:pPr>
                  <w:r>
                    <w:rPr>
                      <w:color w:val="auto"/>
                      <w:kern w:val="0"/>
                      <w:szCs w:val="21"/>
                      <w:highlight w:val="none"/>
                      <w:lang w:bidi="ar"/>
                    </w:rPr>
                    <w:t>1</w:t>
                  </w:r>
                </w:p>
              </w:tc>
              <w:tc>
                <w:tcPr>
                  <w:tcW w:w="582" w:type="dxa"/>
                  <w:vMerge w:val="restart"/>
                  <w:noWrap w:val="0"/>
                  <w:vAlign w:val="center"/>
                </w:tcPr>
                <w:p>
                  <w:pPr>
                    <w:widowControl/>
                    <w:jc w:val="center"/>
                    <w:textAlignment w:val="center"/>
                    <w:rPr>
                      <w:b/>
                      <w:bCs/>
                      <w:color w:val="auto"/>
                      <w:szCs w:val="21"/>
                      <w:highlight w:val="none"/>
                    </w:rPr>
                  </w:pPr>
                  <w:r>
                    <w:rPr>
                      <w:b/>
                      <w:bCs/>
                      <w:color w:val="auto"/>
                      <w:kern w:val="0"/>
                      <w:szCs w:val="21"/>
                      <w:highlight w:val="none"/>
                      <w:lang w:bidi="ar"/>
                    </w:rPr>
                    <w:t>冷料系统</w:t>
                  </w:r>
                </w:p>
              </w:tc>
              <w:tc>
                <w:tcPr>
                  <w:tcW w:w="1761" w:type="dxa"/>
                  <w:noWrap/>
                  <w:vAlign w:val="center"/>
                </w:tcPr>
                <w:p>
                  <w:pPr>
                    <w:widowControl/>
                    <w:jc w:val="center"/>
                    <w:textAlignment w:val="center"/>
                    <w:rPr>
                      <w:color w:val="auto"/>
                      <w:szCs w:val="21"/>
                      <w:highlight w:val="none"/>
                    </w:rPr>
                  </w:pPr>
                  <w:r>
                    <w:rPr>
                      <w:color w:val="auto"/>
                      <w:kern w:val="0"/>
                      <w:szCs w:val="21"/>
                      <w:highlight w:val="none"/>
                      <w:lang w:bidi="ar"/>
                    </w:rPr>
                    <w:t>砂仓振动器</w:t>
                  </w:r>
                </w:p>
              </w:tc>
              <w:tc>
                <w:tcPr>
                  <w:tcW w:w="1398" w:type="dxa"/>
                  <w:noWrap/>
                  <w:vAlign w:val="center"/>
                </w:tcPr>
                <w:p>
                  <w:pPr>
                    <w:widowControl/>
                    <w:jc w:val="center"/>
                    <w:textAlignment w:val="center"/>
                    <w:rPr>
                      <w:color w:val="auto"/>
                      <w:szCs w:val="21"/>
                      <w:highlight w:val="none"/>
                    </w:rPr>
                  </w:pPr>
                  <w:r>
                    <w:rPr>
                      <w:color w:val="auto"/>
                      <w:kern w:val="0"/>
                      <w:szCs w:val="21"/>
                      <w:highlight w:val="none"/>
                      <w:lang w:bidi="ar"/>
                    </w:rPr>
                    <w:t>0.2 kW</w:t>
                  </w:r>
                </w:p>
              </w:tc>
              <w:tc>
                <w:tcPr>
                  <w:tcW w:w="1576" w:type="dxa"/>
                  <w:noWrap/>
                  <w:vAlign w:val="center"/>
                </w:tcPr>
                <w:p>
                  <w:pPr>
                    <w:widowControl/>
                    <w:jc w:val="center"/>
                    <w:textAlignment w:val="center"/>
                    <w:rPr>
                      <w:color w:val="auto"/>
                      <w:kern w:val="0"/>
                      <w:szCs w:val="21"/>
                      <w:highlight w:val="none"/>
                      <w:lang w:bidi="ar"/>
                    </w:rPr>
                  </w:pPr>
                  <w:r>
                    <w:rPr>
                      <w:color w:val="auto"/>
                      <w:kern w:val="0"/>
                      <w:szCs w:val="21"/>
                      <w:highlight w:val="none"/>
                      <w:lang w:bidi="ar"/>
                    </w:rPr>
                    <w:t>0.2 kW</w:t>
                  </w:r>
                </w:p>
              </w:tc>
              <w:tc>
                <w:tcPr>
                  <w:tcW w:w="986" w:type="dxa"/>
                  <w:noWrap/>
                  <w:vAlign w:val="center"/>
                </w:tcPr>
                <w:p>
                  <w:pPr>
                    <w:widowControl/>
                    <w:jc w:val="center"/>
                    <w:textAlignment w:val="center"/>
                    <w:rPr>
                      <w:color w:val="auto"/>
                      <w:szCs w:val="21"/>
                      <w:highlight w:val="none"/>
                    </w:rPr>
                  </w:pPr>
                  <w:r>
                    <w:rPr>
                      <w:color w:val="auto"/>
                      <w:kern w:val="0"/>
                      <w:szCs w:val="21"/>
                      <w:highlight w:val="none"/>
                      <w:lang w:bidi="ar"/>
                    </w:rPr>
                    <w:t>3</w:t>
                  </w:r>
                </w:p>
              </w:tc>
              <w:tc>
                <w:tcPr>
                  <w:tcW w:w="1057" w:type="dxa"/>
                  <w:noWrap/>
                  <w:vAlign w:val="center"/>
                </w:tcPr>
                <w:p>
                  <w:pPr>
                    <w:widowControl/>
                    <w:jc w:val="center"/>
                    <w:textAlignment w:val="center"/>
                    <w:rPr>
                      <w:color w:val="auto"/>
                      <w:kern w:val="0"/>
                      <w:szCs w:val="21"/>
                      <w:highlight w:val="none"/>
                      <w:lang w:bidi="ar"/>
                    </w:rPr>
                  </w:pPr>
                  <w:r>
                    <w:rPr>
                      <w:rFonts w:hint="eastAsia"/>
                      <w:color w:val="auto"/>
                      <w:kern w:val="0"/>
                      <w:szCs w:val="21"/>
                      <w:highlight w:val="none"/>
                      <w:lang w:bidi="ar"/>
                    </w:rPr>
                    <w:t>3</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580" w:type="dxa"/>
                  <w:vMerge w:val="continue"/>
                  <w:noWrap w:val="0"/>
                  <w:vAlign w:val="center"/>
                </w:tcPr>
                <w:p>
                  <w:pPr>
                    <w:widowControl/>
                    <w:jc w:val="center"/>
                    <w:rPr>
                      <w:color w:val="auto"/>
                      <w:szCs w:val="21"/>
                      <w:highlight w:val="none"/>
                    </w:rPr>
                  </w:pPr>
                </w:p>
              </w:tc>
              <w:tc>
                <w:tcPr>
                  <w:tcW w:w="582" w:type="dxa"/>
                  <w:vMerge w:val="continue"/>
                  <w:noWrap w:val="0"/>
                  <w:vAlign w:val="center"/>
                </w:tcPr>
                <w:p>
                  <w:pPr>
                    <w:widowControl/>
                    <w:jc w:val="center"/>
                    <w:rPr>
                      <w:b/>
                      <w:bCs/>
                      <w:color w:val="auto"/>
                      <w:szCs w:val="21"/>
                      <w:highlight w:val="none"/>
                    </w:rPr>
                  </w:pPr>
                </w:p>
              </w:tc>
              <w:tc>
                <w:tcPr>
                  <w:tcW w:w="1761" w:type="dxa"/>
                  <w:noWrap/>
                  <w:vAlign w:val="center"/>
                </w:tcPr>
                <w:p>
                  <w:pPr>
                    <w:widowControl/>
                    <w:jc w:val="center"/>
                    <w:textAlignment w:val="center"/>
                    <w:rPr>
                      <w:color w:val="auto"/>
                      <w:szCs w:val="21"/>
                      <w:highlight w:val="none"/>
                    </w:rPr>
                  </w:pPr>
                  <w:r>
                    <w:rPr>
                      <w:color w:val="auto"/>
                      <w:kern w:val="0"/>
                      <w:szCs w:val="21"/>
                      <w:highlight w:val="none"/>
                      <w:lang w:bidi="ar"/>
                    </w:rPr>
                    <w:t>冷料仓</w:t>
                  </w:r>
                </w:p>
              </w:tc>
              <w:tc>
                <w:tcPr>
                  <w:tcW w:w="1398" w:type="dxa"/>
                  <w:noWrap/>
                  <w:vAlign w:val="center"/>
                </w:tcPr>
                <w:p>
                  <w:pPr>
                    <w:widowControl/>
                    <w:jc w:val="center"/>
                    <w:textAlignment w:val="center"/>
                    <w:rPr>
                      <w:color w:val="auto"/>
                      <w:szCs w:val="21"/>
                      <w:highlight w:val="none"/>
                    </w:rPr>
                  </w:pPr>
                  <w:r>
                    <w:rPr>
                      <w:color w:val="auto"/>
                      <w:kern w:val="0"/>
                      <w:szCs w:val="21"/>
                      <w:highlight w:val="none"/>
                      <w:lang w:bidi="ar"/>
                    </w:rPr>
                    <w:t>13 m</w:t>
                  </w:r>
                  <w:r>
                    <w:rPr>
                      <w:rStyle w:val="185"/>
                      <w:rFonts w:hint="default" w:ascii="Times New Roman" w:hAnsi="Times New Roman" w:cs="Times New Roman"/>
                      <w:color w:val="auto"/>
                      <w:sz w:val="21"/>
                      <w:szCs w:val="21"/>
                      <w:highlight w:val="none"/>
                      <w:lang w:bidi="ar"/>
                    </w:rPr>
                    <w:t>3</w:t>
                  </w:r>
                  <w:r>
                    <w:rPr>
                      <w:color w:val="auto"/>
                      <w:kern w:val="0"/>
                      <w:szCs w:val="21"/>
                      <w:highlight w:val="none"/>
                      <w:lang w:bidi="ar"/>
                    </w:rPr>
                    <w:t>/仓</w:t>
                  </w:r>
                </w:p>
              </w:tc>
              <w:tc>
                <w:tcPr>
                  <w:tcW w:w="1576" w:type="dxa"/>
                  <w:noWrap/>
                  <w:vAlign w:val="center"/>
                </w:tcPr>
                <w:p>
                  <w:pPr>
                    <w:widowControl/>
                    <w:jc w:val="center"/>
                    <w:textAlignment w:val="center"/>
                    <w:rPr>
                      <w:color w:val="auto"/>
                      <w:kern w:val="0"/>
                      <w:szCs w:val="21"/>
                      <w:highlight w:val="none"/>
                      <w:lang w:bidi="ar"/>
                    </w:rPr>
                  </w:pPr>
                  <w:r>
                    <w:rPr>
                      <w:color w:val="auto"/>
                      <w:kern w:val="0"/>
                      <w:szCs w:val="21"/>
                      <w:highlight w:val="none"/>
                      <w:lang w:bidi="ar"/>
                    </w:rPr>
                    <w:t>13 m</w:t>
                  </w:r>
                  <w:r>
                    <w:rPr>
                      <w:rStyle w:val="185"/>
                      <w:rFonts w:hint="default" w:ascii="Times New Roman" w:hAnsi="Times New Roman" w:cs="Times New Roman"/>
                      <w:color w:val="auto"/>
                      <w:sz w:val="21"/>
                      <w:szCs w:val="21"/>
                      <w:highlight w:val="none"/>
                      <w:lang w:bidi="ar"/>
                    </w:rPr>
                    <w:t>3</w:t>
                  </w:r>
                  <w:r>
                    <w:rPr>
                      <w:color w:val="auto"/>
                      <w:kern w:val="0"/>
                      <w:szCs w:val="21"/>
                      <w:highlight w:val="none"/>
                      <w:lang w:bidi="ar"/>
                    </w:rPr>
                    <w:t>/仓</w:t>
                  </w:r>
                </w:p>
              </w:tc>
              <w:tc>
                <w:tcPr>
                  <w:tcW w:w="986" w:type="dxa"/>
                  <w:noWrap/>
                  <w:vAlign w:val="center"/>
                </w:tcPr>
                <w:p>
                  <w:pPr>
                    <w:widowControl/>
                    <w:jc w:val="center"/>
                    <w:textAlignment w:val="center"/>
                    <w:rPr>
                      <w:color w:val="auto"/>
                      <w:szCs w:val="21"/>
                      <w:highlight w:val="none"/>
                    </w:rPr>
                  </w:pPr>
                  <w:r>
                    <w:rPr>
                      <w:color w:val="auto"/>
                      <w:kern w:val="0"/>
                      <w:szCs w:val="21"/>
                      <w:highlight w:val="none"/>
                      <w:lang w:bidi="ar"/>
                    </w:rPr>
                    <w:t>5</w:t>
                  </w:r>
                </w:p>
              </w:tc>
              <w:tc>
                <w:tcPr>
                  <w:tcW w:w="1057" w:type="dxa"/>
                  <w:noWrap/>
                  <w:vAlign w:val="center"/>
                </w:tcPr>
                <w:p>
                  <w:pPr>
                    <w:widowControl/>
                    <w:jc w:val="center"/>
                    <w:textAlignment w:val="center"/>
                    <w:rPr>
                      <w:color w:val="auto"/>
                      <w:kern w:val="0"/>
                      <w:szCs w:val="21"/>
                      <w:highlight w:val="none"/>
                      <w:lang w:bidi="ar"/>
                    </w:rPr>
                  </w:pPr>
                  <w:r>
                    <w:rPr>
                      <w:rFonts w:hint="eastAsia"/>
                      <w:color w:val="auto"/>
                      <w:kern w:val="0"/>
                      <w:szCs w:val="21"/>
                      <w:highlight w:val="none"/>
                      <w:lang w:bidi="ar"/>
                    </w:rPr>
                    <w:t>6</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580" w:type="dxa"/>
                  <w:vMerge w:val="continue"/>
                  <w:noWrap w:val="0"/>
                  <w:vAlign w:val="center"/>
                </w:tcPr>
                <w:p>
                  <w:pPr>
                    <w:widowControl/>
                    <w:jc w:val="center"/>
                    <w:rPr>
                      <w:color w:val="auto"/>
                      <w:szCs w:val="21"/>
                      <w:highlight w:val="none"/>
                    </w:rPr>
                  </w:pPr>
                </w:p>
              </w:tc>
              <w:tc>
                <w:tcPr>
                  <w:tcW w:w="582" w:type="dxa"/>
                  <w:vMerge w:val="continue"/>
                  <w:noWrap w:val="0"/>
                  <w:vAlign w:val="center"/>
                </w:tcPr>
                <w:p>
                  <w:pPr>
                    <w:widowControl/>
                    <w:jc w:val="center"/>
                    <w:rPr>
                      <w:b/>
                      <w:bCs/>
                      <w:color w:val="auto"/>
                      <w:szCs w:val="21"/>
                      <w:highlight w:val="none"/>
                    </w:rPr>
                  </w:pPr>
                </w:p>
              </w:tc>
              <w:tc>
                <w:tcPr>
                  <w:tcW w:w="1761" w:type="dxa"/>
                  <w:noWrap/>
                  <w:vAlign w:val="center"/>
                </w:tcPr>
                <w:p>
                  <w:pPr>
                    <w:widowControl/>
                    <w:jc w:val="center"/>
                    <w:textAlignment w:val="center"/>
                    <w:rPr>
                      <w:color w:val="auto"/>
                      <w:szCs w:val="21"/>
                      <w:highlight w:val="none"/>
                    </w:rPr>
                  </w:pPr>
                  <w:r>
                    <w:rPr>
                      <w:color w:val="auto"/>
                      <w:kern w:val="0"/>
                      <w:szCs w:val="21"/>
                      <w:highlight w:val="none"/>
                      <w:lang w:bidi="ar"/>
                    </w:rPr>
                    <w:t>皮带给料减速电机</w:t>
                  </w:r>
                </w:p>
              </w:tc>
              <w:tc>
                <w:tcPr>
                  <w:tcW w:w="1398" w:type="dxa"/>
                  <w:noWrap/>
                  <w:vAlign w:val="center"/>
                </w:tcPr>
                <w:p>
                  <w:pPr>
                    <w:widowControl/>
                    <w:jc w:val="center"/>
                    <w:textAlignment w:val="center"/>
                    <w:rPr>
                      <w:color w:val="auto"/>
                      <w:szCs w:val="21"/>
                      <w:highlight w:val="none"/>
                    </w:rPr>
                  </w:pPr>
                  <w:r>
                    <w:rPr>
                      <w:color w:val="auto"/>
                      <w:kern w:val="0"/>
                      <w:szCs w:val="21"/>
                      <w:highlight w:val="none"/>
                      <w:lang w:bidi="ar"/>
                    </w:rPr>
                    <w:t>1.5 kW</w:t>
                  </w:r>
                </w:p>
              </w:tc>
              <w:tc>
                <w:tcPr>
                  <w:tcW w:w="1576" w:type="dxa"/>
                  <w:noWrap/>
                  <w:vAlign w:val="center"/>
                </w:tcPr>
                <w:p>
                  <w:pPr>
                    <w:widowControl/>
                    <w:jc w:val="center"/>
                    <w:textAlignment w:val="center"/>
                    <w:rPr>
                      <w:color w:val="auto"/>
                      <w:kern w:val="0"/>
                      <w:szCs w:val="21"/>
                      <w:highlight w:val="none"/>
                      <w:lang w:bidi="ar"/>
                    </w:rPr>
                  </w:pPr>
                  <w:r>
                    <w:rPr>
                      <w:rFonts w:hint="eastAsia"/>
                      <w:color w:val="auto"/>
                      <w:kern w:val="0"/>
                      <w:szCs w:val="21"/>
                      <w:highlight w:val="none"/>
                      <w:lang w:bidi="ar"/>
                    </w:rPr>
                    <w:t>2.2kW</w:t>
                  </w:r>
                </w:p>
              </w:tc>
              <w:tc>
                <w:tcPr>
                  <w:tcW w:w="986" w:type="dxa"/>
                  <w:noWrap/>
                  <w:vAlign w:val="center"/>
                </w:tcPr>
                <w:p>
                  <w:pPr>
                    <w:widowControl/>
                    <w:jc w:val="center"/>
                    <w:textAlignment w:val="center"/>
                    <w:rPr>
                      <w:color w:val="auto"/>
                      <w:szCs w:val="21"/>
                      <w:highlight w:val="none"/>
                    </w:rPr>
                  </w:pPr>
                  <w:r>
                    <w:rPr>
                      <w:color w:val="auto"/>
                      <w:kern w:val="0"/>
                      <w:szCs w:val="21"/>
                      <w:highlight w:val="none"/>
                      <w:lang w:bidi="ar"/>
                    </w:rPr>
                    <w:t>5</w:t>
                  </w:r>
                </w:p>
              </w:tc>
              <w:tc>
                <w:tcPr>
                  <w:tcW w:w="1057" w:type="dxa"/>
                  <w:noWrap/>
                  <w:vAlign w:val="center"/>
                </w:tcPr>
                <w:p>
                  <w:pPr>
                    <w:widowControl/>
                    <w:jc w:val="center"/>
                    <w:textAlignment w:val="center"/>
                    <w:rPr>
                      <w:color w:val="auto"/>
                      <w:kern w:val="0"/>
                      <w:szCs w:val="21"/>
                      <w:highlight w:val="none"/>
                      <w:lang w:bidi="ar"/>
                    </w:rPr>
                  </w:pPr>
                  <w:r>
                    <w:rPr>
                      <w:rFonts w:hint="eastAsia"/>
                      <w:color w:val="auto"/>
                      <w:kern w:val="0"/>
                      <w:szCs w:val="21"/>
                      <w:highlight w:val="none"/>
                      <w:lang w:bidi="ar"/>
                    </w:rPr>
                    <w:t>6</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580" w:type="dxa"/>
                  <w:vMerge w:val="continue"/>
                  <w:noWrap w:val="0"/>
                  <w:vAlign w:val="center"/>
                </w:tcPr>
                <w:p>
                  <w:pPr>
                    <w:widowControl/>
                    <w:jc w:val="center"/>
                    <w:rPr>
                      <w:color w:val="auto"/>
                      <w:szCs w:val="21"/>
                      <w:highlight w:val="none"/>
                    </w:rPr>
                  </w:pPr>
                </w:p>
              </w:tc>
              <w:tc>
                <w:tcPr>
                  <w:tcW w:w="582" w:type="dxa"/>
                  <w:vMerge w:val="continue"/>
                  <w:noWrap w:val="0"/>
                  <w:vAlign w:val="center"/>
                </w:tcPr>
                <w:p>
                  <w:pPr>
                    <w:widowControl/>
                    <w:jc w:val="center"/>
                    <w:rPr>
                      <w:b/>
                      <w:bCs/>
                      <w:color w:val="auto"/>
                      <w:szCs w:val="21"/>
                      <w:highlight w:val="none"/>
                    </w:rPr>
                  </w:pPr>
                </w:p>
              </w:tc>
              <w:tc>
                <w:tcPr>
                  <w:tcW w:w="1761" w:type="dxa"/>
                  <w:noWrap/>
                  <w:vAlign w:val="center"/>
                </w:tcPr>
                <w:p>
                  <w:pPr>
                    <w:widowControl/>
                    <w:jc w:val="center"/>
                    <w:textAlignment w:val="center"/>
                    <w:rPr>
                      <w:color w:val="auto"/>
                      <w:szCs w:val="21"/>
                      <w:highlight w:val="none"/>
                    </w:rPr>
                  </w:pPr>
                  <w:r>
                    <w:rPr>
                      <w:color w:val="auto"/>
                      <w:kern w:val="0"/>
                      <w:szCs w:val="21"/>
                      <w:highlight w:val="none"/>
                      <w:lang w:bidi="ar"/>
                    </w:rPr>
                    <w:t>集料皮带减速电机</w:t>
                  </w:r>
                </w:p>
              </w:tc>
              <w:tc>
                <w:tcPr>
                  <w:tcW w:w="1398" w:type="dxa"/>
                  <w:noWrap/>
                  <w:vAlign w:val="center"/>
                </w:tcPr>
                <w:p>
                  <w:pPr>
                    <w:widowControl/>
                    <w:jc w:val="center"/>
                    <w:textAlignment w:val="center"/>
                    <w:rPr>
                      <w:color w:val="auto"/>
                      <w:szCs w:val="21"/>
                      <w:highlight w:val="none"/>
                    </w:rPr>
                  </w:pPr>
                  <w:r>
                    <w:rPr>
                      <w:color w:val="auto"/>
                      <w:kern w:val="0"/>
                      <w:szCs w:val="21"/>
                      <w:highlight w:val="none"/>
                      <w:lang w:bidi="ar"/>
                    </w:rPr>
                    <w:t>5.5 kW</w:t>
                  </w:r>
                </w:p>
              </w:tc>
              <w:tc>
                <w:tcPr>
                  <w:tcW w:w="1576" w:type="dxa"/>
                  <w:noWrap/>
                  <w:vAlign w:val="center"/>
                </w:tcPr>
                <w:p>
                  <w:pPr>
                    <w:widowControl/>
                    <w:jc w:val="center"/>
                    <w:textAlignment w:val="center"/>
                    <w:rPr>
                      <w:color w:val="auto"/>
                      <w:kern w:val="0"/>
                      <w:szCs w:val="21"/>
                      <w:highlight w:val="none"/>
                      <w:lang w:bidi="ar"/>
                    </w:rPr>
                  </w:pPr>
                  <w:r>
                    <w:rPr>
                      <w:rFonts w:hint="eastAsia"/>
                      <w:color w:val="auto"/>
                      <w:kern w:val="0"/>
                      <w:szCs w:val="21"/>
                      <w:highlight w:val="none"/>
                      <w:lang w:bidi="ar"/>
                    </w:rPr>
                    <w:t>7.5kW</w:t>
                  </w:r>
                </w:p>
              </w:tc>
              <w:tc>
                <w:tcPr>
                  <w:tcW w:w="986" w:type="dxa"/>
                  <w:noWrap/>
                  <w:vAlign w:val="center"/>
                </w:tcPr>
                <w:p>
                  <w:pPr>
                    <w:widowControl/>
                    <w:jc w:val="center"/>
                    <w:textAlignment w:val="center"/>
                    <w:rPr>
                      <w:color w:val="auto"/>
                      <w:szCs w:val="21"/>
                      <w:highlight w:val="none"/>
                    </w:rPr>
                  </w:pPr>
                  <w:r>
                    <w:rPr>
                      <w:color w:val="auto"/>
                      <w:kern w:val="0"/>
                      <w:szCs w:val="21"/>
                      <w:highlight w:val="none"/>
                      <w:lang w:bidi="ar"/>
                    </w:rPr>
                    <w:t>1</w:t>
                  </w:r>
                </w:p>
              </w:tc>
              <w:tc>
                <w:tcPr>
                  <w:tcW w:w="1057" w:type="dxa"/>
                  <w:noWrap/>
                  <w:vAlign w:val="center"/>
                </w:tcPr>
                <w:p>
                  <w:pPr>
                    <w:widowControl/>
                    <w:jc w:val="center"/>
                    <w:textAlignment w:val="center"/>
                    <w:rPr>
                      <w:color w:val="auto"/>
                      <w:kern w:val="0"/>
                      <w:szCs w:val="21"/>
                      <w:highlight w:val="none"/>
                      <w:lang w:bidi="ar"/>
                    </w:rPr>
                  </w:pPr>
                  <w:r>
                    <w:rPr>
                      <w:rFonts w:hint="eastAsia"/>
                      <w:color w:val="auto"/>
                      <w:kern w:val="0"/>
                      <w:szCs w:val="21"/>
                      <w:highlight w:val="none"/>
                      <w:lang w:bidi="ar"/>
                    </w:rPr>
                    <w:t>1</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580" w:type="dxa"/>
                  <w:vMerge w:val="continue"/>
                  <w:noWrap w:val="0"/>
                  <w:vAlign w:val="center"/>
                </w:tcPr>
                <w:p>
                  <w:pPr>
                    <w:widowControl/>
                    <w:jc w:val="center"/>
                    <w:rPr>
                      <w:color w:val="auto"/>
                      <w:szCs w:val="21"/>
                      <w:highlight w:val="none"/>
                    </w:rPr>
                  </w:pPr>
                </w:p>
              </w:tc>
              <w:tc>
                <w:tcPr>
                  <w:tcW w:w="582" w:type="dxa"/>
                  <w:vMerge w:val="continue"/>
                  <w:noWrap w:val="0"/>
                  <w:vAlign w:val="center"/>
                </w:tcPr>
                <w:p>
                  <w:pPr>
                    <w:widowControl/>
                    <w:jc w:val="center"/>
                    <w:rPr>
                      <w:b/>
                      <w:bCs/>
                      <w:color w:val="auto"/>
                      <w:szCs w:val="21"/>
                      <w:highlight w:val="none"/>
                    </w:rPr>
                  </w:pPr>
                </w:p>
              </w:tc>
              <w:tc>
                <w:tcPr>
                  <w:tcW w:w="1761" w:type="dxa"/>
                  <w:noWrap/>
                  <w:vAlign w:val="center"/>
                </w:tcPr>
                <w:p>
                  <w:pPr>
                    <w:widowControl/>
                    <w:jc w:val="center"/>
                    <w:textAlignment w:val="center"/>
                    <w:rPr>
                      <w:color w:val="auto"/>
                      <w:szCs w:val="21"/>
                      <w:highlight w:val="none"/>
                    </w:rPr>
                  </w:pPr>
                  <w:r>
                    <w:rPr>
                      <w:color w:val="auto"/>
                      <w:kern w:val="0"/>
                      <w:szCs w:val="21"/>
                      <w:highlight w:val="none"/>
                      <w:lang w:bidi="ar"/>
                    </w:rPr>
                    <w:t>斜皮带减速电机</w:t>
                  </w:r>
                </w:p>
              </w:tc>
              <w:tc>
                <w:tcPr>
                  <w:tcW w:w="1398" w:type="dxa"/>
                  <w:noWrap/>
                  <w:vAlign w:val="center"/>
                </w:tcPr>
                <w:p>
                  <w:pPr>
                    <w:widowControl/>
                    <w:jc w:val="center"/>
                    <w:textAlignment w:val="center"/>
                    <w:rPr>
                      <w:color w:val="auto"/>
                      <w:szCs w:val="21"/>
                      <w:highlight w:val="none"/>
                    </w:rPr>
                  </w:pPr>
                  <w:r>
                    <w:rPr>
                      <w:color w:val="auto"/>
                      <w:kern w:val="0"/>
                      <w:szCs w:val="21"/>
                      <w:highlight w:val="none"/>
                      <w:lang w:bidi="ar"/>
                    </w:rPr>
                    <w:t>5.5 kW</w:t>
                  </w:r>
                </w:p>
              </w:tc>
              <w:tc>
                <w:tcPr>
                  <w:tcW w:w="1576" w:type="dxa"/>
                  <w:noWrap/>
                  <w:vAlign w:val="center"/>
                </w:tcPr>
                <w:p>
                  <w:pPr>
                    <w:widowControl/>
                    <w:jc w:val="center"/>
                    <w:textAlignment w:val="center"/>
                    <w:rPr>
                      <w:color w:val="auto"/>
                      <w:kern w:val="0"/>
                      <w:szCs w:val="21"/>
                      <w:highlight w:val="none"/>
                      <w:lang w:bidi="ar"/>
                    </w:rPr>
                  </w:pPr>
                  <w:r>
                    <w:rPr>
                      <w:rFonts w:hint="eastAsia"/>
                      <w:color w:val="auto"/>
                      <w:kern w:val="0"/>
                      <w:szCs w:val="21"/>
                      <w:highlight w:val="none"/>
                      <w:lang w:bidi="ar"/>
                    </w:rPr>
                    <w:t>7.5kW</w:t>
                  </w:r>
                </w:p>
              </w:tc>
              <w:tc>
                <w:tcPr>
                  <w:tcW w:w="986" w:type="dxa"/>
                  <w:noWrap/>
                  <w:vAlign w:val="center"/>
                </w:tcPr>
                <w:p>
                  <w:pPr>
                    <w:widowControl/>
                    <w:jc w:val="center"/>
                    <w:textAlignment w:val="center"/>
                    <w:rPr>
                      <w:color w:val="auto"/>
                      <w:szCs w:val="21"/>
                      <w:highlight w:val="none"/>
                    </w:rPr>
                  </w:pPr>
                  <w:r>
                    <w:rPr>
                      <w:color w:val="auto"/>
                      <w:kern w:val="0"/>
                      <w:szCs w:val="21"/>
                      <w:highlight w:val="none"/>
                      <w:lang w:bidi="ar"/>
                    </w:rPr>
                    <w:t>1</w:t>
                  </w:r>
                </w:p>
              </w:tc>
              <w:tc>
                <w:tcPr>
                  <w:tcW w:w="1057" w:type="dxa"/>
                  <w:noWrap/>
                  <w:vAlign w:val="center"/>
                </w:tcPr>
                <w:p>
                  <w:pPr>
                    <w:widowControl/>
                    <w:jc w:val="center"/>
                    <w:textAlignment w:val="center"/>
                    <w:rPr>
                      <w:color w:val="auto"/>
                      <w:kern w:val="0"/>
                      <w:szCs w:val="21"/>
                      <w:highlight w:val="none"/>
                      <w:lang w:bidi="ar"/>
                    </w:rPr>
                  </w:pPr>
                  <w:r>
                    <w:rPr>
                      <w:rFonts w:hint="eastAsia"/>
                      <w:color w:val="auto"/>
                      <w:kern w:val="0"/>
                      <w:szCs w:val="21"/>
                      <w:highlight w:val="none"/>
                      <w:lang w:bidi="ar"/>
                    </w:rPr>
                    <w:t>1</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580" w:type="dxa"/>
                  <w:vMerge w:val="continue"/>
                  <w:noWrap w:val="0"/>
                  <w:vAlign w:val="center"/>
                </w:tcPr>
                <w:p>
                  <w:pPr>
                    <w:widowControl/>
                    <w:jc w:val="center"/>
                    <w:rPr>
                      <w:color w:val="auto"/>
                      <w:szCs w:val="21"/>
                      <w:highlight w:val="none"/>
                    </w:rPr>
                  </w:pPr>
                </w:p>
              </w:tc>
              <w:tc>
                <w:tcPr>
                  <w:tcW w:w="582" w:type="dxa"/>
                  <w:vMerge w:val="continue"/>
                  <w:noWrap w:val="0"/>
                  <w:vAlign w:val="center"/>
                </w:tcPr>
                <w:p>
                  <w:pPr>
                    <w:widowControl/>
                    <w:jc w:val="center"/>
                    <w:rPr>
                      <w:b/>
                      <w:bCs/>
                      <w:color w:val="auto"/>
                      <w:szCs w:val="21"/>
                      <w:highlight w:val="none"/>
                    </w:rPr>
                  </w:pPr>
                </w:p>
              </w:tc>
              <w:tc>
                <w:tcPr>
                  <w:tcW w:w="1761" w:type="dxa"/>
                  <w:noWrap/>
                  <w:vAlign w:val="center"/>
                </w:tcPr>
                <w:p>
                  <w:pPr>
                    <w:widowControl/>
                    <w:jc w:val="center"/>
                    <w:textAlignment w:val="center"/>
                    <w:rPr>
                      <w:color w:val="auto"/>
                      <w:szCs w:val="21"/>
                      <w:highlight w:val="none"/>
                    </w:rPr>
                  </w:pPr>
                  <w:r>
                    <w:rPr>
                      <w:color w:val="auto"/>
                      <w:kern w:val="0"/>
                      <w:szCs w:val="21"/>
                      <w:highlight w:val="none"/>
                      <w:lang w:bidi="ar"/>
                    </w:rPr>
                    <w:t>变频器</w:t>
                  </w:r>
                </w:p>
              </w:tc>
              <w:tc>
                <w:tcPr>
                  <w:tcW w:w="1398" w:type="dxa"/>
                  <w:noWrap/>
                  <w:vAlign w:val="center"/>
                </w:tcPr>
                <w:p>
                  <w:pPr>
                    <w:widowControl/>
                    <w:jc w:val="center"/>
                    <w:rPr>
                      <w:rFonts w:hint="eastAsia"/>
                      <w:color w:val="auto"/>
                      <w:szCs w:val="21"/>
                      <w:highlight w:val="none"/>
                    </w:rPr>
                  </w:pPr>
                  <w:r>
                    <w:rPr>
                      <w:rFonts w:hint="eastAsia"/>
                      <w:color w:val="auto"/>
                      <w:szCs w:val="21"/>
                      <w:highlight w:val="none"/>
                    </w:rPr>
                    <w:t>/</w:t>
                  </w:r>
                </w:p>
              </w:tc>
              <w:tc>
                <w:tcPr>
                  <w:tcW w:w="1576" w:type="dxa"/>
                  <w:noWrap/>
                  <w:vAlign w:val="center"/>
                </w:tcPr>
                <w:p>
                  <w:pPr>
                    <w:widowControl/>
                    <w:jc w:val="center"/>
                    <w:rPr>
                      <w:rFonts w:hint="eastAsia"/>
                      <w:color w:val="auto"/>
                      <w:szCs w:val="21"/>
                      <w:highlight w:val="none"/>
                    </w:rPr>
                  </w:pPr>
                  <w:r>
                    <w:rPr>
                      <w:rFonts w:hint="eastAsia"/>
                      <w:color w:val="auto"/>
                      <w:szCs w:val="21"/>
                      <w:highlight w:val="none"/>
                    </w:rPr>
                    <w:t>/</w:t>
                  </w:r>
                </w:p>
              </w:tc>
              <w:tc>
                <w:tcPr>
                  <w:tcW w:w="986" w:type="dxa"/>
                  <w:noWrap/>
                  <w:vAlign w:val="center"/>
                </w:tcPr>
                <w:p>
                  <w:pPr>
                    <w:widowControl/>
                    <w:jc w:val="center"/>
                    <w:textAlignment w:val="center"/>
                    <w:rPr>
                      <w:color w:val="auto"/>
                      <w:szCs w:val="21"/>
                      <w:highlight w:val="none"/>
                    </w:rPr>
                  </w:pPr>
                  <w:r>
                    <w:rPr>
                      <w:color w:val="auto"/>
                      <w:kern w:val="0"/>
                      <w:szCs w:val="21"/>
                      <w:highlight w:val="none"/>
                      <w:lang w:bidi="ar"/>
                    </w:rPr>
                    <w:t>5</w:t>
                  </w:r>
                </w:p>
              </w:tc>
              <w:tc>
                <w:tcPr>
                  <w:tcW w:w="1057" w:type="dxa"/>
                  <w:noWrap/>
                  <w:vAlign w:val="center"/>
                </w:tcPr>
                <w:p>
                  <w:pPr>
                    <w:widowControl/>
                    <w:jc w:val="center"/>
                    <w:textAlignment w:val="center"/>
                    <w:rPr>
                      <w:color w:val="auto"/>
                      <w:kern w:val="0"/>
                      <w:szCs w:val="21"/>
                      <w:highlight w:val="none"/>
                      <w:lang w:bidi="ar"/>
                    </w:rPr>
                  </w:pPr>
                  <w:r>
                    <w:rPr>
                      <w:rFonts w:hint="eastAsia"/>
                      <w:color w:val="auto"/>
                      <w:kern w:val="0"/>
                      <w:szCs w:val="21"/>
                      <w:highlight w:val="none"/>
                      <w:lang w:bidi="ar"/>
                    </w:rPr>
                    <w:t>6</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580" w:type="dxa"/>
                  <w:vMerge w:val="continue"/>
                  <w:noWrap w:val="0"/>
                  <w:vAlign w:val="center"/>
                </w:tcPr>
                <w:p>
                  <w:pPr>
                    <w:widowControl/>
                    <w:jc w:val="center"/>
                    <w:rPr>
                      <w:color w:val="auto"/>
                      <w:szCs w:val="21"/>
                      <w:highlight w:val="none"/>
                    </w:rPr>
                  </w:pPr>
                </w:p>
              </w:tc>
              <w:tc>
                <w:tcPr>
                  <w:tcW w:w="582" w:type="dxa"/>
                  <w:vMerge w:val="continue"/>
                  <w:noWrap w:val="0"/>
                  <w:vAlign w:val="center"/>
                </w:tcPr>
                <w:p>
                  <w:pPr>
                    <w:widowControl/>
                    <w:jc w:val="center"/>
                    <w:rPr>
                      <w:b/>
                      <w:bCs/>
                      <w:color w:val="auto"/>
                      <w:szCs w:val="21"/>
                      <w:highlight w:val="none"/>
                    </w:rPr>
                  </w:pPr>
                </w:p>
              </w:tc>
              <w:tc>
                <w:tcPr>
                  <w:tcW w:w="1761" w:type="dxa"/>
                  <w:noWrap/>
                  <w:vAlign w:val="center"/>
                </w:tcPr>
                <w:p>
                  <w:pPr>
                    <w:widowControl/>
                    <w:jc w:val="center"/>
                    <w:textAlignment w:val="center"/>
                    <w:rPr>
                      <w:color w:val="auto"/>
                      <w:szCs w:val="21"/>
                      <w:highlight w:val="none"/>
                    </w:rPr>
                  </w:pPr>
                  <w:r>
                    <w:rPr>
                      <w:color w:val="auto"/>
                      <w:kern w:val="0"/>
                      <w:szCs w:val="21"/>
                      <w:highlight w:val="none"/>
                      <w:lang w:bidi="ar"/>
                    </w:rPr>
                    <w:t>集料皮带输送机</w:t>
                  </w:r>
                </w:p>
              </w:tc>
              <w:tc>
                <w:tcPr>
                  <w:tcW w:w="1398" w:type="dxa"/>
                  <w:noWrap/>
                  <w:vAlign w:val="center"/>
                </w:tcPr>
                <w:p>
                  <w:pPr>
                    <w:widowControl/>
                    <w:jc w:val="center"/>
                    <w:textAlignment w:val="center"/>
                    <w:rPr>
                      <w:color w:val="auto"/>
                      <w:szCs w:val="21"/>
                      <w:highlight w:val="none"/>
                    </w:rPr>
                  </w:pPr>
                  <w:r>
                    <w:rPr>
                      <w:color w:val="auto"/>
                      <w:kern w:val="0"/>
                      <w:szCs w:val="21"/>
                      <w:highlight w:val="none"/>
                      <w:lang w:bidi="ar"/>
                    </w:rPr>
                    <w:t>B=650 mm</w:t>
                  </w:r>
                </w:p>
              </w:tc>
              <w:tc>
                <w:tcPr>
                  <w:tcW w:w="1576" w:type="dxa"/>
                  <w:noWrap/>
                  <w:vAlign w:val="center"/>
                </w:tcPr>
                <w:p>
                  <w:pPr>
                    <w:widowControl/>
                    <w:jc w:val="center"/>
                    <w:textAlignment w:val="center"/>
                    <w:rPr>
                      <w:color w:val="auto"/>
                      <w:kern w:val="0"/>
                      <w:szCs w:val="21"/>
                      <w:highlight w:val="none"/>
                      <w:lang w:bidi="ar"/>
                    </w:rPr>
                  </w:pPr>
                  <w:r>
                    <w:rPr>
                      <w:color w:val="auto"/>
                      <w:kern w:val="0"/>
                      <w:szCs w:val="21"/>
                      <w:highlight w:val="none"/>
                      <w:lang w:bidi="ar"/>
                    </w:rPr>
                    <w:t>B=800 mm</w:t>
                  </w:r>
                </w:p>
              </w:tc>
              <w:tc>
                <w:tcPr>
                  <w:tcW w:w="986" w:type="dxa"/>
                  <w:noWrap/>
                  <w:vAlign w:val="center"/>
                </w:tcPr>
                <w:p>
                  <w:pPr>
                    <w:widowControl/>
                    <w:jc w:val="center"/>
                    <w:textAlignment w:val="center"/>
                    <w:rPr>
                      <w:color w:val="auto"/>
                      <w:szCs w:val="21"/>
                      <w:highlight w:val="none"/>
                    </w:rPr>
                  </w:pPr>
                  <w:r>
                    <w:rPr>
                      <w:color w:val="auto"/>
                      <w:kern w:val="0"/>
                      <w:szCs w:val="21"/>
                      <w:highlight w:val="none"/>
                      <w:lang w:bidi="ar"/>
                    </w:rPr>
                    <w:t>1</w:t>
                  </w:r>
                </w:p>
              </w:tc>
              <w:tc>
                <w:tcPr>
                  <w:tcW w:w="1057" w:type="dxa"/>
                  <w:noWrap/>
                  <w:vAlign w:val="center"/>
                </w:tcPr>
                <w:p>
                  <w:pPr>
                    <w:widowControl/>
                    <w:jc w:val="center"/>
                    <w:textAlignment w:val="center"/>
                    <w:rPr>
                      <w:color w:val="auto"/>
                      <w:kern w:val="0"/>
                      <w:szCs w:val="21"/>
                      <w:highlight w:val="none"/>
                      <w:lang w:bidi="ar"/>
                    </w:rPr>
                  </w:pPr>
                  <w:r>
                    <w:rPr>
                      <w:rFonts w:hint="eastAsia"/>
                      <w:color w:val="auto"/>
                      <w:kern w:val="0"/>
                      <w:szCs w:val="21"/>
                      <w:highlight w:val="none"/>
                      <w:lang w:bidi="ar"/>
                    </w:rPr>
                    <w:t>1</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580" w:type="dxa"/>
                  <w:vMerge w:val="continue"/>
                  <w:noWrap w:val="0"/>
                  <w:vAlign w:val="center"/>
                </w:tcPr>
                <w:p>
                  <w:pPr>
                    <w:widowControl/>
                    <w:jc w:val="center"/>
                    <w:rPr>
                      <w:color w:val="auto"/>
                      <w:szCs w:val="21"/>
                      <w:highlight w:val="none"/>
                    </w:rPr>
                  </w:pPr>
                </w:p>
              </w:tc>
              <w:tc>
                <w:tcPr>
                  <w:tcW w:w="582" w:type="dxa"/>
                  <w:vMerge w:val="continue"/>
                  <w:noWrap w:val="0"/>
                  <w:vAlign w:val="center"/>
                </w:tcPr>
                <w:p>
                  <w:pPr>
                    <w:widowControl/>
                    <w:jc w:val="center"/>
                    <w:rPr>
                      <w:b/>
                      <w:bCs/>
                      <w:color w:val="auto"/>
                      <w:szCs w:val="21"/>
                      <w:highlight w:val="none"/>
                    </w:rPr>
                  </w:pPr>
                </w:p>
              </w:tc>
              <w:tc>
                <w:tcPr>
                  <w:tcW w:w="1761" w:type="dxa"/>
                  <w:noWrap/>
                  <w:vAlign w:val="center"/>
                </w:tcPr>
                <w:p>
                  <w:pPr>
                    <w:widowControl/>
                    <w:jc w:val="center"/>
                    <w:textAlignment w:val="center"/>
                    <w:rPr>
                      <w:color w:val="auto"/>
                      <w:szCs w:val="21"/>
                      <w:highlight w:val="none"/>
                    </w:rPr>
                  </w:pPr>
                  <w:r>
                    <w:rPr>
                      <w:color w:val="auto"/>
                      <w:kern w:val="0"/>
                      <w:szCs w:val="21"/>
                      <w:highlight w:val="none"/>
                      <w:lang w:bidi="ar"/>
                    </w:rPr>
                    <w:t>斜皮带输送机</w:t>
                  </w:r>
                </w:p>
              </w:tc>
              <w:tc>
                <w:tcPr>
                  <w:tcW w:w="1398" w:type="dxa"/>
                  <w:noWrap/>
                  <w:vAlign w:val="center"/>
                </w:tcPr>
                <w:p>
                  <w:pPr>
                    <w:widowControl/>
                    <w:jc w:val="center"/>
                    <w:textAlignment w:val="center"/>
                    <w:rPr>
                      <w:color w:val="auto"/>
                      <w:szCs w:val="21"/>
                      <w:highlight w:val="none"/>
                    </w:rPr>
                  </w:pPr>
                  <w:r>
                    <w:rPr>
                      <w:color w:val="auto"/>
                      <w:kern w:val="0"/>
                      <w:szCs w:val="21"/>
                      <w:highlight w:val="none"/>
                      <w:lang w:bidi="ar"/>
                    </w:rPr>
                    <w:t>B=650 mm</w:t>
                  </w:r>
                </w:p>
              </w:tc>
              <w:tc>
                <w:tcPr>
                  <w:tcW w:w="1576" w:type="dxa"/>
                  <w:noWrap/>
                  <w:vAlign w:val="center"/>
                </w:tcPr>
                <w:p>
                  <w:pPr>
                    <w:widowControl/>
                    <w:jc w:val="center"/>
                    <w:textAlignment w:val="center"/>
                    <w:rPr>
                      <w:color w:val="auto"/>
                      <w:kern w:val="0"/>
                      <w:szCs w:val="21"/>
                      <w:highlight w:val="none"/>
                      <w:lang w:bidi="ar"/>
                    </w:rPr>
                  </w:pPr>
                  <w:r>
                    <w:rPr>
                      <w:color w:val="auto"/>
                      <w:kern w:val="0"/>
                      <w:szCs w:val="21"/>
                      <w:highlight w:val="none"/>
                      <w:lang w:bidi="ar"/>
                    </w:rPr>
                    <w:t>B=800 mm</w:t>
                  </w:r>
                </w:p>
              </w:tc>
              <w:tc>
                <w:tcPr>
                  <w:tcW w:w="986" w:type="dxa"/>
                  <w:noWrap/>
                  <w:vAlign w:val="center"/>
                </w:tcPr>
                <w:p>
                  <w:pPr>
                    <w:widowControl/>
                    <w:jc w:val="center"/>
                    <w:textAlignment w:val="center"/>
                    <w:rPr>
                      <w:color w:val="auto"/>
                      <w:szCs w:val="21"/>
                      <w:highlight w:val="none"/>
                    </w:rPr>
                  </w:pPr>
                  <w:r>
                    <w:rPr>
                      <w:color w:val="auto"/>
                      <w:kern w:val="0"/>
                      <w:szCs w:val="21"/>
                      <w:highlight w:val="none"/>
                      <w:lang w:bidi="ar"/>
                    </w:rPr>
                    <w:t>1</w:t>
                  </w:r>
                </w:p>
              </w:tc>
              <w:tc>
                <w:tcPr>
                  <w:tcW w:w="1057" w:type="dxa"/>
                  <w:noWrap/>
                  <w:vAlign w:val="center"/>
                </w:tcPr>
                <w:p>
                  <w:pPr>
                    <w:widowControl/>
                    <w:jc w:val="center"/>
                    <w:textAlignment w:val="center"/>
                    <w:rPr>
                      <w:color w:val="auto"/>
                      <w:kern w:val="0"/>
                      <w:szCs w:val="21"/>
                      <w:highlight w:val="none"/>
                      <w:lang w:bidi="ar"/>
                    </w:rPr>
                  </w:pPr>
                  <w:r>
                    <w:rPr>
                      <w:rFonts w:hint="eastAsia"/>
                      <w:color w:val="auto"/>
                      <w:kern w:val="0"/>
                      <w:szCs w:val="21"/>
                      <w:highlight w:val="none"/>
                      <w:lang w:bidi="ar"/>
                    </w:rPr>
                    <w:t>1</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580" w:type="dxa"/>
                  <w:vMerge w:val="restart"/>
                  <w:noWrap w:val="0"/>
                  <w:vAlign w:val="center"/>
                </w:tcPr>
                <w:p>
                  <w:pPr>
                    <w:widowControl/>
                    <w:jc w:val="center"/>
                    <w:textAlignment w:val="center"/>
                    <w:rPr>
                      <w:color w:val="auto"/>
                      <w:szCs w:val="21"/>
                      <w:highlight w:val="none"/>
                    </w:rPr>
                  </w:pPr>
                  <w:r>
                    <w:rPr>
                      <w:color w:val="auto"/>
                      <w:kern w:val="0"/>
                      <w:szCs w:val="21"/>
                      <w:highlight w:val="none"/>
                      <w:lang w:bidi="ar"/>
                    </w:rPr>
                    <w:t>2</w:t>
                  </w:r>
                </w:p>
              </w:tc>
              <w:tc>
                <w:tcPr>
                  <w:tcW w:w="582" w:type="dxa"/>
                  <w:vMerge w:val="restart"/>
                  <w:noWrap w:val="0"/>
                  <w:vAlign w:val="center"/>
                </w:tcPr>
                <w:p>
                  <w:pPr>
                    <w:widowControl/>
                    <w:jc w:val="center"/>
                    <w:textAlignment w:val="center"/>
                    <w:rPr>
                      <w:b/>
                      <w:bCs/>
                      <w:color w:val="auto"/>
                      <w:szCs w:val="21"/>
                      <w:highlight w:val="none"/>
                    </w:rPr>
                  </w:pPr>
                  <w:r>
                    <w:rPr>
                      <w:b/>
                      <w:bCs/>
                      <w:color w:val="auto"/>
                      <w:kern w:val="0"/>
                      <w:szCs w:val="21"/>
                      <w:highlight w:val="none"/>
                      <w:lang w:bidi="ar"/>
                    </w:rPr>
                    <w:t>烘干系统</w:t>
                  </w:r>
                </w:p>
              </w:tc>
              <w:tc>
                <w:tcPr>
                  <w:tcW w:w="1761" w:type="dxa"/>
                  <w:noWrap/>
                  <w:vAlign w:val="center"/>
                </w:tcPr>
                <w:p>
                  <w:pPr>
                    <w:widowControl/>
                    <w:jc w:val="center"/>
                    <w:textAlignment w:val="center"/>
                    <w:rPr>
                      <w:color w:val="auto"/>
                      <w:szCs w:val="21"/>
                      <w:highlight w:val="none"/>
                    </w:rPr>
                  </w:pPr>
                  <w:r>
                    <w:rPr>
                      <w:color w:val="auto"/>
                      <w:kern w:val="0"/>
                      <w:szCs w:val="21"/>
                      <w:highlight w:val="none"/>
                      <w:lang w:bidi="ar"/>
                    </w:rPr>
                    <w:t>干燥滚筒</w:t>
                  </w:r>
                </w:p>
              </w:tc>
              <w:tc>
                <w:tcPr>
                  <w:tcW w:w="1398" w:type="dxa"/>
                  <w:noWrap/>
                  <w:vAlign w:val="center"/>
                </w:tcPr>
                <w:p>
                  <w:pPr>
                    <w:widowControl/>
                    <w:jc w:val="center"/>
                    <w:textAlignment w:val="center"/>
                    <w:rPr>
                      <w:color w:val="auto"/>
                      <w:szCs w:val="21"/>
                      <w:highlight w:val="none"/>
                    </w:rPr>
                  </w:pPr>
                  <w:r>
                    <w:rPr>
                      <w:color w:val="auto"/>
                      <w:kern w:val="0"/>
                      <w:szCs w:val="21"/>
                      <w:highlight w:val="none"/>
                      <w:lang w:bidi="ar"/>
                    </w:rPr>
                    <w:t>φ2.5 m×10 m</w:t>
                  </w:r>
                </w:p>
              </w:tc>
              <w:tc>
                <w:tcPr>
                  <w:tcW w:w="1576" w:type="dxa"/>
                  <w:noWrap/>
                  <w:vAlign w:val="center"/>
                </w:tcPr>
                <w:p>
                  <w:pPr>
                    <w:widowControl/>
                    <w:jc w:val="center"/>
                    <w:textAlignment w:val="center"/>
                    <w:rPr>
                      <w:color w:val="auto"/>
                      <w:kern w:val="0"/>
                      <w:szCs w:val="21"/>
                      <w:highlight w:val="none"/>
                      <w:lang w:bidi="ar"/>
                    </w:rPr>
                  </w:pPr>
                  <w:r>
                    <w:rPr>
                      <w:color w:val="auto"/>
                      <w:kern w:val="0"/>
                      <w:szCs w:val="21"/>
                      <w:highlight w:val="none"/>
                      <w:lang w:bidi="ar"/>
                    </w:rPr>
                    <w:t>φ2.7 m×12 m</w:t>
                  </w:r>
                </w:p>
              </w:tc>
              <w:tc>
                <w:tcPr>
                  <w:tcW w:w="986" w:type="dxa"/>
                  <w:noWrap/>
                  <w:vAlign w:val="center"/>
                </w:tcPr>
                <w:p>
                  <w:pPr>
                    <w:widowControl/>
                    <w:jc w:val="center"/>
                    <w:textAlignment w:val="center"/>
                    <w:rPr>
                      <w:color w:val="auto"/>
                      <w:szCs w:val="21"/>
                      <w:highlight w:val="none"/>
                    </w:rPr>
                  </w:pPr>
                  <w:r>
                    <w:rPr>
                      <w:color w:val="auto"/>
                      <w:kern w:val="0"/>
                      <w:szCs w:val="21"/>
                      <w:highlight w:val="none"/>
                      <w:lang w:bidi="ar"/>
                    </w:rPr>
                    <w:t>1</w:t>
                  </w:r>
                </w:p>
              </w:tc>
              <w:tc>
                <w:tcPr>
                  <w:tcW w:w="1057" w:type="dxa"/>
                  <w:noWrap/>
                  <w:vAlign w:val="center"/>
                </w:tcPr>
                <w:p>
                  <w:pPr>
                    <w:widowControl/>
                    <w:jc w:val="center"/>
                    <w:textAlignment w:val="center"/>
                    <w:rPr>
                      <w:color w:val="auto"/>
                      <w:kern w:val="0"/>
                      <w:szCs w:val="21"/>
                      <w:highlight w:val="none"/>
                      <w:lang w:bidi="ar"/>
                    </w:rPr>
                  </w:pPr>
                  <w:r>
                    <w:rPr>
                      <w:rFonts w:hint="eastAsia"/>
                      <w:color w:val="auto"/>
                      <w:kern w:val="0"/>
                      <w:szCs w:val="21"/>
                      <w:highlight w:val="none"/>
                      <w:lang w:bidi="ar"/>
                    </w:rPr>
                    <w:t>1</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580" w:type="dxa"/>
                  <w:vMerge w:val="continue"/>
                  <w:noWrap w:val="0"/>
                  <w:vAlign w:val="center"/>
                </w:tcPr>
                <w:p>
                  <w:pPr>
                    <w:widowControl/>
                    <w:jc w:val="center"/>
                    <w:rPr>
                      <w:color w:val="auto"/>
                      <w:szCs w:val="21"/>
                      <w:highlight w:val="none"/>
                    </w:rPr>
                  </w:pPr>
                </w:p>
              </w:tc>
              <w:tc>
                <w:tcPr>
                  <w:tcW w:w="582" w:type="dxa"/>
                  <w:vMerge w:val="continue"/>
                  <w:noWrap w:val="0"/>
                  <w:vAlign w:val="center"/>
                </w:tcPr>
                <w:p>
                  <w:pPr>
                    <w:widowControl/>
                    <w:jc w:val="center"/>
                    <w:rPr>
                      <w:b/>
                      <w:bCs/>
                      <w:color w:val="auto"/>
                      <w:szCs w:val="21"/>
                      <w:highlight w:val="none"/>
                    </w:rPr>
                  </w:pPr>
                </w:p>
              </w:tc>
              <w:tc>
                <w:tcPr>
                  <w:tcW w:w="1761" w:type="dxa"/>
                  <w:noWrap/>
                  <w:vAlign w:val="center"/>
                </w:tcPr>
                <w:p>
                  <w:pPr>
                    <w:widowControl/>
                    <w:jc w:val="center"/>
                    <w:textAlignment w:val="center"/>
                    <w:rPr>
                      <w:color w:val="auto"/>
                      <w:szCs w:val="21"/>
                      <w:highlight w:val="none"/>
                    </w:rPr>
                  </w:pPr>
                  <w:r>
                    <w:rPr>
                      <w:color w:val="auto"/>
                      <w:kern w:val="0"/>
                      <w:szCs w:val="21"/>
                      <w:highlight w:val="none"/>
                      <w:lang w:bidi="ar"/>
                    </w:rPr>
                    <w:t>减速电机</w:t>
                  </w:r>
                </w:p>
              </w:tc>
              <w:tc>
                <w:tcPr>
                  <w:tcW w:w="1398" w:type="dxa"/>
                  <w:noWrap/>
                  <w:vAlign w:val="center"/>
                </w:tcPr>
                <w:p>
                  <w:pPr>
                    <w:widowControl/>
                    <w:jc w:val="center"/>
                    <w:textAlignment w:val="center"/>
                    <w:rPr>
                      <w:color w:val="auto"/>
                      <w:szCs w:val="21"/>
                      <w:highlight w:val="none"/>
                    </w:rPr>
                  </w:pPr>
                  <w:r>
                    <w:rPr>
                      <w:color w:val="auto"/>
                      <w:kern w:val="0"/>
                      <w:szCs w:val="21"/>
                      <w:highlight w:val="none"/>
                      <w:lang w:bidi="ar"/>
                    </w:rPr>
                    <w:t>22 kW</w:t>
                  </w:r>
                </w:p>
              </w:tc>
              <w:tc>
                <w:tcPr>
                  <w:tcW w:w="1576" w:type="dxa"/>
                  <w:noWrap/>
                  <w:vAlign w:val="center"/>
                </w:tcPr>
                <w:p>
                  <w:pPr>
                    <w:widowControl/>
                    <w:jc w:val="center"/>
                    <w:textAlignment w:val="center"/>
                    <w:rPr>
                      <w:color w:val="auto"/>
                      <w:kern w:val="0"/>
                      <w:szCs w:val="21"/>
                      <w:highlight w:val="none"/>
                      <w:lang w:bidi="ar"/>
                    </w:rPr>
                  </w:pPr>
                  <w:r>
                    <w:rPr>
                      <w:color w:val="auto"/>
                      <w:kern w:val="0"/>
                      <w:szCs w:val="21"/>
                      <w:highlight w:val="none"/>
                      <w:lang w:bidi="ar"/>
                    </w:rPr>
                    <w:t>30 kW</w:t>
                  </w:r>
                </w:p>
              </w:tc>
              <w:tc>
                <w:tcPr>
                  <w:tcW w:w="986" w:type="dxa"/>
                  <w:noWrap/>
                  <w:vAlign w:val="center"/>
                </w:tcPr>
                <w:p>
                  <w:pPr>
                    <w:widowControl/>
                    <w:jc w:val="center"/>
                    <w:textAlignment w:val="center"/>
                    <w:rPr>
                      <w:color w:val="auto"/>
                      <w:szCs w:val="21"/>
                      <w:highlight w:val="none"/>
                    </w:rPr>
                  </w:pPr>
                  <w:r>
                    <w:rPr>
                      <w:color w:val="auto"/>
                      <w:kern w:val="0"/>
                      <w:szCs w:val="21"/>
                      <w:highlight w:val="none"/>
                      <w:lang w:bidi="ar"/>
                    </w:rPr>
                    <w:t>4</w:t>
                  </w:r>
                </w:p>
              </w:tc>
              <w:tc>
                <w:tcPr>
                  <w:tcW w:w="1057" w:type="dxa"/>
                  <w:noWrap/>
                  <w:vAlign w:val="center"/>
                </w:tcPr>
                <w:p>
                  <w:pPr>
                    <w:widowControl/>
                    <w:jc w:val="center"/>
                    <w:textAlignment w:val="center"/>
                    <w:rPr>
                      <w:color w:val="auto"/>
                      <w:kern w:val="0"/>
                      <w:szCs w:val="21"/>
                      <w:highlight w:val="none"/>
                      <w:lang w:bidi="ar"/>
                    </w:rPr>
                  </w:pPr>
                  <w:r>
                    <w:rPr>
                      <w:rFonts w:hint="eastAsia"/>
                      <w:color w:val="auto"/>
                      <w:kern w:val="0"/>
                      <w:szCs w:val="21"/>
                      <w:highlight w:val="none"/>
                      <w:lang w:bidi="ar"/>
                    </w:rPr>
                    <w:t>4</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580" w:type="dxa"/>
                  <w:vMerge w:val="continue"/>
                  <w:noWrap w:val="0"/>
                  <w:vAlign w:val="center"/>
                </w:tcPr>
                <w:p>
                  <w:pPr>
                    <w:widowControl/>
                    <w:jc w:val="center"/>
                    <w:rPr>
                      <w:color w:val="auto"/>
                      <w:szCs w:val="21"/>
                      <w:highlight w:val="none"/>
                    </w:rPr>
                  </w:pPr>
                </w:p>
              </w:tc>
              <w:tc>
                <w:tcPr>
                  <w:tcW w:w="582" w:type="dxa"/>
                  <w:vMerge w:val="continue"/>
                  <w:noWrap w:val="0"/>
                  <w:vAlign w:val="center"/>
                </w:tcPr>
                <w:p>
                  <w:pPr>
                    <w:widowControl/>
                    <w:jc w:val="center"/>
                    <w:rPr>
                      <w:b/>
                      <w:bCs/>
                      <w:color w:val="auto"/>
                      <w:szCs w:val="21"/>
                      <w:highlight w:val="none"/>
                    </w:rPr>
                  </w:pPr>
                </w:p>
              </w:tc>
              <w:tc>
                <w:tcPr>
                  <w:tcW w:w="1761" w:type="dxa"/>
                  <w:noWrap/>
                  <w:vAlign w:val="center"/>
                </w:tcPr>
                <w:p>
                  <w:pPr>
                    <w:widowControl/>
                    <w:jc w:val="center"/>
                    <w:textAlignment w:val="center"/>
                    <w:rPr>
                      <w:color w:val="auto"/>
                      <w:szCs w:val="21"/>
                      <w:highlight w:val="none"/>
                    </w:rPr>
                  </w:pPr>
                  <w:r>
                    <w:rPr>
                      <w:color w:val="auto"/>
                      <w:kern w:val="0"/>
                      <w:szCs w:val="21"/>
                      <w:highlight w:val="none"/>
                      <w:lang w:bidi="ar"/>
                    </w:rPr>
                    <w:t>燃气型燃烧器</w:t>
                  </w:r>
                </w:p>
              </w:tc>
              <w:tc>
                <w:tcPr>
                  <w:tcW w:w="1398" w:type="dxa"/>
                  <w:noWrap/>
                  <w:vAlign w:val="center"/>
                </w:tcPr>
                <w:p>
                  <w:pPr>
                    <w:widowControl/>
                    <w:jc w:val="center"/>
                    <w:rPr>
                      <w:rFonts w:hint="eastAsia"/>
                      <w:color w:val="auto"/>
                      <w:szCs w:val="21"/>
                      <w:highlight w:val="none"/>
                    </w:rPr>
                  </w:pPr>
                  <w:r>
                    <w:rPr>
                      <w:rFonts w:hint="eastAsia"/>
                      <w:color w:val="auto"/>
                      <w:szCs w:val="21"/>
                      <w:highlight w:val="none"/>
                    </w:rPr>
                    <w:t>/</w:t>
                  </w:r>
                </w:p>
              </w:tc>
              <w:tc>
                <w:tcPr>
                  <w:tcW w:w="1576" w:type="dxa"/>
                  <w:noWrap/>
                  <w:vAlign w:val="center"/>
                </w:tcPr>
                <w:p>
                  <w:pPr>
                    <w:widowControl/>
                    <w:jc w:val="center"/>
                    <w:rPr>
                      <w:rFonts w:hint="eastAsia"/>
                      <w:color w:val="auto"/>
                      <w:szCs w:val="21"/>
                      <w:highlight w:val="none"/>
                    </w:rPr>
                  </w:pPr>
                  <w:r>
                    <w:rPr>
                      <w:rFonts w:hint="eastAsia"/>
                      <w:color w:val="auto"/>
                      <w:szCs w:val="21"/>
                      <w:highlight w:val="none"/>
                    </w:rPr>
                    <w:t>/</w:t>
                  </w:r>
                </w:p>
              </w:tc>
              <w:tc>
                <w:tcPr>
                  <w:tcW w:w="986" w:type="dxa"/>
                  <w:noWrap/>
                  <w:vAlign w:val="center"/>
                </w:tcPr>
                <w:p>
                  <w:pPr>
                    <w:widowControl/>
                    <w:jc w:val="center"/>
                    <w:textAlignment w:val="center"/>
                    <w:rPr>
                      <w:color w:val="auto"/>
                      <w:szCs w:val="21"/>
                      <w:highlight w:val="none"/>
                    </w:rPr>
                  </w:pPr>
                  <w:r>
                    <w:rPr>
                      <w:color w:val="auto"/>
                      <w:kern w:val="0"/>
                      <w:szCs w:val="21"/>
                      <w:highlight w:val="none"/>
                      <w:lang w:bidi="ar"/>
                    </w:rPr>
                    <w:t>1</w:t>
                  </w:r>
                </w:p>
              </w:tc>
              <w:tc>
                <w:tcPr>
                  <w:tcW w:w="1057" w:type="dxa"/>
                  <w:noWrap/>
                  <w:vAlign w:val="center"/>
                </w:tcPr>
                <w:p>
                  <w:pPr>
                    <w:widowControl/>
                    <w:jc w:val="center"/>
                    <w:textAlignment w:val="center"/>
                    <w:rPr>
                      <w:color w:val="auto"/>
                      <w:kern w:val="0"/>
                      <w:szCs w:val="21"/>
                      <w:highlight w:val="none"/>
                      <w:lang w:bidi="ar"/>
                    </w:rPr>
                  </w:pPr>
                  <w:r>
                    <w:rPr>
                      <w:rFonts w:hint="eastAsia"/>
                      <w:color w:val="auto"/>
                      <w:kern w:val="0"/>
                      <w:szCs w:val="21"/>
                      <w:highlight w:val="none"/>
                      <w:lang w:bidi="ar"/>
                    </w:rPr>
                    <w:t>1</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580" w:type="dxa"/>
                  <w:vMerge w:val="restart"/>
                  <w:noWrap w:val="0"/>
                  <w:vAlign w:val="center"/>
                </w:tcPr>
                <w:p>
                  <w:pPr>
                    <w:widowControl/>
                    <w:jc w:val="center"/>
                    <w:textAlignment w:val="center"/>
                    <w:rPr>
                      <w:color w:val="auto"/>
                      <w:szCs w:val="21"/>
                      <w:highlight w:val="none"/>
                    </w:rPr>
                  </w:pPr>
                  <w:r>
                    <w:rPr>
                      <w:color w:val="auto"/>
                      <w:kern w:val="0"/>
                      <w:szCs w:val="21"/>
                      <w:highlight w:val="none"/>
                      <w:lang w:bidi="ar"/>
                    </w:rPr>
                    <w:t>3</w:t>
                  </w:r>
                </w:p>
              </w:tc>
              <w:tc>
                <w:tcPr>
                  <w:tcW w:w="582" w:type="dxa"/>
                  <w:vMerge w:val="restart"/>
                  <w:noWrap w:val="0"/>
                  <w:vAlign w:val="center"/>
                </w:tcPr>
                <w:p>
                  <w:pPr>
                    <w:widowControl/>
                    <w:jc w:val="center"/>
                    <w:textAlignment w:val="center"/>
                    <w:rPr>
                      <w:b/>
                      <w:bCs/>
                      <w:color w:val="auto"/>
                      <w:szCs w:val="21"/>
                      <w:highlight w:val="none"/>
                    </w:rPr>
                  </w:pPr>
                  <w:r>
                    <w:rPr>
                      <w:b/>
                      <w:bCs/>
                      <w:color w:val="auto"/>
                      <w:kern w:val="0"/>
                      <w:szCs w:val="21"/>
                      <w:highlight w:val="none"/>
                      <w:lang w:bidi="ar"/>
                    </w:rPr>
                    <w:t>除尘系统</w:t>
                  </w:r>
                </w:p>
              </w:tc>
              <w:tc>
                <w:tcPr>
                  <w:tcW w:w="1761" w:type="dxa"/>
                  <w:noWrap/>
                  <w:vAlign w:val="center"/>
                </w:tcPr>
                <w:p>
                  <w:pPr>
                    <w:widowControl/>
                    <w:jc w:val="center"/>
                    <w:textAlignment w:val="center"/>
                    <w:rPr>
                      <w:color w:val="auto"/>
                      <w:szCs w:val="21"/>
                      <w:highlight w:val="none"/>
                    </w:rPr>
                  </w:pPr>
                  <w:r>
                    <w:rPr>
                      <w:color w:val="auto"/>
                      <w:kern w:val="0"/>
                      <w:szCs w:val="21"/>
                      <w:highlight w:val="none"/>
                      <w:lang w:bidi="ar"/>
                    </w:rPr>
                    <w:t>除尘布袋</w:t>
                  </w:r>
                </w:p>
              </w:tc>
              <w:tc>
                <w:tcPr>
                  <w:tcW w:w="1398" w:type="dxa"/>
                  <w:noWrap/>
                  <w:vAlign w:val="center"/>
                </w:tcPr>
                <w:p>
                  <w:pPr>
                    <w:widowControl/>
                    <w:jc w:val="center"/>
                    <w:rPr>
                      <w:rFonts w:hint="eastAsia"/>
                      <w:color w:val="auto"/>
                      <w:szCs w:val="21"/>
                      <w:highlight w:val="none"/>
                    </w:rPr>
                  </w:pPr>
                  <w:r>
                    <w:rPr>
                      <w:rFonts w:hint="eastAsia"/>
                      <w:color w:val="auto"/>
                      <w:szCs w:val="21"/>
                      <w:highlight w:val="none"/>
                    </w:rPr>
                    <w:t>/</w:t>
                  </w:r>
                </w:p>
              </w:tc>
              <w:tc>
                <w:tcPr>
                  <w:tcW w:w="1576" w:type="dxa"/>
                  <w:noWrap/>
                  <w:vAlign w:val="center"/>
                </w:tcPr>
                <w:p>
                  <w:pPr>
                    <w:widowControl/>
                    <w:jc w:val="center"/>
                    <w:rPr>
                      <w:rFonts w:hint="eastAsia"/>
                      <w:color w:val="auto"/>
                      <w:szCs w:val="21"/>
                      <w:highlight w:val="none"/>
                    </w:rPr>
                  </w:pPr>
                  <w:r>
                    <w:rPr>
                      <w:rFonts w:hint="eastAsia"/>
                      <w:color w:val="auto"/>
                      <w:szCs w:val="21"/>
                      <w:highlight w:val="none"/>
                    </w:rPr>
                    <w:t>/</w:t>
                  </w:r>
                </w:p>
              </w:tc>
              <w:tc>
                <w:tcPr>
                  <w:tcW w:w="986" w:type="dxa"/>
                  <w:noWrap/>
                  <w:vAlign w:val="center"/>
                </w:tcPr>
                <w:p>
                  <w:pPr>
                    <w:widowControl/>
                    <w:jc w:val="center"/>
                    <w:textAlignment w:val="center"/>
                    <w:rPr>
                      <w:color w:val="auto"/>
                      <w:szCs w:val="21"/>
                      <w:highlight w:val="none"/>
                    </w:rPr>
                  </w:pPr>
                  <w:r>
                    <w:rPr>
                      <w:color w:val="auto"/>
                      <w:kern w:val="0"/>
                      <w:szCs w:val="21"/>
                      <w:highlight w:val="none"/>
                      <w:lang w:bidi="ar"/>
                    </w:rPr>
                    <w:t>约900m</w:t>
                  </w:r>
                  <w:r>
                    <w:rPr>
                      <w:rStyle w:val="185"/>
                      <w:rFonts w:hint="default" w:ascii="Times New Roman" w:hAnsi="Times New Roman" w:cs="Times New Roman"/>
                      <w:color w:val="auto"/>
                      <w:sz w:val="21"/>
                      <w:szCs w:val="21"/>
                      <w:highlight w:val="none"/>
                      <w:lang w:bidi="ar"/>
                    </w:rPr>
                    <w:t>2</w:t>
                  </w:r>
                </w:p>
              </w:tc>
              <w:tc>
                <w:tcPr>
                  <w:tcW w:w="1057" w:type="dxa"/>
                  <w:noWrap/>
                  <w:vAlign w:val="center"/>
                </w:tcPr>
                <w:p>
                  <w:pPr>
                    <w:widowControl/>
                    <w:jc w:val="center"/>
                    <w:textAlignment w:val="center"/>
                    <w:rPr>
                      <w:color w:val="auto"/>
                      <w:kern w:val="0"/>
                      <w:szCs w:val="21"/>
                      <w:highlight w:val="none"/>
                      <w:lang w:bidi="ar"/>
                    </w:rPr>
                  </w:pPr>
                  <w:r>
                    <w:rPr>
                      <w:color w:val="auto"/>
                      <w:kern w:val="0"/>
                      <w:szCs w:val="21"/>
                      <w:highlight w:val="none"/>
                      <w:lang w:bidi="ar"/>
                    </w:rPr>
                    <w:t>约 1200m</w:t>
                  </w:r>
                  <w:r>
                    <w:rPr>
                      <w:color w:val="auto"/>
                      <w:kern w:val="0"/>
                      <w:szCs w:val="21"/>
                      <w:highlight w:val="none"/>
                      <w:vertAlign w:val="superscript"/>
                      <w:lang w:bidi="ar"/>
                    </w:rPr>
                    <w:t>2</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580" w:type="dxa"/>
                  <w:vMerge w:val="continue"/>
                  <w:noWrap w:val="0"/>
                  <w:vAlign w:val="center"/>
                </w:tcPr>
                <w:p>
                  <w:pPr>
                    <w:widowControl/>
                    <w:jc w:val="center"/>
                    <w:rPr>
                      <w:color w:val="auto"/>
                      <w:szCs w:val="21"/>
                      <w:highlight w:val="none"/>
                    </w:rPr>
                  </w:pPr>
                </w:p>
              </w:tc>
              <w:tc>
                <w:tcPr>
                  <w:tcW w:w="582" w:type="dxa"/>
                  <w:vMerge w:val="continue"/>
                  <w:noWrap w:val="0"/>
                  <w:vAlign w:val="center"/>
                </w:tcPr>
                <w:p>
                  <w:pPr>
                    <w:widowControl/>
                    <w:jc w:val="center"/>
                    <w:rPr>
                      <w:b/>
                      <w:bCs/>
                      <w:color w:val="auto"/>
                      <w:szCs w:val="21"/>
                      <w:highlight w:val="none"/>
                    </w:rPr>
                  </w:pPr>
                </w:p>
              </w:tc>
              <w:tc>
                <w:tcPr>
                  <w:tcW w:w="1761" w:type="dxa"/>
                  <w:noWrap/>
                  <w:vAlign w:val="center"/>
                </w:tcPr>
                <w:p>
                  <w:pPr>
                    <w:widowControl/>
                    <w:jc w:val="center"/>
                    <w:textAlignment w:val="center"/>
                    <w:rPr>
                      <w:color w:val="auto"/>
                      <w:szCs w:val="21"/>
                      <w:highlight w:val="none"/>
                    </w:rPr>
                  </w:pPr>
                  <w:r>
                    <w:rPr>
                      <w:color w:val="auto"/>
                      <w:kern w:val="0"/>
                      <w:szCs w:val="21"/>
                      <w:highlight w:val="none"/>
                      <w:lang w:bidi="ar"/>
                    </w:rPr>
                    <w:t xml:space="preserve">气缸 </w:t>
                  </w:r>
                </w:p>
              </w:tc>
              <w:tc>
                <w:tcPr>
                  <w:tcW w:w="1398" w:type="dxa"/>
                  <w:noWrap/>
                  <w:vAlign w:val="center"/>
                </w:tcPr>
                <w:p>
                  <w:pPr>
                    <w:widowControl/>
                    <w:jc w:val="center"/>
                    <w:rPr>
                      <w:rFonts w:hint="eastAsia"/>
                      <w:color w:val="auto"/>
                      <w:szCs w:val="21"/>
                      <w:highlight w:val="none"/>
                    </w:rPr>
                  </w:pPr>
                  <w:r>
                    <w:rPr>
                      <w:rFonts w:hint="eastAsia"/>
                      <w:color w:val="auto"/>
                      <w:szCs w:val="21"/>
                      <w:highlight w:val="none"/>
                    </w:rPr>
                    <w:t>/</w:t>
                  </w:r>
                </w:p>
              </w:tc>
              <w:tc>
                <w:tcPr>
                  <w:tcW w:w="1576" w:type="dxa"/>
                  <w:noWrap/>
                  <w:vAlign w:val="center"/>
                </w:tcPr>
                <w:p>
                  <w:pPr>
                    <w:widowControl/>
                    <w:jc w:val="center"/>
                    <w:rPr>
                      <w:rFonts w:hint="eastAsia"/>
                      <w:color w:val="auto"/>
                      <w:szCs w:val="21"/>
                      <w:highlight w:val="none"/>
                    </w:rPr>
                  </w:pPr>
                  <w:r>
                    <w:rPr>
                      <w:rFonts w:hint="eastAsia"/>
                      <w:color w:val="auto"/>
                      <w:szCs w:val="21"/>
                      <w:highlight w:val="none"/>
                    </w:rPr>
                    <w:t>/</w:t>
                  </w:r>
                </w:p>
              </w:tc>
              <w:tc>
                <w:tcPr>
                  <w:tcW w:w="986" w:type="dxa"/>
                  <w:noWrap/>
                  <w:vAlign w:val="center"/>
                </w:tcPr>
                <w:p>
                  <w:pPr>
                    <w:widowControl/>
                    <w:jc w:val="center"/>
                    <w:textAlignment w:val="center"/>
                    <w:rPr>
                      <w:color w:val="auto"/>
                      <w:szCs w:val="21"/>
                      <w:highlight w:val="none"/>
                    </w:rPr>
                  </w:pPr>
                  <w:r>
                    <w:rPr>
                      <w:color w:val="auto"/>
                      <w:kern w:val="0"/>
                      <w:szCs w:val="21"/>
                      <w:highlight w:val="none"/>
                      <w:lang w:bidi="ar"/>
                    </w:rPr>
                    <w:t>20+1</w:t>
                  </w:r>
                </w:p>
              </w:tc>
              <w:tc>
                <w:tcPr>
                  <w:tcW w:w="1057" w:type="dxa"/>
                  <w:noWrap/>
                  <w:vAlign w:val="center"/>
                </w:tcPr>
                <w:p>
                  <w:pPr>
                    <w:widowControl/>
                    <w:jc w:val="center"/>
                    <w:textAlignment w:val="center"/>
                    <w:rPr>
                      <w:color w:val="auto"/>
                      <w:kern w:val="0"/>
                      <w:szCs w:val="21"/>
                      <w:highlight w:val="none"/>
                      <w:lang w:bidi="ar"/>
                    </w:rPr>
                  </w:pPr>
                  <w:r>
                    <w:rPr>
                      <w:rFonts w:hint="eastAsia"/>
                      <w:color w:val="auto"/>
                      <w:kern w:val="0"/>
                      <w:szCs w:val="21"/>
                      <w:highlight w:val="none"/>
                      <w:lang w:bidi="ar"/>
                    </w:rPr>
                    <w:t>26</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580" w:type="dxa"/>
                  <w:vMerge w:val="continue"/>
                  <w:noWrap w:val="0"/>
                  <w:vAlign w:val="center"/>
                </w:tcPr>
                <w:p>
                  <w:pPr>
                    <w:widowControl/>
                    <w:jc w:val="center"/>
                    <w:rPr>
                      <w:color w:val="auto"/>
                      <w:szCs w:val="21"/>
                      <w:highlight w:val="none"/>
                    </w:rPr>
                  </w:pPr>
                </w:p>
              </w:tc>
              <w:tc>
                <w:tcPr>
                  <w:tcW w:w="582" w:type="dxa"/>
                  <w:vMerge w:val="continue"/>
                  <w:noWrap w:val="0"/>
                  <w:vAlign w:val="center"/>
                </w:tcPr>
                <w:p>
                  <w:pPr>
                    <w:widowControl/>
                    <w:jc w:val="center"/>
                    <w:rPr>
                      <w:b/>
                      <w:bCs/>
                      <w:color w:val="auto"/>
                      <w:szCs w:val="21"/>
                      <w:highlight w:val="none"/>
                    </w:rPr>
                  </w:pPr>
                </w:p>
              </w:tc>
              <w:tc>
                <w:tcPr>
                  <w:tcW w:w="1761" w:type="dxa"/>
                  <w:noWrap/>
                  <w:vAlign w:val="center"/>
                </w:tcPr>
                <w:p>
                  <w:pPr>
                    <w:widowControl/>
                    <w:jc w:val="center"/>
                    <w:textAlignment w:val="center"/>
                    <w:rPr>
                      <w:color w:val="auto"/>
                      <w:szCs w:val="21"/>
                      <w:highlight w:val="none"/>
                    </w:rPr>
                  </w:pPr>
                  <w:r>
                    <w:rPr>
                      <w:color w:val="auto"/>
                      <w:kern w:val="0"/>
                      <w:szCs w:val="21"/>
                      <w:highlight w:val="none"/>
                      <w:lang w:bidi="ar"/>
                    </w:rPr>
                    <w:t>引风机</w:t>
                  </w:r>
                </w:p>
              </w:tc>
              <w:tc>
                <w:tcPr>
                  <w:tcW w:w="1398" w:type="dxa"/>
                  <w:noWrap/>
                  <w:vAlign w:val="center"/>
                </w:tcPr>
                <w:p>
                  <w:pPr>
                    <w:widowControl/>
                    <w:jc w:val="center"/>
                    <w:textAlignment w:val="center"/>
                    <w:rPr>
                      <w:color w:val="auto"/>
                      <w:szCs w:val="21"/>
                      <w:highlight w:val="none"/>
                    </w:rPr>
                  </w:pPr>
                  <w:r>
                    <w:rPr>
                      <w:color w:val="auto"/>
                      <w:kern w:val="0"/>
                      <w:szCs w:val="21"/>
                      <w:highlight w:val="none"/>
                      <w:lang w:bidi="ar"/>
                    </w:rPr>
                    <w:t>160 kW</w:t>
                  </w:r>
                </w:p>
              </w:tc>
              <w:tc>
                <w:tcPr>
                  <w:tcW w:w="1576" w:type="dxa"/>
                  <w:noWrap/>
                  <w:vAlign w:val="center"/>
                </w:tcPr>
                <w:p>
                  <w:pPr>
                    <w:widowControl/>
                    <w:jc w:val="center"/>
                    <w:textAlignment w:val="center"/>
                    <w:rPr>
                      <w:color w:val="auto"/>
                      <w:kern w:val="0"/>
                      <w:szCs w:val="21"/>
                      <w:highlight w:val="none"/>
                      <w:lang w:bidi="ar"/>
                    </w:rPr>
                  </w:pPr>
                  <w:r>
                    <w:rPr>
                      <w:color w:val="auto"/>
                      <w:kern w:val="0"/>
                      <w:szCs w:val="21"/>
                      <w:highlight w:val="none"/>
                      <w:lang w:bidi="ar"/>
                    </w:rPr>
                    <w:t>185 kW</w:t>
                  </w:r>
                </w:p>
              </w:tc>
              <w:tc>
                <w:tcPr>
                  <w:tcW w:w="986" w:type="dxa"/>
                  <w:noWrap/>
                  <w:vAlign w:val="center"/>
                </w:tcPr>
                <w:p>
                  <w:pPr>
                    <w:widowControl/>
                    <w:jc w:val="center"/>
                    <w:textAlignment w:val="center"/>
                    <w:rPr>
                      <w:color w:val="auto"/>
                      <w:szCs w:val="21"/>
                      <w:highlight w:val="none"/>
                    </w:rPr>
                  </w:pPr>
                  <w:r>
                    <w:rPr>
                      <w:color w:val="auto"/>
                      <w:kern w:val="0"/>
                      <w:szCs w:val="21"/>
                      <w:highlight w:val="none"/>
                      <w:lang w:bidi="ar"/>
                    </w:rPr>
                    <w:t>1</w:t>
                  </w:r>
                </w:p>
              </w:tc>
              <w:tc>
                <w:tcPr>
                  <w:tcW w:w="1057" w:type="dxa"/>
                  <w:noWrap/>
                  <w:vAlign w:val="center"/>
                </w:tcPr>
                <w:p>
                  <w:pPr>
                    <w:widowControl/>
                    <w:jc w:val="center"/>
                    <w:textAlignment w:val="center"/>
                    <w:rPr>
                      <w:color w:val="auto"/>
                      <w:kern w:val="0"/>
                      <w:szCs w:val="21"/>
                      <w:highlight w:val="none"/>
                      <w:lang w:bidi="ar"/>
                    </w:rPr>
                  </w:pPr>
                  <w:r>
                    <w:rPr>
                      <w:rFonts w:hint="eastAsia"/>
                      <w:color w:val="auto"/>
                      <w:kern w:val="0"/>
                      <w:szCs w:val="21"/>
                      <w:highlight w:val="none"/>
                      <w:lang w:bidi="ar"/>
                    </w:rPr>
                    <w:t>1</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580" w:type="dxa"/>
                  <w:vMerge w:val="restart"/>
                  <w:noWrap w:val="0"/>
                  <w:vAlign w:val="center"/>
                </w:tcPr>
                <w:p>
                  <w:pPr>
                    <w:widowControl/>
                    <w:jc w:val="center"/>
                    <w:textAlignment w:val="center"/>
                    <w:rPr>
                      <w:color w:val="auto"/>
                      <w:szCs w:val="21"/>
                      <w:highlight w:val="none"/>
                    </w:rPr>
                  </w:pPr>
                  <w:r>
                    <w:rPr>
                      <w:color w:val="auto"/>
                      <w:kern w:val="0"/>
                      <w:szCs w:val="21"/>
                      <w:highlight w:val="none"/>
                      <w:lang w:bidi="ar"/>
                    </w:rPr>
                    <w:t>4</w:t>
                  </w:r>
                </w:p>
              </w:tc>
              <w:tc>
                <w:tcPr>
                  <w:tcW w:w="582" w:type="dxa"/>
                  <w:vMerge w:val="restart"/>
                  <w:noWrap w:val="0"/>
                  <w:vAlign w:val="center"/>
                </w:tcPr>
                <w:p>
                  <w:pPr>
                    <w:widowControl/>
                    <w:jc w:val="center"/>
                    <w:textAlignment w:val="center"/>
                    <w:rPr>
                      <w:b/>
                      <w:bCs/>
                      <w:color w:val="auto"/>
                      <w:szCs w:val="21"/>
                      <w:highlight w:val="none"/>
                    </w:rPr>
                  </w:pPr>
                  <w:r>
                    <w:rPr>
                      <w:b/>
                      <w:bCs/>
                      <w:color w:val="auto"/>
                      <w:kern w:val="0"/>
                      <w:szCs w:val="21"/>
                      <w:highlight w:val="none"/>
                      <w:lang w:bidi="ar"/>
                    </w:rPr>
                    <w:t>粉料系统</w:t>
                  </w:r>
                </w:p>
              </w:tc>
              <w:tc>
                <w:tcPr>
                  <w:tcW w:w="1761" w:type="dxa"/>
                  <w:noWrap/>
                  <w:vAlign w:val="center"/>
                </w:tcPr>
                <w:p>
                  <w:pPr>
                    <w:widowControl/>
                    <w:jc w:val="center"/>
                    <w:textAlignment w:val="center"/>
                    <w:rPr>
                      <w:color w:val="auto"/>
                      <w:szCs w:val="21"/>
                      <w:highlight w:val="none"/>
                    </w:rPr>
                  </w:pPr>
                  <w:r>
                    <w:rPr>
                      <w:color w:val="auto"/>
                      <w:kern w:val="0"/>
                      <w:szCs w:val="21"/>
                      <w:highlight w:val="none"/>
                      <w:lang w:bidi="ar"/>
                    </w:rPr>
                    <w:t>料位检测：上、下</w:t>
                  </w:r>
                </w:p>
              </w:tc>
              <w:tc>
                <w:tcPr>
                  <w:tcW w:w="1398" w:type="dxa"/>
                  <w:noWrap/>
                  <w:vAlign w:val="center"/>
                </w:tcPr>
                <w:p>
                  <w:pPr>
                    <w:widowControl/>
                    <w:jc w:val="center"/>
                    <w:rPr>
                      <w:rFonts w:hint="eastAsia"/>
                      <w:color w:val="auto"/>
                      <w:szCs w:val="21"/>
                      <w:highlight w:val="none"/>
                    </w:rPr>
                  </w:pPr>
                  <w:r>
                    <w:rPr>
                      <w:rFonts w:hint="eastAsia"/>
                      <w:color w:val="auto"/>
                      <w:szCs w:val="21"/>
                      <w:highlight w:val="none"/>
                    </w:rPr>
                    <w:t>/</w:t>
                  </w:r>
                </w:p>
              </w:tc>
              <w:tc>
                <w:tcPr>
                  <w:tcW w:w="1576" w:type="dxa"/>
                  <w:noWrap/>
                  <w:vAlign w:val="center"/>
                </w:tcPr>
                <w:p>
                  <w:pPr>
                    <w:widowControl/>
                    <w:jc w:val="center"/>
                    <w:rPr>
                      <w:rFonts w:hint="eastAsia"/>
                      <w:color w:val="auto"/>
                      <w:szCs w:val="21"/>
                      <w:highlight w:val="none"/>
                    </w:rPr>
                  </w:pPr>
                  <w:r>
                    <w:rPr>
                      <w:rFonts w:hint="eastAsia"/>
                      <w:color w:val="auto"/>
                      <w:szCs w:val="21"/>
                      <w:highlight w:val="none"/>
                    </w:rPr>
                    <w:t>/</w:t>
                  </w:r>
                </w:p>
              </w:tc>
              <w:tc>
                <w:tcPr>
                  <w:tcW w:w="986" w:type="dxa"/>
                  <w:noWrap/>
                  <w:vAlign w:val="center"/>
                </w:tcPr>
                <w:p>
                  <w:pPr>
                    <w:widowControl/>
                    <w:jc w:val="center"/>
                    <w:textAlignment w:val="center"/>
                    <w:rPr>
                      <w:color w:val="auto"/>
                      <w:szCs w:val="21"/>
                      <w:highlight w:val="none"/>
                    </w:rPr>
                  </w:pPr>
                  <w:r>
                    <w:rPr>
                      <w:color w:val="auto"/>
                      <w:kern w:val="0"/>
                      <w:szCs w:val="21"/>
                      <w:highlight w:val="none"/>
                      <w:lang w:bidi="ar"/>
                    </w:rPr>
                    <w:t>各1</w:t>
                  </w:r>
                </w:p>
              </w:tc>
              <w:tc>
                <w:tcPr>
                  <w:tcW w:w="1057" w:type="dxa"/>
                  <w:noWrap/>
                  <w:vAlign w:val="center"/>
                </w:tcPr>
                <w:p>
                  <w:pPr>
                    <w:widowControl/>
                    <w:jc w:val="center"/>
                    <w:textAlignment w:val="center"/>
                    <w:rPr>
                      <w:color w:val="auto"/>
                      <w:kern w:val="0"/>
                      <w:szCs w:val="21"/>
                      <w:highlight w:val="none"/>
                      <w:lang w:bidi="ar"/>
                    </w:rPr>
                  </w:pPr>
                  <w:r>
                    <w:rPr>
                      <w:color w:val="auto"/>
                      <w:kern w:val="0"/>
                      <w:szCs w:val="21"/>
                      <w:highlight w:val="none"/>
                      <w:lang w:bidi="ar"/>
                    </w:rPr>
                    <w:t>各1</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580" w:type="dxa"/>
                  <w:vMerge w:val="continue"/>
                  <w:noWrap w:val="0"/>
                  <w:vAlign w:val="center"/>
                </w:tcPr>
                <w:p>
                  <w:pPr>
                    <w:widowControl/>
                    <w:jc w:val="center"/>
                    <w:rPr>
                      <w:color w:val="auto"/>
                      <w:szCs w:val="21"/>
                      <w:highlight w:val="none"/>
                    </w:rPr>
                  </w:pPr>
                </w:p>
              </w:tc>
              <w:tc>
                <w:tcPr>
                  <w:tcW w:w="582" w:type="dxa"/>
                  <w:vMerge w:val="continue"/>
                  <w:noWrap w:val="0"/>
                  <w:vAlign w:val="center"/>
                </w:tcPr>
                <w:p>
                  <w:pPr>
                    <w:widowControl/>
                    <w:jc w:val="center"/>
                    <w:rPr>
                      <w:b/>
                      <w:bCs/>
                      <w:color w:val="auto"/>
                      <w:szCs w:val="21"/>
                      <w:highlight w:val="none"/>
                    </w:rPr>
                  </w:pPr>
                </w:p>
              </w:tc>
              <w:tc>
                <w:tcPr>
                  <w:tcW w:w="1761" w:type="dxa"/>
                  <w:noWrap/>
                  <w:vAlign w:val="center"/>
                </w:tcPr>
                <w:p>
                  <w:pPr>
                    <w:widowControl/>
                    <w:jc w:val="center"/>
                    <w:textAlignment w:val="center"/>
                    <w:rPr>
                      <w:color w:val="auto"/>
                      <w:szCs w:val="21"/>
                      <w:highlight w:val="none"/>
                    </w:rPr>
                  </w:pPr>
                  <w:r>
                    <w:rPr>
                      <w:color w:val="auto"/>
                      <w:kern w:val="0"/>
                      <w:szCs w:val="21"/>
                      <w:highlight w:val="none"/>
                      <w:lang w:bidi="ar"/>
                    </w:rPr>
                    <w:t>矿粉提升机</w:t>
                  </w:r>
                </w:p>
              </w:tc>
              <w:tc>
                <w:tcPr>
                  <w:tcW w:w="1398" w:type="dxa"/>
                  <w:noWrap/>
                  <w:vAlign w:val="center"/>
                </w:tcPr>
                <w:p>
                  <w:pPr>
                    <w:widowControl/>
                    <w:jc w:val="center"/>
                    <w:rPr>
                      <w:rFonts w:hint="eastAsia"/>
                      <w:color w:val="auto"/>
                      <w:szCs w:val="21"/>
                      <w:highlight w:val="none"/>
                    </w:rPr>
                  </w:pPr>
                  <w:r>
                    <w:rPr>
                      <w:rFonts w:hint="eastAsia"/>
                      <w:color w:val="auto"/>
                      <w:szCs w:val="21"/>
                      <w:highlight w:val="none"/>
                    </w:rPr>
                    <w:t>/</w:t>
                  </w:r>
                </w:p>
              </w:tc>
              <w:tc>
                <w:tcPr>
                  <w:tcW w:w="1576" w:type="dxa"/>
                  <w:noWrap/>
                  <w:vAlign w:val="center"/>
                </w:tcPr>
                <w:p>
                  <w:pPr>
                    <w:widowControl/>
                    <w:jc w:val="center"/>
                    <w:rPr>
                      <w:rFonts w:hint="eastAsia"/>
                      <w:color w:val="auto"/>
                      <w:szCs w:val="21"/>
                      <w:highlight w:val="none"/>
                    </w:rPr>
                  </w:pPr>
                  <w:r>
                    <w:rPr>
                      <w:rFonts w:hint="eastAsia"/>
                      <w:color w:val="auto"/>
                      <w:szCs w:val="21"/>
                      <w:highlight w:val="none"/>
                    </w:rPr>
                    <w:t>/</w:t>
                  </w:r>
                </w:p>
              </w:tc>
              <w:tc>
                <w:tcPr>
                  <w:tcW w:w="986" w:type="dxa"/>
                  <w:noWrap/>
                  <w:vAlign w:val="center"/>
                </w:tcPr>
                <w:p>
                  <w:pPr>
                    <w:widowControl/>
                    <w:jc w:val="center"/>
                    <w:textAlignment w:val="center"/>
                    <w:rPr>
                      <w:color w:val="auto"/>
                      <w:szCs w:val="21"/>
                      <w:highlight w:val="none"/>
                    </w:rPr>
                  </w:pPr>
                  <w:r>
                    <w:rPr>
                      <w:color w:val="auto"/>
                      <w:kern w:val="0"/>
                      <w:szCs w:val="21"/>
                      <w:highlight w:val="none"/>
                      <w:lang w:bidi="ar"/>
                    </w:rPr>
                    <w:t>1套</w:t>
                  </w:r>
                </w:p>
              </w:tc>
              <w:tc>
                <w:tcPr>
                  <w:tcW w:w="1057" w:type="dxa"/>
                  <w:noWrap/>
                  <w:vAlign w:val="center"/>
                </w:tcPr>
                <w:p>
                  <w:pPr>
                    <w:widowControl/>
                    <w:jc w:val="center"/>
                    <w:textAlignment w:val="center"/>
                    <w:rPr>
                      <w:color w:val="auto"/>
                      <w:kern w:val="0"/>
                      <w:szCs w:val="21"/>
                      <w:highlight w:val="none"/>
                      <w:lang w:bidi="ar"/>
                    </w:rPr>
                  </w:pPr>
                  <w:r>
                    <w:rPr>
                      <w:color w:val="auto"/>
                      <w:kern w:val="0"/>
                      <w:szCs w:val="21"/>
                      <w:highlight w:val="none"/>
                      <w:lang w:bidi="ar"/>
                    </w:rPr>
                    <w:t>1套</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580" w:type="dxa"/>
                  <w:vMerge w:val="continue"/>
                  <w:noWrap w:val="0"/>
                  <w:vAlign w:val="center"/>
                </w:tcPr>
                <w:p>
                  <w:pPr>
                    <w:widowControl/>
                    <w:jc w:val="center"/>
                    <w:rPr>
                      <w:color w:val="auto"/>
                      <w:szCs w:val="21"/>
                      <w:highlight w:val="none"/>
                    </w:rPr>
                  </w:pPr>
                </w:p>
              </w:tc>
              <w:tc>
                <w:tcPr>
                  <w:tcW w:w="582" w:type="dxa"/>
                  <w:vMerge w:val="continue"/>
                  <w:noWrap w:val="0"/>
                  <w:vAlign w:val="center"/>
                </w:tcPr>
                <w:p>
                  <w:pPr>
                    <w:widowControl/>
                    <w:jc w:val="center"/>
                    <w:rPr>
                      <w:b/>
                      <w:bCs/>
                      <w:color w:val="auto"/>
                      <w:szCs w:val="21"/>
                      <w:highlight w:val="none"/>
                    </w:rPr>
                  </w:pPr>
                </w:p>
              </w:tc>
              <w:tc>
                <w:tcPr>
                  <w:tcW w:w="1761" w:type="dxa"/>
                  <w:noWrap/>
                  <w:vAlign w:val="center"/>
                </w:tcPr>
                <w:p>
                  <w:pPr>
                    <w:widowControl/>
                    <w:jc w:val="center"/>
                    <w:textAlignment w:val="center"/>
                    <w:rPr>
                      <w:color w:val="auto"/>
                      <w:szCs w:val="21"/>
                      <w:highlight w:val="none"/>
                    </w:rPr>
                  </w:pPr>
                  <w:r>
                    <w:rPr>
                      <w:color w:val="auto"/>
                      <w:kern w:val="0"/>
                      <w:szCs w:val="21"/>
                      <w:highlight w:val="none"/>
                      <w:lang w:bidi="ar"/>
                    </w:rPr>
                    <w:t>减速电机</w:t>
                  </w:r>
                </w:p>
              </w:tc>
              <w:tc>
                <w:tcPr>
                  <w:tcW w:w="1398" w:type="dxa"/>
                  <w:noWrap/>
                  <w:vAlign w:val="center"/>
                </w:tcPr>
                <w:p>
                  <w:pPr>
                    <w:widowControl/>
                    <w:jc w:val="center"/>
                    <w:textAlignment w:val="center"/>
                    <w:rPr>
                      <w:color w:val="auto"/>
                      <w:szCs w:val="21"/>
                      <w:highlight w:val="none"/>
                    </w:rPr>
                  </w:pPr>
                  <w:r>
                    <w:rPr>
                      <w:color w:val="auto"/>
                      <w:kern w:val="0"/>
                      <w:szCs w:val="21"/>
                      <w:highlight w:val="none"/>
                      <w:lang w:bidi="ar"/>
                    </w:rPr>
                    <w:t>5.5 kW</w:t>
                  </w:r>
                </w:p>
              </w:tc>
              <w:tc>
                <w:tcPr>
                  <w:tcW w:w="1576" w:type="dxa"/>
                  <w:noWrap/>
                  <w:vAlign w:val="center"/>
                </w:tcPr>
                <w:p>
                  <w:pPr>
                    <w:widowControl/>
                    <w:jc w:val="center"/>
                    <w:textAlignment w:val="center"/>
                    <w:rPr>
                      <w:rFonts w:hint="eastAsia"/>
                      <w:color w:val="auto"/>
                      <w:kern w:val="0"/>
                      <w:szCs w:val="21"/>
                      <w:highlight w:val="none"/>
                      <w:lang w:bidi="ar"/>
                    </w:rPr>
                  </w:pPr>
                  <w:r>
                    <w:rPr>
                      <w:rFonts w:hint="eastAsia"/>
                      <w:color w:val="auto"/>
                      <w:kern w:val="0"/>
                      <w:szCs w:val="21"/>
                      <w:highlight w:val="none"/>
                      <w:lang w:bidi="ar"/>
                    </w:rPr>
                    <w:t>/</w:t>
                  </w:r>
                </w:p>
              </w:tc>
              <w:tc>
                <w:tcPr>
                  <w:tcW w:w="986" w:type="dxa"/>
                  <w:noWrap/>
                  <w:vAlign w:val="center"/>
                </w:tcPr>
                <w:p>
                  <w:pPr>
                    <w:widowControl/>
                    <w:jc w:val="center"/>
                    <w:textAlignment w:val="center"/>
                    <w:rPr>
                      <w:color w:val="auto"/>
                      <w:szCs w:val="21"/>
                      <w:highlight w:val="none"/>
                    </w:rPr>
                  </w:pPr>
                  <w:r>
                    <w:rPr>
                      <w:color w:val="auto"/>
                      <w:kern w:val="0"/>
                      <w:szCs w:val="21"/>
                      <w:highlight w:val="none"/>
                      <w:lang w:bidi="ar"/>
                    </w:rPr>
                    <w:t>1</w:t>
                  </w:r>
                </w:p>
              </w:tc>
              <w:tc>
                <w:tcPr>
                  <w:tcW w:w="1057" w:type="dxa"/>
                  <w:noWrap/>
                  <w:vAlign w:val="center"/>
                </w:tcPr>
                <w:p>
                  <w:pPr>
                    <w:widowControl/>
                    <w:jc w:val="center"/>
                    <w:textAlignment w:val="center"/>
                    <w:rPr>
                      <w:color w:val="auto"/>
                      <w:kern w:val="0"/>
                      <w:szCs w:val="21"/>
                      <w:highlight w:val="none"/>
                      <w:lang w:bidi="ar"/>
                    </w:rPr>
                  </w:pPr>
                  <w:r>
                    <w:rPr>
                      <w:rFonts w:hint="eastAsia"/>
                      <w:color w:val="auto"/>
                      <w:kern w:val="0"/>
                      <w:szCs w:val="21"/>
                      <w:highlight w:val="none"/>
                      <w:lang w:bidi="ar"/>
                    </w:rPr>
                    <w:t>1</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580" w:type="dxa"/>
                  <w:vMerge w:val="continue"/>
                  <w:noWrap w:val="0"/>
                  <w:vAlign w:val="center"/>
                </w:tcPr>
                <w:p>
                  <w:pPr>
                    <w:widowControl/>
                    <w:jc w:val="center"/>
                    <w:rPr>
                      <w:color w:val="auto"/>
                      <w:szCs w:val="21"/>
                      <w:highlight w:val="none"/>
                    </w:rPr>
                  </w:pPr>
                </w:p>
              </w:tc>
              <w:tc>
                <w:tcPr>
                  <w:tcW w:w="582" w:type="dxa"/>
                  <w:vMerge w:val="continue"/>
                  <w:noWrap w:val="0"/>
                  <w:vAlign w:val="center"/>
                </w:tcPr>
                <w:p>
                  <w:pPr>
                    <w:widowControl/>
                    <w:jc w:val="center"/>
                    <w:rPr>
                      <w:b/>
                      <w:bCs/>
                      <w:color w:val="auto"/>
                      <w:szCs w:val="21"/>
                      <w:highlight w:val="none"/>
                    </w:rPr>
                  </w:pPr>
                </w:p>
              </w:tc>
              <w:tc>
                <w:tcPr>
                  <w:tcW w:w="1761" w:type="dxa"/>
                  <w:noWrap/>
                  <w:vAlign w:val="center"/>
                </w:tcPr>
                <w:p>
                  <w:pPr>
                    <w:widowControl/>
                    <w:jc w:val="center"/>
                    <w:textAlignment w:val="center"/>
                    <w:rPr>
                      <w:color w:val="auto"/>
                      <w:szCs w:val="21"/>
                      <w:highlight w:val="none"/>
                    </w:rPr>
                  </w:pPr>
                  <w:r>
                    <w:rPr>
                      <w:color w:val="auto"/>
                      <w:kern w:val="0"/>
                      <w:szCs w:val="21"/>
                      <w:highlight w:val="none"/>
                      <w:lang w:bidi="ar"/>
                    </w:rPr>
                    <w:t>螺旋输送机</w:t>
                  </w:r>
                </w:p>
              </w:tc>
              <w:tc>
                <w:tcPr>
                  <w:tcW w:w="1398" w:type="dxa"/>
                  <w:noWrap/>
                  <w:vAlign w:val="center"/>
                </w:tcPr>
                <w:p>
                  <w:pPr>
                    <w:widowControl/>
                    <w:jc w:val="center"/>
                    <w:textAlignment w:val="center"/>
                    <w:rPr>
                      <w:color w:val="auto"/>
                      <w:szCs w:val="21"/>
                      <w:highlight w:val="none"/>
                    </w:rPr>
                  </w:pPr>
                  <w:r>
                    <w:rPr>
                      <w:color w:val="auto"/>
                      <w:kern w:val="0"/>
                      <w:szCs w:val="21"/>
                      <w:highlight w:val="none"/>
                      <w:lang w:bidi="ar"/>
                    </w:rPr>
                    <w:t>合计22.5 kW</w:t>
                  </w:r>
                </w:p>
              </w:tc>
              <w:tc>
                <w:tcPr>
                  <w:tcW w:w="1576" w:type="dxa"/>
                  <w:noWrap/>
                  <w:vAlign w:val="center"/>
                </w:tcPr>
                <w:p>
                  <w:pPr>
                    <w:widowControl/>
                    <w:jc w:val="center"/>
                    <w:textAlignment w:val="center"/>
                    <w:rPr>
                      <w:color w:val="auto"/>
                      <w:kern w:val="0"/>
                      <w:szCs w:val="21"/>
                      <w:highlight w:val="none"/>
                      <w:lang w:bidi="ar"/>
                    </w:rPr>
                  </w:pPr>
                  <w:r>
                    <w:rPr>
                      <w:color w:val="auto"/>
                      <w:kern w:val="0"/>
                      <w:szCs w:val="21"/>
                      <w:highlight w:val="none"/>
                      <w:lang w:bidi="ar"/>
                    </w:rPr>
                    <w:t>合计</w:t>
                  </w:r>
                  <w:r>
                    <w:rPr>
                      <w:rFonts w:hint="eastAsia"/>
                      <w:color w:val="auto"/>
                      <w:kern w:val="0"/>
                      <w:szCs w:val="21"/>
                      <w:highlight w:val="none"/>
                      <w:lang w:bidi="ar"/>
                    </w:rPr>
                    <w:t>36.7</w:t>
                  </w:r>
                  <w:r>
                    <w:rPr>
                      <w:color w:val="auto"/>
                      <w:kern w:val="0"/>
                      <w:szCs w:val="21"/>
                      <w:highlight w:val="none"/>
                      <w:lang w:bidi="ar"/>
                    </w:rPr>
                    <w:t xml:space="preserve"> kW</w:t>
                  </w:r>
                </w:p>
              </w:tc>
              <w:tc>
                <w:tcPr>
                  <w:tcW w:w="986" w:type="dxa"/>
                  <w:noWrap/>
                  <w:vAlign w:val="center"/>
                </w:tcPr>
                <w:p>
                  <w:pPr>
                    <w:widowControl/>
                    <w:jc w:val="center"/>
                    <w:textAlignment w:val="center"/>
                    <w:rPr>
                      <w:color w:val="auto"/>
                      <w:szCs w:val="21"/>
                      <w:highlight w:val="none"/>
                    </w:rPr>
                  </w:pPr>
                  <w:r>
                    <w:rPr>
                      <w:color w:val="auto"/>
                      <w:kern w:val="0"/>
                      <w:szCs w:val="21"/>
                      <w:highlight w:val="none"/>
                      <w:lang w:bidi="ar"/>
                    </w:rPr>
                    <w:t>4</w:t>
                  </w:r>
                </w:p>
              </w:tc>
              <w:tc>
                <w:tcPr>
                  <w:tcW w:w="1057" w:type="dxa"/>
                  <w:noWrap/>
                  <w:vAlign w:val="center"/>
                </w:tcPr>
                <w:p>
                  <w:pPr>
                    <w:widowControl/>
                    <w:jc w:val="center"/>
                    <w:textAlignment w:val="center"/>
                    <w:rPr>
                      <w:color w:val="auto"/>
                      <w:kern w:val="0"/>
                      <w:szCs w:val="21"/>
                      <w:highlight w:val="none"/>
                      <w:lang w:bidi="ar"/>
                    </w:rPr>
                  </w:pPr>
                  <w:r>
                    <w:rPr>
                      <w:rFonts w:hint="eastAsia"/>
                      <w:color w:val="auto"/>
                      <w:kern w:val="0"/>
                      <w:szCs w:val="21"/>
                      <w:highlight w:val="none"/>
                      <w:lang w:bidi="ar"/>
                    </w:rPr>
                    <w:t>7</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580" w:type="dxa"/>
                  <w:vMerge w:val="restart"/>
                  <w:noWrap w:val="0"/>
                  <w:vAlign w:val="center"/>
                </w:tcPr>
                <w:p>
                  <w:pPr>
                    <w:widowControl/>
                    <w:jc w:val="center"/>
                    <w:textAlignment w:val="center"/>
                    <w:rPr>
                      <w:color w:val="auto"/>
                      <w:szCs w:val="21"/>
                      <w:highlight w:val="none"/>
                    </w:rPr>
                  </w:pPr>
                  <w:r>
                    <w:rPr>
                      <w:color w:val="auto"/>
                      <w:kern w:val="0"/>
                      <w:szCs w:val="21"/>
                      <w:highlight w:val="none"/>
                      <w:lang w:bidi="ar"/>
                    </w:rPr>
                    <w:t>5</w:t>
                  </w:r>
                </w:p>
              </w:tc>
              <w:tc>
                <w:tcPr>
                  <w:tcW w:w="582" w:type="dxa"/>
                  <w:vMerge w:val="restart"/>
                  <w:noWrap w:val="0"/>
                  <w:vAlign w:val="center"/>
                </w:tcPr>
                <w:p>
                  <w:pPr>
                    <w:widowControl/>
                    <w:jc w:val="center"/>
                    <w:textAlignment w:val="center"/>
                    <w:rPr>
                      <w:b/>
                      <w:bCs/>
                      <w:color w:val="auto"/>
                      <w:szCs w:val="21"/>
                      <w:highlight w:val="none"/>
                    </w:rPr>
                  </w:pPr>
                  <w:r>
                    <w:rPr>
                      <w:b/>
                      <w:bCs/>
                      <w:color w:val="auto"/>
                      <w:kern w:val="0"/>
                      <w:szCs w:val="21"/>
                      <w:highlight w:val="none"/>
                      <w:lang w:bidi="ar"/>
                    </w:rPr>
                    <w:t>热骨料提升机</w:t>
                  </w:r>
                </w:p>
              </w:tc>
              <w:tc>
                <w:tcPr>
                  <w:tcW w:w="1761" w:type="dxa"/>
                  <w:noWrap/>
                  <w:vAlign w:val="center"/>
                </w:tcPr>
                <w:p>
                  <w:pPr>
                    <w:widowControl/>
                    <w:jc w:val="center"/>
                    <w:textAlignment w:val="center"/>
                    <w:rPr>
                      <w:color w:val="auto"/>
                      <w:szCs w:val="21"/>
                      <w:highlight w:val="none"/>
                    </w:rPr>
                  </w:pPr>
                  <w:r>
                    <w:rPr>
                      <w:color w:val="auto"/>
                      <w:kern w:val="0"/>
                      <w:szCs w:val="21"/>
                      <w:highlight w:val="none"/>
                      <w:lang w:bidi="ar"/>
                    </w:rPr>
                    <w:t>热骨料提升机</w:t>
                  </w:r>
                </w:p>
              </w:tc>
              <w:tc>
                <w:tcPr>
                  <w:tcW w:w="1398" w:type="dxa"/>
                  <w:noWrap/>
                  <w:vAlign w:val="center"/>
                </w:tcPr>
                <w:p>
                  <w:pPr>
                    <w:widowControl/>
                    <w:jc w:val="center"/>
                    <w:textAlignment w:val="center"/>
                    <w:rPr>
                      <w:color w:val="auto"/>
                      <w:szCs w:val="21"/>
                      <w:highlight w:val="none"/>
                    </w:rPr>
                  </w:pPr>
                  <w:r>
                    <w:rPr>
                      <w:color w:val="auto"/>
                      <w:kern w:val="0"/>
                      <w:szCs w:val="21"/>
                      <w:highlight w:val="none"/>
                      <w:lang w:bidi="ar"/>
                    </w:rPr>
                    <w:t>环链</w:t>
                  </w:r>
                </w:p>
              </w:tc>
              <w:tc>
                <w:tcPr>
                  <w:tcW w:w="1576" w:type="dxa"/>
                  <w:noWrap/>
                  <w:vAlign w:val="center"/>
                </w:tcPr>
                <w:p>
                  <w:pPr>
                    <w:widowControl/>
                    <w:jc w:val="center"/>
                    <w:textAlignment w:val="center"/>
                    <w:rPr>
                      <w:rFonts w:hint="eastAsia"/>
                      <w:color w:val="auto"/>
                      <w:kern w:val="0"/>
                      <w:szCs w:val="21"/>
                      <w:highlight w:val="none"/>
                      <w:lang w:bidi="ar"/>
                    </w:rPr>
                  </w:pPr>
                  <w:r>
                    <w:rPr>
                      <w:rFonts w:hint="eastAsia"/>
                      <w:color w:val="auto"/>
                      <w:kern w:val="0"/>
                      <w:szCs w:val="21"/>
                      <w:highlight w:val="none"/>
                      <w:lang w:bidi="ar"/>
                    </w:rPr>
                    <w:t>/</w:t>
                  </w:r>
                </w:p>
              </w:tc>
              <w:tc>
                <w:tcPr>
                  <w:tcW w:w="986" w:type="dxa"/>
                  <w:noWrap/>
                  <w:vAlign w:val="center"/>
                </w:tcPr>
                <w:p>
                  <w:pPr>
                    <w:widowControl/>
                    <w:jc w:val="center"/>
                    <w:textAlignment w:val="center"/>
                    <w:rPr>
                      <w:color w:val="auto"/>
                      <w:szCs w:val="21"/>
                      <w:highlight w:val="none"/>
                    </w:rPr>
                  </w:pPr>
                  <w:r>
                    <w:rPr>
                      <w:color w:val="auto"/>
                      <w:kern w:val="0"/>
                      <w:szCs w:val="21"/>
                      <w:highlight w:val="none"/>
                      <w:lang w:bidi="ar"/>
                    </w:rPr>
                    <w:t>1</w:t>
                  </w:r>
                </w:p>
              </w:tc>
              <w:tc>
                <w:tcPr>
                  <w:tcW w:w="1057" w:type="dxa"/>
                  <w:noWrap/>
                  <w:vAlign w:val="center"/>
                </w:tcPr>
                <w:p>
                  <w:pPr>
                    <w:widowControl/>
                    <w:jc w:val="center"/>
                    <w:textAlignment w:val="center"/>
                    <w:rPr>
                      <w:color w:val="auto"/>
                      <w:kern w:val="0"/>
                      <w:szCs w:val="21"/>
                      <w:highlight w:val="none"/>
                      <w:lang w:bidi="ar"/>
                    </w:rPr>
                  </w:pPr>
                  <w:r>
                    <w:rPr>
                      <w:rFonts w:hint="eastAsia"/>
                      <w:color w:val="auto"/>
                      <w:kern w:val="0"/>
                      <w:szCs w:val="21"/>
                      <w:highlight w:val="none"/>
                      <w:lang w:bidi="ar"/>
                    </w:rPr>
                    <w:t>1</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580" w:type="dxa"/>
                  <w:vMerge w:val="continue"/>
                  <w:noWrap w:val="0"/>
                  <w:vAlign w:val="center"/>
                </w:tcPr>
                <w:p>
                  <w:pPr>
                    <w:widowControl/>
                    <w:jc w:val="center"/>
                    <w:rPr>
                      <w:color w:val="auto"/>
                      <w:szCs w:val="21"/>
                      <w:highlight w:val="none"/>
                    </w:rPr>
                  </w:pPr>
                </w:p>
              </w:tc>
              <w:tc>
                <w:tcPr>
                  <w:tcW w:w="582" w:type="dxa"/>
                  <w:vMerge w:val="continue"/>
                  <w:noWrap w:val="0"/>
                  <w:vAlign w:val="center"/>
                </w:tcPr>
                <w:p>
                  <w:pPr>
                    <w:widowControl/>
                    <w:jc w:val="center"/>
                    <w:rPr>
                      <w:b/>
                      <w:bCs/>
                      <w:color w:val="auto"/>
                      <w:szCs w:val="21"/>
                      <w:highlight w:val="none"/>
                    </w:rPr>
                  </w:pPr>
                </w:p>
              </w:tc>
              <w:tc>
                <w:tcPr>
                  <w:tcW w:w="1761" w:type="dxa"/>
                  <w:noWrap/>
                  <w:vAlign w:val="center"/>
                </w:tcPr>
                <w:p>
                  <w:pPr>
                    <w:widowControl/>
                    <w:jc w:val="center"/>
                    <w:textAlignment w:val="center"/>
                    <w:rPr>
                      <w:color w:val="auto"/>
                      <w:szCs w:val="21"/>
                      <w:highlight w:val="none"/>
                    </w:rPr>
                  </w:pPr>
                  <w:r>
                    <w:rPr>
                      <w:color w:val="auto"/>
                      <w:kern w:val="0"/>
                      <w:szCs w:val="21"/>
                      <w:highlight w:val="none"/>
                      <w:lang w:bidi="ar"/>
                    </w:rPr>
                    <w:t>减速电机</w:t>
                  </w:r>
                </w:p>
              </w:tc>
              <w:tc>
                <w:tcPr>
                  <w:tcW w:w="1398" w:type="dxa"/>
                  <w:noWrap/>
                  <w:vAlign w:val="center"/>
                </w:tcPr>
                <w:p>
                  <w:pPr>
                    <w:widowControl/>
                    <w:jc w:val="center"/>
                    <w:textAlignment w:val="center"/>
                    <w:rPr>
                      <w:color w:val="auto"/>
                      <w:szCs w:val="21"/>
                      <w:highlight w:val="none"/>
                    </w:rPr>
                  </w:pPr>
                  <w:r>
                    <w:rPr>
                      <w:color w:val="auto"/>
                      <w:kern w:val="0"/>
                      <w:szCs w:val="21"/>
                      <w:highlight w:val="none"/>
                      <w:lang w:bidi="ar"/>
                    </w:rPr>
                    <w:t>30 kW</w:t>
                  </w:r>
                </w:p>
              </w:tc>
              <w:tc>
                <w:tcPr>
                  <w:tcW w:w="1576" w:type="dxa"/>
                  <w:noWrap/>
                  <w:vAlign w:val="center"/>
                </w:tcPr>
                <w:p>
                  <w:pPr>
                    <w:widowControl/>
                    <w:jc w:val="center"/>
                    <w:textAlignment w:val="center"/>
                    <w:rPr>
                      <w:color w:val="auto"/>
                      <w:kern w:val="0"/>
                      <w:szCs w:val="21"/>
                      <w:highlight w:val="none"/>
                      <w:lang w:bidi="ar"/>
                    </w:rPr>
                  </w:pPr>
                  <w:r>
                    <w:rPr>
                      <w:rFonts w:hint="eastAsia"/>
                      <w:color w:val="auto"/>
                      <w:kern w:val="0"/>
                      <w:szCs w:val="21"/>
                      <w:highlight w:val="none"/>
                      <w:lang w:bidi="ar"/>
                    </w:rPr>
                    <w:t>45kW</w:t>
                  </w:r>
                </w:p>
              </w:tc>
              <w:tc>
                <w:tcPr>
                  <w:tcW w:w="986" w:type="dxa"/>
                  <w:noWrap/>
                  <w:vAlign w:val="center"/>
                </w:tcPr>
                <w:p>
                  <w:pPr>
                    <w:widowControl/>
                    <w:jc w:val="center"/>
                    <w:textAlignment w:val="center"/>
                    <w:rPr>
                      <w:color w:val="auto"/>
                      <w:szCs w:val="21"/>
                      <w:highlight w:val="none"/>
                    </w:rPr>
                  </w:pPr>
                  <w:r>
                    <w:rPr>
                      <w:color w:val="auto"/>
                      <w:kern w:val="0"/>
                      <w:szCs w:val="21"/>
                      <w:highlight w:val="none"/>
                      <w:lang w:bidi="ar"/>
                    </w:rPr>
                    <w:t>1</w:t>
                  </w:r>
                </w:p>
              </w:tc>
              <w:tc>
                <w:tcPr>
                  <w:tcW w:w="1057" w:type="dxa"/>
                  <w:noWrap/>
                  <w:vAlign w:val="center"/>
                </w:tcPr>
                <w:p>
                  <w:pPr>
                    <w:widowControl/>
                    <w:jc w:val="center"/>
                    <w:textAlignment w:val="center"/>
                    <w:rPr>
                      <w:color w:val="auto"/>
                      <w:kern w:val="0"/>
                      <w:szCs w:val="21"/>
                      <w:highlight w:val="none"/>
                      <w:lang w:bidi="ar"/>
                    </w:rPr>
                  </w:pPr>
                  <w:r>
                    <w:rPr>
                      <w:rFonts w:hint="eastAsia"/>
                      <w:color w:val="auto"/>
                      <w:kern w:val="0"/>
                      <w:szCs w:val="21"/>
                      <w:highlight w:val="none"/>
                      <w:lang w:bidi="ar"/>
                    </w:rPr>
                    <w:t>1</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580" w:type="dxa"/>
                  <w:vMerge w:val="restart"/>
                  <w:noWrap w:val="0"/>
                  <w:vAlign w:val="center"/>
                </w:tcPr>
                <w:p>
                  <w:pPr>
                    <w:widowControl/>
                    <w:jc w:val="center"/>
                    <w:textAlignment w:val="center"/>
                    <w:rPr>
                      <w:color w:val="auto"/>
                      <w:szCs w:val="21"/>
                      <w:highlight w:val="none"/>
                    </w:rPr>
                  </w:pPr>
                  <w:r>
                    <w:rPr>
                      <w:color w:val="auto"/>
                      <w:kern w:val="0"/>
                      <w:szCs w:val="21"/>
                      <w:highlight w:val="none"/>
                      <w:lang w:bidi="ar"/>
                    </w:rPr>
                    <w:t>6</w:t>
                  </w:r>
                </w:p>
              </w:tc>
              <w:tc>
                <w:tcPr>
                  <w:tcW w:w="582" w:type="dxa"/>
                  <w:vMerge w:val="restart"/>
                  <w:noWrap w:val="0"/>
                  <w:vAlign w:val="center"/>
                </w:tcPr>
                <w:p>
                  <w:pPr>
                    <w:widowControl/>
                    <w:jc w:val="center"/>
                    <w:textAlignment w:val="center"/>
                    <w:rPr>
                      <w:b/>
                      <w:bCs/>
                      <w:color w:val="auto"/>
                      <w:szCs w:val="21"/>
                      <w:highlight w:val="none"/>
                    </w:rPr>
                  </w:pPr>
                  <w:r>
                    <w:rPr>
                      <w:b/>
                      <w:bCs/>
                      <w:color w:val="auto"/>
                      <w:kern w:val="0"/>
                      <w:szCs w:val="21"/>
                      <w:highlight w:val="none"/>
                      <w:lang w:bidi="ar"/>
                    </w:rPr>
                    <w:t>振动筛</w:t>
                  </w:r>
                </w:p>
              </w:tc>
              <w:tc>
                <w:tcPr>
                  <w:tcW w:w="1761" w:type="dxa"/>
                  <w:noWrap/>
                  <w:vAlign w:val="center"/>
                </w:tcPr>
                <w:p>
                  <w:pPr>
                    <w:widowControl/>
                    <w:jc w:val="center"/>
                    <w:textAlignment w:val="center"/>
                    <w:rPr>
                      <w:color w:val="auto"/>
                      <w:szCs w:val="21"/>
                      <w:highlight w:val="none"/>
                    </w:rPr>
                  </w:pPr>
                  <w:r>
                    <w:rPr>
                      <w:color w:val="auto"/>
                      <w:kern w:val="0"/>
                      <w:szCs w:val="21"/>
                      <w:highlight w:val="none"/>
                      <w:lang w:bidi="ar"/>
                    </w:rPr>
                    <w:t>双振动电机</w:t>
                  </w:r>
                </w:p>
              </w:tc>
              <w:tc>
                <w:tcPr>
                  <w:tcW w:w="1398" w:type="dxa"/>
                  <w:noWrap/>
                  <w:vAlign w:val="center"/>
                </w:tcPr>
                <w:p>
                  <w:pPr>
                    <w:widowControl/>
                    <w:jc w:val="center"/>
                    <w:textAlignment w:val="center"/>
                    <w:rPr>
                      <w:color w:val="auto"/>
                      <w:szCs w:val="21"/>
                      <w:highlight w:val="none"/>
                    </w:rPr>
                  </w:pPr>
                  <w:r>
                    <w:rPr>
                      <w:color w:val="auto"/>
                      <w:kern w:val="0"/>
                      <w:szCs w:val="21"/>
                      <w:highlight w:val="none"/>
                      <w:lang w:bidi="ar"/>
                    </w:rPr>
                    <w:t>7 kW</w:t>
                  </w:r>
                </w:p>
              </w:tc>
              <w:tc>
                <w:tcPr>
                  <w:tcW w:w="1576" w:type="dxa"/>
                  <w:noWrap/>
                  <w:vAlign w:val="center"/>
                </w:tcPr>
                <w:p>
                  <w:pPr>
                    <w:widowControl/>
                    <w:jc w:val="center"/>
                    <w:textAlignment w:val="center"/>
                    <w:rPr>
                      <w:color w:val="auto"/>
                      <w:kern w:val="0"/>
                      <w:szCs w:val="21"/>
                      <w:highlight w:val="none"/>
                      <w:lang w:bidi="ar"/>
                    </w:rPr>
                  </w:pPr>
                  <w:r>
                    <w:rPr>
                      <w:color w:val="auto"/>
                      <w:kern w:val="0"/>
                      <w:szCs w:val="21"/>
                      <w:highlight w:val="none"/>
                      <w:lang w:bidi="ar"/>
                    </w:rPr>
                    <w:t>7 kW</w:t>
                  </w:r>
                </w:p>
              </w:tc>
              <w:tc>
                <w:tcPr>
                  <w:tcW w:w="986" w:type="dxa"/>
                  <w:noWrap/>
                  <w:vAlign w:val="center"/>
                </w:tcPr>
                <w:p>
                  <w:pPr>
                    <w:widowControl/>
                    <w:jc w:val="center"/>
                    <w:textAlignment w:val="center"/>
                    <w:rPr>
                      <w:color w:val="auto"/>
                      <w:szCs w:val="21"/>
                      <w:highlight w:val="none"/>
                    </w:rPr>
                  </w:pPr>
                  <w:r>
                    <w:rPr>
                      <w:color w:val="auto"/>
                      <w:kern w:val="0"/>
                      <w:szCs w:val="21"/>
                      <w:highlight w:val="none"/>
                      <w:lang w:bidi="ar"/>
                    </w:rPr>
                    <w:t>2</w:t>
                  </w:r>
                </w:p>
              </w:tc>
              <w:tc>
                <w:tcPr>
                  <w:tcW w:w="1057" w:type="dxa"/>
                  <w:noWrap/>
                  <w:vAlign w:val="center"/>
                </w:tcPr>
                <w:p>
                  <w:pPr>
                    <w:widowControl/>
                    <w:jc w:val="center"/>
                    <w:textAlignment w:val="center"/>
                    <w:rPr>
                      <w:color w:val="auto"/>
                      <w:kern w:val="0"/>
                      <w:szCs w:val="21"/>
                      <w:highlight w:val="none"/>
                      <w:lang w:bidi="ar"/>
                    </w:rPr>
                  </w:pPr>
                  <w:r>
                    <w:rPr>
                      <w:rFonts w:hint="eastAsia"/>
                      <w:color w:val="auto"/>
                      <w:kern w:val="0"/>
                      <w:szCs w:val="21"/>
                      <w:highlight w:val="none"/>
                      <w:lang w:bidi="ar"/>
                    </w:rPr>
                    <w:t>2</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580" w:type="dxa"/>
                  <w:vMerge w:val="continue"/>
                  <w:noWrap w:val="0"/>
                  <w:vAlign w:val="center"/>
                </w:tcPr>
                <w:p>
                  <w:pPr>
                    <w:widowControl/>
                    <w:jc w:val="center"/>
                    <w:rPr>
                      <w:color w:val="auto"/>
                      <w:szCs w:val="21"/>
                      <w:highlight w:val="none"/>
                    </w:rPr>
                  </w:pPr>
                </w:p>
              </w:tc>
              <w:tc>
                <w:tcPr>
                  <w:tcW w:w="582" w:type="dxa"/>
                  <w:vMerge w:val="continue"/>
                  <w:noWrap w:val="0"/>
                  <w:vAlign w:val="center"/>
                </w:tcPr>
                <w:p>
                  <w:pPr>
                    <w:widowControl/>
                    <w:jc w:val="center"/>
                    <w:rPr>
                      <w:b/>
                      <w:bCs/>
                      <w:color w:val="auto"/>
                      <w:szCs w:val="21"/>
                      <w:highlight w:val="none"/>
                    </w:rPr>
                  </w:pPr>
                </w:p>
              </w:tc>
              <w:tc>
                <w:tcPr>
                  <w:tcW w:w="1761" w:type="dxa"/>
                  <w:noWrap/>
                  <w:vAlign w:val="center"/>
                </w:tcPr>
                <w:p>
                  <w:pPr>
                    <w:widowControl/>
                    <w:jc w:val="center"/>
                    <w:textAlignment w:val="center"/>
                    <w:rPr>
                      <w:color w:val="auto"/>
                      <w:szCs w:val="21"/>
                      <w:highlight w:val="none"/>
                    </w:rPr>
                  </w:pPr>
                  <w:r>
                    <w:rPr>
                      <w:color w:val="auto"/>
                      <w:kern w:val="0"/>
                      <w:szCs w:val="21"/>
                      <w:highlight w:val="none"/>
                      <w:lang w:bidi="ar"/>
                    </w:rPr>
                    <w:t>筛网</w:t>
                  </w:r>
                </w:p>
              </w:tc>
              <w:tc>
                <w:tcPr>
                  <w:tcW w:w="1398" w:type="dxa"/>
                  <w:noWrap/>
                  <w:vAlign w:val="center"/>
                </w:tcPr>
                <w:p>
                  <w:pPr>
                    <w:widowControl/>
                    <w:jc w:val="center"/>
                    <w:rPr>
                      <w:rFonts w:hint="eastAsia"/>
                      <w:color w:val="auto"/>
                      <w:szCs w:val="21"/>
                      <w:highlight w:val="none"/>
                    </w:rPr>
                  </w:pPr>
                  <w:r>
                    <w:rPr>
                      <w:rFonts w:hint="eastAsia"/>
                      <w:color w:val="auto"/>
                      <w:szCs w:val="21"/>
                      <w:highlight w:val="none"/>
                    </w:rPr>
                    <w:t>/</w:t>
                  </w:r>
                </w:p>
              </w:tc>
              <w:tc>
                <w:tcPr>
                  <w:tcW w:w="1576" w:type="dxa"/>
                  <w:noWrap/>
                  <w:vAlign w:val="center"/>
                </w:tcPr>
                <w:p>
                  <w:pPr>
                    <w:widowControl/>
                    <w:jc w:val="center"/>
                    <w:rPr>
                      <w:rFonts w:hint="eastAsia"/>
                      <w:color w:val="auto"/>
                      <w:szCs w:val="21"/>
                      <w:highlight w:val="none"/>
                    </w:rPr>
                  </w:pPr>
                  <w:r>
                    <w:rPr>
                      <w:rFonts w:hint="eastAsia"/>
                      <w:color w:val="auto"/>
                      <w:szCs w:val="21"/>
                      <w:highlight w:val="none"/>
                    </w:rPr>
                    <w:t>/</w:t>
                  </w:r>
                </w:p>
              </w:tc>
              <w:tc>
                <w:tcPr>
                  <w:tcW w:w="986" w:type="dxa"/>
                  <w:noWrap/>
                  <w:vAlign w:val="center"/>
                </w:tcPr>
                <w:p>
                  <w:pPr>
                    <w:widowControl/>
                    <w:jc w:val="center"/>
                    <w:textAlignment w:val="center"/>
                    <w:rPr>
                      <w:color w:val="auto"/>
                      <w:szCs w:val="21"/>
                      <w:highlight w:val="none"/>
                    </w:rPr>
                  </w:pPr>
                  <w:r>
                    <w:rPr>
                      <w:color w:val="auto"/>
                      <w:kern w:val="0"/>
                      <w:szCs w:val="21"/>
                      <w:highlight w:val="none"/>
                      <w:lang w:bidi="ar"/>
                    </w:rPr>
                    <w:t>1套</w:t>
                  </w:r>
                </w:p>
              </w:tc>
              <w:tc>
                <w:tcPr>
                  <w:tcW w:w="1057" w:type="dxa"/>
                  <w:noWrap/>
                  <w:vAlign w:val="center"/>
                </w:tcPr>
                <w:p>
                  <w:pPr>
                    <w:widowControl/>
                    <w:jc w:val="center"/>
                    <w:textAlignment w:val="center"/>
                    <w:rPr>
                      <w:color w:val="auto"/>
                      <w:kern w:val="0"/>
                      <w:szCs w:val="21"/>
                      <w:highlight w:val="none"/>
                      <w:lang w:bidi="ar"/>
                    </w:rPr>
                  </w:pPr>
                  <w:r>
                    <w:rPr>
                      <w:color w:val="auto"/>
                      <w:kern w:val="0"/>
                      <w:szCs w:val="21"/>
                      <w:highlight w:val="none"/>
                      <w:lang w:bidi="ar"/>
                    </w:rPr>
                    <w:t>1套</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580" w:type="dxa"/>
                  <w:vMerge w:val="continue"/>
                  <w:noWrap w:val="0"/>
                  <w:vAlign w:val="center"/>
                </w:tcPr>
                <w:p>
                  <w:pPr>
                    <w:widowControl/>
                    <w:jc w:val="center"/>
                    <w:rPr>
                      <w:color w:val="auto"/>
                      <w:szCs w:val="21"/>
                      <w:highlight w:val="none"/>
                    </w:rPr>
                  </w:pPr>
                </w:p>
              </w:tc>
              <w:tc>
                <w:tcPr>
                  <w:tcW w:w="582" w:type="dxa"/>
                  <w:vMerge w:val="continue"/>
                  <w:noWrap w:val="0"/>
                  <w:vAlign w:val="center"/>
                </w:tcPr>
                <w:p>
                  <w:pPr>
                    <w:widowControl/>
                    <w:jc w:val="center"/>
                    <w:rPr>
                      <w:b/>
                      <w:bCs/>
                      <w:color w:val="auto"/>
                      <w:szCs w:val="21"/>
                      <w:highlight w:val="none"/>
                    </w:rPr>
                  </w:pPr>
                </w:p>
              </w:tc>
              <w:tc>
                <w:tcPr>
                  <w:tcW w:w="1761" w:type="dxa"/>
                  <w:noWrap/>
                  <w:vAlign w:val="center"/>
                </w:tcPr>
                <w:p>
                  <w:pPr>
                    <w:widowControl/>
                    <w:jc w:val="center"/>
                    <w:textAlignment w:val="center"/>
                    <w:rPr>
                      <w:color w:val="auto"/>
                      <w:szCs w:val="21"/>
                      <w:highlight w:val="none"/>
                    </w:rPr>
                  </w:pPr>
                  <w:r>
                    <w:rPr>
                      <w:color w:val="auto"/>
                      <w:kern w:val="0"/>
                      <w:szCs w:val="21"/>
                      <w:highlight w:val="none"/>
                      <w:lang w:bidi="ar"/>
                    </w:rPr>
                    <w:t>★筛网规格</w:t>
                  </w:r>
                </w:p>
              </w:tc>
              <w:tc>
                <w:tcPr>
                  <w:tcW w:w="1398" w:type="dxa"/>
                  <w:noWrap w:val="0"/>
                  <w:vAlign w:val="center"/>
                </w:tcPr>
                <w:p>
                  <w:pPr>
                    <w:widowControl/>
                    <w:jc w:val="center"/>
                    <w:textAlignment w:val="center"/>
                    <w:rPr>
                      <w:color w:val="auto"/>
                      <w:szCs w:val="21"/>
                      <w:highlight w:val="none"/>
                    </w:rPr>
                  </w:pPr>
                  <w:r>
                    <w:rPr>
                      <w:color w:val="auto"/>
                      <w:kern w:val="0"/>
                      <w:szCs w:val="21"/>
                      <w:highlight w:val="none"/>
                      <w:lang w:bidi="ar"/>
                    </w:rPr>
                    <w:t>筛网标配</w:t>
                  </w:r>
                  <w:r>
                    <w:rPr>
                      <w:color w:val="auto"/>
                      <w:kern w:val="0"/>
                      <w:szCs w:val="21"/>
                      <w:highlight w:val="none"/>
                      <w:lang w:bidi="ar"/>
                    </w:rPr>
                    <w:br w:type="textWrapping"/>
                  </w:r>
                  <w:r>
                    <w:rPr>
                      <w:color w:val="auto"/>
                      <w:kern w:val="0"/>
                      <w:szCs w:val="21"/>
                      <w:highlight w:val="none"/>
                      <w:lang w:bidi="ar"/>
                    </w:rPr>
                    <w:t>（3、6、11、22、35）</w:t>
                  </w:r>
                </w:p>
              </w:tc>
              <w:tc>
                <w:tcPr>
                  <w:tcW w:w="1576" w:type="dxa"/>
                  <w:noWrap/>
                  <w:vAlign w:val="center"/>
                </w:tcPr>
                <w:p>
                  <w:pPr>
                    <w:widowControl/>
                    <w:jc w:val="center"/>
                    <w:textAlignment w:val="center"/>
                    <w:rPr>
                      <w:color w:val="auto"/>
                      <w:kern w:val="0"/>
                      <w:szCs w:val="21"/>
                      <w:highlight w:val="none"/>
                      <w:lang w:bidi="ar"/>
                    </w:rPr>
                  </w:pPr>
                  <w:r>
                    <w:rPr>
                      <w:color w:val="auto"/>
                      <w:kern w:val="0"/>
                      <w:szCs w:val="21"/>
                      <w:highlight w:val="none"/>
                      <w:lang w:bidi="ar"/>
                    </w:rPr>
                    <w:t>筛网标配</w:t>
                  </w:r>
                  <w:r>
                    <w:rPr>
                      <w:color w:val="auto"/>
                      <w:kern w:val="0"/>
                      <w:szCs w:val="21"/>
                      <w:highlight w:val="none"/>
                      <w:lang w:bidi="ar"/>
                    </w:rPr>
                    <w:br w:type="textWrapping"/>
                  </w:r>
                  <w:r>
                    <w:rPr>
                      <w:color w:val="auto"/>
                      <w:kern w:val="0"/>
                      <w:szCs w:val="21"/>
                      <w:highlight w:val="none"/>
                      <w:lang w:bidi="ar"/>
                    </w:rPr>
                    <w:t>（3、6、11、22、35）</w:t>
                  </w:r>
                </w:p>
              </w:tc>
              <w:tc>
                <w:tcPr>
                  <w:tcW w:w="986" w:type="dxa"/>
                  <w:noWrap/>
                  <w:vAlign w:val="center"/>
                </w:tcPr>
                <w:p>
                  <w:pPr>
                    <w:widowControl/>
                    <w:jc w:val="center"/>
                    <w:textAlignment w:val="center"/>
                    <w:rPr>
                      <w:color w:val="auto"/>
                      <w:szCs w:val="21"/>
                      <w:highlight w:val="none"/>
                    </w:rPr>
                  </w:pPr>
                  <w:r>
                    <w:rPr>
                      <w:color w:val="auto"/>
                      <w:kern w:val="0"/>
                      <w:szCs w:val="21"/>
                      <w:highlight w:val="none"/>
                      <w:lang w:bidi="ar"/>
                    </w:rPr>
                    <w:t>1套</w:t>
                  </w:r>
                </w:p>
              </w:tc>
              <w:tc>
                <w:tcPr>
                  <w:tcW w:w="1057" w:type="dxa"/>
                  <w:noWrap/>
                  <w:vAlign w:val="center"/>
                </w:tcPr>
                <w:p>
                  <w:pPr>
                    <w:widowControl/>
                    <w:jc w:val="center"/>
                    <w:textAlignment w:val="center"/>
                    <w:rPr>
                      <w:color w:val="auto"/>
                      <w:kern w:val="0"/>
                      <w:szCs w:val="21"/>
                      <w:highlight w:val="none"/>
                      <w:lang w:bidi="ar"/>
                    </w:rPr>
                  </w:pPr>
                  <w:r>
                    <w:rPr>
                      <w:color w:val="auto"/>
                      <w:kern w:val="0"/>
                      <w:szCs w:val="21"/>
                      <w:highlight w:val="none"/>
                      <w:lang w:bidi="ar"/>
                    </w:rPr>
                    <w:t>1套</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580" w:type="dxa"/>
                  <w:vMerge w:val="restart"/>
                  <w:noWrap w:val="0"/>
                  <w:vAlign w:val="center"/>
                </w:tcPr>
                <w:p>
                  <w:pPr>
                    <w:widowControl/>
                    <w:jc w:val="center"/>
                    <w:textAlignment w:val="center"/>
                    <w:rPr>
                      <w:color w:val="auto"/>
                      <w:szCs w:val="21"/>
                      <w:highlight w:val="none"/>
                    </w:rPr>
                  </w:pPr>
                  <w:r>
                    <w:rPr>
                      <w:color w:val="auto"/>
                      <w:kern w:val="0"/>
                      <w:szCs w:val="21"/>
                      <w:highlight w:val="none"/>
                      <w:lang w:bidi="ar"/>
                    </w:rPr>
                    <w:t>7</w:t>
                  </w:r>
                </w:p>
              </w:tc>
              <w:tc>
                <w:tcPr>
                  <w:tcW w:w="582" w:type="dxa"/>
                  <w:vMerge w:val="restart"/>
                  <w:noWrap w:val="0"/>
                  <w:vAlign w:val="center"/>
                </w:tcPr>
                <w:p>
                  <w:pPr>
                    <w:widowControl/>
                    <w:jc w:val="center"/>
                    <w:textAlignment w:val="center"/>
                    <w:rPr>
                      <w:b/>
                      <w:bCs/>
                      <w:color w:val="auto"/>
                      <w:szCs w:val="21"/>
                      <w:highlight w:val="none"/>
                    </w:rPr>
                  </w:pPr>
                  <w:r>
                    <w:rPr>
                      <w:b/>
                      <w:bCs/>
                      <w:color w:val="auto"/>
                      <w:kern w:val="0"/>
                      <w:szCs w:val="21"/>
                      <w:highlight w:val="none"/>
                      <w:lang w:bidi="ar"/>
                    </w:rPr>
                    <w:t>热骨料仓系统</w:t>
                  </w:r>
                </w:p>
              </w:tc>
              <w:tc>
                <w:tcPr>
                  <w:tcW w:w="1761" w:type="dxa"/>
                  <w:noWrap/>
                  <w:vAlign w:val="center"/>
                </w:tcPr>
                <w:p>
                  <w:pPr>
                    <w:widowControl/>
                    <w:jc w:val="center"/>
                    <w:textAlignment w:val="center"/>
                    <w:rPr>
                      <w:color w:val="auto"/>
                      <w:szCs w:val="21"/>
                      <w:highlight w:val="none"/>
                    </w:rPr>
                  </w:pPr>
                  <w:r>
                    <w:rPr>
                      <w:color w:val="auto"/>
                      <w:kern w:val="0"/>
                      <w:szCs w:val="21"/>
                      <w:highlight w:val="none"/>
                      <w:lang w:bidi="ar"/>
                    </w:rPr>
                    <w:t>气缸</w:t>
                  </w:r>
                </w:p>
              </w:tc>
              <w:tc>
                <w:tcPr>
                  <w:tcW w:w="1398" w:type="dxa"/>
                  <w:noWrap/>
                  <w:vAlign w:val="center"/>
                </w:tcPr>
                <w:p>
                  <w:pPr>
                    <w:widowControl/>
                    <w:jc w:val="center"/>
                    <w:rPr>
                      <w:color w:val="auto"/>
                      <w:szCs w:val="21"/>
                      <w:highlight w:val="none"/>
                    </w:rPr>
                  </w:pPr>
                  <w:r>
                    <w:rPr>
                      <w:rFonts w:hint="eastAsia"/>
                      <w:color w:val="auto"/>
                      <w:szCs w:val="21"/>
                      <w:highlight w:val="none"/>
                    </w:rPr>
                    <w:t>/</w:t>
                  </w:r>
                </w:p>
              </w:tc>
              <w:tc>
                <w:tcPr>
                  <w:tcW w:w="1576" w:type="dxa"/>
                  <w:noWrap/>
                  <w:vAlign w:val="center"/>
                </w:tcPr>
                <w:p>
                  <w:pPr>
                    <w:widowControl/>
                    <w:jc w:val="center"/>
                    <w:rPr>
                      <w:color w:val="auto"/>
                      <w:szCs w:val="21"/>
                      <w:highlight w:val="none"/>
                    </w:rPr>
                  </w:pPr>
                  <w:r>
                    <w:rPr>
                      <w:rFonts w:hint="eastAsia"/>
                      <w:color w:val="auto"/>
                      <w:szCs w:val="21"/>
                      <w:highlight w:val="none"/>
                    </w:rPr>
                    <w:t>/</w:t>
                  </w:r>
                </w:p>
              </w:tc>
              <w:tc>
                <w:tcPr>
                  <w:tcW w:w="986" w:type="dxa"/>
                  <w:noWrap/>
                  <w:vAlign w:val="center"/>
                </w:tcPr>
                <w:p>
                  <w:pPr>
                    <w:widowControl/>
                    <w:jc w:val="center"/>
                    <w:textAlignment w:val="center"/>
                    <w:rPr>
                      <w:color w:val="auto"/>
                      <w:szCs w:val="21"/>
                      <w:highlight w:val="none"/>
                    </w:rPr>
                  </w:pPr>
                  <w:r>
                    <w:rPr>
                      <w:color w:val="auto"/>
                      <w:kern w:val="0"/>
                      <w:szCs w:val="21"/>
                      <w:highlight w:val="none"/>
                      <w:lang w:bidi="ar"/>
                    </w:rPr>
                    <w:t>5</w:t>
                  </w:r>
                </w:p>
              </w:tc>
              <w:tc>
                <w:tcPr>
                  <w:tcW w:w="1057" w:type="dxa"/>
                  <w:noWrap/>
                  <w:vAlign w:val="center"/>
                </w:tcPr>
                <w:p>
                  <w:pPr>
                    <w:widowControl/>
                    <w:jc w:val="center"/>
                    <w:textAlignment w:val="center"/>
                    <w:rPr>
                      <w:color w:val="auto"/>
                      <w:kern w:val="0"/>
                      <w:szCs w:val="21"/>
                      <w:highlight w:val="none"/>
                      <w:lang w:bidi="ar"/>
                    </w:rPr>
                  </w:pPr>
                  <w:r>
                    <w:rPr>
                      <w:rFonts w:hint="eastAsia"/>
                      <w:color w:val="auto"/>
                      <w:kern w:val="0"/>
                      <w:szCs w:val="21"/>
                      <w:highlight w:val="none"/>
                      <w:lang w:bidi="ar"/>
                    </w:rPr>
                    <w:t>6</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580" w:type="dxa"/>
                  <w:vMerge w:val="continue"/>
                  <w:noWrap w:val="0"/>
                  <w:vAlign w:val="center"/>
                </w:tcPr>
                <w:p>
                  <w:pPr>
                    <w:widowControl/>
                    <w:jc w:val="center"/>
                    <w:rPr>
                      <w:color w:val="auto"/>
                      <w:szCs w:val="21"/>
                      <w:highlight w:val="none"/>
                    </w:rPr>
                  </w:pPr>
                </w:p>
              </w:tc>
              <w:tc>
                <w:tcPr>
                  <w:tcW w:w="582" w:type="dxa"/>
                  <w:vMerge w:val="continue"/>
                  <w:noWrap w:val="0"/>
                  <w:vAlign w:val="center"/>
                </w:tcPr>
                <w:p>
                  <w:pPr>
                    <w:widowControl/>
                    <w:jc w:val="center"/>
                    <w:rPr>
                      <w:b/>
                      <w:bCs/>
                      <w:color w:val="auto"/>
                      <w:szCs w:val="21"/>
                      <w:highlight w:val="none"/>
                    </w:rPr>
                  </w:pPr>
                </w:p>
              </w:tc>
              <w:tc>
                <w:tcPr>
                  <w:tcW w:w="1761" w:type="dxa"/>
                  <w:noWrap/>
                  <w:vAlign w:val="center"/>
                </w:tcPr>
                <w:p>
                  <w:pPr>
                    <w:widowControl/>
                    <w:jc w:val="center"/>
                    <w:textAlignment w:val="center"/>
                    <w:rPr>
                      <w:color w:val="auto"/>
                      <w:szCs w:val="21"/>
                      <w:highlight w:val="none"/>
                    </w:rPr>
                  </w:pPr>
                  <w:r>
                    <w:rPr>
                      <w:color w:val="auto"/>
                      <w:kern w:val="0"/>
                      <w:szCs w:val="21"/>
                      <w:highlight w:val="none"/>
                      <w:lang w:bidi="ar"/>
                    </w:rPr>
                    <w:t>连续料位计</w:t>
                  </w:r>
                </w:p>
              </w:tc>
              <w:tc>
                <w:tcPr>
                  <w:tcW w:w="1398" w:type="dxa"/>
                  <w:noWrap/>
                  <w:vAlign w:val="center"/>
                </w:tcPr>
                <w:p>
                  <w:pPr>
                    <w:widowControl/>
                    <w:jc w:val="center"/>
                    <w:rPr>
                      <w:color w:val="auto"/>
                      <w:szCs w:val="21"/>
                      <w:highlight w:val="none"/>
                    </w:rPr>
                  </w:pPr>
                  <w:r>
                    <w:rPr>
                      <w:rFonts w:hint="eastAsia"/>
                      <w:color w:val="auto"/>
                      <w:szCs w:val="21"/>
                      <w:highlight w:val="none"/>
                    </w:rPr>
                    <w:t>/</w:t>
                  </w:r>
                </w:p>
              </w:tc>
              <w:tc>
                <w:tcPr>
                  <w:tcW w:w="1576" w:type="dxa"/>
                  <w:noWrap/>
                  <w:vAlign w:val="center"/>
                </w:tcPr>
                <w:p>
                  <w:pPr>
                    <w:widowControl/>
                    <w:jc w:val="center"/>
                    <w:rPr>
                      <w:color w:val="auto"/>
                      <w:szCs w:val="21"/>
                      <w:highlight w:val="none"/>
                    </w:rPr>
                  </w:pPr>
                  <w:r>
                    <w:rPr>
                      <w:rFonts w:hint="eastAsia"/>
                      <w:color w:val="auto"/>
                      <w:szCs w:val="21"/>
                      <w:highlight w:val="none"/>
                    </w:rPr>
                    <w:t>/</w:t>
                  </w:r>
                </w:p>
              </w:tc>
              <w:tc>
                <w:tcPr>
                  <w:tcW w:w="986" w:type="dxa"/>
                  <w:noWrap/>
                  <w:vAlign w:val="center"/>
                </w:tcPr>
                <w:p>
                  <w:pPr>
                    <w:widowControl/>
                    <w:jc w:val="center"/>
                    <w:textAlignment w:val="center"/>
                    <w:rPr>
                      <w:color w:val="auto"/>
                      <w:szCs w:val="21"/>
                      <w:highlight w:val="none"/>
                    </w:rPr>
                  </w:pPr>
                  <w:r>
                    <w:rPr>
                      <w:color w:val="auto"/>
                      <w:kern w:val="0"/>
                      <w:szCs w:val="21"/>
                      <w:highlight w:val="none"/>
                      <w:lang w:bidi="ar"/>
                    </w:rPr>
                    <w:t>5</w:t>
                  </w:r>
                </w:p>
              </w:tc>
              <w:tc>
                <w:tcPr>
                  <w:tcW w:w="1057" w:type="dxa"/>
                  <w:noWrap/>
                  <w:vAlign w:val="center"/>
                </w:tcPr>
                <w:p>
                  <w:pPr>
                    <w:widowControl/>
                    <w:jc w:val="center"/>
                    <w:textAlignment w:val="center"/>
                    <w:rPr>
                      <w:color w:val="auto"/>
                      <w:kern w:val="0"/>
                      <w:szCs w:val="21"/>
                      <w:highlight w:val="none"/>
                      <w:lang w:bidi="ar"/>
                    </w:rPr>
                  </w:pPr>
                  <w:r>
                    <w:rPr>
                      <w:rFonts w:hint="eastAsia"/>
                      <w:color w:val="auto"/>
                      <w:kern w:val="0"/>
                      <w:szCs w:val="21"/>
                      <w:highlight w:val="none"/>
                      <w:lang w:bidi="ar"/>
                    </w:rPr>
                    <w:t>6</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580" w:type="dxa"/>
                  <w:vMerge w:val="restart"/>
                  <w:noWrap w:val="0"/>
                  <w:vAlign w:val="center"/>
                </w:tcPr>
                <w:p>
                  <w:pPr>
                    <w:widowControl/>
                    <w:jc w:val="center"/>
                    <w:textAlignment w:val="center"/>
                    <w:rPr>
                      <w:color w:val="auto"/>
                      <w:szCs w:val="21"/>
                      <w:highlight w:val="none"/>
                    </w:rPr>
                  </w:pPr>
                  <w:r>
                    <w:rPr>
                      <w:color w:val="auto"/>
                      <w:kern w:val="0"/>
                      <w:szCs w:val="21"/>
                      <w:highlight w:val="none"/>
                      <w:lang w:bidi="ar"/>
                    </w:rPr>
                    <w:t>8</w:t>
                  </w:r>
                </w:p>
              </w:tc>
              <w:tc>
                <w:tcPr>
                  <w:tcW w:w="582" w:type="dxa"/>
                  <w:vMerge w:val="restart"/>
                  <w:noWrap w:val="0"/>
                  <w:vAlign w:val="center"/>
                </w:tcPr>
                <w:p>
                  <w:pPr>
                    <w:widowControl/>
                    <w:jc w:val="center"/>
                    <w:textAlignment w:val="center"/>
                    <w:rPr>
                      <w:b/>
                      <w:bCs/>
                      <w:color w:val="auto"/>
                      <w:szCs w:val="21"/>
                      <w:highlight w:val="none"/>
                    </w:rPr>
                  </w:pPr>
                  <w:r>
                    <w:rPr>
                      <w:b/>
                      <w:bCs/>
                      <w:color w:val="auto"/>
                      <w:kern w:val="0"/>
                      <w:szCs w:val="21"/>
                      <w:highlight w:val="none"/>
                      <w:lang w:bidi="ar"/>
                    </w:rPr>
                    <w:t>计量系统</w:t>
                  </w:r>
                </w:p>
              </w:tc>
              <w:tc>
                <w:tcPr>
                  <w:tcW w:w="1761" w:type="dxa"/>
                  <w:noWrap/>
                  <w:vAlign w:val="center"/>
                </w:tcPr>
                <w:p>
                  <w:pPr>
                    <w:widowControl/>
                    <w:jc w:val="center"/>
                    <w:textAlignment w:val="center"/>
                    <w:rPr>
                      <w:color w:val="auto"/>
                      <w:szCs w:val="21"/>
                      <w:highlight w:val="none"/>
                    </w:rPr>
                  </w:pPr>
                  <w:r>
                    <w:rPr>
                      <w:color w:val="auto"/>
                      <w:kern w:val="0"/>
                      <w:szCs w:val="21"/>
                      <w:highlight w:val="none"/>
                      <w:lang w:bidi="ar"/>
                    </w:rPr>
                    <w:t>沥青精确计量</w:t>
                  </w:r>
                </w:p>
              </w:tc>
              <w:tc>
                <w:tcPr>
                  <w:tcW w:w="1398" w:type="dxa"/>
                  <w:noWrap/>
                  <w:vAlign w:val="center"/>
                </w:tcPr>
                <w:p>
                  <w:pPr>
                    <w:widowControl/>
                    <w:jc w:val="center"/>
                    <w:rPr>
                      <w:color w:val="auto"/>
                      <w:szCs w:val="21"/>
                      <w:highlight w:val="none"/>
                    </w:rPr>
                  </w:pPr>
                  <w:r>
                    <w:rPr>
                      <w:rFonts w:hint="eastAsia"/>
                      <w:color w:val="auto"/>
                      <w:szCs w:val="21"/>
                      <w:highlight w:val="none"/>
                    </w:rPr>
                    <w:t>/</w:t>
                  </w:r>
                </w:p>
              </w:tc>
              <w:tc>
                <w:tcPr>
                  <w:tcW w:w="1576" w:type="dxa"/>
                  <w:noWrap/>
                  <w:vAlign w:val="center"/>
                </w:tcPr>
                <w:p>
                  <w:pPr>
                    <w:widowControl/>
                    <w:jc w:val="center"/>
                    <w:rPr>
                      <w:color w:val="auto"/>
                      <w:szCs w:val="21"/>
                      <w:highlight w:val="none"/>
                    </w:rPr>
                  </w:pPr>
                  <w:r>
                    <w:rPr>
                      <w:rFonts w:hint="eastAsia"/>
                      <w:color w:val="auto"/>
                      <w:szCs w:val="21"/>
                      <w:highlight w:val="none"/>
                    </w:rPr>
                    <w:t>/</w:t>
                  </w:r>
                </w:p>
              </w:tc>
              <w:tc>
                <w:tcPr>
                  <w:tcW w:w="986" w:type="dxa"/>
                  <w:noWrap/>
                  <w:vAlign w:val="center"/>
                </w:tcPr>
                <w:p>
                  <w:pPr>
                    <w:widowControl/>
                    <w:jc w:val="center"/>
                    <w:textAlignment w:val="center"/>
                    <w:rPr>
                      <w:color w:val="auto"/>
                      <w:szCs w:val="21"/>
                      <w:highlight w:val="none"/>
                    </w:rPr>
                  </w:pPr>
                  <w:r>
                    <w:rPr>
                      <w:color w:val="auto"/>
                      <w:kern w:val="0"/>
                      <w:szCs w:val="21"/>
                      <w:highlight w:val="none"/>
                      <w:lang w:bidi="ar"/>
                    </w:rPr>
                    <w:t>1</w:t>
                  </w:r>
                </w:p>
              </w:tc>
              <w:tc>
                <w:tcPr>
                  <w:tcW w:w="1057" w:type="dxa"/>
                  <w:noWrap/>
                  <w:vAlign w:val="center"/>
                </w:tcPr>
                <w:p>
                  <w:pPr>
                    <w:widowControl/>
                    <w:jc w:val="center"/>
                    <w:textAlignment w:val="center"/>
                    <w:rPr>
                      <w:color w:val="auto"/>
                      <w:kern w:val="0"/>
                      <w:szCs w:val="21"/>
                      <w:highlight w:val="none"/>
                      <w:lang w:bidi="ar"/>
                    </w:rPr>
                  </w:pPr>
                  <w:r>
                    <w:rPr>
                      <w:rFonts w:hint="eastAsia"/>
                      <w:color w:val="auto"/>
                      <w:kern w:val="0"/>
                      <w:szCs w:val="21"/>
                      <w:highlight w:val="none"/>
                      <w:lang w:bidi="ar"/>
                    </w:rPr>
                    <w:t>1</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580" w:type="dxa"/>
                  <w:vMerge w:val="continue"/>
                  <w:noWrap w:val="0"/>
                  <w:vAlign w:val="center"/>
                </w:tcPr>
                <w:p>
                  <w:pPr>
                    <w:widowControl/>
                    <w:jc w:val="center"/>
                    <w:rPr>
                      <w:color w:val="auto"/>
                      <w:szCs w:val="21"/>
                      <w:highlight w:val="none"/>
                    </w:rPr>
                  </w:pPr>
                </w:p>
              </w:tc>
              <w:tc>
                <w:tcPr>
                  <w:tcW w:w="582" w:type="dxa"/>
                  <w:vMerge w:val="continue"/>
                  <w:noWrap w:val="0"/>
                  <w:vAlign w:val="center"/>
                </w:tcPr>
                <w:p>
                  <w:pPr>
                    <w:widowControl/>
                    <w:jc w:val="center"/>
                    <w:rPr>
                      <w:b/>
                      <w:bCs/>
                      <w:color w:val="auto"/>
                      <w:szCs w:val="21"/>
                      <w:highlight w:val="none"/>
                    </w:rPr>
                  </w:pPr>
                </w:p>
              </w:tc>
              <w:tc>
                <w:tcPr>
                  <w:tcW w:w="1761" w:type="dxa"/>
                  <w:noWrap/>
                  <w:vAlign w:val="center"/>
                </w:tcPr>
                <w:p>
                  <w:pPr>
                    <w:widowControl/>
                    <w:jc w:val="center"/>
                    <w:textAlignment w:val="center"/>
                    <w:rPr>
                      <w:color w:val="auto"/>
                      <w:szCs w:val="21"/>
                      <w:highlight w:val="none"/>
                    </w:rPr>
                  </w:pPr>
                  <w:r>
                    <w:rPr>
                      <w:color w:val="auto"/>
                      <w:kern w:val="0"/>
                      <w:szCs w:val="21"/>
                      <w:highlight w:val="none"/>
                      <w:lang w:bidi="ar"/>
                    </w:rPr>
                    <w:t>压式称重传感器</w:t>
                  </w:r>
                </w:p>
              </w:tc>
              <w:tc>
                <w:tcPr>
                  <w:tcW w:w="1398" w:type="dxa"/>
                  <w:noWrap/>
                  <w:vAlign w:val="center"/>
                </w:tcPr>
                <w:p>
                  <w:pPr>
                    <w:widowControl/>
                    <w:jc w:val="center"/>
                    <w:rPr>
                      <w:color w:val="auto"/>
                      <w:szCs w:val="21"/>
                      <w:highlight w:val="none"/>
                    </w:rPr>
                  </w:pPr>
                  <w:r>
                    <w:rPr>
                      <w:rFonts w:hint="eastAsia"/>
                      <w:color w:val="auto"/>
                      <w:szCs w:val="21"/>
                      <w:highlight w:val="none"/>
                    </w:rPr>
                    <w:t>/</w:t>
                  </w:r>
                </w:p>
              </w:tc>
              <w:tc>
                <w:tcPr>
                  <w:tcW w:w="1576" w:type="dxa"/>
                  <w:noWrap/>
                  <w:vAlign w:val="center"/>
                </w:tcPr>
                <w:p>
                  <w:pPr>
                    <w:widowControl/>
                    <w:jc w:val="center"/>
                    <w:rPr>
                      <w:color w:val="auto"/>
                      <w:szCs w:val="21"/>
                      <w:highlight w:val="none"/>
                    </w:rPr>
                  </w:pPr>
                  <w:r>
                    <w:rPr>
                      <w:rFonts w:hint="eastAsia"/>
                      <w:color w:val="auto"/>
                      <w:szCs w:val="21"/>
                      <w:highlight w:val="none"/>
                    </w:rPr>
                    <w:t>/</w:t>
                  </w:r>
                </w:p>
              </w:tc>
              <w:tc>
                <w:tcPr>
                  <w:tcW w:w="986" w:type="dxa"/>
                  <w:noWrap/>
                  <w:vAlign w:val="center"/>
                </w:tcPr>
                <w:p>
                  <w:pPr>
                    <w:widowControl/>
                    <w:jc w:val="center"/>
                    <w:textAlignment w:val="center"/>
                    <w:rPr>
                      <w:color w:val="auto"/>
                      <w:szCs w:val="21"/>
                      <w:highlight w:val="none"/>
                    </w:rPr>
                  </w:pPr>
                  <w:r>
                    <w:rPr>
                      <w:color w:val="auto"/>
                      <w:kern w:val="0"/>
                      <w:szCs w:val="21"/>
                      <w:highlight w:val="none"/>
                      <w:lang w:bidi="ar"/>
                    </w:rPr>
                    <w:t>9</w:t>
                  </w:r>
                </w:p>
              </w:tc>
              <w:tc>
                <w:tcPr>
                  <w:tcW w:w="1057" w:type="dxa"/>
                  <w:noWrap/>
                  <w:vAlign w:val="center"/>
                </w:tcPr>
                <w:p>
                  <w:pPr>
                    <w:widowControl/>
                    <w:jc w:val="center"/>
                    <w:textAlignment w:val="center"/>
                    <w:rPr>
                      <w:color w:val="auto"/>
                      <w:kern w:val="0"/>
                      <w:szCs w:val="21"/>
                      <w:highlight w:val="none"/>
                      <w:lang w:bidi="ar"/>
                    </w:rPr>
                  </w:pPr>
                  <w:r>
                    <w:rPr>
                      <w:rFonts w:hint="eastAsia"/>
                      <w:color w:val="auto"/>
                      <w:kern w:val="0"/>
                      <w:szCs w:val="21"/>
                      <w:highlight w:val="none"/>
                      <w:lang w:bidi="ar"/>
                    </w:rPr>
                    <w:t>9</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580" w:type="dxa"/>
                  <w:vMerge w:val="continue"/>
                  <w:noWrap w:val="0"/>
                  <w:vAlign w:val="center"/>
                </w:tcPr>
                <w:p>
                  <w:pPr>
                    <w:widowControl/>
                    <w:jc w:val="center"/>
                    <w:rPr>
                      <w:color w:val="auto"/>
                      <w:szCs w:val="21"/>
                      <w:highlight w:val="none"/>
                    </w:rPr>
                  </w:pPr>
                </w:p>
              </w:tc>
              <w:tc>
                <w:tcPr>
                  <w:tcW w:w="582" w:type="dxa"/>
                  <w:vMerge w:val="continue"/>
                  <w:noWrap w:val="0"/>
                  <w:vAlign w:val="center"/>
                </w:tcPr>
                <w:p>
                  <w:pPr>
                    <w:widowControl/>
                    <w:jc w:val="center"/>
                    <w:rPr>
                      <w:b/>
                      <w:bCs/>
                      <w:color w:val="auto"/>
                      <w:szCs w:val="21"/>
                      <w:highlight w:val="none"/>
                    </w:rPr>
                  </w:pPr>
                </w:p>
              </w:tc>
              <w:tc>
                <w:tcPr>
                  <w:tcW w:w="1761" w:type="dxa"/>
                  <w:noWrap/>
                  <w:vAlign w:val="center"/>
                </w:tcPr>
                <w:p>
                  <w:pPr>
                    <w:widowControl/>
                    <w:jc w:val="center"/>
                    <w:textAlignment w:val="center"/>
                    <w:rPr>
                      <w:color w:val="auto"/>
                      <w:szCs w:val="21"/>
                      <w:highlight w:val="none"/>
                    </w:rPr>
                  </w:pPr>
                  <w:r>
                    <w:rPr>
                      <w:color w:val="auto"/>
                      <w:kern w:val="0"/>
                      <w:szCs w:val="21"/>
                      <w:highlight w:val="none"/>
                      <w:lang w:bidi="ar"/>
                    </w:rPr>
                    <w:t>气缸</w:t>
                  </w:r>
                </w:p>
              </w:tc>
              <w:tc>
                <w:tcPr>
                  <w:tcW w:w="1398" w:type="dxa"/>
                  <w:noWrap/>
                  <w:vAlign w:val="center"/>
                </w:tcPr>
                <w:p>
                  <w:pPr>
                    <w:widowControl/>
                    <w:jc w:val="center"/>
                    <w:rPr>
                      <w:color w:val="auto"/>
                      <w:szCs w:val="21"/>
                      <w:highlight w:val="none"/>
                    </w:rPr>
                  </w:pPr>
                  <w:r>
                    <w:rPr>
                      <w:rFonts w:hint="eastAsia"/>
                      <w:color w:val="auto"/>
                      <w:szCs w:val="21"/>
                      <w:highlight w:val="none"/>
                    </w:rPr>
                    <w:t>/</w:t>
                  </w:r>
                </w:p>
              </w:tc>
              <w:tc>
                <w:tcPr>
                  <w:tcW w:w="1576" w:type="dxa"/>
                  <w:noWrap/>
                  <w:vAlign w:val="center"/>
                </w:tcPr>
                <w:p>
                  <w:pPr>
                    <w:widowControl/>
                    <w:jc w:val="center"/>
                    <w:rPr>
                      <w:color w:val="auto"/>
                      <w:szCs w:val="21"/>
                      <w:highlight w:val="none"/>
                    </w:rPr>
                  </w:pPr>
                  <w:r>
                    <w:rPr>
                      <w:rFonts w:hint="eastAsia"/>
                      <w:color w:val="auto"/>
                      <w:szCs w:val="21"/>
                      <w:highlight w:val="none"/>
                    </w:rPr>
                    <w:t>/</w:t>
                  </w:r>
                </w:p>
              </w:tc>
              <w:tc>
                <w:tcPr>
                  <w:tcW w:w="986" w:type="dxa"/>
                  <w:noWrap/>
                  <w:vAlign w:val="center"/>
                </w:tcPr>
                <w:p>
                  <w:pPr>
                    <w:widowControl/>
                    <w:jc w:val="center"/>
                    <w:textAlignment w:val="center"/>
                    <w:rPr>
                      <w:color w:val="auto"/>
                      <w:szCs w:val="21"/>
                      <w:highlight w:val="none"/>
                    </w:rPr>
                  </w:pPr>
                  <w:r>
                    <w:rPr>
                      <w:color w:val="auto"/>
                      <w:kern w:val="0"/>
                      <w:szCs w:val="21"/>
                      <w:highlight w:val="none"/>
                      <w:lang w:bidi="ar"/>
                    </w:rPr>
                    <w:t>2</w:t>
                  </w:r>
                </w:p>
              </w:tc>
              <w:tc>
                <w:tcPr>
                  <w:tcW w:w="1057" w:type="dxa"/>
                  <w:noWrap/>
                  <w:vAlign w:val="center"/>
                </w:tcPr>
                <w:p>
                  <w:pPr>
                    <w:widowControl/>
                    <w:jc w:val="center"/>
                    <w:textAlignment w:val="center"/>
                    <w:rPr>
                      <w:color w:val="auto"/>
                      <w:kern w:val="0"/>
                      <w:szCs w:val="21"/>
                      <w:highlight w:val="none"/>
                      <w:lang w:bidi="ar"/>
                    </w:rPr>
                  </w:pPr>
                  <w:r>
                    <w:rPr>
                      <w:rFonts w:hint="eastAsia"/>
                      <w:color w:val="auto"/>
                      <w:kern w:val="0"/>
                      <w:szCs w:val="21"/>
                      <w:highlight w:val="none"/>
                      <w:lang w:bidi="ar"/>
                    </w:rPr>
                    <w:t>2</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580" w:type="dxa"/>
                  <w:vMerge w:val="restart"/>
                  <w:noWrap w:val="0"/>
                  <w:vAlign w:val="center"/>
                </w:tcPr>
                <w:p>
                  <w:pPr>
                    <w:widowControl/>
                    <w:jc w:val="center"/>
                    <w:textAlignment w:val="center"/>
                    <w:rPr>
                      <w:color w:val="auto"/>
                      <w:szCs w:val="21"/>
                      <w:highlight w:val="none"/>
                    </w:rPr>
                  </w:pPr>
                  <w:r>
                    <w:rPr>
                      <w:color w:val="auto"/>
                      <w:kern w:val="0"/>
                      <w:szCs w:val="21"/>
                      <w:highlight w:val="none"/>
                      <w:lang w:bidi="ar"/>
                    </w:rPr>
                    <w:t>9</w:t>
                  </w:r>
                </w:p>
              </w:tc>
              <w:tc>
                <w:tcPr>
                  <w:tcW w:w="582" w:type="dxa"/>
                  <w:vMerge w:val="restart"/>
                  <w:noWrap w:val="0"/>
                  <w:vAlign w:val="center"/>
                </w:tcPr>
                <w:p>
                  <w:pPr>
                    <w:widowControl/>
                    <w:jc w:val="center"/>
                    <w:textAlignment w:val="center"/>
                    <w:rPr>
                      <w:b/>
                      <w:bCs/>
                      <w:color w:val="auto"/>
                      <w:szCs w:val="21"/>
                      <w:highlight w:val="none"/>
                    </w:rPr>
                  </w:pPr>
                  <w:r>
                    <w:rPr>
                      <w:b/>
                      <w:bCs/>
                      <w:color w:val="auto"/>
                      <w:kern w:val="0"/>
                      <w:szCs w:val="21"/>
                      <w:highlight w:val="none"/>
                      <w:lang w:bidi="ar"/>
                    </w:rPr>
                    <w:t>搅拌系统</w:t>
                  </w:r>
                </w:p>
              </w:tc>
              <w:tc>
                <w:tcPr>
                  <w:tcW w:w="1761" w:type="dxa"/>
                  <w:noWrap/>
                  <w:vAlign w:val="center"/>
                </w:tcPr>
                <w:p>
                  <w:pPr>
                    <w:widowControl/>
                    <w:jc w:val="center"/>
                    <w:textAlignment w:val="center"/>
                    <w:rPr>
                      <w:color w:val="auto"/>
                      <w:szCs w:val="21"/>
                      <w:highlight w:val="none"/>
                    </w:rPr>
                  </w:pPr>
                  <w:r>
                    <w:rPr>
                      <w:color w:val="auto"/>
                      <w:kern w:val="0"/>
                      <w:szCs w:val="21"/>
                      <w:highlight w:val="none"/>
                      <w:lang w:bidi="ar"/>
                    </w:rPr>
                    <w:t>减速机</w:t>
                  </w:r>
                </w:p>
              </w:tc>
              <w:tc>
                <w:tcPr>
                  <w:tcW w:w="1398" w:type="dxa"/>
                  <w:noWrap/>
                  <w:vAlign w:val="center"/>
                </w:tcPr>
                <w:p>
                  <w:pPr>
                    <w:widowControl/>
                    <w:jc w:val="center"/>
                    <w:rPr>
                      <w:color w:val="auto"/>
                      <w:szCs w:val="21"/>
                      <w:highlight w:val="none"/>
                    </w:rPr>
                  </w:pPr>
                  <w:r>
                    <w:rPr>
                      <w:rFonts w:hint="eastAsia"/>
                      <w:color w:val="auto"/>
                      <w:szCs w:val="21"/>
                      <w:highlight w:val="none"/>
                    </w:rPr>
                    <w:t>/</w:t>
                  </w:r>
                </w:p>
              </w:tc>
              <w:tc>
                <w:tcPr>
                  <w:tcW w:w="1576" w:type="dxa"/>
                  <w:noWrap/>
                  <w:vAlign w:val="center"/>
                </w:tcPr>
                <w:p>
                  <w:pPr>
                    <w:widowControl/>
                    <w:jc w:val="center"/>
                    <w:rPr>
                      <w:color w:val="auto"/>
                      <w:szCs w:val="21"/>
                      <w:highlight w:val="none"/>
                    </w:rPr>
                  </w:pPr>
                  <w:r>
                    <w:rPr>
                      <w:rFonts w:hint="eastAsia"/>
                      <w:color w:val="auto"/>
                      <w:szCs w:val="21"/>
                      <w:highlight w:val="none"/>
                    </w:rPr>
                    <w:t>/</w:t>
                  </w:r>
                </w:p>
              </w:tc>
              <w:tc>
                <w:tcPr>
                  <w:tcW w:w="986" w:type="dxa"/>
                  <w:noWrap/>
                  <w:vAlign w:val="center"/>
                </w:tcPr>
                <w:p>
                  <w:pPr>
                    <w:widowControl/>
                    <w:jc w:val="center"/>
                    <w:textAlignment w:val="center"/>
                    <w:rPr>
                      <w:color w:val="auto"/>
                      <w:szCs w:val="21"/>
                      <w:highlight w:val="none"/>
                    </w:rPr>
                  </w:pPr>
                  <w:r>
                    <w:rPr>
                      <w:color w:val="auto"/>
                      <w:kern w:val="0"/>
                      <w:szCs w:val="21"/>
                      <w:highlight w:val="none"/>
                      <w:lang w:bidi="ar"/>
                    </w:rPr>
                    <w:t>2</w:t>
                  </w:r>
                </w:p>
              </w:tc>
              <w:tc>
                <w:tcPr>
                  <w:tcW w:w="1057" w:type="dxa"/>
                  <w:noWrap/>
                  <w:vAlign w:val="center"/>
                </w:tcPr>
                <w:p>
                  <w:pPr>
                    <w:widowControl/>
                    <w:jc w:val="center"/>
                    <w:textAlignment w:val="center"/>
                    <w:rPr>
                      <w:color w:val="auto"/>
                      <w:kern w:val="0"/>
                      <w:szCs w:val="21"/>
                      <w:highlight w:val="none"/>
                      <w:lang w:bidi="ar"/>
                    </w:rPr>
                  </w:pPr>
                  <w:r>
                    <w:rPr>
                      <w:rFonts w:hint="eastAsia"/>
                      <w:color w:val="auto"/>
                      <w:kern w:val="0"/>
                      <w:szCs w:val="21"/>
                      <w:highlight w:val="none"/>
                      <w:lang w:bidi="ar"/>
                    </w:rPr>
                    <w:t>2</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580" w:type="dxa"/>
                  <w:vMerge w:val="continue"/>
                  <w:noWrap w:val="0"/>
                  <w:vAlign w:val="center"/>
                </w:tcPr>
                <w:p>
                  <w:pPr>
                    <w:widowControl/>
                    <w:jc w:val="center"/>
                    <w:rPr>
                      <w:color w:val="auto"/>
                      <w:szCs w:val="21"/>
                      <w:highlight w:val="none"/>
                    </w:rPr>
                  </w:pPr>
                </w:p>
              </w:tc>
              <w:tc>
                <w:tcPr>
                  <w:tcW w:w="582" w:type="dxa"/>
                  <w:vMerge w:val="continue"/>
                  <w:noWrap w:val="0"/>
                  <w:vAlign w:val="center"/>
                </w:tcPr>
                <w:p>
                  <w:pPr>
                    <w:widowControl/>
                    <w:jc w:val="center"/>
                    <w:rPr>
                      <w:b/>
                      <w:bCs/>
                      <w:color w:val="auto"/>
                      <w:szCs w:val="21"/>
                      <w:highlight w:val="none"/>
                    </w:rPr>
                  </w:pPr>
                </w:p>
              </w:tc>
              <w:tc>
                <w:tcPr>
                  <w:tcW w:w="1761" w:type="dxa"/>
                  <w:noWrap/>
                  <w:vAlign w:val="center"/>
                </w:tcPr>
                <w:p>
                  <w:pPr>
                    <w:widowControl/>
                    <w:jc w:val="center"/>
                    <w:textAlignment w:val="center"/>
                    <w:rPr>
                      <w:color w:val="auto"/>
                      <w:szCs w:val="21"/>
                      <w:highlight w:val="none"/>
                    </w:rPr>
                  </w:pPr>
                  <w:r>
                    <w:rPr>
                      <w:color w:val="auto"/>
                      <w:kern w:val="0"/>
                      <w:szCs w:val="21"/>
                      <w:highlight w:val="none"/>
                      <w:lang w:bidi="ar"/>
                    </w:rPr>
                    <w:t>电机</w:t>
                  </w:r>
                </w:p>
              </w:tc>
              <w:tc>
                <w:tcPr>
                  <w:tcW w:w="1398" w:type="dxa"/>
                  <w:noWrap/>
                  <w:vAlign w:val="center"/>
                </w:tcPr>
                <w:p>
                  <w:pPr>
                    <w:widowControl/>
                    <w:jc w:val="center"/>
                    <w:textAlignment w:val="center"/>
                    <w:rPr>
                      <w:color w:val="auto"/>
                      <w:szCs w:val="21"/>
                      <w:highlight w:val="none"/>
                    </w:rPr>
                  </w:pPr>
                  <w:r>
                    <w:rPr>
                      <w:color w:val="auto"/>
                      <w:kern w:val="0"/>
                      <w:szCs w:val="21"/>
                      <w:highlight w:val="none"/>
                      <w:lang w:bidi="ar"/>
                    </w:rPr>
                    <w:t>45 kW</w:t>
                  </w:r>
                </w:p>
              </w:tc>
              <w:tc>
                <w:tcPr>
                  <w:tcW w:w="1576" w:type="dxa"/>
                  <w:noWrap/>
                  <w:vAlign w:val="center"/>
                </w:tcPr>
                <w:p>
                  <w:pPr>
                    <w:widowControl/>
                    <w:jc w:val="center"/>
                    <w:textAlignment w:val="center"/>
                    <w:rPr>
                      <w:color w:val="auto"/>
                      <w:kern w:val="0"/>
                      <w:szCs w:val="21"/>
                      <w:highlight w:val="none"/>
                      <w:lang w:bidi="ar"/>
                    </w:rPr>
                  </w:pPr>
                  <w:r>
                    <w:rPr>
                      <w:rFonts w:hint="eastAsia"/>
                      <w:color w:val="auto"/>
                      <w:kern w:val="0"/>
                      <w:szCs w:val="21"/>
                      <w:highlight w:val="none"/>
                      <w:lang w:bidi="ar"/>
                    </w:rPr>
                    <w:t>55</w:t>
                  </w:r>
                  <w:r>
                    <w:rPr>
                      <w:color w:val="auto"/>
                      <w:kern w:val="0"/>
                      <w:szCs w:val="21"/>
                      <w:highlight w:val="none"/>
                      <w:lang w:bidi="ar"/>
                    </w:rPr>
                    <w:t>kW</w:t>
                  </w:r>
                </w:p>
              </w:tc>
              <w:tc>
                <w:tcPr>
                  <w:tcW w:w="986" w:type="dxa"/>
                  <w:noWrap/>
                  <w:vAlign w:val="center"/>
                </w:tcPr>
                <w:p>
                  <w:pPr>
                    <w:widowControl/>
                    <w:jc w:val="center"/>
                    <w:textAlignment w:val="center"/>
                    <w:rPr>
                      <w:color w:val="auto"/>
                      <w:szCs w:val="21"/>
                      <w:highlight w:val="none"/>
                    </w:rPr>
                  </w:pPr>
                  <w:r>
                    <w:rPr>
                      <w:color w:val="auto"/>
                      <w:kern w:val="0"/>
                      <w:szCs w:val="21"/>
                      <w:highlight w:val="none"/>
                      <w:lang w:bidi="ar"/>
                    </w:rPr>
                    <w:t>2</w:t>
                  </w:r>
                </w:p>
              </w:tc>
              <w:tc>
                <w:tcPr>
                  <w:tcW w:w="1057" w:type="dxa"/>
                  <w:noWrap/>
                  <w:vAlign w:val="center"/>
                </w:tcPr>
                <w:p>
                  <w:pPr>
                    <w:widowControl/>
                    <w:jc w:val="center"/>
                    <w:textAlignment w:val="center"/>
                    <w:rPr>
                      <w:color w:val="auto"/>
                      <w:kern w:val="0"/>
                      <w:szCs w:val="21"/>
                      <w:highlight w:val="none"/>
                      <w:lang w:bidi="ar"/>
                    </w:rPr>
                  </w:pPr>
                  <w:r>
                    <w:rPr>
                      <w:rFonts w:hint="eastAsia"/>
                      <w:color w:val="auto"/>
                      <w:kern w:val="0"/>
                      <w:szCs w:val="21"/>
                      <w:highlight w:val="none"/>
                      <w:lang w:bidi="ar"/>
                    </w:rPr>
                    <w:t>2</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580" w:type="dxa"/>
                  <w:vMerge w:val="continue"/>
                  <w:noWrap w:val="0"/>
                  <w:vAlign w:val="center"/>
                </w:tcPr>
                <w:p>
                  <w:pPr>
                    <w:widowControl/>
                    <w:jc w:val="center"/>
                    <w:rPr>
                      <w:color w:val="auto"/>
                      <w:szCs w:val="21"/>
                      <w:highlight w:val="none"/>
                    </w:rPr>
                  </w:pPr>
                </w:p>
              </w:tc>
              <w:tc>
                <w:tcPr>
                  <w:tcW w:w="582" w:type="dxa"/>
                  <w:vMerge w:val="continue"/>
                  <w:noWrap w:val="0"/>
                  <w:vAlign w:val="center"/>
                </w:tcPr>
                <w:p>
                  <w:pPr>
                    <w:widowControl/>
                    <w:jc w:val="center"/>
                    <w:rPr>
                      <w:b/>
                      <w:bCs/>
                      <w:color w:val="auto"/>
                      <w:szCs w:val="21"/>
                      <w:highlight w:val="none"/>
                    </w:rPr>
                  </w:pPr>
                </w:p>
              </w:tc>
              <w:tc>
                <w:tcPr>
                  <w:tcW w:w="1761" w:type="dxa"/>
                  <w:noWrap/>
                  <w:vAlign w:val="center"/>
                </w:tcPr>
                <w:p>
                  <w:pPr>
                    <w:widowControl/>
                    <w:jc w:val="center"/>
                    <w:textAlignment w:val="center"/>
                    <w:rPr>
                      <w:color w:val="auto"/>
                      <w:szCs w:val="21"/>
                      <w:highlight w:val="none"/>
                    </w:rPr>
                  </w:pPr>
                  <w:r>
                    <w:rPr>
                      <w:color w:val="auto"/>
                      <w:kern w:val="0"/>
                      <w:szCs w:val="21"/>
                      <w:highlight w:val="none"/>
                      <w:lang w:bidi="ar"/>
                    </w:rPr>
                    <w:t>气缸</w:t>
                  </w:r>
                </w:p>
              </w:tc>
              <w:tc>
                <w:tcPr>
                  <w:tcW w:w="1398" w:type="dxa"/>
                  <w:noWrap/>
                  <w:vAlign w:val="center"/>
                </w:tcPr>
                <w:p>
                  <w:pPr>
                    <w:widowControl/>
                    <w:jc w:val="center"/>
                    <w:rPr>
                      <w:color w:val="auto"/>
                      <w:szCs w:val="21"/>
                      <w:highlight w:val="none"/>
                    </w:rPr>
                  </w:pPr>
                  <w:r>
                    <w:rPr>
                      <w:rFonts w:hint="eastAsia"/>
                      <w:color w:val="auto"/>
                      <w:szCs w:val="21"/>
                      <w:highlight w:val="none"/>
                    </w:rPr>
                    <w:t>/</w:t>
                  </w:r>
                </w:p>
              </w:tc>
              <w:tc>
                <w:tcPr>
                  <w:tcW w:w="1576" w:type="dxa"/>
                  <w:noWrap/>
                  <w:vAlign w:val="center"/>
                </w:tcPr>
                <w:p>
                  <w:pPr>
                    <w:widowControl/>
                    <w:jc w:val="center"/>
                    <w:rPr>
                      <w:color w:val="auto"/>
                      <w:szCs w:val="21"/>
                      <w:highlight w:val="none"/>
                    </w:rPr>
                  </w:pPr>
                  <w:r>
                    <w:rPr>
                      <w:rFonts w:hint="eastAsia"/>
                      <w:color w:val="auto"/>
                      <w:szCs w:val="21"/>
                      <w:highlight w:val="none"/>
                    </w:rPr>
                    <w:t>/</w:t>
                  </w:r>
                </w:p>
              </w:tc>
              <w:tc>
                <w:tcPr>
                  <w:tcW w:w="986" w:type="dxa"/>
                  <w:noWrap/>
                  <w:vAlign w:val="center"/>
                </w:tcPr>
                <w:p>
                  <w:pPr>
                    <w:widowControl/>
                    <w:jc w:val="center"/>
                    <w:textAlignment w:val="center"/>
                    <w:rPr>
                      <w:color w:val="auto"/>
                      <w:szCs w:val="21"/>
                      <w:highlight w:val="none"/>
                    </w:rPr>
                  </w:pPr>
                  <w:r>
                    <w:rPr>
                      <w:color w:val="auto"/>
                      <w:kern w:val="0"/>
                      <w:szCs w:val="21"/>
                      <w:highlight w:val="none"/>
                      <w:lang w:bidi="ar"/>
                    </w:rPr>
                    <w:t>2</w:t>
                  </w:r>
                </w:p>
              </w:tc>
              <w:tc>
                <w:tcPr>
                  <w:tcW w:w="1057" w:type="dxa"/>
                  <w:noWrap/>
                  <w:vAlign w:val="center"/>
                </w:tcPr>
                <w:p>
                  <w:pPr>
                    <w:widowControl/>
                    <w:jc w:val="center"/>
                    <w:textAlignment w:val="center"/>
                    <w:rPr>
                      <w:color w:val="auto"/>
                      <w:kern w:val="0"/>
                      <w:szCs w:val="21"/>
                      <w:highlight w:val="none"/>
                      <w:lang w:bidi="ar"/>
                    </w:rPr>
                  </w:pPr>
                  <w:r>
                    <w:rPr>
                      <w:rFonts w:hint="eastAsia"/>
                      <w:color w:val="auto"/>
                      <w:kern w:val="0"/>
                      <w:szCs w:val="21"/>
                      <w:highlight w:val="none"/>
                      <w:lang w:bidi="ar"/>
                    </w:rPr>
                    <w:t>2</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580" w:type="dxa"/>
                  <w:noWrap w:val="0"/>
                  <w:vAlign w:val="center"/>
                </w:tcPr>
                <w:p>
                  <w:pPr>
                    <w:widowControl/>
                    <w:jc w:val="center"/>
                    <w:rPr>
                      <w:color w:val="auto"/>
                      <w:szCs w:val="21"/>
                      <w:highlight w:val="none"/>
                    </w:rPr>
                  </w:pPr>
                </w:p>
              </w:tc>
              <w:tc>
                <w:tcPr>
                  <w:tcW w:w="582" w:type="dxa"/>
                  <w:vMerge w:val="restart"/>
                  <w:noWrap w:val="0"/>
                  <w:vAlign w:val="center"/>
                </w:tcPr>
                <w:p>
                  <w:pPr>
                    <w:widowControl/>
                    <w:jc w:val="center"/>
                    <w:textAlignment w:val="center"/>
                    <w:rPr>
                      <w:b/>
                      <w:bCs/>
                      <w:color w:val="auto"/>
                      <w:szCs w:val="21"/>
                      <w:highlight w:val="none"/>
                    </w:rPr>
                  </w:pPr>
                  <w:r>
                    <w:rPr>
                      <w:b/>
                      <w:bCs/>
                      <w:color w:val="auto"/>
                      <w:kern w:val="0"/>
                      <w:szCs w:val="21"/>
                      <w:highlight w:val="none"/>
                      <w:lang w:bidi="ar"/>
                    </w:rPr>
                    <w:t>气动系统</w:t>
                  </w:r>
                </w:p>
              </w:tc>
              <w:tc>
                <w:tcPr>
                  <w:tcW w:w="1761" w:type="dxa"/>
                  <w:noWrap/>
                  <w:vAlign w:val="center"/>
                </w:tcPr>
                <w:p>
                  <w:pPr>
                    <w:widowControl/>
                    <w:jc w:val="center"/>
                    <w:textAlignment w:val="center"/>
                    <w:rPr>
                      <w:color w:val="auto"/>
                      <w:szCs w:val="21"/>
                      <w:highlight w:val="none"/>
                    </w:rPr>
                  </w:pPr>
                  <w:r>
                    <w:rPr>
                      <w:color w:val="auto"/>
                      <w:kern w:val="0"/>
                      <w:szCs w:val="21"/>
                      <w:highlight w:val="none"/>
                      <w:lang w:bidi="ar"/>
                    </w:rPr>
                    <w:t>空压机</w:t>
                  </w:r>
                </w:p>
              </w:tc>
              <w:tc>
                <w:tcPr>
                  <w:tcW w:w="1398" w:type="dxa"/>
                  <w:noWrap/>
                  <w:vAlign w:val="center"/>
                </w:tcPr>
                <w:p>
                  <w:pPr>
                    <w:widowControl/>
                    <w:jc w:val="center"/>
                    <w:textAlignment w:val="center"/>
                    <w:rPr>
                      <w:color w:val="auto"/>
                      <w:szCs w:val="21"/>
                      <w:highlight w:val="none"/>
                    </w:rPr>
                  </w:pPr>
                  <w:r>
                    <w:rPr>
                      <w:color w:val="auto"/>
                      <w:kern w:val="0"/>
                      <w:szCs w:val="21"/>
                      <w:highlight w:val="none"/>
                      <w:lang w:bidi="ar"/>
                    </w:rPr>
                    <w:t>37 kW</w:t>
                  </w:r>
                </w:p>
              </w:tc>
              <w:tc>
                <w:tcPr>
                  <w:tcW w:w="1576" w:type="dxa"/>
                  <w:noWrap/>
                  <w:vAlign w:val="center"/>
                </w:tcPr>
                <w:p>
                  <w:pPr>
                    <w:widowControl/>
                    <w:jc w:val="center"/>
                    <w:textAlignment w:val="center"/>
                    <w:rPr>
                      <w:color w:val="auto"/>
                      <w:kern w:val="0"/>
                      <w:szCs w:val="21"/>
                      <w:highlight w:val="none"/>
                      <w:lang w:bidi="ar"/>
                    </w:rPr>
                  </w:pPr>
                  <w:r>
                    <w:rPr>
                      <w:rFonts w:hint="eastAsia"/>
                      <w:color w:val="auto"/>
                      <w:kern w:val="0"/>
                      <w:szCs w:val="21"/>
                      <w:highlight w:val="none"/>
                      <w:lang w:bidi="ar"/>
                    </w:rPr>
                    <w:t>45</w:t>
                  </w:r>
                  <w:r>
                    <w:rPr>
                      <w:color w:val="auto"/>
                      <w:kern w:val="0"/>
                      <w:szCs w:val="21"/>
                      <w:highlight w:val="none"/>
                      <w:lang w:bidi="ar"/>
                    </w:rPr>
                    <w:t>kW</w:t>
                  </w:r>
                </w:p>
              </w:tc>
              <w:tc>
                <w:tcPr>
                  <w:tcW w:w="986" w:type="dxa"/>
                  <w:noWrap/>
                  <w:vAlign w:val="center"/>
                </w:tcPr>
                <w:p>
                  <w:pPr>
                    <w:widowControl/>
                    <w:jc w:val="center"/>
                    <w:textAlignment w:val="center"/>
                    <w:rPr>
                      <w:color w:val="auto"/>
                      <w:szCs w:val="21"/>
                      <w:highlight w:val="none"/>
                    </w:rPr>
                  </w:pPr>
                  <w:r>
                    <w:rPr>
                      <w:color w:val="auto"/>
                      <w:kern w:val="0"/>
                      <w:szCs w:val="21"/>
                      <w:highlight w:val="none"/>
                      <w:lang w:bidi="ar"/>
                    </w:rPr>
                    <w:t>1</w:t>
                  </w:r>
                </w:p>
              </w:tc>
              <w:tc>
                <w:tcPr>
                  <w:tcW w:w="1057" w:type="dxa"/>
                  <w:noWrap/>
                  <w:vAlign w:val="center"/>
                </w:tcPr>
                <w:p>
                  <w:pPr>
                    <w:widowControl/>
                    <w:jc w:val="center"/>
                    <w:textAlignment w:val="center"/>
                    <w:rPr>
                      <w:color w:val="auto"/>
                      <w:kern w:val="0"/>
                      <w:szCs w:val="21"/>
                      <w:highlight w:val="none"/>
                      <w:lang w:bidi="ar"/>
                    </w:rPr>
                  </w:pPr>
                  <w:r>
                    <w:rPr>
                      <w:rFonts w:hint="eastAsia"/>
                      <w:color w:val="auto"/>
                      <w:kern w:val="0"/>
                      <w:szCs w:val="21"/>
                      <w:highlight w:val="none"/>
                      <w:lang w:bidi="ar"/>
                    </w:rPr>
                    <w:t>1</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580" w:type="dxa"/>
                  <w:noWrap w:val="0"/>
                  <w:vAlign w:val="center"/>
                </w:tcPr>
                <w:p>
                  <w:pPr>
                    <w:widowControl/>
                    <w:jc w:val="center"/>
                    <w:textAlignment w:val="center"/>
                    <w:rPr>
                      <w:color w:val="auto"/>
                      <w:szCs w:val="21"/>
                      <w:highlight w:val="none"/>
                    </w:rPr>
                  </w:pPr>
                  <w:r>
                    <w:rPr>
                      <w:color w:val="auto"/>
                      <w:kern w:val="0"/>
                      <w:szCs w:val="21"/>
                      <w:highlight w:val="none"/>
                      <w:lang w:bidi="ar"/>
                    </w:rPr>
                    <w:t>10</w:t>
                  </w:r>
                </w:p>
              </w:tc>
              <w:tc>
                <w:tcPr>
                  <w:tcW w:w="582" w:type="dxa"/>
                  <w:vMerge w:val="continue"/>
                  <w:noWrap w:val="0"/>
                  <w:vAlign w:val="center"/>
                </w:tcPr>
                <w:p>
                  <w:pPr>
                    <w:widowControl/>
                    <w:jc w:val="center"/>
                    <w:rPr>
                      <w:b/>
                      <w:bCs/>
                      <w:color w:val="auto"/>
                      <w:szCs w:val="21"/>
                      <w:highlight w:val="none"/>
                    </w:rPr>
                  </w:pPr>
                </w:p>
              </w:tc>
              <w:tc>
                <w:tcPr>
                  <w:tcW w:w="1761" w:type="dxa"/>
                  <w:noWrap/>
                  <w:vAlign w:val="center"/>
                </w:tcPr>
                <w:p>
                  <w:pPr>
                    <w:widowControl/>
                    <w:jc w:val="center"/>
                    <w:textAlignment w:val="center"/>
                    <w:rPr>
                      <w:color w:val="auto"/>
                      <w:szCs w:val="21"/>
                      <w:highlight w:val="none"/>
                    </w:rPr>
                  </w:pPr>
                  <w:r>
                    <w:rPr>
                      <w:color w:val="auto"/>
                      <w:kern w:val="0"/>
                      <w:szCs w:val="21"/>
                      <w:highlight w:val="none"/>
                      <w:lang w:bidi="ar"/>
                    </w:rPr>
                    <w:t>气缸</w:t>
                  </w:r>
                </w:p>
              </w:tc>
              <w:tc>
                <w:tcPr>
                  <w:tcW w:w="1398" w:type="dxa"/>
                  <w:noWrap/>
                  <w:vAlign w:val="center"/>
                </w:tcPr>
                <w:p>
                  <w:pPr>
                    <w:widowControl/>
                    <w:jc w:val="center"/>
                    <w:rPr>
                      <w:color w:val="auto"/>
                      <w:szCs w:val="21"/>
                      <w:highlight w:val="none"/>
                    </w:rPr>
                  </w:pPr>
                  <w:r>
                    <w:rPr>
                      <w:rFonts w:hint="eastAsia"/>
                      <w:color w:val="auto"/>
                      <w:szCs w:val="21"/>
                      <w:highlight w:val="none"/>
                    </w:rPr>
                    <w:t>/</w:t>
                  </w:r>
                </w:p>
              </w:tc>
              <w:tc>
                <w:tcPr>
                  <w:tcW w:w="1576" w:type="dxa"/>
                  <w:noWrap/>
                  <w:vAlign w:val="center"/>
                </w:tcPr>
                <w:p>
                  <w:pPr>
                    <w:widowControl/>
                    <w:jc w:val="center"/>
                    <w:rPr>
                      <w:color w:val="auto"/>
                      <w:szCs w:val="21"/>
                      <w:highlight w:val="none"/>
                    </w:rPr>
                  </w:pPr>
                  <w:r>
                    <w:rPr>
                      <w:rFonts w:hint="eastAsia"/>
                      <w:color w:val="auto"/>
                      <w:szCs w:val="21"/>
                      <w:highlight w:val="none"/>
                    </w:rPr>
                    <w:t>/</w:t>
                  </w:r>
                </w:p>
              </w:tc>
              <w:tc>
                <w:tcPr>
                  <w:tcW w:w="986" w:type="dxa"/>
                  <w:noWrap/>
                  <w:vAlign w:val="center"/>
                </w:tcPr>
                <w:p>
                  <w:pPr>
                    <w:widowControl/>
                    <w:jc w:val="center"/>
                    <w:rPr>
                      <w:rFonts w:hint="eastAsia"/>
                      <w:color w:val="auto"/>
                      <w:szCs w:val="21"/>
                      <w:highlight w:val="none"/>
                    </w:rPr>
                  </w:pPr>
                  <w:r>
                    <w:rPr>
                      <w:rFonts w:hint="eastAsia"/>
                      <w:color w:val="auto"/>
                      <w:szCs w:val="21"/>
                      <w:highlight w:val="none"/>
                    </w:rPr>
                    <w:t>1</w:t>
                  </w:r>
                </w:p>
              </w:tc>
              <w:tc>
                <w:tcPr>
                  <w:tcW w:w="1057" w:type="dxa"/>
                  <w:noWrap/>
                  <w:vAlign w:val="center"/>
                </w:tcPr>
                <w:p>
                  <w:pPr>
                    <w:widowControl/>
                    <w:jc w:val="center"/>
                    <w:rPr>
                      <w:rFonts w:hint="eastAsia"/>
                      <w:color w:val="auto"/>
                      <w:szCs w:val="21"/>
                      <w:highlight w:val="none"/>
                    </w:rPr>
                  </w:pPr>
                  <w:r>
                    <w:rPr>
                      <w:rFonts w:hint="eastAsia"/>
                      <w:color w:val="auto"/>
                      <w:szCs w:val="21"/>
                      <w:highlight w:val="none"/>
                    </w:rPr>
                    <w:t>1</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580" w:type="dxa"/>
                  <w:vMerge w:val="restart"/>
                  <w:noWrap w:val="0"/>
                  <w:vAlign w:val="center"/>
                </w:tcPr>
                <w:p>
                  <w:pPr>
                    <w:widowControl/>
                    <w:jc w:val="center"/>
                    <w:textAlignment w:val="center"/>
                    <w:rPr>
                      <w:color w:val="auto"/>
                      <w:szCs w:val="21"/>
                      <w:highlight w:val="none"/>
                    </w:rPr>
                  </w:pPr>
                  <w:r>
                    <w:rPr>
                      <w:color w:val="auto"/>
                      <w:kern w:val="0"/>
                      <w:szCs w:val="21"/>
                      <w:highlight w:val="none"/>
                      <w:lang w:bidi="ar"/>
                    </w:rPr>
                    <w:t>11</w:t>
                  </w:r>
                </w:p>
              </w:tc>
              <w:tc>
                <w:tcPr>
                  <w:tcW w:w="582" w:type="dxa"/>
                  <w:vMerge w:val="restart"/>
                  <w:noWrap w:val="0"/>
                  <w:vAlign w:val="center"/>
                </w:tcPr>
                <w:p>
                  <w:pPr>
                    <w:widowControl/>
                    <w:jc w:val="center"/>
                    <w:textAlignment w:val="center"/>
                    <w:rPr>
                      <w:b/>
                      <w:bCs/>
                      <w:color w:val="auto"/>
                      <w:szCs w:val="21"/>
                      <w:highlight w:val="none"/>
                    </w:rPr>
                  </w:pPr>
                  <w:r>
                    <w:rPr>
                      <w:b/>
                      <w:bCs/>
                      <w:color w:val="auto"/>
                      <w:kern w:val="0"/>
                      <w:szCs w:val="21"/>
                      <w:highlight w:val="none"/>
                      <w:lang w:bidi="ar"/>
                    </w:rPr>
                    <w:t>成品料仓</w:t>
                  </w:r>
                </w:p>
              </w:tc>
              <w:tc>
                <w:tcPr>
                  <w:tcW w:w="1761" w:type="dxa"/>
                  <w:noWrap/>
                  <w:vAlign w:val="center"/>
                </w:tcPr>
                <w:p>
                  <w:pPr>
                    <w:widowControl/>
                    <w:jc w:val="center"/>
                    <w:textAlignment w:val="center"/>
                    <w:rPr>
                      <w:color w:val="auto"/>
                      <w:szCs w:val="21"/>
                      <w:highlight w:val="none"/>
                    </w:rPr>
                  </w:pPr>
                  <w:r>
                    <w:rPr>
                      <w:color w:val="auto"/>
                      <w:kern w:val="0"/>
                      <w:szCs w:val="21"/>
                      <w:highlight w:val="none"/>
                      <w:lang w:bidi="ar"/>
                    </w:rPr>
                    <w:t>气缸</w:t>
                  </w:r>
                </w:p>
              </w:tc>
              <w:tc>
                <w:tcPr>
                  <w:tcW w:w="1398" w:type="dxa"/>
                  <w:noWrap/>
                  <w:vAlign w:val="center"/>
                </w:tcPr>
                <w:p>
                  <w:pPr>
                    <w:widowControl/>
                    <w:jc w:val="center"/>
                    <w:rPr>
                      <w:color w:val="auto"/>
                      <w:szCs w:val="21"/>
                      <w:highlight w:val="none"/>
                    </w:rPr>
                  </w:pPr>
                  <w:r>
                    <w:rPr>
                      <w:rFonts w:hint="eastAsia"/>
                      <w:color w:val="auto"/>
                      <w:szCs w:val="21"/>
                      <w:highlight w:val="none"/>
                    </w:rPr>
                    <w:t>/</w:t>
                  </w:r>
                </w:p>
              </w:tc>
              <w:tc>
                <w:tcPr>
                  <w:tcW w:w="1576" w:type="dxa"/>
                  <w:noWrap/>
                  <w:vAlign w:val="center"/>
                </w:tcPr>
                <w:p>
                  <w:pPr>
                    <w:widowControl/>
                    <w:jc w:val="center"/>
                    <w:rPr>
                      <w:color w:val="auto"/>
                      <w:szCs w:val="21"/>
                      <w:highlight w:val="none"/>
                    </w:rPr>
                  </w:pPr>
                  <w:r>
                    <w:rPr>
                      <w:rFonts w:hint="eastAsia"/>
                      <w:color w:val="auto"/>
                      <w:szCs w:val="21"/>
                      <w:highlight w:val="none"/>
                    </w:rPr>
                    <w:t>/</w:t>
                  </w:r>
                </w:p>
              </w:tc>
              <w:tc>
                <w:tcPr>
                  <w:tcW w:w="986" w:type="dxa"/>
                  <w:noWrap/>
                  <w:vAlign w:val="center"/>
                </w:tcPr>
                <w:p>
                  <w:pPr>
                    <w:widowControl/>
                    <w:jc w:val="center"/>
                    <w:textAlignment w:val="center"/>
                    <w:rPr>
                      <w:color w:val="auto"/>
                      <w:szCs w:val="21"/>
                      <w:highlight w:val="none"/>
                    </w:rPr>
                  </w:pPr>
                  <w:r>
                    <w:rPr>
                      <w:color w:val="auto"/>
                      <w:kern w:val="0"/>
                      <w:szCs w:val="21"/>
                      <w:highlight w:val="none"/>
                      <w:lang w:bidi="ar"/>
                    </w:rPr>
                    <w:t>5</w:t>
                  </w:r>
                </w:p>
              </w:tc>
              <w:tc>
                <w:tcPr>
                  <w:tcW w:w="1057" w:type="dxa"/>
                  <w:noWrap/>
                  <w:vAlign w:val="center"/>
                </w:tcPr>
                <w:p>
                  <w:pPr>
                    <w:widowControl/>
                    <w:jc w:val="center"/>
                    <w:textAlignment w:val="center"/>
                    <w:rPr>
                      <w:color w:val="auto"/>
                      <w:kern w:val="0"/>
                      <w:szCs w:val="21"/>
                      <w:highlight w:val="none"/>
                      <w:lang w:bidi="ar"/>
                    </w:rPr>
                  </w:pPr>
                  <w:r>
                    <w:rPr>
                      <w:rFonts w:hint="eastAsia"/>
                      <w:color w:val="auto"/>
                      <w:kern w:val="0"/>
                      <w:szCs w:val="21"/>
                      <w:highlight w:val="none"/>
                      <w:lang w:bidi="ar"/>
                    </w:rPr>
                    <w:t>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580" w:type="dxa"/>
                  <w:vMerge w:val="continue"/>
                  <w:noWrap w:val="0"/>
                  <w:vAlign w:val="center"/>
                </w:tcPr>
                <w:p>
                  <w:pPr>
                    <w:widowControl/>
                    <w:jc w:val="center"/>
                    <w:rPr>
                      <w:color w:val="auto"/>
                      <w:szCs w:val="21"/>
                      <w:highlight w:val="none"/>
                    </w:rPr>
                  </w:pPr>
                </w:p>
              </w:tc>
              <w:tc>
                <w:tcPr>
                  <w:tcW w:w="582" w:type="dxa"/>
                  <w:vMerge w:val="continue"/>
                  <w:noWrap w:val="0"/>
                  <w:vAlign w:val="center"/>
                </w:tcPr>
                <w:p>
                  <w:pPr>
                    <w:widowControl/>
                    <w:jc w:val="center"/>
                    <w:rPr>
                      <w:b/>
                      <w:bCs/>
                      <w:color w:val="auto"/>
                      <w:szCs w:val="21"/>
                      <w:highlight w:val="none"/>
                    </w:rPr>
                  </w:pPr>
                </w:p>
              </w:tc>
              <w:tc>
                <w:tcPr>
                  <w:tcW w:w="1761" w:type="dxa"/>
                  <w:noWrap/>
                  <w:vAlign w:val="center"/>
                </w:tcPr>
                <w:p>
                  <w:pPr>
                    <w:widowControl/>
                    <w:jc w:val="center"/>
                    <w:textAlignment w:val="center"/>
                    <w:rPr>
                      <w:color w:val="auto"/>
                      <w:szCs w:val="21"/>
                      <w:highlight w:val="none"/>
                    </w:rPr>
                  </w:pPr>
                  <w:r>
                    <w:rPr>
                      <w:color w:val="auto"/>
                      <w:kern w:val="0"/>
                      <w:szCs w:val="21"/>
                      <w:highlight w:val="none"/>
                      <w:lang w:bidi="ar"/>
                    </w:rPr>
                    <w:t>底置式(100t)（标配）</w:t>
                  </w:r>
                </w:p>
              </w:tc>
              <w:tc>
                <w:tcPr>
                  <w:tcW w:w="1398" w:type="dxa"/>
                  <w:noWrap/>
                  <w:vAlign w:val="center"/>
                </w:tcPr>
                <w:p>
                  <w:pPr>
                    <w:widowControl/>
                    <w:jc w:val="center"/>
                    <w:rPr>
                      <w:color w:val="auto"/>
                      <w:szCs w:val="21"/>
                      <w:highlight w:val="none"/>
                    </w:rPr>
                  </w:pPr>
                  <w:r>
                    <w:rPr>
                      <w:rFonts w:hint="eastAsia"/>
                      <w:color w:val="auto"/>
                      <w:szCs w:val="21"/>
                      <w:highlight w:val="none"/>
                    </w:rPr>
                    <w:t>/</w:t>
                  </w:r>
                </w:p>
              </w:tc>
              <w:tc>
                <w:tcPr>
                  <w:tcW w:w="1576" w:type="dxa"/>
                  <w:noWrap/>
                  <w:vAlign w:val="center"/>
                </w:tcPr>
                <w:p>
                  <w:pPr>
                    <w:widowControl/>
                    <w:jc w:val="center"/>
                    <w:rPr>
                      <w:color w:val="auto"/>
                      <w:szCs w:val="21"/>
                      <w:highlight w:val="none"/>
                    </w:rPr>
                  </w:pPr>
                  <w:r>
                    <w:rPr>
                      <w:rFonts w:hint="eastAsia"/>
                      <w:color w:val="auto"/>
                      <w:szCs w:val="21"/>
                      <w:highlight w:val="none"/>
                    </w:rPr>
                    <w:t>/</w:t>
                  </w:r>
                </w:p>
              </w:tc>
              <w:tc>
                <w:tcPr>
                  <w:tcW w:w="986" w:type="dxa"/>
                  <w:noWrap/>
                  <w:vAlign w:val="center"/>
                </w:tcPr>
                <w:p>
                  <w:pPr>
                    <w:widowControl/>
                    <w:jc w:val="center"/>
                    <w:textAlignment w:val="center"/>
                    <w:rPr>
                      <w:color w:val="auto"/>
                      <w:szCs w:val="21"/>
                      <w:highlight w:val="none"/>
                    </w:rPr>
                  </w:pPr>
                  <w:r>
                    <w:rPr>
                      <w:color w:val="auto"/>
                      <w:kern w:val="0"/>
                      <w:szCs w:val="21"/>
                      <w:highlight w:val="none"/>
                      <w:lang w:bidi="ar"/>
                    </w:rPr>
                    <w:t>1</w:t>
                  </w:r>
                </w:p>
              </w:tc>
              <w:tc>
                <w:tcPr>
                  <w:tcW w:w="1057" w:type="dxa"/>
                  <w:noWrap/>
                  <w:vAlign w:val="center"/>
                </w:tcPr>
                <w:p>
                  <w:pPr>
                    <w:widowControl/>
                    <w:jc w:val="center"/>
                    <w:textAlignment w:val="center"/>
                    <w:rPr>
                      <w:color w:val="auto"/>
                      <w:kern w:val="0"/>
                      <w:szCs w:val="21"/>
                      <w:highlight w:val="none"/>
                      <w:lang w:bidi="ar"/>
                    </w:rPr>
                  </w:pPr>
                  <w:r>
                    <w:rPr>
                      <w:rFonts w:hint="eastAsia"/>
                      <w:color w:val="auto"/>
                      <w:kern w:val="0"/>
                      <w:szCs w:val="21"/>
                      <w:highlight w:val="none"/>
                      <w:lang w:bidi="ar"/>
                    </w:rPr>
                    <w:t>1</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580" w:type="dxa"/>
                  <w:vMerge w:val="restart"/>
                  <w:noWrap w:val="0"/>
                  <w:vAlign w:val="center"/>
                </w:tcPr>
                <w:p>
                  <w:pPr>
                    <w:widowControl/>
                    <w:jc w:val="center"/>
                    <w:textAlignment w:val="center"/>
                    <w:rPr>
                      <w:color w:val="auto"/>
                      <w:szCs w:val="21"/>
                      <w:highlight w:val="none"/>
                    </w:rPr>
                  </w:pPr>
                  <w:r>
                    <w:rPr>
                      <w:color w:val="auto"/>
                      <w:kern w:val="0"/>
                      <w:szCs w:val="21"/>
                      <w:highlight w:val="none"/>
                      <w:lang w:bidi="ar"/>
                    </w:rPr>
                    <w:t>12</w:t>
                  </w:r>
                </w:p>
              </w:tc>
              <w:tc>
                <w:tcPr>
                  <w:tcW w:w="582" w:type="dxa"/>
                  <w:vMerge w:val="restart"/>
                  <w:noWrap w:val="0"/>
                  <w:vAlign w:val="center"/>
                </w:tcPr>
                <w:p>
                  <w:pPr>
                    <w:widowControl/>
                    <w:jc w:val="center"/>
                    <w:textAlignment w:val="center"/>
                    <w:rPr>
                      <w:b/>
                      <w:bCs/>
                      <w:color w:val="auto"/>
                      <w:szCs w:val="21"/>
                      <w:highlight w:val="none"/>
                    </w:rPr>
                  </w:pPr>
                  <w:r>
                    <w:rPr>
                      <w:b/>
                      <w:bCs/>
                      <w:color w:val="auto"/>
                      <w:kern w:val="0"/>
                      <w:szCs w:val="21"/>
                      <w:highlight w:val="none"/>
                      <w:lang w:bidi="ar"/>
                    </w:rPr>
                    <w:t>燃料沥青加热系统</w:t>
                  </w:r>
                </w:p>
              </w:tc>
              <w:tc>
                <w:tcPr>
                  <w:tcW w:w="1761" w:type="dxa"/>
                  <w:noWrap/>
                  <w:vAlign w:val="center"/>
                </w:tcPr>
                <w:p>
                  <w:pPr>
                    <w:widowControl/>
                    <w:jc w:val="center"/>
                    <w:textAlignment w:val="center"/>
                    <w:rPr>
                      <w:color w:val="auto"/>
                      <w:szCs w:val="21"/>
                      <w:highlight w:val="none"/>
                    </w:rPr>
                  </w:pPr>
                  <w:r>
                    <w:rPr>
                      <w:color w:val="auto"/>
                      <w:kern w:val="0"/>
                      <w:szCs w:val="21"/>
                      <w:highlight w:val="none"/>
                      <w:lang w:bidi="ar"/>
                    </w:rPr>
                    <w:t>沥青罐</w:t>
                  </w:r>
                </w:p>
              </w:tc>
              <w:tc>
                <w:tcPr>
                  <w:tcW w:w="1398" w:type="dxa"/>
                  <w:noWrap/>
                  <w:vAlign w:val="center"/>
                </w:tcPr>
                <w:p>
                  <w:pPr>
                    <w:widowControl/>
                    <w:jc w:val="center"/>
                    <w:textAlignment w:val="center"/>
                    <w:rPr>
                      <w:color w:val="auto"/>
                      <w:szCs w:val="21"/>
                      <w:highlight w:val="none"/>
                    </w:rPr>
                  </w:pPr>
                  <w:r>
                    <w:rPr>
                      <w:color w:val="auto"/>
                      <w:kern w:val="0"/>
                      <w:szCs w:val="21"/>
                      <w:highlight w:val="none"/>
                      <w:lang w:bidi="ar"/>
                    </w:rPr>
                    <w:t>50000 L</w:t>
                  </w:r>
                </w:p>
              </w:tc>
              <w:tc>
                <w:tcPr>
                  <w:tcW w:w="1576" w:type="dxa"/>
                  <w:noWrap/>
                  <w:vAlign w:val="center"/>
                </w:tcPr>
                <w:p>
                  <w:pPr>
                    <w:widowControl/>
                    <w:jc w:val="center"/>
                    <w:textAlignment w:val="center"/>
                    <w:rPr>
                      <w:color w:val="auto"/>
                      <w:kern w:val="0"/>
                      <w:szCs w:val="21"/>
                      <w:highlight w:val="none"/>
                      <w:lang w:bidi="ar"/>
                    </w:rPr>
                  </w:pPr>
                  <w:r>
                    <w:rPr>
                      <w:color w:val="auto"/>
                      <w:kern w:val="0"/>
                      <w:szCs w:val="21"/>
                      <w:highlight w:val="none"/>
                      <w:lang w:bidi="ar"/>
                    </w:rPr>
                    <w:t>50000 L</w:t>
                  </w:r>
                </w:p>
              </w:tc>
              <w:tc>
                <w:tcPr>
                  <w:tcW w:w="986" w:type="dxa"/>
                  <w:noWrap/>
                  <w:vAlign w:val="center"/>
                </w:tcPr>
                <w:p>
                  <w:pPr>
                    <w:widowControl/>
                    <w:jc w:val="center"/>
                    <w:textAlignment w:val="center"/>
                    <w:rPr>
                      <w:color w:val="auto"/>
                      <w:szCs w:val="21"/>
                      <w:highlight w:val="none"/>
                    </w:rPr>
                  </w:pPr>
                  <w:r>
                    <w:rPr>
                      <w:color w:val="auto"/>
                      <w:kern w:val="0"/>
                      <w:szCs w:val="21"/>
                      <w:highlight w:val="none"/>
                      <w:lang w:bidi="ar"/>
                    </w:rPr>
                    <w:t>3（标配）</w:t>
                  </w:r>
                </w:p>
              </w:tc>
              <w:tc>
                <w:tcPr>
                  <w:tcW w:w="1057" w:type="dxa"/>
                  <w:noWrap/>
                  <w:vAlign w:val="center"/>
                </w:tcPr>
                <w:p>
                  <w:pPr>
                    <w:widowControl/>
                    <w:jc w:val="center"/>
                    <w:textAlignment w:val="center"/>
                    <w:rPr>
                      <w:color w:val="auto"/>
                      <w:kern w:val="0"/>
                      <w:szCs w:val="21"/>
                      <w:highlight w:val="none"/>
                      <w:lang w:bidi="ar"/>
                    </w:rPr>
                  </w:pPr>
                  <w:r>
                    <w:rPr>
                      <w:rFonts w:hint="eastAsia"/>
                      <w:color w:val="auto"/>
                      <w:kern w:val="0"/>
                      <w:szCs w:val="21"/>
                      <w:highlight w:val="none"/>
                      <w:lang w:bidi="ar"/>
                    </w:rPr>
                    <w:t>4（一用一备）</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580" w:type="dxa"/>
                  <w:vMerge w:val="continue"/>
                  <w:noWrap w:val="0"/>
                  <w:vAlign w:val="center"/>
                </w:tcPr>
                <w:p>
                  <w:pPr>
                    <w:widowControl/>
                    <w:jc w:val="center"/>
                    <w:rPr>
                      <w:color w:val="auto"/>
                      <w:szCs w:val="21"/>
                      <w:highlight w:val="none"/>
                    </w:rPr>
                  </w:pPr>
                </w:p>
              </w:tc>
              <w:tc>
                <w:tcPr>
                  <w:tcW w:w="582" w:type="dxa"/>
                  <w:vMerge w:val="continue"/>
                  <w:noWrap w:val="0"/>
                  <w:vAlign w:val="center"/>
                </w:tcPr>
                <w:p>
                  <w:pPr>
                    <w:widowControl/>
                    <w:jc w:val="center"/>
                    <w:rPr>
                      <w:b/>
                      <w:bCs/>
                      <w:color w:val="auto"/>
                      <w:szCs w:val="21"/>
                      <w:highlight w:val="none"/>
                    </w:rPr>
                  </w:pPr>
                </w:p>
              </w:tc>
              <w:tc>
                <w:tcPr>
                  <w:tcW w:w="1761" w:type="dxa"/>
                  <w:noWrap/>
                  <w:vAlign w:val="center"/>
                </w:tcPr>
                <w:p>
                  <w:pPr>
                    <w:widowControl/>
                    <w:jc w:val="center"/>
                    <w:textAlignment w:val="center"/>
                    <w:rPr>
                      <w:color w:val="auto"/>
                      <w:szCs w:val="21"/>
                      <w:highlight w:val="none"/>
                    </w:rPr>
                  </w:pPr>
                  <w:r>
                    <w:rPr>
                      <w:color w:val="auto"/>
                      <w:kern w:val="0"/>
                      <w:szCs w:val="21"/>
                      <w:highlight w:val="none"/>
                      <w:lang w:bidi="ar"/>
                    </w:rPr>
                    <w:t>沥青循环泵</w:t>
                  </w:r>
                </w:p>
              </w:tc>
              <w:tc>
                <w:tcPr>
                  <w:tcW w:w="1398" w:type="dxa"/>
                  <w:noWrap/>
                  <w:vAlign w:val="center"/>
                </w:tcPr>
                <w:p>
                  <w:pPr>
                    <w:widowControl/>
                    <w:jc w:val="center"/>
                    <w:textAlignment w:val="center"/>
                    <w:rPr>
                      <w:color w:val="auto"/>
                      <w:szCs w:val="21"/>
                      <w:highlight w:val="none"/>
                    </w:rPr>
                  </w:pPr>
                  <w:r>
                    <w:rPr>
                      <w:color w:val="auto"/>
                      <w:kern w:val="0"/>
                      <w:szCs w:val="21"/>
                      <w:highlight w:val="none"/>
                      <w:lang w:bidi="ar"/>
                    </w:rPr>
                    <w:t>7.5 kW</w:t>
                  </w:r>
                </w:p>
              </w:tc>
              <w:tc>
                <w:tcPr>
                  <w:tcW w:w="1576" w:type="dxa"/>
                  <w:noWrap/>
                  <w:vAlign w:val="center"/>
                </w:tcPr>
                <w:p>
                  <w:pPr>
                    <w:widowControl/>
                    <w:jc w:val="center"/>
                    <w:textAlignment w:val="center"/>
                    <w:rPr>
                      <w:color w:val="auto"/>
                      <w:kern w:val="0"/>
                      <w:szCs w:val="21"/>
                      <w:highlight w:val="none"/>
                      <w:lang w:bidi="ar"/>
                    </w:rPr>
                  </w:pPr>
                  <w:r>
                    <w:rPr>
                      <w:color w:val="auto"/>
                      <w:kern w:val="0"/>
                      <w:szCs w:val="21"/>
                      <w:highlight w:val="none"/>
                      <w:lang w:bidi="ar"/>
                    </w:rPr>
                    <w:t>7.5 kW</w:t>
                  </w:r>
                </w:p>
              </w:tc>
              <w:tc>
                <w:tcPr>
                  <w:tcW w:w="986" w:type="dxa"/>
                  <w:noWrap/>
                  <w:vAlign w:val="center"/>
                </w:tcPr>
                <w:p>
                  <w:pPr>
                    <w:widowControl/>
                    <w:jc w:val="center"/>
                    <w:textAlignment w:val="center"/>
                    <w:rPr>
                      <w:color w:val="auto"/>
                      <w:szCs w:val="21"/>
                      <w:highlight w:val="none"/>
                    </w:rPr>
                  </w:pPr>
                  <w:r>
                    <w:rPr>
                      <w:color w:val="auto"/>
                      <w:kern w:val="0"/>
                      <w:szCs w:val="21"/>
                      <w:highlight w:val="none"/>
                      <w:lang w:bidi="ar"/>
                    </w:rPr>
                    <w:t>1</w:t>
                  </w:r>
                </w:p>
              </w:tc>
              <w:tc>
                <w:tcPr>
                  <w:tcW w:w="1057" w:type="dxa"/>
                  <w:noWrap/>
                  <w:vAlign w:val="center"/>
                </w:tcPr>
                <w:p>
                  <w:pPr>
                    <w:widowControl/>
                    <w:jc w:val="center"/>
                    <w:textAlignment w:val="center"/>
                    <w:rPr>
                      <w:color w:val="auto"/>
                      <w:kern w:val="0"/>
                      <w:szCs w:val="21"/>
                      <w:highlight w:val="none"/>
                      <w:lang w:bidi="ar"/>
                    </w:rPr>
                  </w:pPr>
                  <w:r>
                    <w:rPr>
                      <w:rFonts w:hint="eastAsia"/>
                      <w:color w:val="auto"/>
                      <w:kern w:val="0"/>
                      <w:szCs w:val="21"/>
                      <w:highlight w:val="none"/>
                      <w:lang w:bidi="ar"/>
                    </w:rPr>
                    <w:t>1</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580" w:type="dxa"/>
                  <w:vMerge w:val="continue"/>
                  <w:noWrap w:val="0"/>
                  <w:vAlign w:val="center"/>
                </w:tcPr>
                <w:p>
                  <w:pPr>
                    <w:widowControl/>
                    <w:jc w:val="center"/>
                    <w:rPr>
                      <w:color w:val="auto"/>
                      <w:szCs w:val="21"/>
                      <w:highlight w:val="none"/>
                    </w:rPr>
                  </w:pPr>
                </w:p>
              </w:tc>
              <w:tc>
                <w:tcPr>
                  <w:tcW w:w="582" w:type="dxa"/>
                  <w:vMerge w:val="continue"/>
                  <w:noWrap w:val="0"/>
                  <w:vAlign w:val="center"/>
                </w:tcPr>
                <w:p>
                  <w:pPr>
                    <w:widowControl/>
                    <w:jc w:val="center"/>
                    <w:rPr>
                      <w:b/>
                      <w:bCs/>
                      <w:color w:val="auto"/>
                      <w:szCs w:val="21"/>
                      <w:highlight w:val="none"/>
                    </w:rPr>
                  </w:pPr>
                </w:p>
              </w:tc>
              <w:tc>
                <w:tcPr>
                  <w:tcW w:w="1761" w:type="dxa"/>
                  <w:noWrap/>
                  <w:vAlign w:val="center"/>
                </w:tcPr>
                <w:p>
                  <w:pPr>
                    <w:widowControl/>
                    <w:jc w:val="center"/>
                    <w:textAlignment w:val="center"/>
                    <w:rPr>
                      <w:color w:val="auto"/>
                      <w:szCs w:val="21"/>
                      <w:highlight w:val="none"/>
                    </w:rPr>
                  </w:pPr>
                  <w:r>
                    <w:rPr>
                      <w:color w:val="auto"/>
                      <w:kern w:val="0"/>
                      <w:szCs w:val="21"/>
                      <w:highlight w:val="none"/>
                      <w:lang w:bidi="ar"/>
                    </w:rPr>
                    <w:t>沥青接卸泵</w:t>
                  </w:r>
                </w:p>
              </w:tc>
              <w:tc>
                <w:tcPr>
                  <w:tcW w:w="1398" w:type="dxa"/>
                  <w:noWrap/>
                  <w:vAlign w:val="center"/>
                </w:tcPr>
                <w:p>
                  <w:pPr>
                    <w:widowControl/>
                    <w:jc w:val="center"/>
                    <w:textAlignment w:val="center"/>
                    <w:rPr>
                      <w:color w:val="auto"/>
                      <w:szCs w:val="21"/>
                      <w:highlight w:val="none"/>
                    </w:rPr>
                  </w:pPr>
                  <w:r>
                    <w:rPr>
                      <w:color w:val="auto"/>
                      <w:kern w:val="0"/>
                      <w:szCs w:val="21"/>
                      <w:highlight w:val="none"/>
                      <w:lang w:bidi="ar"/>
                    </w:rPr>
                    <w:t>15 kW</w:t>
                  </w:r>
                </w:p>
              </w:tc>
              <w:tc>
                <w:tcPr>
                  <w:tcW w:w="1576" w:type="dxa"/>
                  <w:noWrap/>
                  <w:vAlign w:val="center"/>
                </w:tcPr>
                <w:p>
                  <w:pPr>
                    <w:widowControl/>
                    <w:jc w:val="center"/>
                    <w:textAlignment w:val="center"/>
                    <w:rPr>
                      <w:color w:val="auto"/>
                      <w:kern w:val="0"/>
                      <w:szCs w:val="21"/>
                      <w:highlight w:val="none"/>
                      <w:lang w:bidi="ar"/>
                    </w:rPr>
                  </w:pPr>
                  <w:r>
                    <w:rPr>
                      <w:color w:val="auto"/>
                      <w:kern w:val="0"/>
                      <w:szCs w:val="21"/>
                      <w:highlight w:val="none"/>
                      <w:lang w:bidi="ar"/>
                    </w:rPr>
                    <w:t>15 kW</w:t>
                  </w:r>
                </w:p>
              </w:tc>
              <w:tc>
                <w:tcPr>
                  <w:tcW w:w="986" w:type="dxa"/>
                  <w:noWrap/>
                  <w:vAlign w:val="center"/>
                </w:tcPr>
                <w:p>
                  <w:pPr>
                    <w:widowControl/>
                    <w:jc w:val="center"/>
                    <w:textAlignment w:val="center"/>
                    <w:rPr>
                      <w:color w:val="auto"/>
                      <w:szCs w:val="21"/>
                      <w:highlight w:val="none"/>
                    </w:rPr>
                  </w:pPr>
                  <w:r>
                    <w:rPr>
                      <w:color w:val="auto"/>
                      <w:kern w:val="0"/>
                      <w:szCs w:val="21"/>
                      <w:highlight w:val="none"/>
                      <w:lang w:bidi="ar"/>
                    </w:rPr>
                    <w:t>1</w:t>
                  </w:r>
                </w:p>
              </w:tc>
              <w:tc>
                <w:tcPr>
                  <w:tcW w:w="1057" w:type="dxa"/>
                  <w:noWrap/>
                  <w:vAlign w:val="center"/>
                </w:tcPr>
                <w:p>
                  <w:pPr>
                    <w:widowControl/>
                    <w:jc w:val="center"/>
                    <w:textAlignment w:val="center"/>
                    <w:rPr>
                      <w:color w:val="auto"/>
                      <w:kern w:val="0"/>
                      <w:szCs w:val="21"/>
                      <w:highlight w:val="none"/>
                      <w:lang w:bidi="ar"/>
                    </w:rPr>
                  </w:pPr>
                  <w:r>
                    <w:rPr>
                      <w:rFonts w:hint="eastAsia"/>
                      <w:color w:val="auto"/>
                      <w:kern w:val="0"/>
                      <w:szCs w:val="21"/>
                      <w:highlight w:val="none"/>
                      <w:lang w:bidi="ar"/>
                    </w:rPr>
                    <w:t>1</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580" w:type="dxa"/>
                  <w:vMerge w:val="continue"/>
                  <w:noWrap w:val="0"/>
                  <w:vAlign w:val="center"/>
                </w:tcPr>
                <w:p>
                  <w:pPr>
                    <w:widowControl/>
                    <w:jc w:val="center"/>
                    <w:rPr>
                      <w:color w:val="auto"/>
                      <w:szCs w:val="21"/>
                      <w:highlight w:val="none"/>
                    </w:rPr>
                  </w:pPr>
                </w:p>
              </w:tc>
              <w:tc>
                <w:tcPr>
                  <w:tcW w:w="582" w:type="dxa"/>
                  <w:vMerge w:val="continue"/>
                  <w:noWrap w:val="0"/>
                  <w:vAlign w:val="center"/>
                </w:tcPr>
                <w:p>
                  <w:pPr>
                    <w:widowControl/>
                    <w:jc w:val="center"/>
                    <w:rPr>
                      <w:b/>
                      <w:bCs/>
                      <w:color w:val="auto"/>
                      <w:szCs w:val="21"/>
                      <w:highlight w:val="none"/>
                    </w:rPr>
                  </w:pPr>
                </w:p>
              </w:tc>
              <w:tc>
                <w:tcPr>
                  <w:tcW w:w="1761" w:type="dxa"/>
                  <w:noWrap/>
                  <w:vAlign w:val="center"/>
                </w:tcPr>
                <w:p>
                  <w:pPr>
                    <w:widowControl/>
                    <w:jc w:val="center"/>
                    <w:textAlignment w:val="center"/>
                    <w:rPr>
                      <w:color w:val="auto"/>
                      <w:szCs w:val="21"/>
                      <w:highlight w:val="none"/>
                    </w:rPr>
                  </w:pPr>
                  <w:r>
                    <w:rPr>
                      <w:color w:val="auto"/>
                      <w:kern w:val="0"/>
                      <w:szCs w:val="21"/>
                      <w:highlight w:val="none"/>
                      <w:lang w:bidi="ar"/>
                    </w:rPr>
                    <w:t>燃油导热油炉（</w:t>
                  </w:r>
                  <w:r>
                    <w:rPr>
                      <w:rFonts w:hint="eastAsia"/>
                      <w:color w:val="auto"/>
                      <w:kern w:val="0"/>
                      <w:szCs w:val="21"/>
                      <w:highlight w:val="none"/>
                      <w:lang w:bidi="ar"/>
                    </w:rPr>
                    <w:t>燃气</w:t>
                  </w:r>
                  <w:r>
                    <w:rPr>
                      <w:color w:val="auto"/>
                      <w:kern w:val="0"/>
                      <w:szCs w:val="21"/>
                      <w:highlight w:val="none"/>
                      <w:lang w:bidi="ar"/>
                    </w:rPr>
                    <w:t>）</w:t>
                  </w:r>
                </w:p>
              </w:tc>
              <w:tc>
                <w:tcPr>
                  <w:tcW w:w="1398" w:type="dxa"/>
                  <w:noWrap/>
                  <w:vAlign w:val="center"/>
                </w:tcPr>
                <w:p>
                  <w:pPr>
                    <w:widowControl/>
                    <w:jc w:val="center"/>
                    <w:textAlignment w:val="center"/>
                    <w:rPr>
                      <w:color w:val="auto"/>
                      <w:szCs w:val="21"/>
                      <w:highlight w:val="none"/>
                    </w:rPr>
                  </w:pPr>
                  <w:r>
                    <w:rPr>
                      <w:color w:val="auto"/>
                      <w:kern w:val="0"/>
                      <w:szCs w:val="21"/>
                      <w:highlight w:val="none"/>
                      <w:lang w:bidi="ar"/>
                    </w:rPr>
                    <w:t>80万kcal</w:t>
                  </w:r>
                </w:p>
              </w:tc>
              <w:tc>
                <w:tcPr>
                  <w:tcW w:w="1576" w:type="dxa"/>
                  <w:noWrap/>
                  <w:vAlign w:val="center"/>
                </w:tcPr>
                <w:p>
                  <w:pPr>
                    <w:widowControl/>
                    <w:jc w:val="center"/>
                    <w:textAlignment w:val="center"/>
                    <w:rPr>
                      <w:color w:val="auto"/>
                      <w:kern w:val="0"/>
                      <w:szCs w:val="21"/>
                      <w:highlight w:val="none"/>
                      <w:lang w:bidi="ar"/>
                    </w:rPr>
                  </w:pPr>
                  <w:r>
                    <w:rPr>
                      <w:color w:val="auto"/>
                      <w:kern w:val="0"/>
                      <w:szCs w:val="21"/>
                      <w:highlight w:val="none"/>
                      <w:lang w:bidi="ar"/>
                    </w:rPr>
                    <w:t>80万kcal</w:t>
                  </w:r>
                </w:p>
              </w:tc>
              <w:tc>
                <w:tcPr>
                  <w:tcW w:w="986" w:type="dxa"/>
                  <w:noWrap/>
                  <w:vAlign w:val="center"/>
                </w:tcPr>
                <w:p>
                  <w:pPr>
                    <w:widowControl/>
                    <w:jc w:val="center"/>
                    <w:textAlignment w:val="center"/>
                    <w:rPr>
                      <w:color w:val="auto"/>
                      <w:szCs w:val="21"/>
                      <w:highlight w:val="none"/>
                    </w:rPr>
                  </w:pPr>
                  <w:r>
                    <w:rPr>
                      <w:color w:val="auto"/>
                      <w:kern w:val="0"/>
                      <w:szCs w:val="21"/>
                      <w:highlight w:val="none"/>
                      <w:lang w:bidi="ar"/>
                    </w:rPr>
                    <w:t>1</w:t>
                  </w:r>
                </w:p>
              </w:tc>
              <w:tc>
                <w:tcPr>
                  <w:tcW w:w="1057" w:type="dxa"/>
                  <w:noWrap/>
                  <w:vAlign w:val="center"/>
                </w:tcPr>
                <w:p>
                  <w:pPr>
                    <w:widowControl/>
                    <w:jc w:val="center"/>
                    <w:textAlignment w:val="center"/>
                    <w:rPr>
                      <w:color w:val="auto"/>
                      <w:kern w:val="0"/>
                      <w:szCs w:val="21"/>
                      <w:highlight w:val="none"/>
                      <w:lang w:bidi="ar"/>
                    </w:rPr>
                  </w:pPr>
                  <w:r>
                    <w:rPr>
                      <w:rFonts w:hint="eastAsia"/>
                      <w:color w:val="auto"/>
                      <w:kern w:val="0"/>
                      <w:szCs w:val="21"/>
                      <w:highlight w:val="none"/>
                      <w:lang w:bidi="ar"/>
                    </w:rPr>
                    <w:t>1</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580" w:type="dxa"/>
                  <w:vMerge w:val="restart"/>
                  <w:noWrap w:val="0"/>
                  <w:vAlign w:val="center"/>
                </w:tcPr>
                <w:p>
                  <w:pPr>
                    <w:widowControl/>
                    <w:jc w:val="center"/>
                    <w:textAlignment w:val="center"/>
                    <w:rPr>
                      <w:color w:val="auto"/>
                      <w:szCs w:val="21"/>
                      <w:highlight w:val="none"/>
                    </w:rPr>
                  </w:pPr>
                  <w:r>
                    <w:rPr>
                      <w:color w:val="auto"/>
                      <w:kern w:val="0"/>
                      <w:szCs w:val="21"/>
                      <w:highlight w:val="none"/>
                      <w:lang w:bidi="ar"/>
                    </w:rPr>
                    <w:t>13</w:t>
                  </w:r>
                </w:p>
              </w:tc>
              <w:tc>
                <w:tcPr>
                  <w:tcW w:w="582" w:type="dxa"/>
                  <w:vMerge w:val="restart"/>
                  <w:noWrap w:val="0"/>
                  <w:vAlign w:val="center"/>
                </w:tcPr>
                <w:p>
                  <w:pPr>
                    <w:widowControl/>
                    <w:jc w:val="center"/>
                    <w:textAlignment w:val="center"/>
                    <w:rPr>
                      <w:b/>
                      <w:bCs/>
                      <w:color w:val="auto"/>
                      <w:szCs w:val="21"/>
                      <w:highlight w:val="none"/>
                    </w:rPr>
                  </w:pPr>
                  <w:r>
                    <w:rPr>
                      <w:b/>
                      <w:bCs/>
                      <w:color w:val="auto"/>
                      <w:kern w:val="0"/>
                      <w:szCs w:val="21"/>
                      <w:highlight w:val="none"/>
                      <w:lang w:bidi="ar"/>
                    </w:rPr>
                    <w:t>控制系统</w:t>
                  </w:r>
                </w:p>
              </w:tc>
              <w:tc>
                <w:tcPr>
                  <w:tcW w:w="1761" w:type="dxa"/>
                  <w:noWrap/>
                  <w:vAlign w:val="center"/>
                </w:tcPr>
                <w:p>
                  <w:pPr>
                    <w:widowControl/>
                    <w:jc w:val="center"/>
                    <w:textAlignment w:val="center"/>
                    <w:rPr>
                      <w:color w:val="auto"/>
                      <w:szCs w:val="21"/>
                      <w:highlight w:val="none"/>
                    </w:rPr>
                  </w:pPr>
                  <w:r>
                    <w:rPr>
                      <w:color w:val="auto"/>
                      <w:kern w:val="0"/>
                      <w:szCs w:val="21"/>
                      <w:highlight w:val="none"/>
                      <w:lang w:bidi="ar"/>
                    </w:rPr>
                    <w:t>控制器</w:t>
                  </w:r>
                </w:p>
              </w:tc>
              <w:tc>
                <w:tcPr>
                  <w:tcW w:w="1398" w:type="dxa"/>
                  <w:noWrap/>
                  <w:vAlign w:val="center"/>
                </w:tcPr>
                <w:p>
                  <w:pPr>
                    <w:widowControl/>
                    <w:jc w:val="center"/>
                    <w:rPr>
                      <w:color w:val="auto"/>
                      <w:szCs w:val="21"/>
                      <w:highlight w:val="none"/>
                    </w:rPr>
                  </w:pPr>
                  <w:r>
                    <w:rPr>
                      <w:rFonts w:hint="eastAsia"/>
                      <w:color w:val="auto"/>
                      <w:szCs w:val="21"/>
                      <w:highlight w:val="none"/>
                    </w:rPr>
                    <w:t>/</w:t>
                  </w:r>
                </w:p>
              </w:tc>
              <w:tc>
                <w:tcPr>
                  <w:tcW w:w="1576" w:type="dxa"/>
                  <w:noWrap/>
                  <w:vAlign w:val="center"/>
                </w:tcPr>
                <w:p>
                  <w:pPr>
                    <w:widowControl/>
                    <w:jc w:val="center"/>
                    <w:rPr>
                      <w:color w:val="auto"/>
                      <w:szCs w:val="21"/>
                      <w:highlight w:val="none"/>
                    </w:rPr>
                  </w:pPr>
                  <w:r>
                    <w:rPr>
                      <w:rFonts w:hint="eastAsia"/>
                      <w:color w:val="auto"/>
                      <w:szCs w:val="21"/>
                      <w:highlight w:val="none"/>
                    </w:rPr>
                    <w:t>/</w:t>
                  </w:r>
                </w:p>
              </w:tc>
              <w:tc>
                <w:tcPr>
                  <w:tcW w:w="986" w:type="dxa"/>
                  <w:noWrap/>
                  <w:vAlign w:val="center"/>
                </w:tcPr>
                <w:p>
                  <w:pPr>
                    <w:widowControl/>
                    <w:jc w:val="center"/>
                    <w:textAlignment w:val="center"/>
                    <w:rPr>
                      <w:color w:val="auto"/>
                      <w:szCs w:val="21"/>
                      <w:highlight w:val="none"/>
                    </w:rPr>
                  </w:pPr>
                  <w:r>
                    <w:rPr>
                      <w:color w:val="auto"/>
                      <w:kern w:val="0"/>
                      <w:szCs w:val="21"/>
                      <w:highlight w:val="none"/>
                      <w:lang w:bidi="ar"/>
                    </w:rPr>
                    <w:t>1</w:t>
                  </w:r>
                </w:p>
              </w:tc>
              <w:tc>
                <w:tcPr>
                  <w:tcW w:w="1057" w:type="dxa"/>
                  <w:noWrap/>
                  <w:vAlign w:val="center"/>
                </w:tcPr>
                <w:p>
                  <w:pPr>
                    <w:widowControl/>
                    <w:jc w:val="center"/>
                    <w:textAlignment w:val="center"/>
                    <w:rPr>
                      <w:color w:val="auto"/>
                      <w:kern w:val="0"/>
                      <w:szCs w:val="21"/>
                      <w:highlight w:val="none"/>
                      <w:lang w:bidi="ar"/>
                    </w:rPr>
                  </w:pPr>
                  <w:r>
                    <w:rPr>
                      <w:rFonts w:hint="eastAsia"/>
                      <w:color w:val="auto"/>
                      <w:kern w:val="0"/>
                      <w:szCs w:val="21"/>
                      <w:highlight w:val="none"/>
                      <w:lang w:bidi="ar"/>
                    </w:rPr>
                    <w:t>1</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580" w:type="dxa"/>
                  <w:vMerge w:val="continue"/>
                  <w:noWrap w:val="0"/>
                  <w:vAlign w:val="center"/>
                </w:tcPr>
                <w:p>
                  <w:pPr>
                    <w:widowControl/>
                    <w:jc w:val="center"/>
                    <w:rPr>
                      <w:color w:val="auto"/>
                      <w:szCs w:val="21"/>
                      <w:highlight w:val="none"/>
                    </w:rPr>
                  </w:pPr>
                </w:p>
              </w:tc>
              <w:tc>
                <w:tcPr>
                  <w:tcW w:w="582" w:type="dxa"/>
                  <w:vMerge w:val="continue"/>
                  <w:noWrap w:val="0"/>
                  <w:vAlign w:val="center"/>
                </w:tcPr>
                <w:p>
                  <w:pPr>
                    <w:widowControl/>
                    <w:jc w:val="center"/>
                    <w:rPr>
                      <w:b/>
                      <w:bCs/>
                      <w:color w:val="auto"/>
                      <w:szCs w:val="21"/>
                      <w:highlight w:val="none"/>
                    </w:rPr>
                  </w:pPr>
                </w:p>
              </w:tc>
              <w:tc>
                <w:tcPr>
                  <w:tcW w:w="1761" w:type="dxa"/>
                  <w:noWrap/>
                  <w:vAlign w:val="center"/>
                </w:tcPr>
                <w:p>
                  <w:pPr>
                    <w:widowControl/>
                    <w:jc w:val="center"/>
                    <w:textAlignment w:val="center"/>
                    <w:rPr>
                      <w:color w:val="auto"/>
                      <w:szCs w:val="21"/>
                      <w:highlight w:val="none"/>
                    </w:rPr>
                  </w:pPr>
                  <w:r>
                    <w:rPr>
                      <w:color w:val="auto"/>
                      <w:kern w:val="0"/>
                      <w:szCs w:val="21"/>
                      <w:highlight w:val="none"/>
                      <w:lang w:bidi="ar"/>
                    </w:rPr>
                    <w:t>商用计算机</w:t>
                  </w:r>
                </w:p>
              </w:tc>
              <w:tc>
                <w:tcPr>
                  <w:tcW w:w="1398" w:type="dxa"/>
                  <w:noWrap/>
                  <w:vAlign w:val="center"/>
                </w:tcPr>
                <w:p>
                  <w:pPr>
                    <w:widowControl/>
                    <w:jc w:val="center"/>
                    <w:rPr>
                      <w:color w:val="auto"/>
                      <w:szCs w:val="21"/>
                      <w:highlight w:val="none"/>
                    </w:rPr>
                  </w:pPr>
                  <w:r>
                    <w:rPr>
                      <w:rFonts w:hint="eastAsia"/>
                      <w:color w:val="auto"/>
                      <w:szCs w:val="21"/>
                      <w:highlight w:val="none"/>
                    </w:rPr>
                    <w:t>/</w:t>
                  </w:r>
                </w:p>
              </w:tc>
              <w:tc>
                <w:tcPr>
                  <w:tcW w:w="1576" w:type="dxa"/>
                  <w:noWrap/>
                  <w:vAlign w:val="center"/>
                </w:tcPr>
                <w:p>
                  <w:pPr>
                    <w:widowControl/>
                    <w:jc w:val="center"/>
                    <w:rPr>
                      <w:color w:val="auto"/>
                      <w:szCs w:val="21"/>
                      <w:highlight w:val="none"/>
                    </w:rPr>
                  </w:pPr>
                  <w:r>
                    <w:rPr>
                      <w:rFonts w:hint="eastAsia"/>
                      <w:color w:val="auto"/>
                      <w:szCs w:val="21"/>
                      <w:highlight w:val="none"/>
                    </w:rPr>
                    <w:t>/</w:t>
                  </w:r>
                </w:p>
              </w:tc>
              <w:tc>
                <w:tcPr>
                  <w:tcW w:w="986" w:type="dxa"/>
                  <w:noWrap/>
                  <w:vAlign w:val="center"/>
                </w:tcPr>
                <w:p>
                  <w:pPr>
                    <w:widowControl/>
                    <w:jc w:val="center"/>
                    <w:textAlignment w:val="center"/>
                    <w:rPr>
                      <w:color w:val="auto"/>
                      <w:szCs w:val="21"/>
                      <w:highlight w:val="none"/>
                    </w:rPr>
                  </w:pPr>
                  <w:r>
                    <w:rPr>
                      <w:color w:val="auto"/>
                      <w:kern w:val="0"/>
                      <w:szCs w:val="21"/>
                      <w:highlight w:val="none"/>
                      <w:lang w:bidi="ar"/>
                    </w:rPr>
                    <w:t>2</w:t>
                  </w:r>
                </w:p>
              </w:tc>
              <w:tc>
                <w:tcPr>
                  <w:tcW w:w="1057" w:type="dxa"/>
                  <w:noWrap/>
                  <w:vAlign w:val="center"/>
                </w:tcPr>
                <w:p>
                  <w:pPr>
                    <w:widowControl/>
                    <w:jc w:val="center"/>
                    <w:textAlignment w:val="center"/>
                    <w:rPr>
                      <w:color w:val="auto"/>
                      <w:kern w:val="0"/>
                      <w:szCs w:val="21"/>
                      <w:highlight w:val="none"/>
                      <w:lang w:bidi="ar"/>
                    </w:rPr>
                  </w:pPr>
                  <w:r>
                    <w:rPr>
                      <w:rFonts w:hint="eastAsia"/>
                      <w:color w:val="auto"/>
                      <w:kern w:val="0"/>
                      <w:szCs w:val="21"/>
                      <w:highlight w:val="none"/>
                      <w:lang w:bidi="ar"/>
                    </w:rPr>
                    <w:t>1</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580" w:type="dxa"/>
                  <w:vMerge w:val="continue"/>
                  <w:noWrap w:val="0"/>
                  <w:vAlign w:val="center"/>
                </w:tcPr>
                <w:p>
                  <w:pPr>
                    <w:widowControl/>
                    <w:jc w:val="center"/>
                    <w:rPr>
                      <w:color w:val="auto"/>
                      <w:szCs w:val="21"/>
                      <w:highlight w:val="none"/>
                    </w:rPr>
                  </w:pPr>
                </w:p>
              </w:tc>
              <w:tc>
                <w:tcPr>
                  <w:tcW w:w="582" w:type="dxa"/>
                  <w:vMerge w:val="continue"/>
                  <w:noWrap w:val="0"/>
                  <w:vAlign w:val="center"/>
                </w:tcPr>
                <w:p>
                  <w:pPr>
                    <w:widowControl/>
                    <w:jc w:val="center"/>
                    <w:rPr>
                      <w:b/>
                      <w:bCs/>
                      <w:color w:val="auto"/>
                      <w:szCs w:val="21"/>
                      <w:highlight w:val="none"/>
                    </w:rPr>
                  </w:pPr>
                </w:p>
              </w:tc>
              <w:tc>
                <w:tcPr>
                  <w:tcW w:w="1761" w:type="dxa"/>
                  <w:noWrap/>
                  <w:vAlign w:val="center"/>
                </w:tcPr>
                <w:p>
                  <w:pPr>
                    <w:widowControl/>
                    <w:jc w:val="center"/>
                    <w:textAlignment w:val="center"/>
                    <w:rPr>
                      <w:color w:val="auto"/>
                      <w:szCs w:val="21"/>
                      <w:highlight w:val="none"/>
                    </w:rPr>
                  </w:pPr>
                  <w:r>
                    <w:rPr>
                      <w:color w:val="auto"/>
                      <w:kern w:val="0"/>
                      <w:szCs w:val="21"/>
                      <w:highlight w:val="none"/>
                      <w:lang w:bidi="ar"/>
                    </w:rPr>
                    <w:t>液晶显示器</w:t>
                  </w:r>
                </w:p>
              </w:tc>
              <w:tc>
                <w:tcPr>
                  <w:tcW w:w="1398" w:type="dxa"/>
                  <w:noWrap/>
                  <w:vAlign w:val="center"/>
                </w:tcPr>
                <w:p>
                  <w:pPr>
                    <w:widowControl/>
                    <w:jc w:val="center"/>
                    <w:rPr>
                      <w:color w:val="auto"/>
                      <w:szCs w:val="21"/>
                      <w:highlight w:val="none"/>
                    </w:rPr>
                  </w:pPr>
                  <w:r>
                    <w:rPr>
                      <w:rFonts w:hint="eastAsia"/>
                      <w:color w:val="auto"/>
                      <w:szCs w:val="21"/>
                      <w:highlight w:val="none"/>
                    </w:rPr>
                    <w:t>/</w:t>
                  </w:r>
                </w:p>
              </w:tc>
              <w:tc>
                <w:tcPr>
                  <w:tcW w:w="1576" w:type="dxa"/>
                  <w:noWrap/>
                  <w:vAlign w:val="center"/>
                </w:tcPr>
                <w:p>
                  <w:pPr>
                    <w:widowControl/>
                    <w:jc w:val="center"/>
                    <w:rPr>
                      <w:color w:val="auto"/>
                      <w:szCs w:val="21"/>
                      <w:highlight w:val="none"/>
                    </w:rPr>
                  </w:pPr>
                  <w:r>
                    <w:rPr>
                      <w:rFonts w:hint="eastAsia"/>
                      <w:color w:val="auto"/>
                      <w:szCs w:val="21"/>
                      <w:highlight w:val="none"/>
                    </w:rPr>
                    <w:t>/</w:t>
                  </w:r>
                </w:p>
              </w:tc>
              <w:tc>
                <w:tcPr>
                  <w:tcW w:w="986" w:type="dxa"/>
                  <w:noWrap/>
                  <w:vAlign w:val="center"/>
                </w:tcPr>
                <w:p>
                  <w:pPr>
                    <w:widowControl/>
                    <w:jc w:val="center"/>
                    <w:textAlignment w:val="center"/>
                    <w:rPr>
                      <w:color w:val="auto"/>
                      <w:szCs w:val="21"/>
                      <w:highlight w:val="none"/>
                    </w:rPr>
                  </w:pPr>
                  <w:r>
                    <w:rPr>
                      <w:color w:val="auto"/>
                      <w:kern w:val="0"/>
                      <w:szCs w:val="21"/>
                      <w:highlight w:val="none"/>
                      <w:lang w:bidi="ar"/>
                    </w:rPr>
                    <w:t>2</w:t>
                  </w:r>
                </w:p>
              </w:tc>
              <w:tc>
                <w:tcPr>
                  <w:tcW w:w="1057" w:type="dxa"/>
                  <w:noWrap/>
                  <w:vAlign w:val="center"/>
                </w:tcPr>
                <w:p>
                  <w:pPr>
                    <w:widowControl/>
                    <w:jc w:val="center"/>
                    <w:textAlignment w:val="center"/>
                    <w:rPr>
                      <w:color w:val="auto"/>
                      <w:kern w:val="0"/>
                      <w:szCs w:val="21"/>
                      <w:highlight w:val="none"/>
                      <w:lang w:bidi="ar"/>
                    </w:rPr>
                  </w:pPr>
                  <w:r>
                    <w:rPr>
                      <w:rFonts w:hint="eastAsia"/>
                      <w:color w:val="auto"/>
                      <w:kern w:val="0"/>
                      <w:szCs w:val="21"/>
                      <w:highlight w:val="none"/>
                      <w:lang w:bidi="ar"/>
                    </w:rPr>
                    <w:t>2</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580" w:type="dxa"/>
                  <w:vMerge w:val="continue"/>
                  <w:noWrap w:val="0"/>
                  <w:vAlign w:val="center"/>
                </w:tcPr>
                <w:p>
                  <w:pPr>
                    <w:widowControl/>
                    <w:jc w:val="center"/>
                    <w:rPr>
                      <w:color w:val="auto"/>
                      <w:szCs w:val="21"/>
                      <w:highlight w:val="none"/>
                    </w:rPr>
                  </w:pPr>
                </w:p>
              </w:tc>
              <w:tc>
                <w:tcPr>
                  <w:tcW w:w="582" w:type="dxa"/>
                  <w:vMerge w:val="continue"/>
                  <w:noWrap w:val="0"/>
                  <w:vAlign w:val="center"/>
                </w:tcPr>
                <w:p>
                  <w:pPr>
                    <w:widowControl/>
                    <w:jc w:val="center"/>
                    <w:rPr>
                      <w:b/>
                      <w:bCs/>
                      <w:color w:val="auto"/>
                      <w:szCs w:val="21"/>
                      <w:highlight w:val="none"/>
                    </w:rPr>
                  </w:pPr>
                </w:p>
              </w:tc>
              <w:tc>
                <w:tcPr>
                  <w:tcW w:w="1761" w:type="dxa"/>
                  <w:noWrap/>
                  <w:vAlign w:val="center"/>
                </w:tcPr>
                <w:p>
                  <w:pPr>
                    <w:widowControl/>
                    <w:jc w:val="center"/>
                    <w:textAlignment w:val="center"/>
                    <w:rPr>
                      <w:color w:val="auto"/>
                      <w:szCs w:val="21"/>
                      <w:highlight w:val="none"/>
                    </w:rPr>
                  </w:pPr>
                  <w:r>
                    <w:rPr>
                      <w:color w:val="auto"/>
                      <w:kern w:val="0"/>
                      <w:szCs w:val="21"/>
                      <w:highlight w:val="none"/>
                      <w:lang w:bidi="ar"/>
                    </w:rPr>
                    <w:t>激光打印机</w:t>
                  </w:r>
                </w:p>
              </w:tc>
              <w:tc>
                <w:tcPr>
                  <w:tcW w:w="1398" w:type="dxa"/>
                  <w:noWrap/>
                  <w:vAlign w:val="center"/>
                </w:tcPr>
                <w:p>
                  <w:pPr>
                    <w:widowControl/>
                    <w:jc w:val="center"/>
                    <w:rPr>
                      <w:color w:val="auto"/>
                      <w:szCs w:val="21"/>
                      <w:highlight w:val="none"/>
                    </w:rPr>
                  </w:pPr>
                  <w:r>
                    <w:rPr>
                      <w:rFonts w:hint="eastAsia"/>
                      <w:color w:val="auto"/>
                      <w:szCs w:val="21"/>
                      <w:highlight w:val="none"/>
                    </w:rPr>
                    <w:t>/</w:t>
                  </w:r>
                </w:p>
              </w:tc>
              <w:tc>
                <w:tcPr>
                  <w:tcW w:w="1576" w:type="dxa"/>
                  <w:noWrap/>
                  <w:vAlign w:val="center"/>
                </w:tcPr>
                <w:p>
                  <w:pPr>
                    <w:widowControl/>
                    <w:jc w:val="center"/>
                    <w:rPr>
                      <w:color w:val="auto"/>
                      <w:szCs w:val="21"/>
                      <w:highlight w:val="none"/>
                    </w:rPr>
                  </w:pPr>
                  <w:r>
                    <w:rPr>
                      <w:rFonts w:hint="eastAsia"/>
                      <w:color w:val="auto"/>
                      <w:szCs w:val="21"/>
                      <w:highlight w:val="none"/>
                    </w:rPr>
                    <w:t>/</w:t>
                  </w:r>
                </w:p>
              </w:tc>
              <w:tc>
                <w:tcPr>
                  <w:tcW w:w="986" w:type="dxa"/>
                  <w:noWrap/>
                  <w:vAlign w:val="center"/>
                </w:tcPr>
                <w:p>
                  <w:pPr>
                    <w:widowControl/>
                    <w:jc w:val="center"/>
                    <w:textAlignment w:val="center"/>
                    <w:rPr>
                      <w:color w:val="auto"/>
                      <w:szCs w:val="21"/>
                      <w:highlight w:val="none"/>
                    </w:rPr>
                  </w:pPr>
                  <w:r>
                    <w:rPr>
                      <w:color w:val="auto"/>
                      <w:kern w:val="0"/>
                      <w:szCs w:val="21"/>
                      <w:highlight w:val="none"/>
                      <w:lang w:bidi="ar"/>
                    </w:rPr>
                    <w:t>1</w:t>
                  </w:r>
                </w:p>
              </w:tc>
              <w:tc>
                <w:tcPr>
                  <w:tcW w:w="1057" w:type="dxa"/>
                  <w:noWrap/>
                  <w:vAlign w:val="center"/>
                </w:tcPr>
                <w:p>
                  <w:pPr>
                    <w:widowControl/>
                    <w:jc w:val="center"/>
                    <w:textAlignment w:val="center"/>
                    <w:rPr>
                      <w:color w:val="auto"/>
                      <w:kern w:val="0"/>
                      <w:szCs w:val="21"/>
                      <w:highlight w:val="none"/>
                      <w:lang w:bidi="ar"/>
                    </w:rPr>
                  </w:pPr>
                  <w:r>
                    <w:rPr>
                      <w:rFonts w:hint="eastAsia"/>
                      <w:color w:val="auto"/>
                      <w:kern w:val="0"/>
                      <w:szCs w:val="21"/>
                      <w:highlight w:val="none"/>
                      <w:lang w:bidi="ar"/>
                    </w:rPr>
                    <w:t>1</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580" w:type="dxa"/>
                  <w:vMerge w:val="continue"/>
                  <w:noWrap w:val="0"/>
                  <w:vAlign w:val="center"/>
                </w:tcPr>
                <w:p>
                  <w:pPr>
                    <w:widowControl/>
                    <w:jc w:val="center"/>
                    <w:rPr>
                      <w:color w:val="auto"/>
                      <w:szCs w:val="21"/>
                      <w:highlight w:val="none"/>
                    </w:rPr>
                  </w:pPr>
                </w:p>
              </w:tc>
              <w:tc>
                <w:tcPr>
                  <w:tcW w:w="582" w:type="dxa"/>
                  <w:vMerge w:val="continue"/>
                  <w:noWrap w:val="0"/>
                  <w:vAlign w:val="center"/>
                </w:tcPr>
                <w:p>
                  <w:pPr>
                    <w:widowControl/>
                    <w:jc w:val="center"/>
                    <w:rPr>
                      <w:b/>
                      <w:bCs/>
                      <w:color w:val="auto"/>
                      <w:szCs w:val="21"/>
                      <w:highlight w:val="none"/>
                    </w:rPr>
                  </w:pPr>
                </w:p>
              </w:tc>
              <w:tc>
                <w:tcPr>
                  <w:tcW w:w="1761" w:type="dxa"/>
                  <w:noWrap/>
                  <w:vAlign w:val="center"/>
                </w:tcPr>
                <w:p>
                  <w:pPr>
                    <w:widowControl/>
                    <w:jc w:val="center"/>
                    <w:textAlignment w:val="center"/>
                    <w:rPr>
                      <w:color w:val="auto"/>
                      <w:szCs w:val="21"/>
                      <w:highlight w:val="none"/>
                    </w:rPr>
                  </w:pPr>
                  <w:r>
                    <w:rPr>
                      <w:color w:val="auto"/>
                      <w:kern w:val="0"/>
                      <w:szCs w:val="21"/>
                      <w:highlight w:val="none"/>
                      <w:lang w:bidi="ar"/>
                    </w:rPr>
                    <w:t>控制软件</w:t>
                  </w:r>
                </w:p>
              </w:tc>
              <w:tc>
                <w:tcPr>
                  <w:tcW w:w="1398" w:type="dxa"/>
                  <w:noWrap/>
                  <w:vAlign w:val="center"/>
                </w:tcPr>
                <w:p>
                  <w:pPr>
                    <w:widowControl/>
                    <w:jc w:val="center"/>
                    <w:rPr>
                      <w:color w:val="auto"/>
                      <w:szCs w:val="21"/>
                      <w:highlight w:val="none"/>
                    </w:rPr>
                  </w:pPr>
                  <w:r>
                    <w:rPr>
                      <w:rFonts w:hint="eastAsia"/>
                      <w:color w:val="auto"/>
                      <w:szCs w:val="21"/>
                      <w:highlight w:val="none"/>
                    </w:rPr>
                    <w:t>/</w:t>
                  </w:r>
                </w:p>
              </w:tc>
              <w:tc>
                <w:tcPr>
                  <w:tcW w:w="1576" w:type="dxa"/>
                  <w:noWrap/>
                  <w:vAlign w:val="center"/>
                </w:tcPr>
                <w:p>
                  <w:pPr>
                    <w:widowControl/>
                    <w:jc w:val="center"/>
                    <w:rPr>
                      <w:color w:val="auto"/>
                      <w:szCs w:val="21"/>
                      <w:highlight w:val="none"/>
                    </w:rPr>
                  </w:pPr>
                  <w:r>
                    <w:rPr>
                      <w:rFonts w:hint="eastAsia"/>
                      <w:color w:val="auto"/>
                      <w:szCs w:val="21"/>
                      <w:highlight w:val="none"/>
                    </w:rPr>
                    <w:t>/</w:t>
                  </w:r>
                </w:p>
              </w:tc>
              <w:tc>
                <w:tcPr>
                  <w:tcW w:w="986" w:type="dxa"/>
                  <w:noWrap/>
                  <w:vAlign w:val="center"/>
                </w:tcPr>
                <w:p>
                  <w:pPr>
                    <w:widowControl/>
                    <w:jc w:val="center"/>
                    <w:textAlignment w:val="center"/>
                    <w:rPr>
                      <w:color w:val="auto"/>
                      <w:szCs w:val="21"/>
                      <w:highlight w:val="none"/>
                    </w:rPr>
                  </w:pPr>
                  <w:r>
                    <w:rPr>
                      <w:color w:val="auto"/>
                      <w:kern w:val="0"/>
                      <w:szCs w:val="21"/>
                      <w:highlight w:val="none"/>
                      <w:lang w:bidi="ar"/>
                    </w:rPr>
                    <w:t>2套</w:t>
                  </w:r>
                </w:p>
              </w:tc>
              <w:tc>
                <w:tcPr>
                  <w:tcW w:w="1057" w:type="dxa"/>
                  <w:noWrap/>
                  <w:vAlign w:val="center"/>
                </w:tcPr>
                <w:p>
                  <w:pPr>
                    <w:widowControl/>
                    <w:jc w:val="center"/>
                    <w:textAlignment w:val="center"/>
                    <w:rPr>
                      <w:color w:val="auto"/>
                      <w:kern w:val="0"/>
                      <w:szCs w:val="21"/>
                      <w:highlight w:val="none"/>
                      <w:lang w:bidi="ar"/>
                    </w:rPr>
                  </w:pPr>
                  <w:r>
                    <w:rPr>
                      <w:color w:val="auto"/>
                      <w:kern w:val="0"/>
                      <w:szCs w:val="21"/>
                      <w:highlight w:val="none"/>
                      <w:lang w:bidi="ar"/>
                    </w:rPr>
                    <w:t>2套</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580" w:type="dxa"/>
                  <w:vMerge w:val="continue"/>
                  <w:noWrap w:val="0"/>
                  <w:vAlign w:val="center"/>
                </w:tcPr>
                <w:p>
                  <w:pPr>
                    <w:widowControl/>
                    <w:jc w:val="center"/>
                    <w:rPr>
                      <w:color w:val="auto"/>
                      <w:szCs w:val="21"/>
                      <w:highlight w:val="none"/>
                    </w:rPr>
                  </w:pPr>
                </w:p>
              </w:tc>
              <w:tc>
                <w:tcPr>
                  <w:tcW w:w="582" w:type="dxa"/>
                  <w:vMerge w:val="continue"/>
                  <w:noWrap w:val="0"/>
                  <w:vAlign w:val="center"/>
                </w:tcPr>
                <w:p>
                  <w:pPr>
                    <w:widowControl/>
                    <w:jc w:val="center"/>
                    <w:rPr>
                      <w:b/>
                      <w:bCs/>
                      <w:color w:val="auto"/>
                      <w:szCs w:val="21"/>
                      <w:highlight w:val="none"/>
                    </w:rPr>
                  </w:pPr>
                </w:p>
              </w:tc>
              <w:tc>
                <w:tcPr>
                  <w:tcW w:w="1761" w:type="dxa"/>
                  <w:noWrap/>
                  <w:vAlign w:val="center"/>
                </w:tcPr>
                <w:p>
                  <w:pPr>
                    <w:widowControl/>
                    <w:jc w:val="center"/>
                    <w:textAlignment w:val="center"/>
                    <w:rPr>
                      <w:color w:val="auto"/>
                      <w:szCs w:val="21"/>
                      <w:highlight w:val="none"/>
                    </w:rPr>
                  </w:pPr>
                  <w:r>
                    <w:rPr>
                      <w:color w:val="auto"/>
                      <w:kern w:val="0"/>
                      <w:szCs w:val="21"/>
                      <w:highlight w:val="none"/>
                      <w:lang w:bidi="ar"/>
                    </w:rPr>
                    <w:t>母线</w:t>
                  </w:r>
                </w:p>
              </w:tc>
              <w:tc>
                <w:tcPr>
                  <w:tcW w:w="1398" w:type="dxa"/>
                  <w:noWrap/>
                  <w:vAlign w:val="center"/>
                </w:tcPr>
                <w:p>
                  <w:pPr>
                    <w:widowControl/>
                    <w:jc w:val="center"/>
                    <w:rPr>
                      <w:color w:val="auto"/>
                      <w:szCs w:val="21"/>
                      <w:highlight w:val="none"/>
                    </w:rPr>
                  </w:pPr>
                  <w:r>
                    <w:rPr>
                      <w:rFonts w:hint="eastAsia"/>
                      <w:color w:val="auto"/>
                      <w:szCs w:val="21"/>
                      <w:highlight w:val="none"/>
                    </w:rPr>
                    <w:t>/</w:t>
                  </w:r>
                </w:p>
              </w:tc>
              <w:tc>
                <w:tcPr>
                  <w:tcW w:w="1576" w:type="dxa"/>
                  <w:noWrap/>
                  <w:vAlign w:val="center"/>
                </w:tcPr>
                <w:p>
                  <w:pPr>
                    <w:widowControl/>
                    <w:jc w:val="center"/>
                    <w:rPr>
                      <w:color w:val="auto"/>
                      <w:szCs w:val="21"/>
                      <w:highlight w:val="none"/>
                    </w:rPr>
                  </w:pPr>
                  <w:r>
                    <w:rPr>
                      <w:rFonts w:hint="eastAsia"/>
                      <w:color w:val="auto"/>
                      <w:szCs w:val="21"/>
                      <w:highlight w:val="none"/>
                    </w:rPr>
                    <w:t>/</w:t>
                  </w:r>
                </w:p>
              </w:tc>
              <w:tc>
                <w:tcPr>
                  <w:tcW w:w="986" w:type="dxa"/>
                  <w:noWrap/>
                  <w:vAlign w:val="center"/>
                </w:tcPr>
                <w:p>
                  <w:pPr>
                    <w:widowControl/>
                    <w:jc w:val="center"/>
                    <w:textAlignment w:val="center"/>
                    <w:rPr>
                      <w:color w:val="auto"/>
                      <w:szCs w:val="21"/>
                      <w:highlight w:val="none"/>
                    </w:rPr>
                  </w:pPr>
                  <w:r>
                    <w:rPr>
                      <w:color w:val="auto"/>
                      <w:kern w:val="0"/>
                      <w:szCs w:val="21"/>
                      <w:highlight w:val="none"/>
                      <w:lang w:bidi="ar"/>
                    </w:rPr>
                    <w:t>1套</w:t>
                  </w:r>
                </w:p>
              </w:tc>
              <w:tc>
                <w:tcPr>
                  <w:tcW w:w="1057" w:type="dxa"/>
                  <w:noWrap/>
                  <w:vAlign w:val="center"/>
                </w:tcPr>
                <w:p>
                  <w:pPr>
                    <w:widowControl/>
                    <w:jc w:val="center"/>
                    <w:textAlignment w:val="center"/>
                    <w:rPr>
                      <w:color w:val="auto"/>
                      <w:kern w:val="0"/>
                      <w:szCs w:val="21"/>
                      <w:highlight w:val="none"/>
                      <w:lang w:bidi="ar"/>
                    </w:rPr>
                  </w:pPr>
                  <w:r>
                    <w:rPr>
                      <w:color w:val="auto"/>
                      <w:kern w:val="0"/>
                      <w:szCs w:val="21"/>
                      <w:highlight w:val="none"/>
                      <w:lang w:bidi="ar"/>
                    </w:rPr>
                    <w:t>1套</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580" w:type="dxa"/>
                  <w:vMerge w:val="continue"/>
                  <w:noWrap w:val="0"/>
                  <w:vAlign w:val="center"/>
                </w:tcPr>
                <w:p>
                  <w:pPr>
                    <w:widowControl/>
                    <w:jc w:val="center"/>
                    <w:rPr>
                      <w:color w:val="auto"/>
                      <w:szCs w:val="21"/>
                      <w:highlight w:val="none"/>
                    </w:rPr>
                  </w:pPr>
                </w:p>
              </w:tc>
              <w:tc>
                <w:tcPr>
                  <w:tcW w:w="582" w:type="dxa"/>
                  <w:vMerge w:val="continue"/>
                  <w:noWrap w:val="0"/>
                  <w:vAlign w:val="center"/>
                </w:tcPr>
                <w:p>
                  <w:pPr>
                    <w:widowControl/>
                    <w:jc w:val="center"/>
                    <w:rPr>
                      <w:b/>
                      <w:bCs/>
                      <w:color w:val="auto"/>
                      <w:szCs w:val="21"/>
                      <w:highlight w:val="none"/>
                    </w:rPr>
                  </w:pPr>
                </w:p>
              </w:tc>
              <w:tc>
                <w:tcPr>
                  <w:tcW w:w="1761" w:type="dxa"/>
                  <w:noWrap/>
                  <w:vAlign w:val="center"/>
                </w:tcPr>
                <w:p>
                  <w:pPr>
                    <w:widowControl/>
                    <w:jc w:val="center"/>
                    <w:textAlignment w:val="center"/>
                    <w:rPr>
                      <w:color w:val="auto"/>
                      <w:szCs w:val="21"/>
                      <w:highlight w:val="none"/>
                    </w:rPr>
                  </w:pPr>
                  <w:r>
                    <w:rPr>
                      <w:color w:val="auto"/>
                      <w:kern w:val="0"/>
                      <w:szCs w:val="21"/>
                      <w:highlight w:val="none"/>
                      <w:lang w:bidi="ar"/>
                    </w:rPr>
                    <w:t>低压电器</w:t>
                  </w:r>
                </w:p>
              </w:tc>
              <w:tc>
                <w:tcPr>
                  <w:tcW w:w="1398" w:type="dxa"/>
                  <w:noWrap/>
                  <w:vAlign w:val="center"/>
                </w:tcPr>
                <w:p>
                  <w:pPr>
                    <w:widowControl/>
                    <w:jc w:val="center"/>
                    <w:rPr>
                      <w:color w:val="auto"/>
                      <w:szCs w:val="21"/>
                      <w:highlight w:val="none"/>
                    </w:rPr>
                  </w:pPr>
                  <w:r>
                    <w:rPr>
                      <w:rFonts w:hint="eastAsia"/>
                      <w:color w:val="auto"/>
                      <w:szCs w:val="21"/>
                      <w:highlight w:val="none"/>
                    </w:rPr>
                    <w:t>/</w:t>
                  </w:r>
                </w:p>
              </w:tc>
              <w:tc>
                <w:tcPr>
                  <w:tcW w:w="1576" w:type="dxa"/>
                  <w:noWrap/>
                  <w:vAlign w:val="center"/>
                </w:tcPr>
                <w:p>
                  <w:pPr>
                    <w:widowControl/>
                    <w:jc w:val="center"/>
                    <w:rPr>
                      <w:color w:val="auto"/>
                      <w:szCs w:val="21"/>
                      <w:highlight w:val="none"/>
                    </w:rPr>
                  </w:pPr>
                  <w:r>
                    <w:rPr>
                      <w:rFonts w:hint="eastAsia"/>
                      <w:color w:val="auto"/>
                      <w:szCs w:val="21"/>
                      <w:highlight w:val="none"/>
                    </w:rPr>
                    <w:t>/</w:t>
                  </w:r>
                </w:p>
              </w:tc>
              <w:tc>
                <w:tcPr>
                  <w:tcW w:w="986" w:type="dxa"/>
                  <w:noWrap/>
                  <w:vAlign w:val="center"/>
                </w:tcPr>
                <w:p>
                  <w:pPr>
                    <w:widowControl/>
                    <w:jc w:val="center"/>
                    <w:textAlignment w:val="center"/>
                    <w:rPr>
                      <w:color w:val="auto"/>
                      <w:szCs w:val="21"/>
                      <w:highlight w:val="none"/>
                    </w:rPr>
                  </w:pPr>
                  <w:r>
                    <w:rPr>
                      <w:color w:val="auto"/>
                      <w:kern w:val="0"/>
                      <w:szCs w:val="21"/>
                      <w:highlight w:val="none"/>
                      <w:lang w:bidi="ar"/>
                    </w:rPr>
                    <w:t>1套</w:t>
                  </w:r>
                </w:p>
              </w:tc>
              <w:tc>
                <w:tcPr>
                  <w:tcW w:w="1057" w:type="dxa"/>
                  <w:noWrap/>
                  <w:vAlign w:val="center"/>
                </w:tcPr>
                <w:p>
                  <w:pPr>
                    <w:widowControl/>
                    <w:jc w:val="center"/>
                    <w:textAlignment w:val="center"/>
                    <w:rPr>
                      <w:color w:val="auto"/>
                      <w:kern w:val="0"/>
                      <w:szCs w:val="21"/>
                      <w:highlight w:val="none"/>
                      <w:lang w:bidi="ar"/>
                    </w:rPr>
                  </w:pPr>
                  <w:r>
                    <w:rPr>
                      <w:color w:val="auto"/>
                      <w:kern w:val="0"/>
                      <w:szCs w:val="21"/>
                      <w:highlight w:val="none"/>
                      <w:lang w:bidi="ar"/>
                    </w:rPr>
                    <w:t>1套</w:t>
                  </w:r>
                </w:p>
              </w:tc>
            </w:tr>
          </w:tbl>
          <w:p>
            <w:pPr>
              <w:spacing w:line="360" w:lineRule="auto"/>
              <w:jc w:val="center"/>
              <w:rPr>
                <w:rFonts w:hint="eastAsia" w:eastAsia="黑体"/>
                <w:color w:val="auto"/>
                <w:sz w:val="24"/>
                <w:highlight w:val="none"/>
              </w:rPr>
            </w:pPr>
            <w:r>
              <w:rPr>
                <w:rFonts w:hint="eastAsia" w:eastAsia="黑体"/>
                <w:color w:val="auto"/>
                <w:sz w:val="24"/>
                <w:highlight w:val="none"/>
              </w:rPr>
              <w:t>表2-4 全厂原辅料消耗变化情况表</w:t>
            </w:r>
          </w:p>
          <w:tbl>
            <w:tblPr>
              <w:tblStyle w:val="39"/>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96"/>
              <w:gridCol w:w="1605"/>
              <w:gridCol w:w="880"/>
              <w:gridCol w:w="1456"/>
              <w:gridCol w:w="1610"/>
              <w:gridCol w:w="149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96" w:type="dxa"/>
                  <w:vMerge w:val="restart"/>
                  <w:noWrap/>
                  <w:vAlign w:val="center"/>
                </w:tcPr>
                <w:p>
                  <w:pPr>
                    <w:widowControl/>
                    <w:jc w:val="center"/>
                    <w:rPr>
                      <w:b/>
                      <w:bCs/>
                      <w:color w:val="auto"/>
                      <w:kern w:val="0"/>
                      <w:szCs w:val="21"/>
                      <w:highlight w:val="none"/>
                    </w:rPr>
                  </w:pPr>
                  <w:r>
                    <w:rPr>
                      <w:b/>
                      <w:bCs/>
                      <w:color w:val="auto"/>
                      <w:kern w:val="0"/>
                      <w:szCs w:val="21"/>
                      <w:highlight w:val="none"/>
                    </w:rPr>
                    <w:t>序号</w:t>
                  </w:r>
                </w:p>
              </w:tc>
              <w:tc>
                <w:tcPr>
                  <w:tcW w:w="1605" w:type="dxa"/>
                  <w:vMerge w:val="restart"/>
                  <w:noWrap w:val="0"/>
                  <w:vAlign w:val="center"/>
                </w:tcPr>
                <w:p>
                  <w:pPr>
                    <w:widowControl/>
                    <w:jc w:val="center"/>
                    <w:rPr>
                      <w:b/>
                      <w:bCs/>
                      <w:color w:val="auto"/>
                      <w:kern w:val="0"/>
                      <w:szCs w:val="21"/>
                      <w:highlight w:val="none"/>
                    </w:rPr>
                  </w:pPr>
                  <w:r>
                    <w:rPr>
                      <w:b/>
                      <w:bCs/>
                      <w:color w:val="auto"/>
                      <w:kern w:val="0"/>
                      <w:szCs w:val="21"/>
                      <w:highlight w:val="none"/>
                    </w:rPr>
                    <w:t>原辅材料</w:t>
                  </w:r>
                </w:p>
              </w:tc>
              <w:tc>
                <w:tcPr>
                  <w:tcW w:w="880" w:type="dxa"/>
                  <w:vMerge w:val="restart"/>
                  <w:noWrap w:val="0"/>
                  <w:vAlign w:val="center"/>
                </w:tcPr>
                <w:p>
                  <w:pPr>
                    <w:widowControl/>
                    <w:jc w:val="center"/>
                    <w:rPr>
                      <w:b/>
                      <w:bCs/>
                      <w:color w:val="auto"/>
                      <w:kern w:val="0"/>
                      <w:szCs w:val="21"/>
                      <w:highlight w:val="none"/>
                    </w:rPr>
                  </w:pPr>
                  <w:r>
                    <w:rPr>
                      <w:b/>
                      <w:bCs/>
                      <w:color w:val="auto"/>
                      <w:kern w:val="0"/>
                      <w:szCs w:val="21"/>
                      <w:highlight w:val="none"/>
                    </w:rPr>
                    <w:t>单位</w:t>
                  </w:r>
                </w:p>
              </w:tc>
              <w:tc>
                <w:tcPr>
                  <w:tcW w:w="3066" w:type="dxa"/>
                  <w:gridSpan w:val="2"/>
                  <w:noWrap w:val="0"/>
                  <w:vAlign w:val="center"/>
                </w:tcPr>
                <w:p>
                  <w:pPr>
                    <w:widowControl/>
                    <w:jc w:val="center"/>
                    <w:rPr>
                      <w:b/>
                      <w:bCs/>
                      <w:color w:val="auto"/>
                      <w:kern w:val="0"/>
                      <w:szCs w:val="21"/>
                      <w:highlight w:val="none"/>
                    </w:rPr>
                  </w:pPr>
                  <w:r>
                    <w:rPr>
                      <w:b/>
                      <w:bCs/>
                      <w:color w:val="auto"/>
                      <w:kern w:val="0"/>
                      <w:szCs w:val="21"/>
                      <w:highlight w:val="none"/>
                    </w:rPr>
                    <w:t>年需要量</w:t>
                  </w:r>
                </w:p>
              </w:tc>
              <w:tc>
                <w:tcPr>
                  <w:tcW w:w="1495" w:type="dxa"/>
                  <w:vMerge w:val="restart"/>
                  <w:noWrap/>
                  <w:vAlign w:val="center"/>
                </w:tcPr>
                <w:p>
                  <w:pPr>
                    <w:widowControl/>
                    <w:jc w:val="center"/>
                    <w:rPr>
                      <w:b/>
                      <w:bCs/>
                      <w:color w:val="auto"/>
                      <w:kern w:val="0"/>
                      <w:szCs w:val="21"/>
                      <w:highlight w:val="none"/>
                    </w:rPr>
                  </w:pPr>
                  <w:r>
                    <w:rPr>
                      <w:rFonts w:hint="eastAsia"/>
                      <w:b/>
                      <w:bCs/>
                      <w:color w:val="auto"/>
                      <w:kern w:val="0"/>
                      <w:szCs w:val="21"/>
                      <w:highlight w:val="none"/>
                    </w:rPr>
                    <w:t>变化情况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96" w:type="dxa"/>
                  <w:vMerge w:val="continue"/>
                  <w:noWrap/>
                  <w:vAlign w:val="center"/>
                </w:tcPr>
                <w:p>
                  <w:pPr>
                    <w:widowControl/>
                    <w:jc w:val="center"/>
                    <w:rPr>
                      <w:b/>
                      <w:bCs/>
                      <w:color w:val="auto"/>
                      <w:kern w:val="0"/>
                      <w:szCs w:val="21"/>
                      <w:highlight w:val="none"/>
                    </w:rPr>
                  </w:pPr>
                </w:p>
              </w:tc>
              <w:tc>
                <w:tcPr>
                  <w:tcW w:w="1605" w:type="dxa"/>
                  <w:vMerge w:val="continue"/>
                  <w:noWrap w:val="0"/>
                  <w:vAlign w:val="center"/>
                </w:tcPr>
                <w:p>
                  <w:pPr>
                    <w:widowControl/>
                    <w:jc w:val="center"/>
                    <w:rPr>
                      <w:b/>
                      <w:bCs/>
                      <w:color w:val="auto"/>
                      <w:kern w:val="0"/>
                      <w:szCs w:val="21"/>
                      <w:highlight w:val="none"/>
                    </w:rPr>
                  </w:pPr>
                </w:p>
              </w:tc>
              <w:tc>
                <w:tcPr>
                  <w:tcW w:w="880" w:type="dxa"/>
                  <w:vMerge w:val="continue"/>
                  <w:noWrap w:val="0"/>
                  <w:vAlign w:val="center"/>
                </w:tcPr>
                <w:p>
                  <w:pPr>
                    <w:widowControl/>
                    <w:jc w:val="center"/>
                    <w:rPr>
                      <w:b/>
                      <w:bCs/>
                      <w:color w:val="auto"/>
                      <w:kern w:val="0"/>
                      <w:szCs w:val="21"/>
                      <w:highlight w:val="none"/>
                    </w:rPr>
                  </w:pPr>
                </w:p>
              </w:tc>
              <w:tc>
                <w:tcPr>
                  <w:tcW w:w="1456" w:type="dxa"/>
                  <w:noWrap w:val="0"/>
                  <w:vAlign w:val="center"/>
                </w:tcPr>
                <w:p>
                  <w:pPr>
                    <w:widowControl/>
                    <w:jc w:val="center"/>
                    <w:rPr>
                      <w:b/>
                      <w:bCs/>
                      <w:color w:val="auto"/>
                      <w:kern w:val="0"/>
                      <w:szCs w:val="21"/>
                      <w:highlight w:val="none"/>
                    </w:rPr>
                  </w:pPr>
                  <w:r>
                    <w:rPr>
                      <w:rFonts w:hint="eastAsia"/>
                      <w:b/>
                      <w:bCs/>
                      <w:color w:val="auto"/>
                      <w:kern w:val="0"/>
                      <w:szCs w:val="21"/>
                      <w:highlight w:val="none"/>
                    </w:rPr>
                    <w:t>原环评</w:t>
                  </w:r>
                </w:p>
              </w:tc>
              <w:tc>
                <w:tcPr>
                  <w:tcW w:w="1610" w:type="dxa"/>
                  <w:noWrap/>
                  <w:vAlign w:val="center"/>
                </w:tcPr>
                <w:p>
                  <w:pPr>
                    <w:widowControl/>
                    <w:jc w:val="center"/>
                    <w:rPr>
                      <w:b/>
                      <w:bCs/>
                      <w:color w:val="auto"/>
                      <w:kern w:val="0"/>
                      <w:szCs w:val="21"/>
                      <w:highlight w:val="none"/>
                    </w:rPr>
                  </w:pPr>
                  <w:r>
                    <w:rPr>
                      <w:rFonts w:hint="eastAsia"/>
                      <w:b/>
                      <w:bCs/>
                      <w:color w:val="auto"/>
                      <w:kern w:val="0"/>
                      <w:szCs w:val="21"/>
                      <w:highlight w:val="none"/>
                    </w:rPr>
                    <w:t>本次调整后</w:t>
                  </w:r>
                </w:p>
              </w:tc>
              <w:tc>
                <w:tcPr>
                  <w:tcW w:w="1495" w:type="dxa"/>
                  <w:vMerge w:val="continue"/>
                  <w:noWrap/>
                  <w:vAlign w:val="center"/>
                </w:tcPr>
                <w:p>
                  <w:pPr>
                    <w:widowControl/>
                    <w:jc w:val="center"/>
                    <w:rPr>
                      <w:b/>
                      <w:bCs/>
                      <w:color w:val="auto"/>
                      <w:kern w:val="0"/>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96" w:type="dxa"/>
                  <w:noWrap/>
                  <w:vAlign w:val="center"/>
                </w:tcPr>
                <w:p>
                  <w:pPr>
                    <w:widowControl/>
                    <w:jc w:val="center"/>
                    <w:rPr>
                      <w:color w:val="auto"/>
                      <w:kern w:val="0"/>
                      <w:szCs w:val="21"/>
                      <w:highlight w:val="none"/>
                    </w:rPr>
                  </w:pPr>
                  <w:r>
                    <w:rPr>
                      <w:color w:val="auto"/>
                      <w:kern w:val="0"/>
                      <w:szCs w:val="21"/>
                      <w:highlight w:val="none"/>
                    </w:rPr>
                    <w:t>1</w:t>
                  </w:r>
                </w:p>
              </w:tc>
              <w:tc>
                <w:tcPr>
                  <w:tcW w:w="1605" w:type="dxa"/>
                  <w:noWrap w:val="0"/>
                  <w:vAlign w:val="bottom"/>
                </w:tcPr>
                <w:p>
                  <w:pPr>
                    <w:widowControl/>
                    <w:jc w:val="center"/>
                    <w:textAlignment w:val="bottom"/>
                    <w:rPr>
                      <w:color w:val="auto"/>
                      <w:kern w:val="0"/>
                      <w:szCs w:val="21"/>
                      <w:highlight w:val="none"/>
                    </w:rPr>
                  </w:pPr>
                  <w:r>
                    <w:rPr>
                      <w:rFonts w:ascii="Calibri" w:hAnsi="Calibri" w:cs="Calibri"/>
                      <w:color w:val="auto"/>
                      <w:kern w:val="0"/>
                      <w:szCs w:val="21"/>
                      <w:highlight w:val="none"/>
                      <w:lang w:bidi="ar"/>
                    </w:rPr>
                    <w:t>砂石</w:t>
                  </w:r>
                </w:p>
              </w:tc>
              <w:tc>
                <w:tcPr>
                  <w:tcW w:w="880" w:type="dxa"/>
                  <w:noWrap w:val="0"/>
                  <w:vAlign w:val="center"/>
                </w:tcPr>
                <w:p>
                  <w:pPr>
                    <w:widowControl/>
                    <w:jc w:val="center"/>
                    <w:rPr>
                      <w:color w:val="auto"/>
                      <w:kern w:val="0"/>
                      <w:szCs w:val="21"/>
                      <w:highlight w:val="none"/>
                    </w:rPr>
                  </w:pPr>
                  <w:r>
                    <w:rPr>
                      <w:color w:val="auto"/>
                      <w:kern w:val="0"/>
                      <w:szCs w:val="21"/>
                      <w:highlight w:val="none"/>
                    </w:rPr>
                    <w:t>t</w:t>
                  </w:r>
                </w:p>
              </w:tc>
              <w:tc>
                <w:tcPr>
                  <w:tcW w:w="1456" w:type="dxa"/>
                  <w:noWrap w:val="0"/>
                  <w:vAlign w:val="bottom"/>
                </w:tcPr>
                <w:p>
                  <w:pPr>
                    <w:widowControl/>
                    <w:jc w:val="center"/>
                    <w:textAlignment w:val="bottom"/>
                    <w:rPr>
                      <w:color w:val="auto"/>
                      <w:szCs w:val="21"/>
                      <w:highlight w:val="none"/>
                    </w:rPr>
                  </w:pPr>
                  <w:r>
                    <w:rPr>
                      <w:rFonts w:hint="eastAsia" w:cs="Calibri"/>
                      <w:color w:val="auto"/>
                      <w:szCs w:val="21"/>
                      <w:highlight w:val="none"/>
                    </w:rPr>
                    <w:t>9500</w:t>
                  </w:r>
                </w:p>
              </w:tc>
              <w:tc>
                <w:tcPr>
                  <w:tcW w:w="1610" w:type="dxa"/>
                  <w:noWrap/>
                  <w:vAlign w:val="bottom"/>
                </w:tcPr>
                <w:p>
                  <w:pPr>
                    <w:widowControl/>
                    <w:jc w:val="center"/>
                    <w:textAlignment w:val="bottom"/>
                    <w:rPr>
                      <w:color w:val="auto"/>
                      <w:szCs w:val="21"/>
                      <w:highlight w:val="none"/>
                    </w:rPr>
                  </w:pPr>
                  <w:r>
                    <w:rPr>
                      <w:rFonts w:hint="eastAsia" w:cs="Calibri"/>
                      <w:color w:val="auto"/>
                      <w:szCs w:val="21"/>
                      <w:highlight w:val="none"/>
                    </w:rPr>
                    <w:t>9500</w:t>
                  </w:r>
                </w:p>
              </w:tc>
              <w:tc>
                <w:tcPr>
                  <w:tcW w:w="1495" w:type="dxa"/>
                  <w:vMerge w:val="restart"/>
                  <w:noWrap/>
                  <w:vAlign w:val="center"/>
                </w:tcPr>
                <w:p>
                  <w:pPr>
                    <w:widowControl/>
                    <w:jc w:val="center"/>
                    <w:rPr>
                      <w:rFonts w:hint="eastAsia"/>
                      <w:color w:val="auto"/>
                      <w:kern w:val="0"/>
                      <w:szCs w:val="21"/>
                      <w:highlight w:val="none"/>
                    </w:rPr>
                  </w:pPr>
                  <w:r>
                    <w:rPr>
                      <w:rFonts w:hint="eastAsia"/>
                      <w:color w:val="auto"/>
                      <w:kern w:val="0"/>
                      <w:szCs w:val="21"/>
                      <w:highlight w:val="none"/>
                    </w:rPr>
                    <w:t>不变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96" w:type="dxa"/>
                  <w:noWrap/>
                  <w:vAlign w:val="center"/>
                </w:tcPr>
                <w:p>
                  <w:pPr>
                    <w:widowControl/>
                    <w:jc w:val="center"/>
                    <w:rPr>
                      <w:color w:val="auto"/>
                      <w:kern w:val="0"/>
                      <w:szCs w:val="21"/>
                      <w:highlight w:val="none"/>
                    </w:rPr>
                  </w:pPr>
                  <w:r>
                    <w:rPr>
                      <w:color w:val="auto"/>
                      <w:kern w:val="0"/>
                      <w:szCs w:val="21"/>
                      <w:highlight w:val="none"/>
                    </w:rPr>
                    <w:t>2</w:t>
                  </w:r>
                </w:p>
              </w:tc>
              <w:tc>
                <w:tcPr>
                  <w:tcW w:w="1605" w:type="dxa"/>
                  <w:noWrap w:val="0"/>
                  <w:vAlign w:val="bottom"/>
                </w:tcPr>
                <w:p>
                  <w:pPr>
                    <w:widowControl/>
                    <w:jc w:val="center"/>
                    <w:textAlignment w:val="bottom"/>
                    <w:rPr>
                      <w:color w:val="auto"/>
                      <w:kern w:val="0"/>
                      <w:szCs w:val="21"/>
                      <w:highlight w:val="none"/>
                    </w:rPr>
                  </w:pPr>
                  <w:r>
                    <w:rPr>
                      <w:rFonts w:ascii="Calibri" w:hAnsi="Calibri" w:cs="Calibri"/>
                      <w:color w:val="auto"/>
                      <w:kern w:val="0"/>
                      <w:szCs w:val="21"/>
                      <w:highlight w:val="none"/>
                      <w:lang w:bidi="ar"/>
                    </w:rPr>
                    <w:t>矿粉</w:t>
                  </w:r>
                </w:p>
              </w:tc>
              <w:tc>
                <w:tcPr>
                  <w:tcW w:w="880" w:type="dxa"/>
                  <w:noWrap w:val="0"/>
                  <w:vAlign w:val="center"/>
                </w:tcPr>
                <w:p>
                  <w:pPr>
                    <w:widowControl/>
                    <w:jc w:val="center"/>
                    <w:rPr>
                      <w:color w:val="auto"/>
                      <w:kern w:val="0"/>
                      <w:szCs w:val="21"/>
                      <w:highlight w:val="none"/>
                    </w:rPr>
                  </w:pPr>
                  <w:r>
                    <w:rPr>
                      <w:color w:val="auto"/>
                      <w:kern w:val="0"/>
                      <w:szCs w:val="21"/>
                      <w:highlight w:val="none"/>
                    </w:rPr>
                    <w:t>t</w:t>
                  </w:r>
                </w:p>
              </w:tc>
              <w:tc>
                <w:tcPr>
                  <w:tcW w:w="1456" w:type="dxa"/>
                  <w:noWrap w:val="0"/>
                  <w:vAlign w:val="bottom"/>
                </w:tcPr>
                <w:p>
                  <w:pPr>
                    <w:widowControl/>
                    <w:jc w:val="center"/>
                    <w:textAlignment w:val="bottom"/>
                    <w:rPr>
                      <w:color w:val="auto"/>
                      <w:szCs w:val="21"/>
                      <w:highlight w:val="none"/>
                    </w:rPr>
                  </w:pPr>
                  <w:r>
                    <w:rPr>
                      <w:rFonts w:hint="eastAsia" w:cs="Calibri"/>
                      <w:color w:val="auto"/>
                      <w:szCs w:val="21"/>
                      <w:highlight w:val="none"/>
                    </w:rPr>
                    <w:t>500</w:t>
                  </w:r>
                </w:p>
              </w:tc>
              <w:tc>
                <w:tcPr>
                  <w:tcW w:w="1610" w:type="dxa"/>
                  <w:noWrap/>
                  <w:vAlign w:val="bottom"/>
                </w:tcPr>
                <w:p>
                  <w:pPr>
                    <w:widowControl/>
                    <w:jc w:val="center"/>
                    <w:textAlignment w:val="bottom"/>
                    <w:rPr>
                      <w:color w:val="auto"/>
                      <w:szCs w:val="21"/>
                      <w:highlight w:val="none"/>
                    </w:rPr>
                  </w:pPr>
                  <w:r>
                    <w:rPr>
                      <w:rFonts w:hint="eastAsia" w:cs="Calibri"/>
                      <w:color w:val="auto"/>
                      <w:szCs w:val="21"/>
                      <w:highlight w:val="none"/>
                    </w:rPr>
                    <w:t>500</w:t>
                  </w:r>
                </w:p>
              </w:tc>
              <w:tc>
                <w:tcPr>
                  <w:tcW w:w="1495" w:type="dxa"/>
                  <w:vMerge w:val="continue"/>
                  <w:noWrap/>
                  <w:vAlign w:val="center"/>
                </w:tcPr>
                <w:p>
                  <w:pPr>
                    <w:widowControl/>
                    <w:jc w:val="left"/>
                    <w:rPr>
                      <w:color w:val="auto"/>
                      <w:kern w:val="0"/>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96" w:type="dxa"/>
                  <w:noWrap/>
                  <w:vAlign w:val="center"/>
                </w:tcPr>
                <w:p>
                  <w:pPr>
                    <w:widowControl/>
                    <w:jc w:val="center"/>
                    <w:rPr>
                      <w:color w:val="auto"/>
                      <w:kern w:val="0"/>
                      <w:szCs w:val="21"/>
                      <w:highlight w:val="none"/>
                    </w:rPr>
                  </w:pPr>
                  <w:r>
                    <w:rPr>
                      <w:color w:val="auto"/>
                      <w:kern w:val="0"/>
                      <w:szCs w:val="21"/>
                      <w:highlight w:val="none"/>
                    </w:rPr>
                    <w:t>2</w:t>
                  </w:r>
                </w:p>
              </w:tc>
              <w:tc>
                <w:tcPr>
                  <w:tcW w:w="1605" w:type="dxa"/>
                  <w:noWrap w:val="0"/>
                  <w:vAlign w:val="bottom"/>
                </w:tcPr>
                <w:p>
                  <w:pPr>
                    <w:widowControl/>
                    <w:jc w:val="center"/>
                    <w:textAlignment w:val="bottom"/>
                    <w:rPr>
                      <w:color w:val="auto"/>
                      <w:kern w:val="0"/>
                      <w:szCs w:val="21"/>
                      <w:highlight w:val="none"/>
                    </w:rPr>
                  </w:pPr>
                  <w:r>
                    <w:rPr>
                      <w:rFonts w:ascii="Calibri" w:hAnsi="Calibri" w:cs="Calibri"/>
                      <w:color w:val="auto"/>
                      <w:kern w:val="0"/>
                      <w:szCs w:val="21"/>
                      <w:highlight w:val="none"/>
                      <w:lang w:bidi="ar"/>
                    </w:rPr>
                    <w:t>沥青</w:t>
                  </w:r>
                </w:p>
              </w:tc>
              <w:tc>
                <w:tcPr>
                  <w:tcW w:w="880" w:type="dxa"/>
                  <w:noWrap w:val="0"/>
                  <w:vAlign w:val="center"/>
                </w:tcPr>
                <w:p>
                  <w:pPr>
                    <w:widowControl/>
                    <w:jc w:val="center"/>
                    <w:rPr>
                      <w:color w:val="auto"/>
                      <w:kern w:val="0"/>
                      <w:szCs w:val="21"/>
                      <w:highlight w:val="none"/>
                    </w:rPr>
                  </w:pPr>
                  <w:r>
                    <w:rPr>
                      <w:color w:val="auto"/>
                      <w:kern w:val="0"/>
                      <w:szCs w:val="21"/>
                      <w:highlight w:val="none"/>
                    </w:rPr>
                    <w:t>t</w:t>
                  </w:r>
                </w:p>
              </w:tc>
              <w:tc>
                <w:tcPr>
                  <w:tcW w:w="1456" w:type="dxa"/>
                  <w:noWrap w:val="0"/>
                  <w:vAlign w:val="bottom"/>
                </w:tcPr>
                <w:p>
                  <w:pPr>
                    <w:widowControl/>
                    <w:jc w:val="center"/>
                    <w:textAlignment w:val="bottom"/>
                    <w:rPr>
                      <w:color w:val="auto"/>
                      <w:szCs w:val="21"/>
                      <w:highlight w:val="none"/>
                    </w:rPr>
                  </w:pPr>
                  <w:r>
                    <w:rPr>
                      <w:rFonts w:hint="eastAsia" w:cs="Calibri"/>
                      <w:color w:val="auto"/>
                      <w:szCs w:val="21"/>
                      <w:highlight w:val="none"/>
                    </w:rPr>
                    <w:t>500</w:t>
                  </w:r>
                </w:p>
              </w:tc>
              <w:tc>
                <w:tcPr>
                  <w:tcW w:w="1610" w:type="dxa"/>
                  <w:noWrap/>
                  <w:vAlign w:val="bottom"/>
                </w:tcPr>
                <w:p>
                  <w:pPr>
                    <w:widowControl/>
                    <w:jc w:val="center"/>
                    <w:textAlignment w:val="bottom"/>
                    <w:rPr>
                      <w:color w:val="auto"/>
                      <w:szCs w:val="21"/>
                      <w:highlight w:val="none"/>
                    </w:rPr>
                  </w:pPr>
                  <w:r>
                    <w:rPr>
                      <w:rFonts w:hint="eastAsia" w:cs="Calibri"/>
                      <w:color w:val="auto"/>
                      <w:szCs w:val="21"/>
                      <w:highlight w:val="none"/>
                    </w:rPr>
                    <w:t>500</w:t>
                  </w:r>
                </w:p>
              </w:tc>
              <w:tc>
                <w:tcPr>
                  <w:tcW w:w="1495" w:type="dxa"/>
                  <w:vMerge w:val="continue"/>
                  <w:noWrap/>
                  <w:vAlign w:val="center"/>
                </w:tcPr>
                <w:p>
                  <w:pPr>
                    <w:widowControl/>
                    <w:jc w:val="left"/>
                    <w:rPr>
                      <w:color w:val="auto"/>
                      <w:kern w:val="0"/>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96" w:type="dxa"/>
                  <w:noWrap/>
                  <w:vAlign w:val="center"/>
                </w:tcPr>
                <w:p>
                  <w:pPr>
                    <w:widowControl/>
                    <w:jc w:val="center"/>
                    <w:rPr>
                      <w:color w:val="auto"/>
                      <w:kern w:val="0"/>
                      <w:szCs w:val="21"/>
                      <w:highlight w:val="none"/>
                    </w:rPr>
                  </w:pPr>
                  <w:r>
                    <w:rPr>
                      <w:color w:val="auto"/>
                      <w:kern w:val="0"/>
                      <w:szCs w:val="21"/>
                      <w:highlight w:val="none"/>
                    </w:rPr>
                    <w:t>22</w:t>
                  </w:r>
                </w:p>
              </w:tc>
              <w:tc>
                <w:tcPr>
                  <w:tcW w:w="1605" w:type="dxa"/>
                  <w:noWrap w:val="0"/>
                  <w:vAlign w:val="center"/>
                </w:tcPr>
                <w:p>
                  <w:pPr>
                    <w:widowControl/>
                    <w:jc w:val="center"/>
                    <w:rPr>
                      <w:rFonts w:hint="eastAsia"/>
                      <w:color w:val="auto"/>
                      <w:kern w:val="0"/>
                      <w:szCs w:val="21"/>
                      <w:highlight w:val="none"/>
                    </w:rPr>
                  </w:pPr>
                  <w:r>
                    <w:rPr>
                      <w:color w:val="auto"/>
                      <w:kern w:val="0"/>
                      <w:szCs w:val="21"/>
                      <w:highlight w:val="none"/>
                    </w:rPr>
                    <w:t>燃</w:t>
                  </w:r>
                  <w:r>
                    <w:rPr>
                      <w:rFonts w:hint="eastAsia"/>
                      <w:color w:val="auto"/>
                      <w:kern w:val="0"/>
                      <w:szCs w:val="21"/>
                      <w:highlight w:val="none"/>
                    </w:rPr>
                    <w:t>气</w:t>
                  </w:r>
                </w:p>
              </w:tc>
              <w:tc>
                <w:tcPr>
                  <w:tcW w:w="880" w:type="dxa"/>
                  <w:noWrap w:val="0"/>
                  <w:vAlign w:val="center"/>
                </w:tcPr>
                <w:p>
                  <w:pPr>
                    <w:widowControl/>
                    <w:jc w:val="center"/>
                    <w:rPr>
                      <w:color w:val="auto"/>
                      <w:kern w:val="0"/>
                      <w:szCs w:val="21"/>
                      <w:highlight w:val="none"/>
                    </w:rPr>
                  </w:pPr>
                  <w:r>
                    <w:rPr>
                      <w:color w:val="auto"/>
                      <w:kern w:val="0"/>
                      <w:szCs w:val="21"/>
                      <w:highlight w:val="none"/>
                    </w:rPr>
                    <w:t>万</w:t>
                  </w:r>
                  <w:r>
                    <w:rPr>
                      <w:rFonts w:hint="eastAsia"/>
                      <w:color w:val="auto"/>
                      <w:kern w:val="0"/>
                      <w:szCs w:val="21"/>
                      <w:highlight w:val="none"/>
                    </w:rPr>
                    <w:t>Nm</w:t>
                  </w:r>
                  <w:r>
                    <w:rPr>
                      <w:rFonts w:hint="eastAsia"/>
                      <w:color w:val="auto"/>
                      <w:kern w:val="0"/>
                      <w:szCs w:val="21"/>
                      <w:highlight w:val="none"/>
                      <w:vertAlign w:val="superscript"/>
                    </w:rPr>
                    <w:t>3</w:t>
                  </w:r>
                </w:p>
              </w:tc>
              <w:tc>
                <w:tcPr>
                  <w:tcW w:w="1456" w:type="dxa"/>
                  <w:noWrap w:val="0"/>
                  <w:vAlign w:val="center"/>
                </w:tcPr>
                <w:p>
                  <w:pPr>
                    <w:jc w:val="center"/>
                    <w:rPr>
                      <w:rFonts w:hint="eastAsia"/>
                      <w:color w:val="auto"/>
                      <w:szCs w:val="21"/>
                      <w:highlight w:val="none"/>
                    </w:rPr>
                  </w:pPr>
                  <w:r>
                    <w:rPr>
                      <w:rFonts w:hint="eastAsia"/>
                      <w:color w:val="auto"/>
                      <w:szCs w:val="21"/>
                      <w:highlight w:val="none"/>
                    </w:rPr>
                    <w:t>8</w:t>
                  </w:r>
                </w:p>
              </w:tc>
              <w:tc>
                <w:tcPr>
                  <w:tcW w:w="1610" w:type="dxa"/>
                  <w:noWrap w:val="0"/>
                  <w:vAlign w:val="center"/>
                </w:tcPr>
                <w:p>
                  <w:pPr>
                    <w:widowControl/>
                    <w:jc w:val="center"/>
                    <w:rPr>
                      <w:rFonts w:hint="eastAsia"/>
                      <w:color w:val="auto"/>
                      <w:kern w:val="0"/>
                      <w:szCs w:val="21"/>
                      <w:highlight w:val="none"/>
                    </w:rPr>
                  </w:pPr>
                  <w:r>
                    <w:rPr>
                      <w:rFonts w:hint="eastAsia"/>
                      <w:color w:val="auto"/>
                      <w:kern w:val="0"/>
                      <w:szCs w:val="21"/>
                      <w:highlight w:val="none"/>
                    </w:rPr>
                    <w:t>8</w:t>
                  </w:r>
                </w:p>
              </w:tc>
              <w:tc>
                <w:tcPr>
                  <w:tcW w:w="1495" w:type="dxa"/>
                  <w:noWrap w:val="0"/>
                  <w:vAlign w:val="center"/>
                </w:tcPr>
                <w:p>
                  <w:pPr>
                    <w:widowControl/>
                    <w:jc w:val="center"/>
                    <w:rPr>
                      <w:color w:val="auto"/>
                      <w:kern w:val="0"/>
                      <w:szCs w:val="21"/>
                      <w:highlight w:val="none"/>
                    </w:rPr>
                  </w:pPr>
                  <w:r>
                    <w:rPr>
                      <w:rFonts w:hint="eastAsia"/>
                      <w:color w:val="auto"/>
                      <w:kern w:val="0"/>
                      <w:szCs w:val="21"/>
                      <w:highlight w:val="none"/>
                    </w:rPr>
                    <w:t>不变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96" w:type="dxa"/>
                  <w:noWrap/>
                  <w:vAlign w:val="center"/>
                </w:tcPr>
                <w:p>
                  <w:pPr>
                    <w:widowControl/>
                    <w:jc w:val="center"/>
                    <w:rPr>
                      <w:color w:val="auto"/>
                      <w:kern w:val="0"/>
                      <w:szCs w:val="21"/>
                      <w:highlight w:val="none"/>
                    </w:rPr>
                  </w:pPr>
                  <w:r>
                    <w:rPr>
                      <w:color w:val="auto"/>
                      <w:kern w:val="0"/>
                      <w:szCs w:val="21"/>
                      <w:highlight w:val="none"/>
                    </w:rPr>
                    <w:t>23</w:t>
                  </w:r>
                </w:p>
              </w:tc>
              <w:tc>
                <w:tcPr>
                  <w:tcW w:w="1605" w:type="dxa"/>
                  <w:noWrap w:val="0"/>
                  <w:vAlign w:val="center"/>
                </w:tcPr>
                <w:p>
                  <w:pPr>
                    <w:widowControl/>
                    <w:jc w:val="center"/>
                    <w:rPr>
                      <w:color w:val="auto"/>
                      <w:kern w:val="0"/>
                      <w:szCs w:val="21"/>
                      <w:highlight w:val="none"/>
                    </w:rPr>
                  </w:pPr>
                  <w:r>
                    <w:rPr>
                      <w:color w:val="auto"/>
                      <w:kern w:val="0"/>
                      <w:szCs w:val="21"/>
                      <w:highlight w:val="none"/>
                    </w:rPr>
                    <w:t>电</w:t>
                  </w:r>
                </w:p>
              </w:tc>
              <w:tc>
                <w:tcPr>
                  <w:tcW w:w="880" w:type="dxa"/>
                  <w:noWrap w:val="0"/>
                  <w:vAlign w:val="center"/>
                </w:tcPr>
                <w:p>
                  <w:pPr>
                    <w:widowControl/>
                    <w:jc w:val="center"/>
                    <w:rPr>
                      <w:color w:val="auto"/>
                      <w:kern w:val="0"/>
                      <w:szCs w:val="21"/>
                      <w:highlight w:val="none"/>
                    </w:rPr>
                  </w:pPr>
                  <w:r>
                    <w:rPr>
                      <w:color w:val="auto"/>
                      <w:kern w:val="0"/>
                      <w:szCs w:val="21"/>
                      <w:highlight w:val="none"/>
                    </w:rPr>
                    <w:t>万kWh</w:t>
                  </w:r>
                </w:p>
              </w:tc>
              <w:tc>
                <w:tcPr>
                  <w:tcW w:w="1456" w:type="dxa"/>
                  <w:noWrap w:val="0"/>
                  <w:vAlign w:val="center"/>
                </w:tcPr>
                <w:p>
                  <w:pPr>
                    <w:jc w:val="center"/>
                    <w:rPr>
                      <w:color w:val="auto"/>
                      <w:szCs w:val="21"/>
                      <w:highlight w:val="none"/>
                    </w:rPr>
                  </w:pPr>
                  <w:r>
                    <w:rPr>
                      <w:rFonts w:hint="eastAsia"/>
                      <w:color w:val="auto"/>
                      <w:szCs w:val="21"/>
                      <w:highlight w:val="none"/>
                    </w:rPr>
                    <w:t>25</w:t>
                  </w:r>
                </w:p>
              </w:tc>
              <w:tc>
                <w:tcPr>
                  <w:tcW w:w="1610" w:type="dxa"/>
                  <w:noWrap/>
                  <w:vAlign w:val="center"/>
                </w:tcPr>
                <w:p>
                  <w:pPr>
                    <w:widowControl/>
                    <w:jc w:val="center"/>
                    <w:rPr>
                      <w:color w:val="auto"/>
                      <w:kern w:val="0"/>
                      <w:szCs w:val="21"/>
                      <w:highlight w:val="none"/>
                    </w:rPr>
                  </w:pPr>
                  <w:r>
                    <w:rPr>
                      <w:rFonts w:hint="eastAsia"/>
                      <w:color w:val="auto"/>
                      <w:szCs w:val="21"/>
                      <w:highlight w:val="none"/>
                    </w:rPr>
                    <w:t>25</w:t>
                  </w:r>
                </w:p>
              </w:tc>
              <w:tc>
                <w:tcPr>
                  <w:tcW w:w="1495" w:type="dxa"/>
                  <w:noWrap/>
                  <w:vAlign w:val="center"/>
                </w:tcPr>
                <w:p>
                  <w:pPr>
                    <w:widowControl/>
                    <w:jc w:val="center"/>
                    <w:rPr>
                      <w:rFonts w:hint="eastAsia"/>
                      <w:color w:val="auto"/>
                      <w:kern w:val="0"/>
                      <w:szCs w:val="21"/>
                      <w:highlight w:val="none"/>
                    </w:rPr>
                  </w:pPr>
                  <w:r>
                    <w:rPr>
                      <w:rFonts w:hint="eastAsia"/>
                      <w:color w:val="auto"/>
                      <w:kern w:val="0"/>
                      <w:szCs w:val="21"/>
                      <w:highlight w:val="none"/>
                    </w:rPr>
                    <w:t>不变</w:t>
                  </w:r>
                </w:p>
              </w:tc>
            </w:tr>
          </w:tbl>
          <w:p>
            <w:pPr>
              <w:adjustRightInd w:val="0"/>
              <w:snapToGrid w:val="0"/>
              <w:spacing w:line="360" w:lineRule="auto"/>
              <w:ind w:firstLine="480" w:firstLineChars="200"/>
              <w:rPr>
                <w:color w:val="auto"/>
                <w:sz w:val="24"/>
                <w:highlight w:val="none"/>
              </w:rPr>
            </w:pPr>
            <w:r>
              <w:rPr>
                <w:rFonts w:hint="eastAsia"/>
                <w:color w:val="auto"/>
                <w:sz w:val="24"/>
                <w:highlight w:val="none"/>
              </w:rPr>
              <w:t>综上，改建后部分工序设备功率变大，主要为工作效率提高，沥青搅拌楼年实际生产时间由原来的1000h，缩减为800h，同时产品搅拌更均匀，原辅材料用量不变，产能不变。</w:t>
            </w:r>
          </w:p>
          <w:p>
            <w:pPr>
              <w:adjustRightInd w:val="0"/>
              <w:snapToGrid w:val="0"/>
              <w:spacing w:line="360" w:lineRule="auto"/>
              <w:ind w:firstLine="480" w:firstLineChars="200"/>
              <w:rPr>
                <w:rFonts w:hint="eastAsia"/>
                <w:color w:val="auto"/>
                <w:sz w:val="24"/>
                <w:highlight w:val="none"/>
              </w:rPr>
            </w:pPr>
            <w:r>
              <w:rPr>
                <w:rFonts w:hint="eastAsia"/>
                <w:color w:val="auto"/>
                <w:sz w:val="24"/>
                <w:highlight w:val="none"/>
              </w:rPr>
              <w:t>沥青:密度一般在1.15~1.25左右，主要成分是沥青质和树脂;沥青质不溶于低沸点烷经，棕至黑色;树脂溶于低沸点烷经，为深色半固体或固体物质。沥青有光泽，粘结性抗水性和防腐蚀性良好。主要用于涂料、塑料、橡胶等工业以及铺筑路面等。沥青由恒温槽罐车从生产地运至厂区，暂存在厂区密闭式沥青储罐中。</w:t>
            </w:r>
          </w:p>
          <w:p>
            <w:pPr>
              <w:adjustRightInd w:val="0"/>
              <w:snapToGrid w:val="0"/>
              <w:spacing w:line="360" w:lineRule="auto"/>
              <w:ind w:firstLine="480" w:firstLineChars="200"/>
              <w:rPr>
                <w:rFonts w:hint="eastAsia"/>
                <w:color w:val="auto"/>
                <w:sz w:val="24"/>
                <w:highlight w:val="none"/>
              </w:rPr>
            </w:pPr>
            <w:r>
              <w:rPr>
                <w:rFonts w:hint="eastAsia"/>
                <w:color w:val="auto"/>
                <w:sz w:val="24"/>
                <w:highlight w:val="none"/>
              </w:rPr>
              <w:t>矿粉:来源于各砂石场，矿粉是符合工程要求的石粉及其代用品的统称。是由石灰岩等碱性石料经磨细加工得到的,在沥青混合料中起填料作用的以碳酸钙为主要成分的矿物质粉尘。</w:t>
            </w:r>
          </w:p>
          <w:p>
            <w:pPr>
              <w:pStyle w:val="50"/>
              <w:numPr>
                <w:ilvl w:val="0"/>
                <w:numId w:val="3"/>
              </w:numPr>
              <w:snapToGrid w:val="0"/>
              <w:rPr>
                <w:rFonts w:hint="eastAsia" w:ascii="Times New Roman" w:hAnsi="Times New Roman"/>
                <w:color w:val="auto"/>
                <w:szCs w:val="24"/>
                <w:highlight w:val="none"/>
              </w:rPr>
            </w:pPr>
            <w:r>
              <w:rPr>
                <w:rFonts w:hint="eastAsia" w:ascii="Times New Roman" w:hAnsi="Times New Roman"/>
                <w:color w:val="auto"/>
                <w:szCs w:val="24"/>
                <w:highlight w:val="none"/>
              </w:rPr>
              <w:t>产品方案</w:t>
            </w:r>
          </w:p>
          <w:p>
            <w:pPr>
              <w:spacing w:line="360" w:lineRule="auto"/>
              <w:ind w:firstLine="480" w:firstLineChars="200"/>
              <w:jc w:val="left"/>
              <w:rPr>
                <w:rFonts w:hint="eastAsia"/>
                <w:color w:val="auto"/>
                <w:sz w:val="24"/>
                <w:highlight w:val="none"/>
              </w:rPr>
            </w:pPr>
            <w:r>
              <w:rPr>
                <w:rFonts w:hint="eastAsia"/>
                <w:color w:val="auto"/>
                <w:sz w:val="24"/>
                <w:highlight w:val="none"/>
              </w:rPr>
              <w:t>项目改建完成后，形成1万t/a沥青拌和料生产线，项目生产的沥青混凝土拌和料约1万t/a。与现有项目生产规模及产品方案均保持一致。</w:t>
            </w:r>
          </w:p>
          <w:p>
            <w:pPr>
              <w:spacing w:line="360" w:lineRule="auto"/>
              <w:jc w:val="center"/>
              <w:rPr>
                <w:rFonts w:eastAsia="黑体"/>
                <w:color w:val="auto"/>
                <w:sz w:val="24"/>
                <w:highlight w:val="none"/>
              </w:rPr>
            </w:pPr>
            <w:r>
              <w:rPr>
                <w:rFonts w:eastAsia="黑体"/>
                <w:color w:val="auto"/>
                <w:sz w:val="24"/>
                <w:highlight w:val="none"/>
              </w:rPr>
              <w:t>表</w:t>
            </w:r>
            <w:r>
              <w:rPr>
                <w:rFonts w:hint="eastAsia" w:eastAsia="黑体"/>
                <w:color w:val="auto"/>
                <w:sz w:val="24"/>
                <w:highlight w:val="none"/>
              </w:rPr>
              <w:t>2-5</w:t>
            </w:r>
            <w:r>
              <w:rPr>
                <w:rFonts w:eastAsia="黑体"/>
                <w:color w:val="auto"/>
                <w:sz w:val="24"/>
                <w:highlight w:val="none"/>
              </w:rPr>
              <w:t xml:space="preserve"> 项目生产规模和产品方案</w:t>
            </w:r>
          </w:p>
          <w:tbl>
            <w:tblPr>
              <w:tblStyle w:val="39"/>
              <w:tblW w:w="0" w:type="auto"/>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15" w:type="dxa"/>
                <w:left w:w="15" w:type="dxa"/>
                <w:bottom w:w="15" w:type="dxa"/>
                <w:right w:w="15" w:type="dxa"/>
              </w:tblCellMar>
            </w:tblPr>
            <w:tblGrid>
              <w:gridCol w:w="1617"/>
              <w:gridCol w:w="1162"/>
              <w:gridCol w:w="4244"/>
              <w:gridCol w:w="922"/>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390" w:hRule="atLeast"/>
              </w:trPr>
              <w:tc>
                <w:tcPr>
                  <w:tcW w:w="1617" w:type="dxa"/>
                  <w:noWrap/>
                  <w:vAlign w:val="center"/>
                </w:tcPr>
                <w:p>
                  <w:pPr>
                    <w:pStyle w:val="35"/>
                    <w:spacing w:before="0" w:beforeAutospacing="0" w:after="0" w:afterAutospacing="0"/>
                    <w:jc w:val="center"/>
                    <w:rPr>
                      <w:rFonts w:ascii="Times New Roman" w:hAnsi="Times New Roman"/>
                      <w:b/>
                      <w:bCs/>
                      <w:color w:val="auto"/>
                      <w:sz w:val="21"/>
                      <w:szCs w:val="21"/>
                      <w:highlight w:val="none"/>
                    </w:rPr>
                  </w:pPr>
                  <w:r>
                    <w:rPr>
                      <w:rFonts w:ascii="Times New Roman" w:hAnsi="Times New Roman"/>
                      <w:b/>
                      <w:bCs/>
                      <w:color w:val="auto"/>
                      <w:sz w:val="21"/>
                      <w:szCs w:val="21"/>
                      <w:highlight w:val="none"/>
                    </w:rPr>
                    <w:t>项目</w:t>
                  </w:r>
                </w:p>
              </w:tc>
              <w:tc>
                <w:tcPr>
                  <w:tcW w:w="1162" w:type="dxa"/>
                  <w:noWrap/>
                  <w:vAlign w:val="center"/>
                </w:tcPr>
                <w:p>
                  <w:pPr>
                    <w:pStyle w:val="35"/>
                    <w:spacing w:before="0" w:beforeAutospacing="0" w:after="0" w:afterAutospacing="0"/>
                    <w:jc w:val="center"/>
                    <w:rPr>
                      <w:rFonts w:ascii="Times New Roman" w:hAnsi="Times New Roman"/>
                      <w:b/>
                      <w:bCs/>
                      <w:color w:val="auto"/>
                      <w:sz w:val="21"/>
                      <w:szCs w:val="21"/>
                      <w:highlight w:val="none"/>
                    </w:rPr>
                  </w:pPr>
                  <w:r>
                    <w:rPr>
                      <w:rFonts w:ascii="Times New Roman" w:hAnsi="Times New Roman"/>
                      <w:b/>
                      <w:bCs/>
                      <w:color w:val="auto"/>
                      <w:sz w:val="21"/>
                      <w:szCs w:val="21"/>
                      <w:highlight w:val="none"/>
                    </w:rPr>
                    <w:t>产品</w:t>
                  </w:r>
                </w:p>
              </w:tc>
              <w:tc>
                <w:tcPr>
                  <w:tcW w:w="4244" w:type="dxa"/>
                  <w:noWrap/>
                  <w:vAlign w:val="center"/>
                </w:tcPr>
                <w:p>
                  <w:pPr>
                    <w:pStyle w:val="35"/>
                    <w:spacing w:before="0" w:beforeAutospacing="0" w:after="0" w:afterAutospacing="0"/>
                    <w:jc w:val="center"/>
                    <w:rPr>
                      <w:rFonts w:ascii="Times New Roman" w:hAnsi="Times New Roman"/>
                      <w:b/>
                      <w:bCs/>
                      <w:color w:val="auto"/>
                      <w:sz w:val="21"/>
                      <w:szCs w:val="21"/>
                      <w:highlight w:val="none"/>
                    </w:rPr>
                  </w:pPr>
                  <w:r>
                    <w:rPr>
                      <w:rFonts w:ascii="Times New Roman" w:hAnsi="Times New Roman"/>
                      <w:b/>
                      <w:bCs/>
                      <w:color w:val="auto"/>
                      <w:sz w:val="21"/>
                      <w:szCs w:val="21"/>
                      <w:highlight w:val="none"/>
                    </w:rPr>
                    <w:t>规格</w:t>
                  </w:r>
                </w:p>
              </w:tc>
              <w:tc>
                <w:tcPr>
                  <w:tcW w:w="922" w:type="dxa"/>
                  <w:noWrap/>
                  <w:vAlign w:val="center"/>
                </w:tcPr>
                <w:p>
                  <w:pPr>
                    <w:pStyle w:val="35"/>
                    <w:spacing w:before="0" w:beforeAutospacing="0" w:after="0" w:afterAutospacing="0"/>
                    <w:jc w:val="center"/>
                    <w:rPr>
                      <w:rFonts w:ascii="Times New Roman" w:hAnsi="Times New Roman"/>
                      <w:b/>
                      <w:bCs/>
                      <w:color w:val="auto"/>
                      <w:sz w:val="21"/>
                      <w:szCs w:val="21"/>
                      <w:highlight w:val="none"/>
                    </w:rPr>
                  </w:pPr>
                  <w:r>
                    <w:rPr>
                      <w:rFonts w:ascii="Times New Roman" w:hAnsi="Times New Roman"/>
                      <w:b/>
                      <w:bCs/>
                      <w:color w:val="auto"/>
                      <w:sz w:val="21"/>
                      <w:szCs w:val="21"/>
                      <w:highlight w:val="none"/>
                    </w:rPr>
                    <w:t>产量( t/a)</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780" w:hRule="atLeast"/>
              </w:trPr>
              <w:tc>
                <w:tcPr>
                  <w:tcW w:w="1617" w:type="dxa"/>
                  <w:noWrap/>
                  <w:vAlign w:val="center"/>
                </w:tcPr>
                <w:p>
                  <w:pPr>
                    <w:pStyle w:val="35"/>
                    <w:spacing w:before="0" w:beforeAutospacing="0" w:after="0" w:afterAutospacing="0"/>
                    <w:jc w:val="center"/>
                    <w:rPr>
                      <w:rFonts w:ascii="Times New Roman" w:hAnsi="Times New Roman"/>
                      <w:color w:val="auto"/>
                      <w:sz w:val="21"/>
                      <w:szCs w:val="21"/>
                      <w:highlight w:val="none"/>
                    </w:rPr>
                  </w:pPr>
                  <w:r>
                    <w:rPr>
                      <w:rFonts w:ascii="Times New Roman" w:hAnsi="Times New Roman"/>
                      <w:color w:val="auto"/>
                      <w:sz w:val="21"/>
                      <w:szCs w:val="21"/>
                      <w:highlight w:val="none"/>
                    </w:rPr>
                    <w:t>年产1万吨沥青</w:t>
                  </w:r>
                  <w:r>
                    <w:rPr>
                      <w:rFonts w:ascii="Times New Roman" w:hAnsi="Times New Roman"/>
                      <w:color w:val="auto"/>
                      <w:sz w:val="21"/>
                      <w:szCs w:val="21"/>
                      <w:highlight w:val="none"/>
                    </w:rPr>
                    <w:br w:type="textWrapping"/>
                  </w:r>
                  <w:r>
                    <w:rPr>
                      <w:rFonts w:ascii="Times New Roman" w:hAnsi="Times New Roman"/>
                      <w:color w:val="auto"/>
                      <w:sz w:val="21"/>
                      <w:szCs w:val="21"/>
                      <w:highlight w:val="none"/>
                    </w:rPr>
                    <w:t>混凝土拌合站</w:t>
                  </w:r>
                </w:p>
              </w:tc>
              <w:tc>
                <w:tcPr>
                  <w:tcW w:w="1162" w:type="dxa"/>
                  <w:noWrap/>
                  <w:vAlign w:val="center"/>
                </w:tcPr>
                <w:p>
                  <w:pPr>
                    <w:pStyle w:val="35"/>
                    <w:spacing w:before="0" w:beforeAutospacing="0" w:after="0" w:afterAutospacing="0"/>
                    <w:jc w:val="center"/>
                    <w:rPr>
                      <w:rFonts w:ascii="Times New Roman" w:hAnsi="Times New Roman"/>
                      <w:color w:val="auto"/>
                      <w:sz w:val="21"/>
                      <w:szCs w:val="21"/>
                      <w:highlight w:val="none"/>
                    </w:rPr>
                  </w:pPr>
                  <w:r>
                    <w:rPr>
                      <w:rFonts w:ascii="Times New Roman" w:hAnsi="Times New Roman"/>
                      <w:color w:val="auto"/>
                      <w:sz w:val="21"/>
                      <w:szCs w:val="21"/>
                      <w:highlight w:val="none"/>
                    </w:rPr>
                    <w:t>沥青混凝土</w:t>
                  </w:r>
                </w:p>
              </w:tc>
              <w:tc>
                <w:tcPr>
                  <w:tcW w:w="4244" w:type="dxa"/>
                  <w:noWrap/>
                  <w:vAlign w:val="center"/>
                </w:tcPr>
                <w:p>
                  <w:pPr>
                    <w:pStyle w:val="35"/>
                    <w:spacing w:before="0" w:beforeAutospacing="0" w:after="0" w:afterAutospacing="0"/>
                    <w:jc w:val="center"/>
                    <w:rPr>
                      <w:rFonts w:ascii="Times New Roman" w:hAnsi="Times New Roman"/>
                      <w:color w:val="auto"/>
                      <w:sz w:val="21"/>
                      <w:szCs w:val="21"/>
                      <w:highlight w:val="none"/>
                    </w:rPr>
                  </w:pPr>
                  <w:r>
                    <w:rPr>
                      <w:rFonts w:ascii="Times New Roman" w:hAnsi="Times New Roman"/>
                      <w:color w:val="auto"/>
                      <w:sz w:val="21"/>
                      <w:szCs w:val="21"/>
                      <w:highlight w:val="none"/>
                    </w:rPr>
                    <w:t>AC-10、AC-13、AC-16、AC-20、AC-25、</w:t>
                  </w:r>
                  <w:r>
                    <w:rPr>
                      <w:rFonts w:ascii="Times New Roman" w:hAnsi="Times New Roman"/>
                      <w:color w:val="auto"/>
                      <w:sz w:val="21"/>
                      <w:szCs w:val="21"/>
                      <w:highlight w:val="none"/>
                    </w:rPr>
                    <w:br w:type="textWrapping"/>
                  </w:r>
                  <w:r>
                    <w:rPr>
                      <w:rFonts w:ascii="Times New Roman" w:hAnsi="Times New Roman"/>
                      <w:color w:val="auto"/>
                      <w:sz w:val="21"/>
                      <w:szCs w:val="21"/>
                      <w:highlight w:val="none"/>
                    </w:rPr>
                    <w:t>SMA-10、SMA-13</w:t>
                  </w:r>
                </w:p>
              </w:tc>
              <w:tc>
                <w:tcPr>
                  <w:tcW w:w="922" w:type="dxa"/>
                  <w:noWrap/>
                  <w:vAlign w:val="center"/>
                </w:tcPr>
                <w:p>
                  <w:pPr>
                    <w:pStyle w:val="35"/>
                    <w:spacing w:before="0" w:beforeAutospacing="0" w:after="0" w:afterAutospacing="0"/>
                    <w:jc w:val="center"/>
                    <w:rPr>
                      <w:rFonts w:ascii="Times New Roman" w:hAnsi="Times New Roman"/>
                      <w:color w:val="auto"/>
                      <w:sz w:val="21"/>
                      <w:szCs w:val="21"/>
                      <w:highlight w:val="none"/>
                    </w:rPr>
                  </w:pPr>
                  <w:r>
                    <w:rPr>
                      <w:rFonts w:ascii="Times New Roman" w:hAnsi="Times New Roman"/>
                      <w:color w:val="auto"/>
                      <w:sz w:val="21"/>
                      <w:szCs w:val="21"/>
                      <w:highlight w:val="none"/>
                    </w:rPr>
                    <w:t>10000</w:t>
                  </w:r>
                </w:p>
              </w:tc>
            </w:tr>
          </w:tbl>
          <w:p>
            <w:pPr>
              <w:adjustRightInd w:val="0"/>
              <w:snapToGrid w:val="0"/>
              <w:spacing w:line="360" w:lineRule="auto"/>
              <w:ind w:firstLine="480" w:firstLineChars="200"/>
              <w:rPr>
                <w:rFonts w:hint="eastAsia"/>
                <w:color w:val="auto"/>
                <w:sz w:val="24"/>
                <w:highlight w:val="none"/>
              </w:rPr>
            </w:pPr>
            <w:r>
              <w:rPr>
                <w:rFonts w:hint="eastAsia"/>
                <w:color w:val="auto"/>
                <w:sz w:val="24"/>
                <w:highlight w:val="none"/>
              </w:rPr>
              <w:t>5、项目劳动定员及工作制度</w:t>
            </w:r>
          </w:p>
          <w:p>
            <w:pPr>
              <w:adjustRightInd w:val="0"/>
              <w:snapToGrid w:val="0"/>
              <w:spacing w:line="360" w:lineRule="auto"/>
              <w:ind w:firstLine="480" w:firstLineChars="200"/>
              <w:rPr>
                <w:rFonts w:hint="eastAsia"/>
                <w:color w:val="auto"/>
                <w:sz w:val="24"/>
                <w:highlight w:val="none"/>
              </w:rPr>
            </w:pPr>
            <w:r>
              <w:rPr>
                <w:rFonts w:hint="eastAsia"/>
                <w:color w:val="auto"/>
                <w:sz w:val="24"/>
                <w:highlight w:val="none"/>
              </w:rPr>
              <w:t>现有项目最大生产定员10人，年生产300天，每天1班，每班工作8小时。本次技改不新增劳动定员，不改变工作制度。</w:t>
            </w:r>
          </w:p>
          <w:p>
            <w:pPr>
              <w:adjustRightInd w:val="0"/>
              <w:snapToGrid w:val="0"/>
              <w:spacing w:line="360" w:lineRule="auto"/>
              <w:ind w:firstLine="480" w:firstLineChars="200"/>
              <w:rPr>
                <w:rFonts w:hint="eastAsia"/>
                <w:color w:val="auto"/>
                <w:sz w:val="24"/>
                <w:highlight w:val="none"/>
              </w:rPr>
            </w:pPr>
            <w:r>
              <w:rPr>
                <w:rFonts w:hint="eastAsia"/>
                <w:color w:val="auto"/>
                <w:sz w:val="24"/>
                <w:highlight w:val="none"/>
              </w:rPr>
              <w:t>6、公用工程</w:t>
            </w:r>
          </w:p>
          <w:p>
            <w:pPr>
              <w:adjustRightInd w:val="0"/>
              <w:snapToGrid w:val="0"/>
              <w:spacing w:line="360" w:lineRule="auto"/>
              <w:ind w:firstLine="480" w:firstLineChars="200"/>
              <w:rPr>
                <w:color w:val="auto"/>
                <w:sz w:val="24"/>
                <w:highlight w:val="none"/>
              </w:rPr>
            </w:pPr>
            <w:r>
              <w:rPr>
                <w:rFonts w:hint="eastAsia"/>
                <w:color w:val="auto"/>
                <w:sz w:val="24"/>
                <w:highlight w:val="none"/>
              </w:rPr>
              <w:t>（1）</w:t>
            </w:r>
            <w:r>
              <w:rPr>
                <w:color w:val="auto"/>
                <w:sz w:val="24"/>
                <w:highlight w:val="none"/>
              </w:rPr>
              <w:t>给排水</w:t>
            </w:r>
          </w:p>
          <w:p>
            <w:pPr>
              <w:adjustRightInd w:val="0"/>
              <w:snapToGrid w:val="0"/>
              <w:spacing w:line="360" w:lineRule="auto"/>
              <w:ind w:firstLine="480" w:firstLineChars="200"/>
              <w:rPr>
                <w:rFonts w:hint="default" w:eastAsia="宋体"/>
                <w:color w:val="auto"/>
                <w:sz w:val="24"/>
                <w:highlight w:val="none"/>
                <w:lang w:val="en-US" w:eastAsia="zh-CN"/>
              </w:rPr>
            </w:pPr>
            <w:r>
              <w:rPr>
                <w:color w:val="auto"/>
                <w:sz w:val="24"/>
                <w:highlight w:val="none"/>
              </w:rPr>
              <w:t>来自地下水供水系统。</w:t>
            </w:r>
            <w:r>
              <w:rPr>
                <w:rFonts w:hint="eastAsia"/>
                <w:color w:val="auto"/>
                <w:sz w:val="24"/>
                <w:highlight w:val="none"/>
              </w:rPr>
              <w:t>依托现有</w:t>
            </w:r>
            <w:r>
              <w:rPr>
                <w:color w:val="auto"/>
                <w:sz w:val="24"/>
                <w:highlight w:val="none"/>
              </w:rPr>
              <w:t>自建地下水井</w:t>
            </w:r>
            <w:r>
              <w:rPr>
                <w:rFonts w:hint="eastAsia"/>
                <w:color w:val="auto"/>
                <w:sz w:val="24"/>
                <w:highlight w:val="none"/>
              </w:rPr>
              <w:t>及</w:t>
            </w:r>
            <w:r>
              <w:rPr>
                <w:color w:val="auto"/>
                <w:sz w:val="24"/>
                <w:highlight w:val="none"/>
              </w:rPr>
              <w:t>两个10m</w:t>
            </w:r>
            <w:r>
              <w:rPr>
                <w:color w:val="auto"/>
                <w:sz w:val="24"/>
                <w:highlight w:val="none"/>
                <w:vertAlign w:val="superscript"/>
              </w:rPr>
              <w:t>3</w:t>
            </w:r>
            <w:r>
              <w:rPr>
                <w:color w:val="auto"/>
                <w:sz w:val="24"/>
                <w:highlight w:val="none"/>
              </w:rPr>
              <w:t>的蓄水池，1个用于生活用水，1个用于厂区地面洒水。</w:t>
            </w:r>
            <w:r>
              <w:rPr>
                <w:rFonts w:hint="eastAsia"/>
                <w:color w:val="auto"/>
                <w:sz w:val="24"/>
                <w:highlight w:val="none"/>
                <w:lang w:val="en-US" w:eastAsia="zh-CN"/>
              </w:rPr>
              <w:t>取水许可证见附件8。</w:t>
            </w:r>
          </w:p>
          <w:p>
            <w:pPr>
              <w:adjustRightInd w:val="0"/>
              <w:snapToGrid w:val="0"/>
              <w:spacing w:line="360" w:lineRule="auto"/>
              <w:ind w:firstLine="480" w:firstLineChars="200"/>
              <w:rPr>
                <w:color w:val="auto"/>
                <w:sz w:val="24"/>
                <w:highlight w:val="none"/>
              </w:rPr>
            </w:pPr>
            <w:r>
              <w:rPr>
                <w:color w:val="auto"/>
                <w:sz w:val="24"/>
                <w:highlight w:val="none"/>
              </w:rPr>
              <w:t>本次</w:t>
            </w:r>
            <w:r>
              <w:rPr>
                <w:rFonts w:hint="eastAsia"/>
                <w:color w:val="auto"/>
                <w:sz w:val="24"/>
                <w:highlight w:val="none"/>
              </w:rPr>
              <w:t>项目改建后</w:t>
            </w:r>
            <w:r>
              <w:rPr>
                <w:color w:val="auto"/>
                <w:sz w:val="24"/>
                <w:highlight w:val="none"/>
              </w:rPr>
              <w:t>无新增员工，生活废水经隔油池+化粪池预处理后农田施肥，不外排；项目无生产废水产生。</w:t>
            </w:r>
          </w:p>
          <w:p>
            <w:pPr>
              <w:adjustRightInd w:val="0"/>
              <w:snapToGrid w:val="0"/>
              <w:spacing w:line="360" w:lineRule="auto"/>
              <w:ind w:firstLine="480" w:firstLineChars="200"/>
              <w:rPr>
                <w:color w:val="auto"/>
                <w:sz w:val="24"/>
                <w:highlight w:val="none"/>
              </w:rPr>
            </w:pPr>
            <w:r>
              <w:rPr>
                <w:rFonts w:hint="eastAsia"/>
                <w:color w:val="auto"/>
                <w:sz w:val="24"/>
                <w:highlight w:val="none"/>
              </w:rPr>
              <w:t>（2）</w:t>
            </w:r>
            <w:r>
              <w:rPr>
                <w:color w:val="auto"/>
                <w:sz w:val="24"/>
                <w:highlight w:val="none"/>
              </w:rPr>
              <w:t>供电</w:t>
            </w:r>
          </w:p>
          <w:p>
            <w:pPr>
              <w:adjustRightInd w:val="0"/>
              <w:snapToGrid w:val="0"/>
              <w:spacing w:line="360" w:lineRule="auto"/>
              <w:ind w:firstLine="480" w:firstLineChars="200"/>
              <w:rPr>
                <w:color w:val="auto"/>
                <w:sz w:val="24"/>
                <w:highlight w:val="none"/>
              </w:rPr>
            </w:pPr>
            <w:r>
              <w:rPr>
                <w:color w:val="auto"/>
                <w:sz w:val="24"/>
                <w:highlight w:val="none"/>
              </w:rPr>
              <w:t>本项目用电</w:t>
            </w:r>
            <w:r>
              <w:rPr>
                <w:rFonts w:hint="eastAsia"/>
                <w:color w:val="auto"/>
                <w:sz w:val="24"/>
                <w:highlight w:val="none"/>
              </w:rPr>
              <w:t>依托现有的供电系统</w:t>
            </w:r>
            <w:r>
              <w:rPr>
                <w:color w:val="auto"/>
                <w:sz w:val="24"/>
                <w:highlight w:val="none"/>
              </w:rPr>
              <w:t>，</w:t>
            </w:r>
            <w:r>
              <w:rPr>
                <w:rFonts w:hint="eastAsia"/>
                <w:color w:val="auto"/>
                <w:sz w:val="24"/>
                <w:highlight w:val="none"/>
              </w:rPr>
              <w:t>由绵竹镇供电站接入，</w:t>
            </w:r>
            <w:r>
              <w:rPr>
                <w:color w:val="auto"/>
                <w:sz w:val="24"/>
                <w:highlight w:val="none"/>
              </w:rPr>
              <w:t>年用电量约</w:t>
            </w:r>
            <w:r>
              <w:rPr>
                <w:rFonts w:hint="eastAsia"/>
                <w:color w:val="auto"/>
                <w:sz w:val="24"/>
                <w:highlight w:val="none"/>
              </w:rPr>
              <w:t>25</w:t>
            </w:r>
            <w:r>
              <w:rPr>
                <w:color w:val="auto"/>
                <w:sz w:val="24"/>
                <w:highlight w:val="none"/>
              </w:rPr>
              <w:t>万千瓦时，不设柴油发电机。</w:t>
            </w:r>
          </w:p>
          <w:p>
            <w:pPr>
              <w:adjustRightInd w:val="0"/>
              <w:snapToGrid w:val="0"/>
              <w:spacing w:line="360" w:lineRule="auto"/>
              <w:ind w:left="547" w:leftChars="228"/>
              <w:rPr>
                <w:color w:val="auto"/>
                <w:sz w:val="24"/>
                <w:highlight w:val="none"/>
              </w:rPr>
            </w:pPr>
            <w:r>
              <w:rPr>
                <w:rFonts w:hint="eastAsia"/>
                <w:color w:val="auto"/>
                <w:sz w:val="24"/>
                <w:highlight w:val="none"/>
              </w:rPr>
              <w:t>（3）</w:t>
            </w:r>
            <w:r>
              <w:rPr>
                <w:color w:val="auto"/>
                <w:sz w:val="24"/>
                <w:highlight w:val="none"/>
              </w:rPr>
              <w:t>供</w:t>
            </w:r>
            <w:r>
              <w:rPr>
                <w:rFonts w:hint="eastAsia"/>
                <w:color w:val="auto"/>
                <w:sz w:val="24"/>
                <w:highlight w:val="none"/>
              </w:rPr>
              <w:t>气</w:t>
            </w:r>
            <w:r>
              <w:rPr>
                <w:color w:val="auto"/>
                <w:sz w:val="24"/>
                <w:highlight w:val="none"/>
              </w:rPr>
              <w:t>系统</w:t>
            </w:r>
          </w:p>
          <w:p>
            <w:pPr>
              <w:adjustRightInd w:val="0"/>
              <w:snapToGrid w:val="0"/>
              <w:spacing w:line="360" w:lineRule="auto"/>
              <w:ind w:firstLine="480" w:firstLineChars="200"/>
              <w:rPr>
                <w:rFonts w:ascii="宋体" w:hAnsi="宋体" w:cs="宋体"/>
                <w:bCs/>
                <w:color w:val="auto"/>
                <w:szCs w:val="21"/>
                <w:highlight w:val="none"/>
              </w:rPr>
            </w:pPr>
            <w:r>
              <w:rPr>
                <w:rFonts w:hint="eastAsia"/>
                <w:color w:val="auto"/>
                <w:sz w:val="24"/>
                <w:highlight w:val="none"/>
              </w:rPr>
              <w:t>依托现有</w:t>
            </w:r>
            <w:r>
              <w:rPr>
                <w:color w:val="auto"/>
                <w:sz w:val="24"/>
                <w:highlight w:val="none"/>
              </w:rPr>
              <w:t>厂区储量为4000Nm</w:t>
            </w:r>
            <w:r>
              <w:rPr>
                <w:color w:val="auto"/>
                <w:sz w:val="24"/>
                <w:highlight w:val="none"/>
                <w:vertAlign w:val="superscript"/>
              </w:rPr>
              <w:t>3</w:t>
            </w:r>
            <w:r>
              <w:rPr>
                <w:color w:val="auto"/>
                <w:sz w:val="24"/>
                <w:highlight w:val="none"/>
              </w:rPr>
              <w:t>的燃气供应站。</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71" w:hRule="atLeast"/>
          <w:jc w:val="center"/>
        </w:trPr>
        <w:tc>
          <w:tcPr>
            <w:tcW w:w="823" w:type="dxa"/>
            <w:noWrap w:val="0"/>
            <w:vAlign w:val="center"/>
          </w:tcPr>
          <w:p>
            <w:pPr>
              <w:pStyle w:val="35"/>
              <w:adjustRightInd w:val="0"/>
              <w:snapToGrid w:val="0"/>
              <w:spacing w:before="0" w:beforeAutospacing="0" w:after="0" w:afterAutospacing="0"/>
              <w:jc w:val="center"/>
              <w:rPr>
                <w:rFonts w:cs="宋体"/>
                <w:color w:val="auto"/>
                <w:sz w:val="21"/>
                <w:szCs w:val="21"/>
                <w:highlight w:val="none"/>
              </w:rPr>
            </w:pPr>
            <w:r>
              <w:rPr>
                <w:rFonts w:hint="eastAsia" w:cs="宋体"/>
                <w:color w:val="auto"/>
                <w:sz w:val="21"/>
                <w:szCs w:val="21"/>
                <w:highlight w:val="none"/>
              </w:rPr>
              <w:t>工艺流程和产排污环节</w:t>
            </w:r>
          </w:p>
        </w:tc>
        <w:tc>
          <w:tcPr>
            <w:tcW w:w="8161" w:type="dxa"/>
            <w:noWrap w:val="0"/>
            <w:vAlign w:val="top"/>
          </w:tcPr>
          <w:p>
            <w:pPr>
              <w:snapToGrid w:val="0"/>
              <w:spacing w:line="360" w:lineRule="auto"/>
              <w:ind w:firstLine="480" w:firstLineChars="200"/>
              <w:rPr>
                <w:color w:val="auto"/>
                <w:sz w:val="24"/>
                <w:highlight w:val="none"/>
              </w:rPr>
            </w:pPr>
            <w:r>
              <w:rPr>
                <w:color w:val="auto"/>
                <w:sz w:val="24"/>
                <w:highlight w:val="none"/>
              </w:rPr>
              <w:t>沥青混凝土由石油沥青和骨料（碎石)、矿粉混合拌制而成。其一般流程可分为沥青预处理和骨料预处理，而后进入拌缸拌合后即成为成品。</w:t>
            </w:r>
          </w:p>
          <w:p>
            <w:pPr>
              <w:snapToGrid w:val="0"/>
              <w:spacing w:line="360" w:lineRule="auto"/>
              <w:ind w:firstLine="480" w:firstLineChars="200"/>
              <w:rPr>
                <w:color w:val="auto"/>
                <w:sz w:val="24"/>
                <w:highlight w:val="none"/>
              </w:rPr>
            </w:pPr>
            <w:r>
              <w:rPr>
                <w:rFonts w:hint="eastAsia"/>
                <w:color w:val="auto"/>
                <w:sz w:val="24"/>
                <w:highlight w:val="none"/>
              </w:rPr>
              <w:t>改建后</w:t>
            </w:r>
            <w:r>
              <w:rPr>
                <w:color w:val="auto"/>
                <w:sz w:val="24"/>
                <w:highlight w:val="none"/>
              </w:rPr>
              <w:t>沥青预处理流程:沥青由专用沥青运输车沥青通过密闭沥青管道</w:t>
            </w:r>
            <w:r>
              <w:rPr>
                <w:rFonts w:hint="eastAsia"/>
                <w:color w:val="auto"/>
                <w:sz w:val="24"/>
                <w:highlight w:val="none"/>
              </w:rPr>
              <w:t>从运输车</w:t>
            </w:r>
            <w:r>
              <w:rPr>
                <w:color w:val="auto"/>
                <w:sz w:val="24"/>
                <w:highlight w:val="none"/>
              </w:rPr>
              <w:t>送至沥青储罐，使用导热炉的导热油将其加热至150~180℃，由沥青泵输送到沥青计量器，按一定的配比重量后通过专门管道送入沥青混凝土搅拌主楼的拌缸内与骨料、矿粉混合。</w:t>
            </w:r>
          </w:p>
          <w:p>
            <w:pPr>
              <w:snapToGrid w:val="0"/>
              <w:spacing w:line="360" w:lineRule="auto"/>
              <w:ind w:firstLine="480" w:firstLineChars="200"/>
              <w:rPr>
                <w:color w:val="auto"/>
                <w:sz w:val="24"/>
                <w:highlight w:val="none"/>
              </w:rPr>
            </w:pPr>
            <w:r>
              <w:rPr>
                <w:color w:val="auto"/>
                <w:sz w:val="24"/>
                <w:highlight w:val="none"/>
              </w:rPr>
              <w:t>骨料预处理流程:外购供应商已冲洗的骨料，由汽车运入厂区后堆放在骨料堆棚。生产时将满足产品需要规格的骨料从骨料堆棚送入冷骨料斗，然后通过皮带输送式冷料给料机自动给料。为使沥青混凝土产品不至于因过快冷却而带来运输上的不便，骨料在上沥青前需要经过加热处理。骨料（碎石）由皮带输送式冷料给料机送入烘干滚筒内，烘干滚筒采用逆料流加热方式，燃烧器火焰自烘干滚筒出料口一端喷入，热气流逆着料流方向穿过滚筒时被骨料吸走热量后，废气从排气筒排出。逆流加热时是烟气温度有350℃。为了使骨料受热均匀，烘干滚筒不停的转动，滚筒内的提升叶片将入筒内的冷骨料不断的升起和抛下。随后，将加热的骨料通过骨料提升机送到粒度检控系统内经过振动筛筛分，让符合粒径要求的骨料通过，经计量装置计量后送入拌合缸;少数不合规格的骨料被分离后经专门出口排出，由骨料供应商回收破碎后重新利用;烘干滚筒、粒度控制筛都在密闭的设备内工作。同时进入拌缸的还有矿粉（主要成分是石灰石)，矿粉通过给料机、提升机、计量装置后进入拌缸。</w:t>
            </w:r>
          </w:p>
          <w:p>
            <w:pPr>
              <w:snapToGrid w:val="0"/>
              <w:spacing w:line="360" w:lineRule="auto"/>
              <w:ind w:firstLine="480" w:firstLineChars="200"/>
              <w:rPr>
                <w:color w:val="auto"/>
                <w:sz w:val="24"/>
                <w:highlight w:val="none"/>
              </w:rPr>
            </w:pPr>
            <w:r>
              <w:rPr>
                <w:color w:val="auto"/>
                <w:sz w:val="24"/>
                <w:highlight w:val="none"/>
              </w:rPr>
              <w:t>搅拌混合工序:进入拌缸的骨料、矿粉等经与</w:t>
            </w:r>
            <w:r>
              <w:rPr>
                <w:rFonts w:hint="eastAsia"/>
                <w:color w:val="auto"/>
                <w:sz w:val="24"/>
                <w:highlight w:val="none"/>
              </w:rPr>
              <w:t>沥青</w:t>
            </w:r>
            <w:r>
              <w:rPr>
                <w:color w:val="auto"/>
                <w:sz w:val="24"/>
                <w:highlight w:val="none"/>
              </w:rPr>
              <w:t>罐送来的热石油沥青拌合后才成为成品，整个过程都在密闭系统中进行。成品由汽车运输至施工场地，生产出料过程为间断式。厂区不设成品贮仓，成品从拌缸</w:t>
            </w:r>
            <w:r>
              <w:rPr>
                <w:rFonts w:hint="eastAsia"/>
                <w:color w:val="auto"/>
                <w:sz w:val="24"/>
                <w:highlight w:val="none"/>
              </w:rPr>
              <w:t>直接</w:t>
            </w:r>
            <w:r>
              <w:rPr>
                <w:color w:val="auto"/>
                <w:sz w:val="24"/>
                <w:highlight w:val="none"/>
              </w:rPr>
              <w:t>卸料</w:t>
            </w:r>
            <w:r>
              <w:rPr>
                <w:rFonts w:hint="eastAsia"/>
                <w:color w:val="auto"/>
                <w:sz w:val="24"/>
                <w:highlight w:val="none"/>
              </w:rPr>
              <w:t>至运输车辆</w:t>
            </w:r>
            <w:r>
              <w:rPr>
                <w:color w:val="auto"/>
                <w:sz w:val="24"/>
                <w:highlight w:val="none"/>
              </w:rPr>
              <w:t>运出。</w:t>
            </w:r>
          </w:p>
          <w:p>
            <w:pPr>
              <w:snapToGrid w:val="0"/>
              <w:spacing w:line="360" w:lineRule="auto"/>
              <w:ind w:firstLine="480" w:firstLineChars="200"/>
              <w:rPr>
                <w:color w:val="auto"/>
                <w:sz w:val="24"/>
                <w:highlight w:val="none"/>
              </w:rPr>
            </w:pPr>
            <w:r>
              <w:rPr>
                <w:color w:val="auto"/>
                <w:sz w:val="24"/>
                <w:highlight w:val="none"/>
              </w:rPr>
              <w:t>主要工艺流程及产污环节如下图：</w:t>
            </w:r>
          </w:p>
          <w:p>
            <w:pPr>
              <w:spacing w:line="360" w:lineRule="auto"/>
              <w:jc w:val="center"/>
              <w:rPr>
                <w:rFonts w:ascii="宋体" w:hAnsi="宋体"/>
                <w:bCs/>
                <w:color w:val="auto"/>
                <w:szCs w:val="21"/>
                <w:highlight w:val="none"/>
              </w:rPr>
            </w:pPr>
            <w:r>
              <w:rPr>
                <w:rFonts w:hint="eastAsia" w:eastAsia="黑体"/>
                <w:color w:val="auto"/>
                <w:sz w:val="24"/>
                <w:highlight w:val="none"/>
              </w:rPr>
              <w:drawing>
                <wp:inline distT="0" distB="0" distL="114300" distR="114300">
                  <wp:extent cx="4959985" cy="3247390"/>
                  <wp:effectExtent l="0" t="0" r="12065" b="10160"/>
                  <wp:docPr id="2" name="图片 11" descr="未命名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1" descr="未命名 -10"/>
                          <pic:cNvPicPr>
                            <a:picLocks noChangeAspect="1"/>
                          </pic:cNvPicPr>
                        </pic:nvPicPr>
                        <pic:blipFill>
                          <a:blip r:embed="rId9"/>
                          <a:stretch>
                            <a:fillRect/>
                          </a:stretch>
                        </pic:blipFill>
                        <pic:spPr>
                          <a:xfrm>
                            <a:off x="0" y="0"/>
                            <a:ext cx="4959985" cy="3247390"/>
                          </a:xfrm>
                          <a:prstGeom prst="rect">
                            <a:avLst/>
                          </a:prstGeom>
                          <a:noFill/>
                          <a:ln>
                            <a:noFill/>
                          </a:ln>
                        </pic:spPr>
                      </pic:pic>
                    </a:graphicData>
                  </a:graphic>
                </wp:inline>
              </w:drawing>
            </w:r>
            <w:r>
              <w:rPr>
                <w:color w:val="auto"/>
                <w:sz w:val="24"/>
                <w:highlight w:val="none"/>
              </w:rPr>
              <w:t>图</w:t>
            </w:r>
            <w:r>
              <w:rPr>
                <w:rFonts w:hint="eastAsia"/>
                <w:color w:val="auto"/>
                <w:sz w:val="24"/>
                <w:highlight w:val="none"/>
              </w:rPr>
              <w:t>2</w:t>
            </w:r>
            <w:r>
              <w:rPr>
                <w:color w:val="auto"/>
                <w:sz w:val="24"/>
                <w:highlight w:val="none"/>
              </w:rPr>
              <w:t>-1  项目工艺流程和产污环节图</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19" w:hRule="atLeast"/>
          <w:jc w:val="center"/>
        </w:trPr>
        <w:tc>
          <w:tcPr>
            <w:tcW w:w="823" w:type="dxa"/>
            <w:noWrap w:val="0"/>
            <w:vAlign w:val="center"/>
          </w:tcPr>
          <w:p>
            <w:pPr>
              <w:pStyle w:val="35"/>
              <w:adjustRightInd w:val="0"/>
              <w:snapToGrid w:val="0"/>
              <w:spacing w:before="0" w:beforeAutospacing="0" w:after="0" w:afterAutospacing="0"/>
              <w:jc w:val="center"/>
              <w:rPr>
                <w:rFonts w:cs="宋体"/>
                <w:color w:val="auto"/>
                <w:sz w:val="21"/>
                <w:szCs w:val="21"/>
                <w:highlight w:val="none"/>
              </w:rPr>
            </w:pPr>
            <w:r>
              <w:rPr>
                <w:rFonts w:hint="eastAsia" w:cs="宋体"/>
                <w:bCs/>
                <w:color w:val="auto"/>
                <w:kern w:val="2"/>
                <w:sz w:val="21"/>
                <w:szCs w:val="21"/>
                <w:highlight w:val="none"/>
              </w:rPr>
              <w:t>与项目有关的原有环境污染问题</w:t>
            </w:r>
          </w:p>
        </w:tc>
        <w:tc>
          <w:tcPr>
            <w:tcW w:w="8161" w:type="dxa"/>
            <w:noWrap w:val="0"/>
            <w:vAlign w:val="top"/>
          </w:tcPr>
          <w:p>
            <w:pPr>
              <w:pStyle w:val="5"/>
              <w:ind w:firstLine="0" w:firstLineChars="0"/>
              <w:rPr>
                <w:color w:val="auto"/>
                <w:sz w:val="24"/>
                <w:szCs w:val="24"/>
                <w:highlight w:val="none"/>
              </w:rPr>
            </w:pPr>
            <w:bookmarkStart w:id="2" w:name="_Toc27197"/>
            <w:r>
              <w:rPr>
                <w:rFonts w:hint="eastAsia"/>
                <w:color w:val="auto"/>
                <w:sz w:val="24"/>
                <w:szCs w:val="24"/>
                <w:highlight w:val="none"/>
              </w:rPr>
              <w:t>一、改建前</w:t>
            </w:r>
            <w:r>
              <w:rPr>
                <w:color w:val="auto"/>
                <w:sz w:val="24"/>
                <w:szCs w:val="24"/>
                <w:highlight w:val="none"/>
              </w:rPr>
              <w:t>原项目污染物产生、治理措施及排放情况</w:t>
            </w:r>
            <w:bookmarkEnd w:id="2"/>
          </w:p>
          <w:p>
            <w:pPr>
              <w:snapToGrid w:val="0"/>
              <w:spacing w:line="360" w:lineRule="auto"/>
              <w:ind w:firstLine="480" w:firstLineChars="200"/>
              <w:rPr>
                <w:color w:val="auto"/>
                <w:sz w:val="24"/>
                <w:highlight w:val="none"/>
              </w:rPr>
            </w:pPr>
            <w:r>
              <w:rPr>
                <w:color w:val="auto"/>
                <w:sz w:val="24"/>
                <w:highlight w:val="none"/>
              </w:rPr>
              <w:t>项目正常生产时，废气、废水、固废及噪声均有排放。</w:t>
            </w:r>
            <w:r>
              <w:rPr>
                <w:rFonts w:hint="eastAsia"/>
                <w:color w:val="auto"/>
                <w:sz w:val="24"/>
                <w:highlight w:val="none"/>
              </w:rPr>
              <w:t>由于原项目建设时为填报环境影响登记表，因此未对污染物排放情况进行核算，本次环评对现有项目的污染物排放情况进行核算。</w:t>
            </w:r>
          </w:p>
          <w:p>
            <w:pPr>
              <w:pStyle w:val="6"/>
              <w:tabs>
                <w:tab w:val="left" w:pos="709"/>
              </w:tabs>
              <w:rPr>
                <w:color w:val="auto"/>
                <w:sz w:val="24"/>
                <w:szCs w:val="24"/>
                <w:highlight w:val="none"/>
              </w:rPr>
            </w:pPr>
            <w:bookmarkStart w:id="3" w:name="_Toc14971"/>
            <w:r>
              <w:rPr>
                <w:rFonts w:hint="eastAsia"/>
                <w:color w:val="auto"/>
                <w:sz w:val="24"/>
                <w:szCs w:val="24"/>
                <w:highlight w:val="none"/>
              </w:rPr>
              <w:t>1、废水</w:t>
            </w:r>
            <w:bookmarkEnd w:id="3"/>
          </w:p>
          <w:p>
            <w:pPr>
              <w:pStyle w:val="50"/>
              <w:rPr>
                <w:rFonts w:hint="eastAsia"/>
                <w:color w:val="auto"/>
                <w:szCs w:val="24"/>
                <w:highlight w:val="none"/>
              </w:rPr>
            </w:pPr>
            <w:r>
              <w:rPr>
                <w:rFonts w:hint="eastAsia"/>
                <w:color w:val="auto"/>
                <w:szCs w:val="24"/>
                <w:highlight w:val="none"/>
              </w:rPr>
              <w:t>原项目不涉及生产废水，主要为办公生活污水、食堂废水、厂区地面清洗水等，均由厂区隔油池、化粪池处理后外排。</w:t>
            </w:r>
            <w:r>
              <w:rPr>
                <w:color w:val="auto"/>
                <w:szCs w:val="24"/>
                <w:highlight w:val="none"/>
              </w:rPr>
              <w:t>废水产生</w:t>
            </w:r>
            <w:r>
              <w:rPr>
                <w:rFonts w:hint="eastAsia"/>
                <w:color w:val="auto"/>
                <w:szCs w:val="24"/>
                <w:highlight w:val="none"/>
              </w:rPr>
              <w:t>、</w:t>
            </w:r>
            <w:r>
              <w:rPr>
                <w:color w:val="auto"/>
                <w:szCs w:val="24"/>
                <w:highlight w:val="none"/>
              </w:rPr>
              <w:t>治理和排放情况见表</w:t>
            </w:r>
            <w:r>
              <w:rPr>
                <w:rFonts w:hint="eastAsia"/>
                <w:color w:val="auto"/>
                <w:szCs w:val="24"/>
                <w:highlight w:val="none"/>
              </w:rPr>
              <w:t>2-6。</w:t>
            </w:r>
          </w:p>
          <w:p>
            <w:pPr>
              <w:pStyle w:val="50"/>
              <w:rPr>
                <w:color w:val="auto"/>
                <w:szCs w:val="24"/>
                <w:highlight w:val="none"/>
              </w:rPr>
            </w:pPr>
            <w:r>
              <w:rPr>
                <w:rFonts w:hint="eastAsia"/>
                <w:color w:val="auto"/>
                <w:szCs w:val="24"/>
                <w:highlight w:val="none"/>
              </w:rPr>
              <w:t>（1）办公生活用水</w:t>
            </w:r>
          </w:p>
          <w:p>
            <w:pPr>
              <w:pStyle w:val="50"/>
              <w:rPr>
                <w:color w:val="auto"/>
                <w:szCs w:val="24"/>
                <w:highlight w:val="none"/>
              </w:rPr>
            </w:pPr>
            <w:r>
              <w:rPr>
                <w:rFonts w:hint="eastAsia"/>
                <w:color w:val="auto"/>
                <w:szCs w:val="24"/>
                <w:highlight w:val="none"/>
              </w:rPr>
              <w:t>原项目厂区现有职工人员共计10人，每人每日用水量按120L/d，则项目日用水量为1.2m</w:t>
            </w:r>
            <w:r>
              <w:rPr>
                <w:rFonts w:hint="eastAsia"/>
                <w:color w:val="auto"/>
                <w:szCs w:val="24"/>
                <w:highlight w:val="none"/>
                <w:vertAlign w:val="superscript"/>
              </w:rPr>
              <w:t>3</w:t>
            </w:r>
            <w:r>
              <w:rPr>
                <w:rFonts w:hint="eastAsia"/>
                <w:color w:val="auto"/>
                <w:szCs w:val="24"/>
                <w:highlight w:val="none"/>
              </w:rPr>
              <w:t>/d，产生的生活污水按用水量的80%计，则项目产生生活污水的量为0.96m</w:t>
            </w:r>
            <w:r>
              <w:rPr>
                <w:rFonts w:hint="eastAsia"/>
                <w:color w:val="auto"/>
                <w:szCs w:val="24"/>
                <w:highlight w:val="none"/>
                <w:vertAlign w:val="superscript"/>
              </w:rPr>
              <w:t>3</w:t>
            </w:r>
            <w:r>
              <w:rPr>
                <w:rFonts w:hint="eastAsia"/>
                <w:color w:val="auto"/>
                <w:szCs w:val="24"/>
                <w:highlight w:val="none"/>
              </w:rPr>
              <w:t>/d。</w:t>
            </w:r>
          </w:p>
          <w:p>
            <w:pPr>
              <w:spacing w:line="360" w:lineRule="auto"/>
              <w:jc w:val="center"/>
              <w:rPr>
                <w:rFonts w:eastAsia="黑体"/>
                <w:color w:val="auto"/>
                <w:sz w:val="24"/>
                <w:highlight w:val="none"/>
              </w:rPr>
            </w:pPr>
            <w:r>
              <w:rPr>
                <w:rFonts w:hint="eastAsia" w:eastAsia="黑体"/>
                <w:color w:val="auto"/>
                <w:sz w:val="24"/>
                <w:highlight w:val="none"/>
              </w:rPr>
              <w:t>表2-6</w:t>
            </w:r>
            <w:r>
              <w:rPr>
                <w:rFonts w:eastAsia="黑体"/>
                <w:color w:val="auto"/>
                <w:sz w:val="24"/>
                <w:highlight w:val="none"/>
              </w:rPr>
              <w:t xml:space="preserve"> </w:t>
            </w:r>
            <w:r>
              <w:rPr>
                <w:rFonts w:hint="eastAsia" w:eastAsia="黑体"/>
                <w:color w:val="auto"/>
                <w:sz w:val="24"/>
                <w:highlight w:val="none"/>
              </w:rPr>
              <w:t>原项目废水产生、治理及排放情况</w:t>
            </w:r>
          </w:p>
          <w:tbl>
            <w:tblPr>
              <w:tblStyle w:val="39"/>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42" w:type="dxa"/>
                <w:bottom w:w="0" w:type="dxa"/>
                <w:right w:w="142" w:type="dxa"/>
              </w:tblCellMar>
            </w:tblPr>
            <w:tblGrid>
              <w:gridCol w:w="551"/>
              <w:gridCol w:w="1149"/>
              <w:gridCol w:w="2558"/>
              <w:gridCol w:w="2155"/>
              <w:gridCol w:w="680"/>
              <w:gridCol w:w="84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42" w:type="dxa"/>
                  <w:bottom w:w="0" w:type="dxa"/>
                  <w:right w:w="142" w:type="dxa"/>
                </w:tblCellMar>
              </w:tblPrEx>
              <w:trPr>
                <w:cantSplit/>
                <w:trHeight w:val="340" w:hRule="atLeast"/>
                <w:jc w:val="center"/>
              </w:trPr>
              <w:tc>
                <w:tcPr>
                  <w:tcW w:w="551" w:type="dxa"/>
                  <w:noWrap w:val="0"/>
                  <w:vAlign w:val="center"/>
                </w:tcPr>
                <w:p>
                  <w:pPr>
                    <w:snapToGrid w:val="0"/>
                    <w:spacing w:line="248" w:lineRule="exact"/>
                    <w:ind w:left="-120" w:leftChars="-50" w:right="-120" w:rightChars="-50"/>
                    <w:jc w:val="center"/>
                    <w:rPr>
                      <w:b/>
                      <w:color w:val="auto"/>
                      <w:szCs w:val="21"/>
                      <w:highlight w:val="none"/>
                    </w:rPr>
                  </w:pPr>
                  <w:bookmarkStart w:id="4" w:name="_Hlk502306052"/>
                  <w:r>
                    <w:rPr>
                      <w:rFonts w:hint="eastAsia"/>
                      <w:b/>
                      <w:color w:val="auto"/>
                      <w:szCs w:val="21"/>
                      <w:highlight w:val="none"/>
                    </w:rPr>
                    <w:t>编号</w:t>
                  </w:r>
                </w:p>
              </w:tc>
              <w:tc>
                <w:tcPr>
                  <w:tcW w:w="1149" w:type="dxa"/>
                  <w:noWrap w:val="0"/>
                  <w:vAlign w:val="center"/>
                </w:tcPr>
                <w:p>
                  <w:pPr>
                    <w:snapToGrid w:val="0"/>
                    <w:spacing w:line="248" w:lineRule="exact"/>
                    <w:ind w:left="-120" w:leftChars="-50" w:right="-120" w:rightChars="-50"/>
                    <w:jc w:val="center"/>
                    <w:rPr>
                      <w:b/>
                      <w:color w:val="auto"/>
                      <w:szCs w:val="21"/>
                      <w:highlight w:val="none"/>
                    </w:rPr>
                  </w:pPr>
                  <w:r>
                    <w:rPr>
                      <w:rFonts w:hint="eastAsia"/>
                      <w:b/>
                      <w:color w:val="auto"/>
                      <w:szCs w:val="21"/>
                      <w:highlight w:val="none"/>
                    </w:rPr>
                    <w:t>废水来源</w:t>
                  </w:r>
                </w:p>
                <w:p>
                  <w:pPr>
                    <w:snapToGrid w:val="0"/>
                    <w:spacing w:line="248" w:lineRule="exact"/>
                    <w:ind w:left="-120" w:leftChars="-50" w:right="-120" w:rightChars="-50"/>
                    <w:jc w:val="center"/>
                    <w:rPr>
                      <w:b/>
                      <w:color w:val="auto"/>
                      <w:szCs w:val="21"/>
                      <w:highlight w:val="none"/>
                    </w:rPr>
                  </w:pPr>
                  <w:r>
                    <w:rPr>
                      <w:rFonts w:hint="eastAsia"/>
                      <w:b/>
                      <w:color w:val="auto"/>
                      <w:szCs w:val="21"/>
                      <w:highlight w:val="none"/>
                    </w:rPr>
                    <w:t>及名称</w:t>
                  </w:r>
                </w:p>
              </w:tc>
              <w:tc>
                <w:tcPr>
                  <w:tcW w:w="2558" w:type="dxa"/>
                  <w:noWrap w:val="0"/>
                  <w:vAlign w:val="center"/>
                </w:tcPr>
                <w:p>
                  <w:pPr>
                    <w:snapToGrid w:val="0"/>
                    <w:spacing w:line="248" w:lineRule="exact"/>
                    <w:ind w:left="-120" w:leftChars="-50" w:right="-120" w:rightChars="-50"/>
                    <w:jc w:val="center"/>
                    <w:rPr>
                      <w:b/>
                      <w:color w:val="auto"/>
                      <w:szCs w:val="21"/>
                      <w:highlight w:val="none"/>
                    </w:rPr>
                  </w:pPr>
                  <w:r>
                    <w:rPr>
                      <w:rFonts w:hint="eastAsia"/>
                      <w:b/>
                      <w:color w:val="auto"/>
                      <w:szCs w:val="21"/>
                      <w:highlight w:val="none"/>
                    </w:rPr>
                    <w:t>处理前废水量</w:t>
                  </w:r>
                </w:p>
                <w:p>
                  <w:pPr>
                    <w:snapToGrid w:val="0"/>
                    <w:spacing w:line="248" w:lineRule="exact"/>
                    <w:ind w:left="-120" w:leftChars="-50" w:right="-120" w:rightChars="-50"/>
                    <w:jc w:val="center"/>
                    <w:rPr>
                      <w:b/>
                      <w:color w:val="auto"/>
                      <w:szCs w:val="21"/>
                      <w:highlight w:val="none"/>
                    </w:rPr>
                  </w:pPr>
                  <w:r>
                    <w:rPr>
                      <w:rFonts w:hint="eastAsia"/>
                      <w:b/>
                      <w:color w:val="auto"/>
                      <w:szCs w:val="21"/>
                      <w:highlight w:val="none"/>
                    </w:rPr>
                    <w:t>及污染物组成</w:t>
                  </w:r>
                </w:p>
              </w:tc>
              <w:tc>
                <w:tcPr>
                  <w:tcW w:w="2155" w:type="dxa"/>
                  <w:noWrap w:val="0"/>
                  <w:vAlign w:val="center"/>
                </w:tcPr>
                <w:p>
                  <w:pPr>
                    <w:snapToGrid w:val="0"/>
                    <w:spacing w:line="248" w:lineRule="exact"/>
                    <w:ind w:left="-120" w:leftChars="-50" w:right="-120" w:rightChars="-50"/>
                    <w:jc w:val="center"/>
                    <w:rPr>
                      <w:b/>
                      <w:color w:val="auto"/>
                      <w:szCs w:val="21"/>
                      <w:highlight w:val="none"/>
                    </w:rPr>
                  </w:pPr>
                  <w:r>
                    <w:rPr>
                      <w:rFonts w:hint="eastAsia"/>
                      <w:b/>
                      <w:color w:val="auto"/>
                      <w:szCs w:val="21"/>
                      <w:highlight w:val="none"/>
                    </w:rPr>
                    <w:t>废水处理方法及</w:t>
                  </w:r>
                </w:p>
                <w:p>
                  <w:pPr>
                    <w:snapToGrid w:val="0"/>
                    <w:spacing w:line="248" w:lineRule="exact"/>
                    <w:ind w:left="-120" w:leftChars="-50" w:right="-120" w:rightChars="-50"/>
                    <w:jc w:val="center"/>
                    <w:rPr>
                      <w:b/>
                      <w:color w:val="auto"/>
                      <w:szCs w:val="21"/>
                      <w:highlight w:val="none"/>
                    </w:rPr>
                  </w:pPr>
                  <w:r>
                    <w:rPr>
                      <w:rFonts w:hint="eastAsia"/>
                      <w:b/>
                      <w:color w:val="auto"/>
                      <w:szCs w:val="21"/>
                      <w:highlight w:val="none"/>
                    </w:rPr>
                    <w:t>排放去向</w:t>
                  </w:r>
                </w:p>
              </w:tc>
              <w:tc>
                <w:tcPr>
                  <w:tcW w:w="680" w:type="dxa"/>
                  <w:noWrap w:val="0"/>
                  <w:vAlign w:val="center"/>
                </w:tcPr>
                <w:p>
                  <w:pPr>
                    <w:snapToGrid w:val="0"/>
                    <w:spacing w:line="248" w:lineRule="exact"/>
                    <w:ind w:left="-120" w:leftChars="-50" w:right="-120" w:rightChars="-50"/>
                    <w:jc w:val="center"/>
                    <w:rPr>
                      <w:b/>
                      <w:color w:val="auto"/>
                      <w:szCs w:val="21"/>
                      <w:highlight w:val="none"/>
                    </w:rPr>
                  </w:pPr>
                  <w:r>
                    <w:rPr>
                      <w:rFonts w:hint="eastAsia"/>
                      <w:b/>
                      <w:color w:val="auto"/>
                      <w:szCs w:val="21"/>
                      <w:highlight w:val="none"/>
                    </w:rPr>
                    <w:t>排放</w:t>
                  </w:r>
                </w:p>
                <w:p>
                  <w:pPr>
                    <w:snapToGrid w:val="0"/>
                    <w:spacing w:line="248" w:lineRule="exact"/>
                    <w:ind w:left="-120" w:leftChars="-50" w:right="-120" w:rightChars="-50"/>
                    <w:jc w:val="center"/>
                    <w:rPr>
                      <w:b/>
                      <w:color w:val="auto"/>
                      <w:szCs w:val="21"/>
                      <w:highlight w:val="none"/>
                    </w:rPr>
                  </w:pPr>
                  <w:r>
                    <w:rPr>
                      <w:rFonts w:hint="eastAsia"/>
                      <w:b/>
                      <w:color w:val="auto"/>
                      <w:szCs w:val="21"/>
                      <w:highlight w:val="none"/>
                    </w:rPr>
                    <w:t>规律</w:t>
                  </w:r>
                </w:p>
              </w:tc>
              <w:tc>
                <w:tcPr>
                  <w:tcW w:w="849" w:type="dxa"/>
                  <w:noWrap w:val="0"/>
                  <w:vAlign w:val="center"/>
                </w:tcPr>
                <w:p>
                  <w:pPr>
                    <w:snapToGrid w:val="0"/>
                    <w:spacing w:line="248" w:lineRule="exact"/>
                    <w:ind w:left="-120" w:leftChars="-50" w:right="-120" w:rightChars="-50"/>
                    <w:jc w:val="center"/>
                    <w:rPr>
                      <w:b/>
                      <w:color w:val="auto"/>
                      <w:szCs w:val="21"/>
                      <w:highlight w:val="none"/>
                    </w:rPr>
                  </w:pPr>
                  <w:r>
                    <w:rPr>
                      <w:rFonts w:hint="eastAsia"/>
                      <w:b/>
                      <w:color w:val="auto"/>
                      <w:szCs w:val="21"/>
                      <w:highlight w:val="none"/>
                    </w:rPr>
                    <w:t>源强核算方法</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42" w:type="dxa"/>
                  <w:bottom w:w="0" w:type="dxa"/>
                  <w:right w:w="142" w:type="dxa"/>
                </w:tblCellMar>
              </w:tblPrEx>
              <w:trPr>
                <w:cantSplit/>
                <w:trHeight w:val="1210" w:hRule="atLeast"/>
                <w:jc w:val="center"/>
              </w:trPr>
              <w:tc>
                <w:tcPr>
                  <w:tcW w:w="551" w:type="dxa"/>
                  <w:noWrap w:val="0"/>
                  <w:vAlign w:val="center"/>
                </w:tcPr>
                <w:p>
                  <w:pPr>
                    <w:snapToGrid w:val="0"/>
                    <w:spacing w:line="248" w:lineRule="exact"/>
                    <w:ind w:left="-120" w:leftChars="-50" w:right="-120" w:rightChars="-50"/>
                    <w:jc w:val="center"/>
                    <w:rPr>
                      <w:color w:val="auto"/>
                      <w:szCs w:val="21"/>
                      <w:highlight w:val="none"/>
                    </w:rPr>
                  </w:pPr>
                  <w:r>
                    <w:rPr>
                      <w:rFonts w:hint="eastAsia"/>
                      <w:color w:val="auto"/>
                      <w:szCs w:val="21"/>
                      <w:highlight w:val="none"/>
                    </w:rPr>
                    <w:t>W1</w:t>
                  </w:r>
                </w:p>
              </w:tc>
              <w:tc>
                <w:tcPr>
                  <w:tcW w:w="1149" w:type="dxa"/>
                  <w:noWrap w:val="0"/>
                  <w:vAlign w:val="center"/>
                </w:tcPr>
                <w:p>
                  <w:pPr>
                    <w:snapToGrid w:val="0"/>
                    <w:spacing w:line="248" w:lineRule="exact"/>
                    <w:ind w:left="-120" w:leftChars="-50" w:right="-120" w:rightChars="-50"/>
                    <w:jc w:val="center"/>
                    <w:rPr>
                      <w:color w:val="auto"/>
                      <w:szCs w:val="21"/>
                      <w:highlight w:val="none"/>
                    </w:rPr>
                  </w:pPr>
                  <w:r>
                    <w:rPr>
                      <w:rFonts w:hint="eastAsia"/>
                      <w:color w:val="auto"/>
                      <w:szCs w:val="21"/>
                      <w:highlight w:val="none"/>
                    </w:rPr>
                    <w:t>生活污水</w:t>
                  </w:r>
                </w:p>
              </w:tc>
              <w:tc>
                <w:tcPr>
                  <w:tcW w:w="2558" w:type="dxa"/>
                  <w:noWrap w:val="0"/>
                  <w:vAlign w:val="center"/>
                </w:tcPr>
                <w:p>
                  <w:pPr>
                    <w:snapToGrid w:val="0"/>
                    <w:spacing w:line="248" w:lineRule="exact"/>
                    <w:ind w:left="-120" w:leftChars="-50" w:right="-120" w:rightChars="-50"/>
                    <w:jc w:val="left"/>
                    <w:rPr>
                      <w:color w:val="auto"/>
                      <w:szCs w:val="21"/>
                      <w:highlight w:val="none"/>
                    </w:rPr>
                  </w:pPr>
                  <w:r>
                    <w:rPr>
                      <w:rFonts w:hint="eastAsia"/>
                      <w:color w:val="auto"/>
                      <w:szCs w:val="21"/>
                      <w:highlight w:val="none"/>
                    </w:rPr>
                    <w:t>废水量：0.96m</w:t>
                  </w:r>
                  <w:r>
                    <w:rPr>
                      <w:rFonts w:hint="eastAsia"/>
                      <w:color w:val="auto"/>
                      <w:szCs w:val="21"/>
                      <w:highlight w:val="none"/>
                      <w:vertAlign w:val="superscript"/>
                    </w:rPr>
                    <w:t>3</w:t>
                  </w:r>
                  <w:r>
                    <w:rPr>
                      <w:rFonts w:hint="eastAsia"/>
                      <w:color w:val="auto"/>
                      <w:szCs w:val="21"/>
                      <w:highlight w:val="none"/>
                    </w:rPr>
                    <w:t>/d；</w:t>
                  </w:r>
                </w:p>
                <w:p>
                  <w:pPr>
                    <w:snapToGrid w:val="0"/>
                    <w:spacing w:line="248" w:lineRule="exact"/>
                    <w:ind w:left="-120" w:leftChars="-50" w:right="-120" w:rightChars="-50"/>
                    <w:jc w:val="left"/>
                    <w:rPr>
                      <w:color w:val="auto"/>
                      <w:szCs w:val="21"/>
                      <w:highlight w:val="none"/>
                    </w:rPr>
                  </w:pPr>
                  <w:r>
                    <w:rPr>
                      <w:rFonts w:hint="eastAsia"/>
                      <w:color w:val="auto"/>
                      <w:szCs w:val="21"/>
                      <w:highlight w:val="none"/>
                    </w:rPr>
                    <w:t>COD：400mg/L；</w:t>
                  </w:r>
                </w:p>
                <w:p>
                  <w:pPr>
                    <w:snapToGrid w:val="0"/>
                    <w:spacing w:line="248" w:lineRule="exact"/>
                    <w:ind w:left="-120" w:leftChars="-50" w:right="-120" w:rightChars="-50"/>
                    <w:jc w:val="left"/>
                    <w:rPr>
                      <w:color w:val="auto"/>
                      <w:szCs w:val="21"/>
                      <w:highlight w:val="none"/>
                    </w:rPr>
                  </w:pPr>
                  <w:r>
                    <w:rPr>
                      <w:rFonts w:hint="eastAsia"/>
                      <w:color w:val="auto"/>
                      <w:szCs w:val="21"/>
                      <w:highlight w:val="none"/>
                    </w:rPr>
                    <w:t>BOD</w:t>
                  </w:r>
                  <w:r>
                    <w:rPr>
                      <w:rFonts w:hint="eastAsia"/>
                      <w:color w:val="auto"/>
                      <w:szCs w:val="21"/>
                      <w:highlight w:val="none"/>
                      <w:vertAlign w:val="subscript"/>
                    </w:rPr>
                    <w:t>5</w:t>
                  </w:r>
                  <w:r>
                    <w:rPr>
                      <w:rFonts w:hint="eastAsia"/>
                      <w:color w:val="auto"/>
                      <w:szCs w:val="21"/>
                      <w:highlight w:val="none"/>
                    </w:rPr>
                    <w:t>：200mg/L；</w:t>
                  </w:r>
                </w:p>
                <w:p>
                  <w:pPr>
                    <w:snapToGrid w:val="0"/>
                    <w:spacing w:line="248" w:lineRule="exact"/>
                    <w:ind w:left="-120" w:leftChars="-50" w:right="-120" w:rightChars="-50"/>
                    <w:jc w:val="left"/>
                    <w:rPr>
                      <w:color w:val="auto"/>
                      <w:szCs w:val="21"/>
                      <w:highlight w:val="none"/>
                    </w:rPr>
                  </w:pPr>
                  <w:r>
                    <w:rPr>
                      <w:rFonts w:hint="eastAsia"/>
                      <w:color w:val="auto"/>
                      <w:szCs w:val="21"/>
                      <w:highlight w:val="none"/>
                    </w:rPr>
                    <w:t>SS：300mg/L；</w:t>
                  </w:r>
                </w:p>
                <w:p>
                  <w:pPr>
                    <w:snapToGrid w:val="0"/>
                    <w:spacing w:line="248" w:lineRule="exact"/>
                    <w:ind w:left="-120" w:leftChars="-50" w:right="-120" w:rightChars="-50"/>
                    <w:jc w:val="left"/>
                    <w:rPr>
                      <w:color w:val="auto"/>
                      <w:szCs w:val="21"/>
                      <w:highlight w:val="none"/>
                    </w:rPr>
                  </w:pPr>
                  <w:r>
                    <w:rPr>
                      <w:rFonts w:hint="eastAsia"/>
                      <w:color w:val="auto"/>
                      <w:szCs w:val="21"/>
                      <w:highlight w:val="none"/>
                    </w:rPr>
                    <w:t>氨氮：25mg/L。</w:t>
                  </w:r>
                </w:p>
              </w:tc>
              <w:tc>
                <w:tcPr>
                  <w:tcW w:w="2155" w:type="dxa"/>
                  <w:noWrap w:val="0"/>
                  <w:vAlign w:val="center"/>
                </w:tcPr>
                <w:p>
                  <w:pPr>
                    <w:snapToGrid w:val="0"/>
                    <w:spacing w:line="248" w:lineRule="exact"/>
                    <w:ind w:left="-120" w:leftChars="-50" w:right="-120" w:rightChars="-50"/>
                    <w:jc w:val="center"/>
                    <w:rPr>
                      <w:color w:val="auto"/>
                      <w:szCs w:val="21"/>
                      <w:highlight w:val="none"/>
                    </w:rPr>
                  </w:pPr>
                  <w:r>
                    <w:rPr>
                      <w:rFonts w:hint="eastAsia"/>
                      <w:color w:val="auto"/>
                      <w:szCs w:val="21"/>
                      <w:highlight w:val="none"/>
                    </w:rPr>
                    <w:t>厂区内设置12m</w:t>
                  </w:r>
                  <w:r>
                    <w:rPr>
                      <w:rFonts w:hint="eastAsia"/>
                      <w:color w:val="auto"/>
                      <w:szCs w:val="21"/>
                      <w:highlight w:val="none"/>
                      <w:vertAlign w:val="superscript"/>
                    </w:rPr>
                    <w:t>3</w:t>
                  </w:r>
                  <w:r>
                    <w:rPr>
                      <w:rFonts w:hint="eastAsia"/>
                      <w:color w:val="auto"/>
                      <w:szCs w:val="21"/>
                      <w:highlight w:val="none"/>
                    </w:rPr>
                    <w:t>化粪池处理后，定期运至农户农田施肥</w:t>
                  </w:r>
                </w:p>
              </w:tc>
              <w:tc>
                <w:tcPr>
                  <w:tcW w:w="680" w:type="dxa"/>
                  <w:noWrap w:val="0"/>
                  <w:vAlign w:val="center"/>
                </w:tcPr>
                <w:p>
                  <w:pPr>
                    <w:snapToGrid w:val="0"/>
                    <w:spacing w:line="248" w:lineRule="exact"/>
                    <w:ind w:left="-120" w:leftChars="-50" w:right="-120" w:rightChars="-50"/>
                    <w:jc w:val="center"/>
                    <w:rPr>
                      <w:color w:val="auto"/>
                      <w:szCs w:val="21"/>
                      <w:highlight w:val="none"/>
                    </w:rPr>
                  </w:pPr>
                  <w:r>
                    <w:rPr>
                      <w:rFonts w:hint="eastAsia"/>
                      <w:color w:val="auto"/>
                      <w:szCs w:val="21"/>
                      <w:highlight w:val="none"/>
                    </w:rPr>
                    <w:t>间断</w:t>
                  </w:r>
                </w:p>
              </w:tc>
              <w:tc>
                <w:tcPr>
                  <w:tcW w:w="849" w:type="dxa"/>
                  <w:noWrap w:val="0"/>
                  <w:vAlign w:val="center"/>
                </w:tcPr>
                <w:p>
                  <w:pPr>
                    <w:snapToGrid w:val="0"/>
                    <w:spacing w:line="248" w:lineRule="exact"/>
                    <w:ind w:left="-120" w:leftChars="-50" w:right="-120" w:rightChars="-50"/>
                    <w:jc w:val="center"/>
                    <w:rPr>
                      <w:color w:val="auto"/>
                      <w:szCs w:val="21"/>
                      <w:highlight w:val="none"/>
                    </w:rPr>
                  </w:pPr>
                  <w:r>
                    <w:rPr>
                      <w:rFonts w:hint="eastAsia"/>
                      <w:color w:val="auto"/>
                      <w:szCs w:val="21"/>
                      <w:highlight w:val="none"/>
                    </w:rPr>
                    <w:t>类比法</w:t>
                  </w:r>
                </w:p>
              </w:tc>
            </w:tr>
            <w:bookmarkEnd w:id="4"/>
          </w:tbl>
          <w:p>
            <w:pPr>
              <w:pStyle w:val="50"/>
              <w:rPr>
                <w:color w:val="auto"/>
                <w:szCs w:val="24"/>
                <w:highlight w:val="none"/>
              </w:rPr>
            </w:pPr>
            <w:bookmarkStart w:id="5" w:name="_Toc13605"/>
            <w:r>
              <w:rPr>
                <w:rFonts w:hint="eastAsia"/>
                <w:color w:val="auto"/>
                <w:szCs w:val="24"/>
                <w:highlight w:val="none"/>
              </w:rPr>
              <w:t>（2）食堂废水</w:t>
            </w:r>
          </w:p>
          <w:p>
            <w:pPr>
              <w:spacing w:line="360" w:lineRule="auto"/>
              <w:ind w:firstLine="480"/>
              <w:rPr>
                <w:rFonts w:hint="eastAsia"/>
                <w:color w:val="auto"/>
                <w:sz w:val="24"/>
                <w:highlight w:val="none"/>
              </w:rPr>
            </w:pPr>
            <w:r>
              <w:rPr>
                <w:color w:val="auto"/>
                <w:sz w:val="24"/>
                <w:highlight w:val="none"/>
              </w:rPr>
              <w:t>项目运营期为员工提供食宿，项目总员工为</w:t>
            </w:r>
            <w:r>
              <w:rPr>
                <w:rFonts w:hint="eastAsia"/>
                <w:color w:val="auto"/>
                <w:sz w:val="24"/>
                <w:highlight w:val="none"/>
              </w:rPr>
              <w:t>10</w:t>
            </w:r>
            <w:r>
              <w:rPr>
                <w:color w:val="auto"/>
                <w:sz w:val="24"/>
                <w:highlight w:val="none"/>
              </w:rPr>
              <w:t>人，均在食堂就餐，按照每人每天三餐用水量30L计，食堂用水量为</w:t>
            </w:r>
            <w:r>
              <w:rPr>
                <w:rFonts w:hint="eastAsia"/>
                <w:color w:val="auto"/>
                <w:sz w:val="24"/>
                <w:highlight w:val="none"/>
              </w:rPr>
              <w:t>0.3</w:t>
            </w:r>
            <w:r>
              <w:rPr>
                <w:color w:val="auto"/>
                <w:sz w:val="24"/>
                <w:highlight w:val="none"/>
              </w:rPr>
              <w:t>m</w:t>
            </w:r>
            <w:r>
              <w:rPr>
                <w:color w:val="auto"/>
                <w:sz w:val="24"/>
                <w:highlight w:val="none"/>
                <w:vertAlign w:val="superscript"/>
              </w:rPr>
              <w:t>3</w:t>
            </w:r>
            <w:r>
              <w:rPr>
                <w:color w:val="auto"/>
                <w:sz w:val="24"/>
                <w:highlight w:val="none"/>
              </w:rPr>
              <w:t>/d。排水量按用水量的80%计算，则食堂排水量为</w:t>
            </w:r>
            <w:r>
              <w:rPr>
                <w:rFonts w:hint="eastAsia"/>
                <w:color w:val="auto"/>
                <w:sz w:val="24"/>
                <w:highlight w:val="none"/>
              </w:rPr>
              <w:t>0.24</w:t>
            </w:r>
            <w:r>
              <w:rPr>
                <w:color w:val="auto"/>
                <w:sz w:val="24"/>
                <w:highlight w:val="none"/>
              </w:rPr>
              <w:t>m</w:t>
            </w:r>
            <w:r>
              <w:rPr>
                <w:color w:val="auto"/>
                <w:sz w:val="24"/>
                <w:highlight w:val="none"/>
                <w:vertAlign w:val="superscript"/>
              </w:rPr>
              <w:t>3</w:t>
            </w:r>
            <w:r>
              <w:rPr>
                <w:color w:val="auto"/>
                <w:sz w:val="24"/>
                <w:highlight w:val="none"/>
              </w:rPr>
              <w:t>/d。餐饮废水经过隔油隔渣池</w:t>
            </w:r>
            <w:r>
              <w:rPr>
                <w:rFonts w:hint="eastAsia"/>
                <w:color w:val="auto"/>
                <w:sz w:val="24"/>
                <w:highlight w:val="none"/>
              </w:rPr>
              <w:t>（2m</w:t>
            </w:r>
            <w:r>
              <w:rPr>
                <w:rFonts w:hint="eastAsia"/>
                <w:color w:val="auto"/>
                <w:sz w:val="24"/>
                <w:highlight w:val="none"/>
                <w:vertAlign w:val="superscript"/>
              </w:rPr>
              <w:t>3</w:t>
            </w:r>
            <w:r>
              <w:rPr>
                <w:rFonts w:hint="eastAsia"/>
                <w:color w:val="auto"/>
                <w:sz w:val="24"/>
                <w:highlight w:val="none"/>
              </w:rPr>
              <w:t>）</w:t>
            </w:r>
            <w:r>
              <w:rPr>
                <w:color w:val="auto"/>
                <w:sz w:val="24"/>
                <w:highlight w:val="none"/>
              </w:rPr>
              <w:t>处理后和生活污水经过化粪池预处理后，定期运至农户农田施肥</w:t>
            </w:r>
            <w:r>
              <w:rPr>
                <w:rFonts w:hint="eastAsia"/>
                <w:color w:val="auto"/>
                <w:sz w:val="24"/>
                <w:highlight w:val="none"/>
              </w:rPr>
              <w:t>。</w:t>
            </w:r>
          </w:p>
          <w:p>
            <w:pPr>
              <w:pStyle w:val="6"/>
              <w:tabs>
                <w:tab w:val="left" w:pos="709"/>
              </w:tabs>
              <w:rPr>
                <w:rFonts w:hint="eastAsia"/>
                <w:color w:val="auto"/>
                <w:highlight w:val="none"/>
              </w:rPr>
            </w:pPr>
            <w:r>
              <w:rPr>
                <w:rFonts w:hint="eastAsia"/>
                <w:color w:val="auto"/>
                <w:highlight w:val="none"/>
              </w:rPr>
              <w:t>2、</w:t>
            </w:r>
            <w:r>
              <w:rPr>
                <w:color w:val="auto"/>
                <w:highlight w:val="none"/>
              </w:rPr>
              <w:t>废气</w:t>
            </w:r>
            <w:bookmarkEnd w:id="5"/>
          </w:p>
          <w:p>
            <w:pPr>
              <w:snapToGrid w:val="0"/>
              <w:spacing w:line="360" w:lineRule="auto"/>
              <w:ind w:firstLine="480" w:firstLineChars="200"/>
              <w:rPr>
                <w:color w:val="auto"/>
                <w:sz w:val="24"/>
                <w:highlight w:val="none"/>
              </w:rPr>
            </w:pPr>
            <w:r>
              <w:rPr>
                <w:rFonts w:hint="eastAsia"/>
                <w:color w:val="auto"/>
                <w:sz w:val="24"/>
                <w:highlight w:val="none"/>
              </w:rPr>
              <w:t>原</w:t>
            </w:r>
            <w:r>
              <w:rPr>
                <w:color w:val="auto"/>
                <w:sz w:val="24"/>
                <w:highlight w:val="none"/>
              </w:rPr>
              <w:t>项目为沥青混合料生产项目，其在运营期产生的大气污染物主要有粉尘、天然气燃烧烟气、沥青烟气。根据工艺流程分析，产生粉尘的场所有石料堆场、冷料仓、干燥滚筒等，主要产生环节为干燥滚筒;产生沥青烟气的主要工序为沥青加热和混合搅拌工序、沥青混凝土装车工序:天然气燃烧烟气由干燥滚筒、导热油炉燃烧天然气产生</w:t>
            </w:r>
          </w:p>
          <w:p>
            <w:pPr>
              <w:snapToGrid w:val="0"/>
              <w:spacing w:line="360" w:lineRule="auto"/>
              <w:ind w:firstLine="480" w:firstLineChars="200"/>
              <w:rPr>
                <w:color w:val="auto"/>
                <w:sz w:val="24"/>
                <w:highlight w:val="none"/>
              </w:rPr>
            </w:pPr>
            <w:r>
              <w:rPr>
                <w:color w:val="auto"/>
                <w:sz w:val="24"/>
                <w:highlight w:val="none"/>
              </w:rPr>
              <w:t>①燃气烟气</w:t>
            </w:r>
          </w:p>
          <w:p>
            <w:pPr>
              <w:snapToGrid w:val="0"/>
              <w:spacing w:line="360" w:lineRule="auto"/>
              <w:ind w:firstLine="480" w:firstLineChars="200"/>
              <w:rPr>
                <w:color w:val="auto"/>
                <w:sz w:val="24"/>
                <w:highlight w:val="none"/>
              </w:rPr>
            </w:pPr>
            <w:r>
              <w:rPr>
                <w:color w:val="auto"/>
                <w:sz w:val="24"/>
                <w:highlight w:val="none"/>
              </w:rPr>
              <w:t>燃气烟气主要产生于加热沥青储罐的导热油炉、干燥滚筒的燃烧机燃烧天然气。其中烘干筒配备布袋除尘器。</w:t>
            </w:r>
          </w:p>
          <w:p>
            <w:pPr>
              <w:snapToGrid w:val="0"/>
              <w:spacing w:line="360" w:lineRule="auto"/>
              <w:ind w:firstLine="480" w:firstLineChars="200"/>
              <w:rPr>
                <w:color w:val="auto"/>
                <w:sz w:val="24"/>
                <w:highlight w:val="none"/>
              </w:rPr>
            </w:pPr>
            <w:r>
              <w:rPr>
                <w:color w:val="auto"/>
                <w:sz w:val="24"/>
                <w:highlight w:val="none"/>
              </w:rPr>
              <w:t>据</w:t>
            </w:r>
            <w:r>
              <w:rPr>
                <w:rFonts w:hint="eastAsia"/>
                <w:color w:val="auto"/>
                <w:sz w:val="24"/>
                <w:highlight w:val="none"/>
              </w:rPr>
              <w:t>建设单位</w:t>
            </w:r>
            <w:r>
              <w:rPr>
                <w:color w:val="auto"/>
                <w:sz w:val="24"/>
                <w:highlight w:val="none"/>
              </w:rPr>
              <w:t>提供资料，导热油炉使用天然气30000Nm</w:t>
            </w:r>
            <w:r>
              <w:rPr>
                <w:color w:val="auto"/>
                <w:sz w:val="24"/>
                <w:highlight w:val="none"/>
                <w:vertAlign w:val="superscript"/>
              </w:rPr>
              <w:t>3</w:t>
            </w:r>
            <w:r>
              <w:rPr>
                <w:color w:val="auto"/>
                <w:sz w:val="24"/>
                <w:highlight w:val="none"/>
              </w:rPr>
              <w:t>/a，导热油炉燃烧时间根据业主提供资料按照600h计，即燃烧时间为600h/a。烘干筒机使用天然气50000Nm</w:t>
            </w:r>
            <w:r>
              <w:rPr>
                <w:color w:val="auto"/>
                <w:sz w:val="24"/>
                <w:highlight w:val="none"/>
                <w:vertAlign w:val="superscript"/>
              </w:rPr>
              <w:t>3</w:t>
            </w:r>
            <w:r>
              <w:rPr>
                <w:color w:val="auto"/>
                <w:sz w:val="24"/>
                <w:highlight w:val="none"/>
              </w:rPr>
              <w:t>/a，烘干筒燃烧时间</w:t>
            </w:r>
            <w:r>
              <w:rPr>
                <w:rFonts w:hint="eastAsia"/>
                <w:color w:val="auto"/>
                <w:sz w:val="24"/>
                <w:highlight w:val="none"/>
              </w:rPr>
              <w:t>为</w:t>
            </w:r>
            <w:r>
              <w:rPr>
                <w:color w:val="auto"/>
                <w:sz w:val="24"/>
                <w:highlight w:val="none"/>
              </w:rPr>
              <w:t>1000h/a。</w:t>
            </w:r>
          </w:p>
          <w:p>
            <w:pPr>
              <w:snapToGrid w:val="0"/>
              <w:spacing w:line="360" w:lineRule="auto"/>
              <w:ind w:firstLine="480" w:firstLineChars="200"/>
              <w:rPr>
                <w:color w:val="auto"/>
                <w:sz w:val="24"/>
                <w:highlight w:val="none"/>
              </w:rPr>
            </w:pPr>
            <w:r>
              <w:rPr>
                <w:color w:val="auto"/>
                <w:sz w:val="24"/>
                <w:highlight w:val="none"/>
              </w:rPr>
              <w:t>参照《</w:t>
            </w:r>
            <w:r>
              <w:rPr>
                <w:rFonts w:hint="eastAsia"/>
                <w:color w:val="auto"/>
                <w:sz w:val="24"/>
                <w:highlight w:val="none"/>
              </w:rPr>
              <w:t>锅炉产排污量系数手册</w:t>
            </w:r>
            <w:r>
              <w:rPr>
                <w:color w:val="auto"/>
                <w:sz w:val="24"/>
                <w:highlight w:val="none"/>
              </w:rPr>
              <w:t>（20</w:t>
            </w:r>
            <w:r>
              <w:rPr>
                <w:rFonts w:hint="eastAsia"/>
                <w:color w:val="auto"/>
                <w:sz w:val="24"/>
                <w:highlight w:val="none"/>
              </w:rPr>
              <w:t>21</w:t>
            </w:r>
            <w:r>
              <w:rPr>
                <w:color w:val="auto"/>
                <w:sz w:val="24"/>
                <w:highlight w:val="none"/>
              </w:rPr>
              <w:t>)》中的燃天然气工业锅炉排污系数: SO</w:t>
            </w:r>
            <w:r>
              <w:rPr>
                <w:color w:val="auto"/>
                <w:sz w:val="24"/>
                <w:highlight w:val="none"/>
                <w:vertAlign w:val="subscript"/>
              </w:rPr>
              <w:t>2</w:t>
            </w:r>
            <w:r>
              <w:rPr>
                <w:color w:val="auto"/>
                <w:sz w:val="24"/>
                <w:highlight w:val="none"/>
              </w:rPr>
              <w:t>为0.02S kg/万 m</w:t>
            </w:r>
            <w:r>
              <w:rPr>
                <w:color w:val="auto"/>
                <w:sz w:val="24"/>
                <w:highlight w:val="none"/>
                <w:vertAlign w:val="superscript"/>
              </w:rPr>
              <w:t>3</w:t>
            </w:r>
            <w:r>
              <w:rPr>
                <w:color w:val="auto"/>
                <w:sz w:val="24"/>
                <w:highlight w:val="none"/>
              </w:rPr>
              <w:t>(含硫量S是指燃气收到基硫分含量，单位为mg/m</w:t>
            </w:r>
            <w:r>
              <w:rPr>
                <w:color w:val="auto"/>
                <w:sz w:val="24"/>
                <w:highlight w:val="none"/>
                <w:vertAlign w:val="superscript"/>
              </w:rPr>
              <w:t>3</w:t>
            </w:r>
            <w:r>
              <w:rPr>
                <w:color w:val="auto"/>
                <w:sz w:val="24"/>
                <w:highlight w:val="none"/>
              </w:rPr>
              <w:t>)、NOx为</w:t>
            </w:r>
            <w:r>
              <w:rPr>
                <w:rFonts w:hint="eastAsia"/>
                <w:color w:val="auto"/>
                <w:sz w:val="24"/>
                <w:highlight w:val="none"/>
              </w:rPr>
              <w:t>15.87</w:t>
            </w:r>
            <w:r>
              <w:rPr>
                <w:color w:val="auto"/>
                <w:sz w:val="24"/>
                <w:highlight w:val="none"/>
              </w:rPr>
              <w:t>kg/万m</w:t>
            </w:r>
            <w:r>
              <w:rPr>
                <w:color w:val="auto"/>
                <w:sz w:val="24"/>
                <w:highlight w:val="none"/>
                <w:vertAlign w:val="superscript"/>
              </w:rPr>
              <w:t>3</w:t>
            </w:r>
            <w:r>
              <w:rPr>
                <w:color w:val="auto"/>
                <w:sz w:val="24"/>
                <w:highlight w:val="none"/>
              </w:rPr>
              <w:t>、废气量为</w:t>
            </w:r>
            <w:r>
              <w:rPr>
                <w:rFonts w:hint="eastAsia"/>
                <w:color w:val="auto"/>
                <w:sz w:val="24"/>
                <w:highlight w:val="none"/>
              </w:rPr>
              <w:t>107753</w:t>
            </w:r>
            <w:r>
              <w:rPr>
                <w:color w:val="auto"/>
                <w:sz w:val="24"/>
                <w:highlight w:val="none"/>
              </w:rPr>
              <w:t>Nm</w:t>
            </w:r>
            <w:r>
              <w:rPr>
                <w:color w:val="auto"/>
                <w:sz w:val="24"/>
                <w:highlight w:val="none"/>
                <w:vertAlign w:val="superscript"/>
              </w:rPr>
              <w:t>3</w:t>
            </w:r>
            <w:r>
              <w:rPr>
                <w:color w:val="auto"/>
                <w:sz w:val="24"/>
                <w:highlight w:val="none"/>
              </w:rPr>
              <w:t>/万m</w:t>
            </w:r>
            <w:r>
              <w:rPr>
                <w:color w:val="auto"/>
                <w:sz w:val="24"/>
                <w:highlight w:val="none"/>
                <w:vertAlign w:val="superscript"/>
              </w:rPr>
              <w:t>3</w:t>
            </w:r>
            <w:r>
              <w:rPr>
                <w:color w:val="auto"/>
                <w:sz w:val="24"/>
                <w:highlight w:val="none"/>
              </w:rPr>
              <w:t>天然气。根据《煤、天然气燃烧的污染物产生系数》，每万m</w:t>
            </w:r>
            <w:r>
              <w:rPr>
                <w:color w:val="auto"/>
                <w:sz w:val="24"/>
                <w:highlight w:val="none"/>
                <w:vertAlign w:val="superscript"/>
              </w:rPr>
              <w:t>3</w:t>
            </w:r>
            <w:r>
              <w:rPr>
                <w:color w:val="auto"/>
                <w:sz w:val="24"/>
                <w:highlight w:val="none"/>
              </w:rPr>
              <w:t>天然气燃烧产生烟尘约为2.4kg。根据《强制性国家标准&lt;天然气&gt;》(GB17820-2012)，</w:t>
            </w:r>
            <w:r>
              <w:rPr>
                <w:rFonts w:hint="eastAsia"/>
                <w:color w:val="auto"/>
                <w:sz w:val="24"/>
                <w:highlight w:val="none"/>
              </w:rPr>
              <w:t>原</w:t>
            </w:r>
            <w:r>
              <w:rPr>
                <w:color w:val="auto"/>
                <w:sz w:val="24"/>
                <w:highlight w:val="none"/>
              </w:rPr>
              <w:t>项目所用天然气（二类）含硫率不高于200mg/m</w:t>
            </w:r>
            <w:r>
              <w:rPr>
                <w:color w:val="auto"/>
                <w:sz w:val="24"/>
                <w:highlight w:val="none"/>
                <w:vertAlign w:val="superscript"/>
              </w:rPr>
              <w:t>3</w:t>
            </w:r>
            <w:r>
              <w:rPr>
                <w:color w:val="auto"/>
                <w:sz w:val="24"/>
                <w:highlight w:val="none"/>
              </w:rPr>
              <w:t>，天然气含硫率按200mg/m</w:t>
            </w:r>
            <w:r>
              <w:rPr>
                <w:color w:val="auto"/>
                <w:sz w:val="24"/>
                <w:highlight w:val="none"/>
                <w:vertAlign w:val="superscript"/>
              </w:rPr>
              <w:t>3</w:t>
            </w:r>
            <w:r>
              <w:rPr>
                <w:color w:val="auto"/>
                <w:sz w:val="24"/>
                <w:highlight w:val="none"/>
              </w:rPr>
              <w:t>进行核算。</w:t>
            </w:r>
          </w:p>
          <w:p>
            <w:pPr>
              <w:snapToGrid w:val="0"/>
              <w:spacing w:line="360" w:lineRule="auto"/>
              <w:ind w:firstLine="480" w:firstLineChars="200"/>
              <w:rPr>
                <w:color w:val="auto"/>
                <w:sz w:val="24"/>
                <w:highlight w:val="none"/>
              </w:rPr>
            </w:pPr>
            <w:r>
              <w:rPr>
                <w:color w:val="auto"/>
                <w:sz w:val="24"/>
                <w:highlight w:val="none"/>
              </w:rPr>
              <w:t>故天然气燃烧污染物产排情况如下:</w:t>
            </w:r>
          </w:p>
          <w:p>
            <w:pPr>
              <w:spacing w:line="360" w:lineRule="auto"/>
              <w:jc w:val="center"/>
              <w:rPr>
                <w:color w:val="auto"/>
                <w:sz w:val="24"/>
                <w:highlight w:val="none"/>
              </w:rPr>
            </w:pPr>
            <w:r>
              <w:rPr>
                <w:color w:val="auto"/>
                <w:sz w:val="24"/>
                <w:highlight w:val="none"/>
              </w:rPr>
              <w:t>表</w:t>
            </w:r>
            <w:r>
              <w:rPr>
                <w:rFonts w:hint="eastAsia"/>
                <w:color w:val="auto"/>
                <w:sz w:val="24"/>
                <w:highlight w:val="none"/>
              </w:rPr>
              <w:t>2-7</w:t>
            </w:r>
            <w:r>
              <w:rPr>
                <w:color w:val="auto"/>
                <w:sz w:val="24"/>
                <w:highlight w:val="none"/>
              </w:rPr>
              <w:t xml:space="preserve"> </w:t>
            </w:r>
            <w:r>
              <w:rPr>
                <w:rFonts w:hint="eastAsia"/>
                <w:color w:val="auto"/>
                <w:sz w:val="24"/>
                <w:highlight w:val="none"/>
              </w:rPr>
              <w:t>原</w:t>
            </w:r>
            <w:r>
              <w:rPr>
                <w:color w:val="auto"/>
                <w:sz w:val="24"/>
                <w:highlight w:val="none"/>
              </w:rPr>
              <w:t>项目燃气废气产生情况</w:t>
            </w:r>
          </w:p>
          <w:tbl>
            <w:tblPr>
              <w:tblStyle w:val="39"/>
              <w:tblW w:w="0" w:type="auto"/>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15" w:type="dxa"/>
                <w:left w:w="15" w:type="dxa"/>
                <w:bottom w:w="15" w:type="dxa"/>
                <w:right w:w="15" w:type="dxa"/>
              </w:tblCellMar>
            </w:tblPr>
            <w:tblGrid>
              <w:gridCol w:w="597"/>
              <w:gridCol w:w="935"/>
              <w:gridCol w:w="934"/>
              <w:gridCol w:w="3180"/>
              <w:gridCol w:w="1361"/>
              <w:gridCol w:w="935"/>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675" w:hRule="atLeast"/>
              </w:trPr>
              <w:tc>
                <w:tcPr>
                  <w:tcW w:w="597" w:type="dxa"/>
                  <w:noWrap/>
                  <w:vAlign w:val="center"/>
                </w:tcPr>
                <w:p>
                  <w:pPr>
                    <w:widowControl/>
                    <w:jc w:val="center"/>
                    <w:textAlignment w:val="bottom"/>
                    <w:rPr>
                      <w:b/>
                      <w:bCs/>
                      <w:color w:val="auto"/>
                      <w:szCs w:val="21"/>
                      <w:highlight w:val="none"/>
                    </w:rPr>
                  </w:pPr>
                  <w:r>
                    <w:rPr>
                      <w:b/>
                      <w:bCs/>
                      <w:color w:val="auto"/>
                      <w:kern w:val="0"/>
                      <w:szCs w:val="21"/>
                      <w:highlight w:val="none"/>
                      <w:lang w:bidi="ar"/>
                    </w:rPr>
                    <w:t>名称</w:t>
                  </w:r>
                </w:p>
              </w:tc>
              <w:tc>
                <w:tcPr>
                  <w:tcW w:w="935" w:type="dxa"/>
                  <w:noWrap/>
                  <w:vAlign w:val="center"/>
                </w:tcPr>
                <w:p>
                  <w:pPr>
                    <w:widowControl/>
                    <w:jc w:val="center"/>
                    <w:textAlignment w:val="bottom"/>
                    <w:rPr>
                      <w:b/>
                      <w:bCs/>
                      <w:color w:val="auto"/>
                      <w:szCs w:val="21"/>
                      <w:highlight w:val="none"/>
                    </w:rPr>
                  </w:pPr>
                  <w:r>
                    <w:rPr>
                      <w:b/>
                      <w:bCs/>
                      <w:color w:val="auto"/>
                      <w:kern w:val="0"/>
                      <w:szCs w:val="21"/>
                      <w:highlight w:val="none"/>
                      <w:lang w:bidi="ar"/>
                    </w:rPr>
                    <w:t>燃料用量</w:t>
                  </w:r>
                </w:p>
              </w:tc>
              <w:tc>
                <w:tcPr>
                  <w:tcW w:w="934" w:type="dxa"/>
                  <w:noWrap/>
                  <w:vAlign w:val="center"/>
                </w:tcPr>
                <w:p>
                  <w:pPr>
                    <w:widowControl/>
                    <w:jc w:val="center"/>
                    <w:textAlignment w:val="bottom"/>
                    <w:rPr>
                      <w:b/>
                      <w:bCs/>
                      <w:color w:val="auto"/>
                      <w:szCs w:val="21"/>
                      <w:highlight w:val="none"/>
                    </w:rPr>
                  </w:pPr>
                  <w:r>
                    <w:rPr>
                      <w:b/>
                      <w:bCs/>
                      <w:color w:val="auto"/>
                      <w:kern w:val="0"/>
                      <w:szCs w:val="21"/>
                      <w:highlight w:val="none"/>
                      <w:lang w:bidi="ar"/>
                    </w:rPr>
                    <w:t>污染物指</w:t>
                  </w:r>
                  <w:r>
                    <w:rPr>
                      <w:b/>
                      <w:bCs/>
                      <w:color w:val="auto"/>
                      <w:kern w:val="0"/>
                      <w:szCs w:val="21"/>
                      <w:highlight w:val="none"/>
                      <w:lang w:bidi="ar"/>
                    </w:rPr>
                    <w:br w:type="textWrapping"/>
                  </w:r>
                  <w:r>
                    <w:rPr>
                      <w:b/>
                      <w:bCs/>
                      <w:color w:val="auto"/>
                      <w:kern w:val="0"/>
                      <w:szCs w:val="21"/>
                      <w:highlight w:val="none"/>
                      <w:lang w:bidi="ar"/>
                    </w:rPr>
                    <w:t>标</w:t>
                  </w:r>
                </w:p>
              </w:tc>
              <w:tc>
                <w:tcPr>
                  <w:tcW w:w="3180" w:type="dxa"/>
                  <w:noWrap/>
                  <w:vAlign w:val="center"/>
                </w:tcPr>
                <w:p>
                  <w:pPr>
                    <w:widowControl/>
                    <w:jc w:val="center"/>
                    <w:textAlignment w:val="bottom"/>
                    <w:rPr>
                      <w:b/>
                      <w:bCs/>
                      <w:color w:val="auto"/>
                      <w:szCs w:val="21"/>
                      <w:highlight w:val="none"/>
                    </w:rPr>
                  </w:pPr>
                  <w:r>
                    <w:rPr>
                      <w:b/>
                      <w:bCs/>
                      <w:color w:val="auto"/>
                      <w:kern w:val="0"/>
                      <w:szCs w:val="21"/>
                      <w:highlight w:val="none"/>
                      <w:lang w:bidi="ar"/>
                    </w:rPr>
                    <w:t>产污系数</w:t>
                  </w:r>
                </w:p>
              </w:tc>
              <w:tc>
                <w:tcPr>
                  <w:tcW w:w="1359" w:type="dxa"/>
                  <w:noWrap/>
                  <w:vAlign w:val="center"/>
                </w:tcPr>
                <w:p>
                  <w:pPr>
                    <w:widowControl/>
                    <w:jc w:val="center"/>
                    <w:textAlignment w:val="bottom"/>
                    <w:rPr>
                      <w:b/>
                      <w:bCs/>
                      <w:color w:val="auto"/>
                      <w:szCs w:val="21"/>
                      <w:highlight w:val="none"/>
                    </w:rPr>
                  </w:pPr>
                  <w:r>
                    <w:rPr>
                      <w:b/>
                      <w:bCs/>
                      <w:color w:val="auto"/>
                      <w:kern w:val="0"/>
                      <w:szCs w:val="21"/>
                      <w:highlight w:val="none"/>
                      <w:lang w:bidi="ar"/>
                    </w:rPr>
                    <w:t>产生量</w:t>
                  </w:r>
                </w:p>
              </w:tc>
              <w:tc>
                <w:tcPr>
                  <w:tcW w:w="935" w:type="dxa"/>
                  <w:noWrap/>
                  <w:vAlign w:val="center"/>
                </w:tcPr>
                <w:p>
                  <w:pPr>
                    <w:widowControl/>
                    <w:jc w:val="center"/>
                    <w:textAlignment w:val="bottom"/>
                    <w:rPr>
                      <w:b/>
                      <w:bCs/>
                      <w:color w:val="auto"/>
                      <w:szCs w:val="21"/>
                      <w:highlight w:val="none"/>
                    </w:rPr>
                  </w:pPr>
                  <w:r>
                    <w:rPr>
                      <w:b/>
                      <w:bCs/>
                      <w:color w:val="auto"/>
                      <w:kern w:val="0"/>
                      <w:szCs w:val="21"/>
                      <w:highlight w:val="none"/>
                      <w:lang w:bidi="ar"/>
                    </w:rPr>
                    <w:t>产生浓度</w:t>
                  </w:r>
                  <w:r>
                    <w:rPr>
                      <w:b/>
                      <w:bCs/>
                      <w:color w:val="auto"/>
                      <w:kern w:val="0"/>
                      <w:szCs w:val="21"/>
                      <w:highlight w:val="none"/>
                      <w:lang w:bidi="ar"/>
                    </w:rPr>
                    <w:br w:type="textWrapping"/>
                  </w:r>
                  <w:r>
                    <w:rPr>
                      <w:b/>
                      <w:bCs/>
                      <w:color w:val="auto"/>
                      <w:kern w:val="0"/>
                      <w:szCs w:val="21"/>
                      <w:highlight w:val="none"/>
                      <w:lang w:bidi="ar"/>
                    </w:rPr>
                    <w:t>( mg/m</w:t>
                  </w:r>
                  <w:r>
                    <w:rPr>
                      <w:b/>
                      <w:bCs/>
                      <w:color w:val="auto"/>
                      <w:kern w:val="0"/>
                      <w:szCs w:val="21"/>
                      <w:highlight w:val="none"/>
                      <w:vertAlign w:val="superscript"/>
                      <w:lang w:bidi="ar"/>
                    </w:rPr>
                    <w:t>3</w:t>
                  </w:r>
                  <w:r>
                    <w:rPr>
                      <w:b/>
                      <w:bCs/>
                      <w:color w:val="auto"/>
                      <w:kern w:val="0"/>
                      <w:szCs w:val="21"/>
                      <w:highlight w:val="none"/>
                      <w:lang w:bidi="ar"/>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390" w:hRule="atLeast"/>
              </w:trPr>
              <w:tc>
                <w:tcPr>
                  <w:tcW w:w="597" w:type="dxa"/>
                  <w:vMerge w:val="restart"/>
                  <w:noWrap/>
                  <w:vAlign w:val="center"/>
                </w:tcPr>
                <w:p>
                  <w:pPr>
                    <w:widowControl/>
                    <w:jc w:val="center"/>
                    <w:textAlignment w:val="bottom"/>
                    <w:rPr>
                      <w:color w:val="auto"/>
                      <w:szCs w:val="21"/>
                      <w:highlight w:val="none"/>
                    </w:rPr>
                  </w:pPr>
                  <w:r>
                    <w:rPr>
                      <w:color w:val="auto"/>
                      <w:kern w:val="0"/>
                      <w:szCs w:val="21"/>
                      <w:highlight w:val="none"/>
                      <w:lang w:bidi="ar"/>
                    </w:rPr>
                    <w:t>导热油</w:t>
                  </w:r>
                  <w:r>
                    <w:rPr>
                      <w:color w:val="auto"/>
                      <w:kern w:val="0"/>
                      <w:szCs w:val="21"/>
                      <w:highlight w:val="none"/>
                      <w:lang w:bidi="ar"/>
                    </w:rPr>
                    <w:br w:type="textWrapping"/>
                  </w:r>
                  <w:r>
                    <w:rPr>
                      <w:color w:val="auto"/>
                      <w:kern w:val="0"/>
                      <w:szCs w:val="21"/>
                      <w:highlight w:val="none"/>
                      <w:lang w:bidi="ar"/>
                    </w:rPr>
                    <w:t>炉废气</w:t>
                  </w:r>
                </w:p>
              </w:tc>
              <w:tc>
                <w:tcPr>
                  <w:tcW w:w="935" w:type="dxa"/>
                  <w:vMerge w:val="restart"/>
                  <w:noWrap/>
                  <w:vAlign w:val="center"/>
                </w:tcPr>
                <w:p>
                  <w:pPr>
                    <w:widowControl/>
                    <w:jc w:val="center"/>
                    <w:textAlignment w:val="bottom"/>
                    <w:rPr>
                      <w:color w:val="auto"/>
                      <w:szCs w:val="21"/>
                      <w:highlight w:val="none"/>
                    </w:rPr>
                  </w:pPr>
                  <w:r>
                    <w:rPr>
                      <w:color w:val="auto"/>
                      <w:kern w:val="0"/>
                      <w:szCs w:val="21"/>
                      <w:highlight w:val="none"/>
                      <w:lang w:bidi="ar"/>
                    </w:rPr>
                    <w:t>3 万m</w:t>
                  </w:r>
                  <w:r>
                    <w:rPr>
                      <w:rFonts w:hint="eastAsia"/>
                      <w:color w:val="auto"/>
                      <w:kern w:val="0"/>
                      <w:szCs w:val="21"/>
                      <w:highlight w:val="none"/>
                      <w:vertAlign w:val="superscript"/>
                      <w:lang w:bidi="ar"/>
                    </w:rPr>
                    <w:t>3</w:t>
                  </w:r>
                  <w:r>
                    <w:rPr>
                      <w:color w:val="auto"/>
                      <w:kern w:val="0"/>
                      <w:szCs w:val="21"/>
                      <w:highlight w:val="none"/>
                      <w:lang w:bidi="ar"/>
                    </w:rPr>
                    <w:t>/a</w:t>
                  </w:r>
                </w:p>
              </w:tc>
              <w:tc>
                <w:tcPr>
                  <w:tcW w:w="934" w:type="dxa"/>
                  <w:noWrap/>
                  <w:vAlign w:val="center"/>
                </w:tcPr>
                <w:p>
                  <w:pPr>
                    <w:widowControl/>
                    <w:jc w:val="center"/>
                    <w:textAlignment w:val="bottom"/>
                    <w:rPr>
                      <w:color w:val="auto"/>
                      <w:szCs w:val="21"/>
                      <w:highlight w:val="none"/>
                    </w:rPr>
                  </w:pPr>
                  <w:r>
                    <w:rPr>
                      <w:color w:val="auto"/>
                      <w:kern w:val="0"/>
                      <w:szCs w:val="21"/>
                      <w:highlight w:val="none"/>
                      <w:lang w:bidi="ar"/>
                    </w:rPr>
                    <w:t>废气量</w:t>
                  </w:r>
                </w:p>
              </w:tc>
              <w:tc>
                <w:tcPr>
                  <w:tcW w:w="3180" w:type="dxa"/>
                  <w:noWrap/>
                  <w:vAlign w:val="center"/>
                </w:tcPr>
                <w:p>
                  <w:pPr>
                    <w:widowControl/>
                    <w:jc w:val="center"/>
                    <w:textAlignment w:val="bottom"/>
                    <w:rPr>
                      <w:color w:val="auto"/>
                      <w:szCs w:val="21"/>
                      <w:highlight w:val="none"/>
                    </w:rPr>
                  </w:pPr>
                  <w:r>
                    <w:rPr>
                      <w:rFonts w:hint="eastAsia"/>
                      <w:color w:val="auto"/>
                      <w:kern w:val="0"/>
                      <w:szCs w:val="21"/>
                      <w:highlight w:val="none"/>
                      <w:lang w:bidi="ar"/>
                    </w:rPr>
                    <w:t>107753</w:t>
                  </w:r>
                  <w:r>
                    <w:rPr>
                      <w:color w:val="auto"/>
                      <w:kern w:val="0"/>
                      <w:szCs w:val="21"/>
                      <w:highlight w:val="none"/>
                      <w:lang w:bidi="ar"/>
                    </w:rPr>
                    <w:t>Nm</w:t>
                  </w:r>
                  <w:r>
                    <w:rPr>
                      <w:color w:val="auto"/>
                      <w:kern w:val="0"/>
                      <w:szCs w:val="21"/>
                      <w:highlight w:val="none"/>
                      <w:vertAlign w:val="superscript"/>
                      <w:lang w:bidi="ar"/>
                    </w:rPr>
                    <w:t>3</w:t>
                  </w:r>
                  <w:r>
                    <w:rPr>
                      <w:color w:val="auto"/>
                      <w:kern w:val="0"/>
                      <w:szCs w:val="21"/>
                      <w:highlight w:val="none"/>
                      <w:lang w:bidi="ar"/>
                    </w:rPr>
                    <w:t>/万立方米-原料</w:t>
                  </w:r>
                </w:p>
              </w:tc>
              <w:tc>
                <w:tcPr>
                  <w:tcW w:w="1359" w:type="dxa"/>
                  <w:noWrap/>
                  <w:vAlign w:val="center"/>
                </w:tcPr>
                <w:p>
                  <w:pPr>
                    <w:widowControl/>
                    <w:jc w:val="center"/>
                    <w:textAlignment w:val="bottom"/>
                    <w:rPr>
                      <w:color w:val="auto"/>
                      <w:szCs w:val="21"/>
                      <w:highlight w:val="none"/>
                    </w:rPr>
                  </w:pPr>
                  <w:r>
                    <w:rPr>
                      <w:rFonts w:hint="eastAsia"/>
                      <w:color w:val="auto"/>
                      <w:kern w:val="0"/>
                      <w:szCs w:val="21"/>
                      <w:highlight w:val="none"/>
                      <w:lang w:bidi="ar"/>
                    </w:rPr>
                    <w:t>323259</w:t>
                  </w:r>
                  <w:r>
                    <w:rPr>
                      <w:color w:val="auto"/>
                      <w:kern w:val="0"/>
                      <w:szCs w:val="21"/>
                      <w:highlight w:val="none"/>
                      <w:lang w:bidi="ar"/>
                    </w:rPr>
                    <w:t>Nm</w:t>
                  </w:r>
                  <w:r>
                    <w:rPr>
                      <w:color w:val="auto"/>
                      <w:kern w:val="0"/>
                      <w:szCs w:val="21"/>
                      <w:highlight w:val="none"/>
                      <w:vertAlign w:val="superscript"/>
                      <w:lang w:bidi="ar"/>
                    </w:rPr>
                    <w:t>3</w:t>
                  </w:r>
                  <w:r>
                    <w:rPr>
                      <w:color w:val="auto"/>
                      <w:kern w:val="0"/>
                      <w:szCs w:val="21"/>
                      <w:highlight w:val="none"/>
                      <w:lang w:bidi="ar"/>
                    </w:rPr>
                    <w:t>/a</w:t>
                  </w:r>
                </w:p>
              </w:tc>
              <w:tc>
                <w:tcPr>
                  <w:tcW w:w="935" w:type="dxa"/>
                  <w:noWrap/>
                  <w:vAlign w:val="center"/>
                </w:tcPr>
                <w:p>
                  <w:pPr>
                    <w:widowControl/>
                    <w:jc w:val="center"/>
                    <w:textAlignment w:val="bottom"/>
                    <w:rPr>
                      <w:color w:val="auto"/>
                      <w:szCs w:val="21"/>
                      <w:highlight w:val="none"/>
                    </w:rPr>
                  </w:pPr>
                  <w:r>
                    <w:rPr>
                      <w:color w:val="auto"/>
                      <w:kern w:val="0"/>
                      <w:szCs w:val="21"/>
                      <w:highlight w:val="none"/>
                      <w:lang w:bidi="ar"/>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90" w:hRule="atLeast"/>
              </w:trPr>
              <w:tc>
                <w:tcPr>
                  <w:tcW w:w="597" w:type="dxa"/>
                  <w:vMerge w:val="continue"/>
                  <w:noWrap/>
                  <w:vAlign w:val="center"/>
                </w:tcPr>
                <w:p>
                  <w:pPr>
                    <w:jc w:val="center"/>
                    <w:rPr>
                      <w:color w:val="auto"/>
                      <w:szCs w:val="21"/>
                      <w:highlight w:val="none"/>
                    </w:rPr>
                  </w:pPr>
                </w:p>
              </w:tc>
              <w:tc>
                <w:tcPr>
                  <w:tcW w:w="935" w:type="dxa"/>
                  <w:vMerge w:val="continue"/>
                  <w:noWrap/>
                  <w:vAlign w:val="center"/>
                </w:tcPr>
                <w:p>
                  <w:pPr>
                    <w:jc w:val="center"/>
                    <w:rPr>
                      <w:color w:val="auto"/>
                      <w:szCs w:val="21"/>
                      <w:highlight w:val="none"/>
                    </w:rPr>
                  </w:pPr>
                </w:p>
              </w:tc>
              <w:tc>
                <w:tcPr>
                  <w:tcW w:w="934" w:type="dxa"/>
                  <w:noWrap/>
                  <w:vAlign w:val="center"/>
                </w:tcPr>
                <w:p>
                  <w:pPr>
                    <w:widowControl/>
                    <w:jc w:val="center"/>
                    <w:textAlignment w:val="bottom"/>
                    <w:rPr>
                      <w:color w:val="auto"/>
                      <w:kern w:val="0"/>
                      <w:szCs w:val="21"/>
                      <w:highlight w:val="none"/>
                      <w:lang w:bidi="ar"/>
                    </w:rPr>
                  </w:pPr>
                  <w:r>
                    <w:rPr>
                      <w:color w:val="auto"/>
                      <w:kern w:val="0"/>
                      <w:szCs w:val="21"/>
                      <w:highlight w:val="none"/>
                      <w:lang w:bidi="ar"/>
                    </w:rPr>
                    <w:t>烟尘</w:t>
                  </w:r>
                </w:p>
              </w:tc>
              <w:tc>
                <w:tcPr>
                  <w:tcW w:w="3180" w:type="dxa"/>
                  <w:noWrap/>
                  <w:vAlign w:val="center"/>
                </w:tcPr>
                <w:p>
                  <w:pPr>
                    <w:widowControl/>
                    <w:jc w:val="center"/>
                    <w:textAlignment w:val="bottom"/>
                    <w:rPr>
                      <w:color w:val="auto"/>
                      <w:kern w:val="0"/>
                      <w:szCs w:val="21"/>
                      <w:highlight w:val="none"/>
                      <w:lang w:bidi="ar"/>
                    </w:rPr>
                  </w:pPr>
                  <w:r>
                    <w:rPr>
                      <w:color w:val="auto"/>
                      <w:kern w:val="0"/>
                      <w:szCs w:val="21"/>
                      <w:highlight w:val="none"/>
                      <w:lang w:bidi="ar"/>
                    </w:rPr>
                    <w:t>2.4kg//万立方米-原料</w:t>
                  </w:r>
                </w:p>
              </w:tc>
              <w:tc>
                <w:tcPr>
                  <w:tcW w:w="1359" w:type="dxa"/>
                  <w:noWrap/>
                  <w:vAlign w:val="center"/>
                </w:tcPr>
                <w:p>
                  <w:pPr>
                    <w:widowControl/>
                    <w:jc w:val="center"/>
                    <w:textAlignment w:val="bottom"/>
                    <w:rPr>
                      <w:color w:val="auto"/>
                      <w:kern w:val="0"/>
                      <w:szCs w:val="21"/>
                      <w:highlight w:val="none"/>
                      <w:lang w:bidi="ar"/>
                    </w:rPr>
                  </w:pPr>
                  <w:r>
                    <w:rPr>
                      <w:color w:val="auto"/>
                      <w:kern w:val="0"/>
                      <w:szCs w:val="21"/>
                      <w:highlight w:val="none"/>
                      <w:lang w:bidi="ar"/>
                    </w:rPr>
                    <w:t>0.0072t/a</w:t>
                  </w:r>
                </w:p>
              </w:tc>
              <w:tc>
                <w:tcPr>
                  <w:tcW w:w="935" w:type="dxa"/>
                  <w:noWrap/>
                  <w:vAlign w:val="center"/>
                </w:tcPr>
                <w:p>
                  <w:pPr>
                    <w:widowControl/>
                    <w:jc w:val="center"/>
                    <w:textAlignment w:val="bottom"/>
                    <w:rPr>
                      <w:color w:val="auto"/>
                      <w:kern w:val="0"/>
                      <w:szCs w:val="21"/>
                      <w:highlight w:val="none"/>
                      <w:lang w:bidi="ar"/>
                    </w:rPr>
                  </w:pPr>
                  <w:r>
                    <w:rPr>
                      <w:rFonts w:hint="eastAsia"/>
                      <w:color w:val="auto"/>
                      <w:kern w:val="0"/>
                      <w:szCs w:val="21"/>
                      <w:highlight w:val="none"/>
                      <w:lang w:bidi="ar"/>
                    </w:rPr>
                    <w:t>22.27</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405" w:hRule="atLeast"/>
              </w:trPr>
              <w:tc>
                <w:tcPr>
                  <w:tcW w:w="597" w:type="dxa"/>
                  <w:vMerge w:val="continue"/>
                  <w:noWrap/>
                  <w:vAlign w:val="center"/>
                </w:tcPr>
                <w:p>
                  <w:pPr>
                    <w:jc w:val="center"/>
                    <w:rPr>
                      <w:color w:val="auto"/>
                      <w:szCs w:val="21"/>
                      <w:highlight w:val="none"/>
                    </w:rPr>
                  </w:pPr>
                </w:p>
              </w:tc>
              <w:tc>
                <w:tcPr>
                  <w:tcW w:w="935" w:type="dxa"/>
                  <w:vMerge w:val="continue"/>
                  <w:noWrap/>
                  <w:vAlign w:val="center"/>
                </w:tcPr>
                <w:p>
                  <w:pPr>
                    <w:jc w:val="center"/>
                    <w:rPr>
                      <w:color w:val="auto"/>
                      <w:szCs w:val="21"/>
                      <w:highlight w:val="none"/>
                    </w:rPr>
                  </w:pPr>
                </w:p>
              </w:tc>
              <w:tc>
                <w:tcPr>
                  <w:tcW w:w="934" w:type="dxa"/>
                  <w:noWrap/>
                  <w:vAlign w:val="center"/>
                </w:tcPr>
                <w:p>
                  <w:pPr>
                    <w:widowControl/>
                    <w:jc w:val="center"/>
                    <w:textAlignment w:val="bottom"/>
                    <w:rPr>
                      <w:color w:val="auto"/>
                      <w:szCs w:val="21"/>
                      <w:highlight w:val="none"/>
                    </w:rPr>
                  </w:pPr>
                  <w:r>
                    <w:rPr>
                      <w:color w:val="auto"/>
                      <w:kern w:val="0"/>
                      <w:szCs w:val="21"/>
                      <w:highlight w:val="none"/>
                      <w:lang w:bidi="ar"/>
                    </w:rPr>
                    <w:t>SO</w:t>
                  </w:r>
                  <w:r>
                    <w:rPr>
                      <w:color w:val="auto"/>
                      <w:kern w:val="0"/>
                      <w:szCs w:val="21"/>
                      <w:highlight w:val="none"/>
                      <w:vertAlign w:val="subscript"/>
                      <w:lang w:bidi="ar"/>
                    </w:rPr>
                    <w:t>2</w:t>
                  </w:r>
                </w:p>
              </w:tc>
              <w:tc>
                <w:tcPr>
                  <w:tcW w:w="3180" w:type="dxa"/>
                  <w:noWrap/>
                  <w:vAlign w:val="center"/>
                </w:tcPr>
                <w:p>
                  <w:pPr>
                    <w:widowControl/>
                    <w:jc w:val="center"/>
                    <w:textAlignment w:val="bottom"/>
                    <w:rPr>
                      <w:color w:val="auto"/>
                      <w:szCs w:val="21"/>
                      <w:highlight w:val="none"/>
                    </w:rPr>
                  </w:pPr>
                  <w:r>
                    <w:rPr>
                      <w:color w:val="auto"/>
                      <w:kern w:val="0"/>
                      <w:szCs w:val="21"/>
                      <w:highlight w:val="none"/>
                      <w:lang w:bidi="ar"/>
                    </w:rPr>
                    <w:t>4 kg/万立方米-原料</w:t>
                  </w:r>
                </w:p>
              </w:tc>
              <w:tc>
                <w:tcPr>
                  <w:tcW w:w="1359" w:type="dxa"/>
                  <w:noWrap/>
                  <w:vAlign w:val="center"/>
                </w:tcPr>
                <w:p>
                  <w:pPr>
                    <w:widowControl/>
                    <w:jc w:val="center"/>
                    <w:textAlignment w:val="bottom"/>
                    <w:rPr>
                      <w:color w:val="auto"/>
                      <w:szCs w:val="21"/>
                      <w:highlight w:val="none"/>
                    </w:rPr>
                  </w:pPr>
                  <w:r>
                    <w:rPr>
                      <w:color w:val="auto"/>
                      <w:kern w:val="0"/>
                      <w:szCs w:val="21"/>
                      <w:highlight w:val="none"/>
                      <w:lang w:bidi="ar"/>
                    </w:rPr>
                    <w:t>0.012t/a</w:t>
                  </w:r>
                </w:p>
              </w:tc>
              <w:tc>
                <w:tcPr>
                  <w:tcW w:w="935" w:type="dxa"/>
                  <w:noWrap/>
                  <w:vAlign w:val="center"/>
                </w:tcPr>
                <w:p>
                  <w:pPr>
                    <w:widowControl/>
                    <w:jc w:val="center"/>
                    <w:textAlignment w:val="bottom"/>
                    <w:rPr>
                      <w:color w:val="auto"/>
                      <w:szCs w:val="21"/>
                      <w:highlight w:val="none"/>
                    </w:rPr>
                  </w:pPr>
                  <w:r>
                    <w:rPr>
                      <w:rFonts w:hint="eastAsia"/>
                      <w:color w:val="auto"/>
                      <w:kern w:val="0"/>
                      <w:szCs w:val="21"/>
                      <w:highlight w:val="none"/>
                      <w:lang w:bidi="ar"/>
                    </w:rPr>
                    <w:t>37.12</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405" w:hRule="atLeast"/>
              </w:trPr>
              <w:tc>
                <w:tcPr>
                  <w:tcW w:w="597" w:type="dxa"/>
                  <w:vMerge w:val="continue"/>
                  <w:noWrap/>
                  <w:vAlign w:val="center"/>
                </w:tcPr>
                <w:p>
                  <w:pPr>
                    <w:jc w:val="center"/>
                    <w:rPr>
                      <w:color w:val="auto"/>
                      <w:szCs w:val="21"/>
                      <w:highlight w:val="none"/>
                    </w:rPr>
                  </w:pPr>
                </w:p>
              </w:tc>
              <w:tc>
                <w:tcPr>
                  <w:tcW w:w="935" w:type="dxa"/>
                  <w:vMerge w:val="continue"/>
                  <w:noWrap/>
                  <w:vAlign w:val="center"/>
                </w:tcPr>
                <w:p>
                  <w:pPr>
                    <w:jc w:val="center"/>
                    <w:rPr>
                      <w:color w:val="auto"/>
                      <w:szCs w:val="21"/>
                      <w:highlight w:val="none"/>
                    </w:rPr>
                  </w:pPr>
                </w:p>
              </w:tc>
              <w:tc>
                <w:tcPr>
                  <w:tcW w:w="934" w:type="dxa"/>
                  <w:noWrap/>
                  <w:vAlign w:val="center"/>
                </w:tcPr>
                <w:p>
                  <w:pPr>
                    <w:widowControl/>
                    <w:jc w:val="center"/>
                    <w:textAlignment w:val="bottom"/>
                    <w:rPr>
                      <w:color w:val="auto"/>
                      <w:szCs w:val="21"/>
                      <w:highlight w:val="none"/>
                    </w:rPr>
                  </w:pPr>
                  <w:r>
                    <w:rPr>
                      <w:color w:val="auto"/>
                      <w:kern w:val="0"/>
                      <w:szCs w:val="21"/>
                      <w:highlight w:val="none"/>
                      <w:lang w:bidi="ar"/>
                    </w:rPr>
                    <w:t>NOx</w:t>
                  </w:r>
                </w:p>
              </w:tc>
              <w:tc>
                <w:tcPr>
                  <w:tcW w:w="3180" w:type="dxa"/>
                  <w:noWrap/>
                  <w:vAlign w:val="center"/>
                </w:tcPr>
                <w:p>
                  <w:pPr>
                    <w:widowControl/>
                    <w:jc w:val="center"/>
                    <w:textAlignment w:val="bottom"/>
                    <w:rPr>
                      <w:color w:val="auto"/>
                      <w:szCs w:val="21"/>
                      <w:highlight w:val="none"/>
                    </w:rPr>
                  </w:pPr>
                  <w:r>
                    <w:rPr>
                      <w:rFonts w:hint="eastAsia"/>
                      <w:color w:val="auto"/>
                      <w:kern w:val="0"/>
                      <w:szCs w:val="21"/>
                      <w:highlight w:val="none"/>
                      <w:lang w:bidi="ar"/>
                    </w:rPr>
                    <w:t>15.87</w:t>
                  </w:r>
                  <w:r>
                    <w:rPr>
                      <w:color w:val="auto"/>
                      <w:kern w:val="0"/>
                      <w:szCs w:val="21"/>
                      <w:highlight w:val="none"/>
                      <w:lang w:bidi="ar"/>
                    </w:rPr>
                    <w:t>kg/万立方米-原料</w:t>
                  </w:r>
                </w:p>
              </w:tc>
              <w:tc>
                <w:tcPr>
                  <w:tcW w:w="1359" w:type="dxa"/>
                  <w:noWrap/>
                  <w:vAlign w:val="center"/>
                </w:tcPr>
                <w:p>
                  <w:pPr>
                    <w:widowControl/>
                    <w:jc w:val="center"/>
                    <w:textAlignment w:val="bottom"/>
                    <w:rPr>
                      <w:color w:val="auto"/>
                      <w:szCs w:val="21"/>
                      <w:highlight w:val="none"/>
                    </w:rPr>
                  </w:pPr>
                  <w:r>
                    <w:rPr>
                      <w:color w:val="auto"/>
                      <w:kern w:val="0"/>
                      <w:szCs w:val="21"/>
                      <w:highlight w:val="none"/>
                      <w:lang w:bidi="ar"/>
                    </w:rPr>
                    <w:t>0.0</w:t>
                  </w:r>
                  <w:r>
                    <w:rPr>
                      <w:rFonts w:hint="eastAsia"/>
                      <w:color w:val="auto"/>
                      <w:kern w:val="0"/>
                      <w:szCs w:val="21"/>
                      <w:highlight w:val="none"/>
                      <w:lang w:bidi="ar"/>
                    </w:rPr>
                    <w:t>4761</w:t>
                  </w:r>
                  <w:r>
                    <w:rPr>
                      <w:color w:val="auto"/>
                      <w:kern w:val="0"/>
                      <w:szCs w:val="21"/>
                      <w:highlight w:val="none"/>
                      <w:lang w:bidi="ar"/>
                    </w:rPr>
                    <w:t>t/a</w:t>
                  </w:r>
                </w:p>
              </w:tc>
              <w:tc>
                <w:tcPr>
                  <w:tcW w:w="935" w:type="dxa"/>
                  <w:noWrap/>
                  <w:vAlign w:val="center"/>
                </w:tcPr>
                <w:p>
                  <w:pPr>
                    <w:widowControl/>
                    <w:jc w:val="center"/>
                    <w:textAlignment w:val="bottom"/>
                    <w:rPr>
                      <w:color w:val="auto"/>
                      <w:szCs w:val="21"/>
                      <w:highlight w:val="none"/>
                    </w:rPr>
                  </w:pPr>
                  <w:r>
                    <w:rPr>
                      <w:rFonts w:hint="eastAsia"/>
                      <w:color w:val="auto"/>
                      <w:kern w:val="0"/>
                      <w:szCs w:val="21"/>
                      <w:highlight w:val="none"/>
                      <w:lang w:bidi="ar"/>
                    </w:rPr>
                    <w:t>147.28</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405" w:hRule="atLeast"/>
              </w:trPr>
              <w:tc>
                <w:tcPr>
                  <w:tcW w:w="597" w:type="dxa"/>
                  <w:vMerge w:val="restart"/>
                  <w:noWrap/>
                  <w:vAlign w:val="center"/>
                </w:tcPr>
                <w:p>
                  <w:pPr>
                    <w:widowControl/>
                    <w:jc w:val="center"/>
                    <w:textAlignment w:val="bottom"/>
                    <w:rPr>
                      <w:color w:val="auto"/>
                      <w:szCs w:val="21"/>
                      <w:highlight w:val="none"/>
                    </w:rPr>
                  </w:pPr>
                  <w:r>
                    <w:rPr>
                      <w:color w:val="auto"/>
                      <w:kern w:val="0"/>
                      <w:szCs w:val="21"/>
                      <w:highlight w:val="none"/>
                      <w:lang w:bidi="ar"/>
                    </w:rPr>
                    <w:t>干燥滚</w:t>
                  </w:r>
                  <w:r>
                    <w:rPr>
                      <w:color w:val="auto"/>
                      <w:kern w:val="0"/>
                      <w:szCs w:val="21"/>
                      <w:highlight w:val="none"/>
                      <w:lang w:bidi="ar"/>
                    </w:rPr>
                    <w:br w:type="textWrapping"/>
                  </w:r>
                  <w:r>
                    <w:rPr>
                      <w:color w:val="auto"/>
                      <w:kern w:val="0"/>
                      <w:szCs w:val="21"/>
                      <w:highlight w:val="none"/>
                      <w:lang w:bidi="ar"/>
                    </w:rPr>
                    <w:t>筒燃烧</w:t>
                  </w:r>
                  <w:r>
                    <w:rPr>
                      <w:color w:val="auto"/>
                      <w:kern w:val="0"/>
                      <w:szCs w:val="21"/>
                      <w:highlight w:val="none"/>
                      <w:lang w:bidi="ar"/>
                    </w:rPr>
                    <w:br w:type="textWrapping"/>
                  </w:r>
                  <w:r>
                    <w:rPr>
                      <w:color w:val="auto"/>
                      <w:kern w:val="0"/>
                      <w:szCs w:val="21"/>
                      <w:highlight w:val="none"/>
                      <w:lang w:bidi="ar"/>
                    </w:rPr>
                    <w:t>废气</w:t>
                  </w:r>
                </w:p>
              </w:tc>
              <w:tc>
                <w:tcPr>
                  <w:tcW w:w="935" w:type="dxa"/>
                  <w:vMerge w:val="restart"/>
                  <w:noWrap/>
                  <w:vAlign w:val="center"/>
                </w:tcPr>
                <w:p>
                  <w:pPr>
                    <w:widowControl/>
                    <w:jc w:val="center"/>
                    <w:textAlignment w:val="bottom"/>
                    <w:rPr>
                      <w:color w:val="auto"/>
                      <w:szCs w:val="21"/>
                      <w:highlight w:val="none"/>
                    </w:rPr>
                  </w:pPr>
                  <w:r>
                    <w:rPr>
                      <w:color w:val="auto"/>
                      <w:kern w:val="0"/>
                      <w:szCs w:val="21"/>
                      <w:highlight w:val="none"/>
                      <w:lang w:bidi="ar"/>
                    </w:rPr>
                    <w:t>5万m</w:t>
                  </w:r>
                  <w:r>
                    <w:rPr>
                      <w:rFonts w:hint="eastAsia"/>
                      <w:color w:val="auto"/>
                      <w:kern w:val="0"/>
                      <w:szCs w:val="21"/>
                      <w:highlight w:val="none"/>
                      <w:vertAlign w:val="superscript"/>
                      <w:lang w:bidi="ar"/>
                    </w:rPr>
                    <w:t>3</w:t>
                  </w:r>
                  <w:r>
                    <w:rPr>
                      <w:color w:val="auto"/>
                      <w:kern w:val="0"/>
                      <w:szCs w:val="21"/>
                      <w:highlight w:val="none"/>
                      <w:lang w:bidi="ar"/>
                    </w:rPr>
                    <w:t>/a</w:t>
                  </w:r>
                </w:p>
              </w:tc>
              <w:tc>
                <w:tcPr>
                  <w:tcW w:w="934" w:type="dxa"/>
                  <w:noWrap/>
                  <w:vAlign w:val="center"/>
                </w:tcPr>
                <w:p>
                  <w:pPr>
                    <w:widowControl/>
                    <w:jc w:val="center"/>
                    <w:textAlignment w:val="bottom"/>
                    <w:rPr>
                      <w:color w:val="auto"/>
                      <w:szCs w:val="21"/>
                      <w:highlight w:val="none"/>
                    </w:rPr>
                  </w:pPr>
                  <w:r>
                    <w:rPr>
                      <w:color w:val="auto"/>
                      <w:kern w:val="0"/>
                      <w:szCs w:val="21"/>
                      <w:highlight w:val="none"/>
                      <w:lang w:bidi="ar"/>
                    </w:rPr>
                    <w:t>废气量</w:t>
                  </w:r>
                </w:p>
              </w:tc>
              <w:tc>
                <w:tcPr>
                  <w:tcW w:w="3180" w:type="dxa"/>
                  <w:noWrap/>
                  <w:vAlign w:val="center"/>
                </w:tcPr>
                <w:p>
                  <w:pPr>
                    <w:widowControl/>
                    <w:jc w:val="center"/>
                    <w:textAlignment w:val="bottom"/>
                    <w:rPr>
                      <w:color w:val="auto"/>
                      <w:szCs w:val="21"/>
                      <w:highlight w:val="none"/>
                    </w:rPr>
                  </w:pPr>
                  <w:r>
                    <w:rPr>
                      <w:rFonts w:hint="eastAsia"/>
                      <w:color w:val="auto"/>
                      <w:kern w:val="0"/>
                      <w:szCs w:val="21"/>
                      <w:highlight w:val="none"/>
                      <w:lang w:bidi="ar"/>
                    </w:rPr>
                    <w:t>107753</w:t>
                  </w:r>
                  <w:r>
                    <w:rPr>
                      <w:color w:val="auto"/>
                      <w:kern w:val="0"/>
                      <w:szCs w:val="21"/>
                      <w:highlight w:val="none"/>
                      <w:lang w:bidi="ar"/>
                    </w:rPr>
                    <w:t>Nm</w:t>
                  </w:r>
                  <w:r>
                    <w:rPr>
                      <w:color w:val="auto"/>
                      <w:kern w:val="0"/>
                      <w:szCs w:val="21"/>
                      <w:highlight w:val="none"/>
                      <w:vertAlign w:val="superscript"/>
                      <w:lang w:bidi="ar"/>
                    </w:rPr>
                    <w:t>3</w:t>
                  </w:r>
                  <w:r>
                    <w:rPr>
                      <w:color w:val="auto"/>
                      <w:kern w:val="0"/>
                      <w:szCs w:val="21"/>
                      <w:highlight w:val="none"/>
                      <w:lang w:bidi="ar"/>
                    </w:rPr>
                    <w:t>/万立方米-原料</w:t>
                  </w:r>
                </w:p>
              </w:tc>
              <w:tc>
                <w:tcPr>
                  <w:tcW w:w="1359" w:type="dxa"/>
                  <w:noWrap/>
                  <w:vAlign w:val="center"/>
                </w:tcPr>
                <w:p>
                  <w:pPr>
                    <w:widowControl/>
                    <w:jc w:val="center"/>
                    <w:textAlignment w:val="bottom"/>
                    <w:rPr>
                      <w:color w:val="auto"/>
                      <w:szCs w:val="21"/>
                      <w:highlight w:val="none"/>
                    </w:rPr>
                  </w:pPr>
                  <w:r>
                    <w:rPr>
                      <w:rFonts w:hint="eastAsia"/>
                      <w:color w:val="auto"/>
                      <w:kern w:val="0"/>
                      <w:szCs w:val="21"/>
                      <w:highlight w:val="none"/>
                      <w:lang w:bidi="ar"/>
                    </w:rPr>
                    <w:t>538765</w:t>
                  </w:r>
                  <w:r>
                    <w:rPr>
                      <w:color w:val="auto"/>
                      <w:kern w:val="0"/>
                      <w:szCs w:val="21"/>
                      <w:highlight w:val="none"/>
                      <w:lang w:bidi="ar"/>
                    </w:rPr>
                    <w:t>Nm</w:t>
                  </w:r>
                  <w:r>
                    <w:rPr>
                      <w:color w:val="auto"/>
                      <w:kern w:val="0"/>
                      <w:szCs w:val="21"/>
                      <w:highlight w:val="none"/>
                      <w:vertAlign w:val="superscript"/>
                      <w:lang w:bidi="ar"/>
                    </w:rPr>
                    <w:t>3</w:t>
                  </w:r>
                  <w:r>
                    <w:rPr>
                      <w:color w:val="auto"/>
                      <w:kern w:val="0"/>
                      <w:szCs w:val="21"/>
                      <w:highlight w:val="none"/>
                      <w:lang w:bidi="ar"/>
                    </w:rPr>
                    <w:t>/a</w:t>
                  </w:r>
                </w:p>
              </w:tc>
              <w:tc>
                <w:tcPr>
                  <w:tcW w:w="935" w:type="dxa"/>
                  <w:noWrap/>
                  <w:vAlign w:val="center"/>
                </w:tcPr>
                <w:p>
                  <w:pPr>
                    <w:widowControl/>
                    <w:jc w:val="center"/>
                    <w:textAlignment w:val="bottom"/>
                    <w:rPr>
                      <w:color w:val="auto"/>
                      <w:szCs w:val="21"/>
                      <w:highlight w:val="none"/>
                    </w:rPr>
                  </w:pPr>
                  <w:r>
                    <w:rPr>
                      <w:color w:val="auto"/>
                      <w:kern w:val="0"/>
                      <w:szCs w:val="21"/>
                      <w:highlight w:val="none"/>
                      <w:lang w:bidi="ar"/>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390" w:hRule="atLeast"/>
              </w:trPr>
              <w:tc>
                <w:tcPr>
                  <w:tcW w:w="597" w:type="dxa"/>
                  <w:vMerge w:val="continue"/>
                  <w:noWrap/>
                  <w:vAlign w:val="center"/>
                </w:tcPr>
                <w:p>
                  <w:pPr>
                    <w:jc w:val="center"/>
                    <w:rPr>
                      <w:color w:val="auto"/>
                      <w:szCs w:val="21"/>
                      <w:highlight w:val="none"/>
                    </w:rPr>
                  </w:pPr>
                </w:p>
              </w:tc>
              <w:tc>
                <w:tcPr>
                  <w:tcW w:w="935" w:type="dxa"/>
                  <w:vMerge w:val="continue"/>
                  <w:noWrap/>
                  <w:vAlign w:val="center"/>
                </w:tcPr>
                <w:p>
                  <w:pPr>
                    <w:jc w:val="center"/>
                    <w:rPr>
                      <w:color w:val="auto"/>
                      <w:szCs w:val="21"/>
                      <w:highlight w:val="none"/>
                    </w:rPr>
                  </w:pPr>
                </w:p>
              </w:tc>
              <w:tc>
                <w:tcPr>
                  <w:tcW w:w="934" w:type="dxa"/>
                  <w:noWrap/>
                  <w:vAlign w:val="center"/>
                </w:tcPr>
                <w:p>
                  <w:pPr>
                    <w:widowControl/>
                    <w:jc w:val="center"/>
                    <w:textAlignment w:val="bottom"/>
                    <w:rPr>
                      <w:color w:val="auto"/>
                      <w:kern w:val="0"/>
                      <w:szCs w:val="21"/>
                      <w:highlight w:val="none"/>
                      <w:lang w:bidi="ar"/>
                    </w:rPr>
                  </w:pPr>
                  <w:r>
                    <w:rPr>
                      <w:color w:val="auto"/>
                      <w:kern w:val="0"/>
                      <w:szCs w:val="21"/>
                      <w:highlight w:val="none"/>
                      <w:lang w:bidi="ar"/>
                    </w:rPr>
                    <w:t>烟尘</w:t>
                  </w:r>
                </w:p>
              </w:tc>
              <w:tc>
                <w:tcPr>
                  <w:tcW w:w="3180" w:type="dxa"/>
                  <w:noWrap/>
                  <w:vAlign w:val="center"/>
                </w:tcPr>
                <w:p>
                  <w:pPr>
                    <w:widowControl/>
                    <w:jc w:val="center"/>
                    <w:textAlignment w:val="bottom"/>
                    <w:rPr>
                      <w:color w:val="auto"/>
                      <w:kern w:val="0"/>
                      <w:szCs w:val="21"/>
                      <w:highlight w:val="none"/>
                      <w:lang w:bidi="ar"/>
                    </w:rPr>
                  </w:pPr>
                  <w:r>
                    <w:rPr>
                      <w:color w:val="auto"/>
                      <w:kern w:val="0"/>
                      <w:szCs w:val="21"/>
                      <w:highlight w:val="none"/>
                      <w:lang w:bidi="ar"/>
                    </w:rPr>
                    <w:t>2.4kg//万立方米-原料</w:t>
                  </w:r>
                </w:p>
              </w:tc>
              <w:tc>
                <w:tcPr>
                  <w:tcW w:w="1359" w:type="dxa"/>
                  <w:noWrap/>
                  <w:vAlign w:val="center"/>
                </w:tcPr>
                <w:p>
                  <w:pPr>
                    <w:widowControl/>
                    <w:jc w:val="center"/>
                    <w:textAlignment w:val="bottom"/>
                    <w:rPr>
                      <w:color w:val="auto"/>
                      <w:kern w:val="0"/>
                      <w:szCs w:val="21"/>
                      <w:highlight w:val="none"/>
                      <w:lang w:bidi="ar"/>
                    </w:rPr>
                  </w:pPr>
                  <w:r>
                    <w:rPr>
                      <w:color w:val="auto"/>
                      <w:kern w:val="0"/>
                      <w:szCs w:val="21"/>
                      <w:highlight w:val="none"/>
                      <w:lang w:bidi="ar"/>
                    </w:rPr>
                    <w:t>0.012t/a</w:t>
                  </w:r>
                </w:p>
              </w:tc>
              <w:tc>
                <w:tcPr>
                  <w:tcW w:w="935" w:type="dxa"/>
                  <w:noWrap/>
                  <w:vAlign w:val="center"/>
                </w:tcPr>
                <w:p>
                  <w:pPr>
                    <w:widowControl/>
                    <w:jc w:val="center"/>
                    <w:textAlignment w:val="bottom"/>
                    <w:rPr>
                      <w:color w:val="auto"/>
                      <w:kern w:val="0"/>
                      <w:szCs w:val="21"/>
                      <w:highlight w:val="none"/>
                      <w:lang w:bidi="ar"/>
                    </w:rPr>
                  </w:pPr>
                  <w:r>
                    <w:rPr>
                      <w:rFonts w:hint="eastAsia"/>
                      <w:color w:val="auto"/>
                      <w:kern w:val="0"/>
                      <w:szCs w:val="21"/>
                      <w:highlight w:val="none"/>
                      <w:lang w:bidi="ar"/>
                    </w:rPr>
                    <w:t>22.27</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390" w:hRule="atLeast"/>
              </w:trPr>
              <w:tc>
                <w:tcPr>
                  <w:tcW w:w="597" w:type="dxa"/>
                  <w:vMerge w:val="continue"/>
                  <w:noWrap/>
                  <w:vAlign w:val="center"/>
                </w:tcPr>
                <w:p>
                  <w:pPr>
                    <w:jc w:val="center"/>
                    <w:rPr>
                      <w:color w:val="auto"/>
                      <w:szCs w:val="21"/>
                      <w:highlight w:val="none"/>
                    </w:rPr>
                  </w:pPr>
                </w:p>
              </w:tc>
              <w:tc>
                <w:tcPr>
                  <w:tcW w:w="935" w:type="dxa"/>
                  <w:vMerge w:val="continue"/>
                  <w:noWrap/>
                  <w:vAlign w:val="center"/>
                </w:tcPr>
                <w:p>
                  <w:pPr>
                    <w:jc w:val="center"/>
                    <w:rPr>
                      <w:color w:val="auto"/>
                      <w:szCs w:val="21"/>
                      <w:highlight w:val="none"/>
                    </w:rPr>
                  </w:pPr>
                </w:p>
              </w:tc>
              <w:tc>
                <w:tcPr>
                  <w:tcW w:w="934" w:type="dxa"/>
                  <w:noWrap/>
                  <w:vAlign w:val="center"/>
                </w:tcPr>
                <w:p>
                  <w:pPr>
                    <w:widowControl/>
                    <w:jc w:val="center"/>
                    <w:textAlignment w:val="bottom"/>
                    <w:rPr>
                      <w:color w:val="auto"/>
                      <w:szCs w:val="21"/>
                      <w:highlight w:val="none"/>
                    </w:rPr>
                  </w:pPr>
                  <w:r>
                    <w:rPr>
                      <w:color w:val="auto"/>
                      <w:kern w:val="0"/>
                      <w:szCs w:val="21"/>
                      <w:highlight w:val="none"/>
                      <w:lang w:bidi="ar"/>
                    </w:rPr>
                    <w:t>SO</w:t>
                  </w:r>
                  <w:r>
                    <w:rPr>
                      <w:color w:val="auto"/>
                      <w:kern w:val="0"/>
                      <w:szCs w:val="21"/>
                      <w:highlight w:val="none"/>
                      <w:vertAlign w:val="subscript"/>
                      <w:lang w:bidi="ar"/>
                    </w:rPr>
                    <w:t>2</w:t>
                  </w:r>
                </w:p>
              </w:tc>
              <w:tc>
                <w:tcPr>
                  <w:tcW w:w="3180" w:type="dxa"/>
                  <w:noWrap/>
                  <w:vAlign w:val="center"/>
                </w:tcPr>
                <w:p>
                  <w:pPr>
                    <w:widowControl/>
                    <w:jc w:val="center"/>
                    <w:textAlignment w:val="bottom"/>
                    <w:rPr>
                      <w:color w:val="auto"/>
                      <w:szCs w:val="21"/>
                      <w:highlight w:val="none"/>
                    </w:rPr>
                  </w:pPr>
                  <w:r>
                    <w:rPr>
                      <w:color w:val="auto"/>
                      <w:kern w:val="0"/>
                      <w:szCs w:val="21"/>
                      <w:highlight w:val="none"/>
                      <w:lang w:bidi="ar"/>
                    </w:rPr>
                    <w:t>4 kg/万立方米-原料</w:t>
                  </w:r>
                </w:p>
              </w:tc>
              <w:tc>
                <w:tcPr>
                  <w:tcW w:w="1359" w:type="dxa"/>
                  <w:noWrap/>
                  <w:vAlign w:val="center"/>
                </w:tcPr>
                <w:p>
                  <w:pPr>
                    <w:widowControl/>
                    <w:jc w:val="center"/>
                    <w:textAlignment w:val="bottom"/>
                    <w:rPr>
                      <w:color w:val="auto"/>
                      <w:szCs w:val="21"/>
                      <w:highlight w:val="none"/>
                    </w:rPr>
                  </w:pPr>
                  <w:r>
                    <w:rPr>
                      <w:color w:val="auto"/>
                      <w:kern w:val="0"/>
                      <w:szCs w:val="21"/>
                      <w:highlight w:val="none"/>
                      <w:lang w:bidi="ar"/>
                    </w:rPr>
                    <w:t>0.02t/a</w:t>
                  </w:r>
                </w:p>
              </w:tc>
              <w:tc>
                <w:tcPr>
                  <w:tcW w:w="935" w:type="dxa"/>
                  <w:noWrap/>
                  <w:vAlign w:val="center"/>
                </w:tcPr>
                <w:p>
                  <w:pPr>
                    <w:widowControl/>
                    <w:jc w:val="center"/>
                    <w:textAlignment w:val="bottom"/>
                    <w:rPr>
                      <w:color w:val="auto"/>
                      <w:szCs w:val="21"/>
                      <w:highlight w:val="none"/>
                    </w:rPr>
                  </w:pPr>
                  <w:r>
                    <w:rPr>
                      <w:rFonts w:hint="eastAsia"/>
                      <w:color w:val="auto"/>
                      <w:kern w:val="0"/>
                      <w:szCs w:val="21"/>
                      <w:highlight w:val="none"/>
                      <w:lang w:bidi="ar"/>
                    </w:rPr>
                    <w:t>37.12</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405" w:hRule="atLeast"/>
              </w:trPr>
              <w:tc>
                <w:tcPr>
                  <w:tcW w:w="597" w:type="dxa"/>
                  <w:vMerge w:val="continue"/>
                  <w:noWrap/>
                  <w:vAlign w:val="center"/>
                </w:tcPr>
                <w:p>
                  <w:pPr>
                    <w:jc w:val="center"/>
                    <w:rPr>
                      <w:color w:val="auto"/>
                      <w:szCs w:val="21"/>
                      <w:highlight w:val="none"/>
                    </w:rPr>
                  </w:pPr>
                </w:p>
              </w:tc>
              <w:tc>
                <w:tcPr>
                  <w:tcW w:w="935" w:type="dxa"/>
                  <w:vMerge w:val="continue"/>
                  <w:noWrap/>
                  <w:vAlign w:val="center"/>
                </w:tcPr>
                <w:p>
                  <w:pPr>
                    <w:jc w:val="center"/>
                    <w:rPr>
                      <w:color w:val="auto"/>
                      <w:szCs w:val="21"/>
                      <w:highlight w:val="none"/>
                    </w:rPr>
                  </w:pPr>
                </w:p>
              </w:tc>
              <w:tc>
                <w:tcPr>
                  <w:tcW w:w="934" w:type="dxa"/>
                  <w:noWrap/>
                  <w:vAlign w:val="center"/>
                </w:tcPr>
                <w:p>
                  <w:pPr>
                    <w:widowControl/>
                    <w:jc w:val="center"/>
                    <w:textAlignment w:val="bottom"/>
                    <w:rPr>
                      <w:color w:val="auto"/>
                      <w:szCs w:val="21"/>
                      <w:highlight w:val="none"/>
                    </w:rPr>
                  </w:pPr>
                  <w:r>
                    <w:rPr>
                      <w:color w:val="auto"/>
                      <w:kern w:val="0"/>
                      <w:szCs w:val="21"/>
                      <w:highlight w:val="none"/>
                      <w:lang w:bidi="ar"/>
                    </w:rPr>
                    <w:t>NOx</w:t>
                  </w:r>
                </w:p>
              </w:tc>
              <w:tc>
                <w:tcPr>
                  <w:tcW w:w="3180" w:type="dxa"/>
                  <w:noWrap/>
                  <w:vAlign w:val="center"/>
                </w:tcPr>
                <w:p>
                  <w:pPr>
                    <w:widowControl/>
                    <w:jc w:val="center"/>
                    <w:textAlignment w:val="bottom"/>
                    <w:rPr>
                      <w:color w:val="auto"/>
                      <w:szCs w:val="21"/>
                      <w:highlight w:val="none"/>
                    </w:rPr>
                  </w:pPr>
                  <w:r>
                    <w:rPr>
                      <w:rFonts w:hint="eastAsia"/>
                      <w:color w:val="auto"/>
                      <w:kern w:val="0"/>
                      <w:szCs w:val="21"/>
                      <w:highlight w:val="none"/>
                      <w:lang w:bidi="ar"/>
                    </w:rPr>
                    <w:t>15.87</w:t>
                  </w:r>
                  <w:r>
                    <w:rPr>
                      <w:color w:val="auto"/>
                      <w:kern w:val="0"/>
                      <w:szCs w:val="21"/>
                      <w:highlight w:val="none"/>
                      <w:lang w:bidi="ar"/>
                    </w:rPr>
                    <w:t>kg/万立方米-原料</w:t>
                  </w:r>
                </w:p>
              </w:tc>
              <w:tc>
                <w:tcPr>
                  <w:tcW w:w="1359" w:type="dxa"/>
                  <w:noWrap/>
                  <w:vAlign w:val="center"/>
                </w:tcPr>
                <w:p>
                  <w:pPr>
                    <w:widowControl/>
                    <w:jc w:val="center"/>
                    <w:textAlignment w:val="bottom"/>
                    <w:rPr>
                      <w:color w:val="auto"/>
                      <w:szCs w:val="21"/>
                      <w:highlight w:val="none"/>
                    </w:rPr>
                  </w:pPr>
                  <w:r>
                    <w:rPr>
                      <w:rFonts w:hint="eastAsia"/>
                      <w:color w:val="auto"/>
                      <w:kern w:val="0"/>
                      <w:szCs w:val="21"/>
                      <w:highlight w:val="none"/>
                      <w:lang w:bidi="ar"/>
                    </w:rPr>
                    <w:t>0.07935</w:t>
                  </w:r>
                  <w:r>
                    <w:rPr>
                      <w:color w:val="auto"/>
                      <w:kern w:val="0"/>
                      <w:szCs w:val="21"/>
                      <w:highlight w:val="none"/>
                      <w:lang w:bidi="ar"/>
                    </w:rPr>
                    <w:t>t/a</w:t>
                  </w:r>
                </w:p>
              </w:tc>
              <w:tc>
                <w:tcPr>
                  <w:tcW w:w="935" w:type="dxa"/>
                  <w:noWrap/>
                  <w:vAlign w:val="center"/>
                </w:tcPr>
                <w:p>
                  <w:pPr>
                    <w:widowControl/>
                    <w:jc w:val="center"/>
                    <w:textAlignment w:val="bottom"/>
                    <w:rPr>
                      <w:color w:val="auto"/>
                      <w:szCs w:val="21"/>
                      <w:highlight w:val="none"/>
                    </w:rPr>
                  </w:pPr>
                  <w:r>
                    <w:rPr>
                      <w:rFonts w:hint="eastAsia"/>
                      <w:color w:val="auto"/>
                      <w:kern w:val="0"/>
                      <w:szCs w:val="21"/>
                      <w:highlight w:val="none"/>
                      <w:lang w:bidi="ar"/>
                    </w:rPr>
                    <w:t>147.28</w:t>
                  </w:r>
                </w:p>
              </w:tc>
            </w:tr>
          </w:tbl>
          <w:p>
            <w:pPr>
              <w:snapToGrid w:val="0"/>
              <w:spacing w:line="360" w:lineRule="auto"/>
              <w:ind w:firstLine="480" w:firstLineChars="200"/>
              <w:jc w:val="left"/>
              <w:rPr>
                <w:rFonts w:hint="eastAsia"/>
                <w:color w:val="auto"/>
                <w:sz w:val="24"/>
                <w:highlight w:val="none"/>
              </w:rPr>
            </w:pPr>
            <w:r>
              <w:rPr>
                <w:rFonts w:hint="eastAsia"/>
                <w:color w:val="auto"/>
                <w:sz w:val="24"/>
                <w:highlight w:val="none"/>
              </w:rPr>
              <w:t>导热油炉废气:</w:t>
            </w:r>
          </w:p>
          <w:p>
            <w:pPr>
              <w:snapToGrid w:val="0"/>
              <w:spacing w:line="360" w:lineRule="auto"/>
              <w:ind w:firstLine="480" w:firstLineChars="200"/>
              <w:jc w:val="left"/>
              <w:rPr>
                <w:rFonts w:hint="eastAsia"/>
                <w:color w:val="auto"/>
                <w:sz w:val="24"/>
                <w:highlight w:val="none"/>
              </w:rPr>
            </w:pPr>
            <w:r>
              <w:rPr>
                <w:rFonts w:hint="eastAsia"/>
                <w:color w:val="auto"/>
                <w:sz w:val="24"/>
                <w:highlight w:val="none"/>
              </w:rPr>
              <w:t>导热油炉废气量为323259m</w:t>
            </w:r>
            <w:r>
              <w:rPr>
                <w:rFonts w:hint="eastAsia"/>
                <w:color w:val="auto"/>
                <w:sz w:val="24"/>
                <w:highlight w:val="none"/>
                <w:vertAlign w:val="superscript"/>
              </w:rPr>
              <w:t>3</w:t>
            </w:r>
            <w:r>
              <w:rPr>
                <w:rFonts w:hint="eastAsia"/>
                <w:color w:val="auto"/>
                <w:sz w:val="24"/>
                <w:highlight w:val="none"/>
              </w:rPr>
              <w:t>/a，二氧化硫排放量为0.012t/a，排放速率为0.02kg/h，排放浓度为37.12mg/m</w:t>
            </w:r>
            <w:r>
              <w:rPr>
                <w:rFonts w:hint="eastAsia"/>
                <w:color w:val="auto"/>
                <w:sz w:val="24"/>
                <w:highlight w:val="none"/>
                <w:vertAlign w:val="superscript"/>
              </w:rPr>
              <w:t>3</w:t>
            </w:r>
            <w:r>
              <w:rPr>
                <w:rFonts w:hint="eastAsia"/>
                <w:color w:val="auto"/>
                <w:sz w:val="24"/>
                <w:highlight w:val="none"/>
              </w:rPr>
              <w:t>，氮氧化物排放量为0.048t/a，排放速率为0.08kg/h，排放浓度为147.28mg/m</w:t>
            </w:r>
            <w:r>
              <w:rPr>
                <w:rFonts w:hint="eastAsia"/>
                <w:color w:val="auto"/>
                <w:sz w:val="24"/>
                <w:highlight w:val="none"/>
                <w:vertAlign w:val="superscript"/>
              </w:rPr>
              <w:t>3</w:t>
            </w:r>
            <w:r>
              <w:rPr>
                <w:rFonts w:hint="eastAsia"/>
                <w:color w:val="auto"/>
                <w:sz w:val="24"/>
                <w:highlight w:val="none"/>
              </w:rPr>
              <w:t>，烟尘排放量为0.0072t/a，排放速率为0.012kg/h，排放浓度为22.27mg/m</w:t>
            </w:r>
            <w:r>
              <w:rPr>
                <w:rFonts w:hint="eastAsia"/>
                <w:color w:val="auto"/>
                <w:sz w:val="24"/>
                <w:highlight w:val="none"/>
                <w:vertAlign w:val="superscript"/>
              </w:rPr>
              <w:t>3</w:t>
            </w:r>
            <w:r>
              <w:rPr>
                <w:rFonts w:hint="eastAsia"/>
                <w:color w:val="auto"/>
                <w:sz w:val="24"/>
                <w:highlight w:val="none"/>
              </w:rPr>
              <w:t>。</w:t>
            </w:r>
          </w:p>
          <w:p>
            <w:pPr>
              <w:snapToGrid w:val="0"/>
              <w:spacing w:line="360" w:lineRule="auto"/>
              <w:ind w:firstLine="480" w:firstLineChars="200"/>
              <w:jc w:val="left"/>
              <w:rPr>
                <w:rFonts w:hint="eastAsia"/>
                <w:color w:val="auto"/>
                <w:sz w:val="24"/>
                <w:highlight w:val="none"/>
              </w:rPr>
            </w:pPr>
            <w:r>
              <w:rPr>
                <w:rFonts w:hint="eastAsia"/>
                <w:color w:val="auto"/>
                <w:sz w:val="24"/>
                <w:highlight w:val="none"/>
              </w:rPr>
              <w:t>干燥滚筒燃烧废气及骨料加热产生的粉尘:</w:t>
            </w:r>
          </w:p>
          <w:p>
            <w:pPr>
              <w:snapToGrid w:val="0"/>
              <w:spacing w:line="360" w:lineRule="auto"/>
              <w:ind w:firstLine="480" w:firstLineChars="200"/>
              <w:jc w:val="left"/>
              <w:rPr>
                <w:rFonts w:hint="eastAsia"/>
                <w:color w:val="auto"/>
                <w:sz w:val="24"/>
                <w:highlight w:val="none"/>
              </w:rPr>
            </w:pPr>
            <w:r>
              <w:rPr>
                <w:rFonts w:hint="eastAsia"/>
                <w:color w:val="auto"/>
                <w:sz w:val="24"/>
                <w:highlight w:val="none"/>
              </w:rPr>
              <w:t>为使沥青混凝土产品不至于因过快冷却而带来运输上的不便，骨料在上沥青前要经过加热处理，且通过密闭的烘干滚筒不停转动以使骨料受热均匀，骨料在烘干滚筒内加热时有粉尘产生。根据《逸散性工业粉尘控制技术》，烘干滚筒、筛分工序粉尘产生量为骨料用量的0.1%，项目骨料消耗量为9500t/a，则烘干滚筒粉尘产生量约9.5t/a，粉尘产生的速率约为9.5kg/h(烘干滚筒年工作1000h)。</w:t>
            </w:r>
          </w:p>
          <w:p>
            <w:pPr>
              <w:snapToGrid w:val="0"/>
              <w:spacing w:line="360" w:lineRule="auto"/>
              <w:ind w:firstLine="480" w:firstLineChars="200"/>
              <w:rPr>
                <w:color w:val="auto"/>
                <w:sz w:val="24"/>
                <w:highlight w:val="none"/>
              </w:rPr>
            </w:pPr>
            <w:r>
              <w:rPr>
                <w:rFonts w:hint="eastAsia"/>
                <w:color w:val="auto"/>
                <w:sz w:val="24"/>
                <w:highlight w:val="none"/>
              </w:rPr>
              <w:t>因此，干燥滚筒燃烧废气及骨料加热产生的粉尘所产生的污染物产生量为二氧化硫0.02t/a，NOx0.0794t/a，颗粒物9.512t/a。烘干滚筒为密闭形式，产生的混合气体通过引风机（总风量约55000Nm</w:t>
            </w:r>
            <w:r>
              <w:rPr>
                <w:rFonts w:hint="eastAsia"/>
                <w:color w:val="auto"/>
                <w:sz w:val="24"/>
                <w:highlight w:val="none"/>
                <w:vertAlign w:val="superscript"/>
              </w:rPr>
              <w:t>3</w:t>
            </w:r>
            <w:r>
              <w:rPr>
                <w:rFonts w:hint="eastAsia"/>
                <w:color w:val="auto"/>
                <w:sz w:val="24"/>
                <w:highlight w:val="none"/>
              </w:rPr>
              <w:t>/h）引入布袋除尘器（除尘效率达90%以上）中进行处理后通过一根高15m、内径0.8m排气筒（1#排气筒）排放。则粉（烟）尘有组织排放量为0.9212t/a，即 0.9212kg/h，浓度为16.75mg/m</w:t>
            </w:r>
            <w:r>
              <w:rPr>
                <w:rFonts w:hint="eastAsia"/>
                <w:color w:val="auto"/>
                <w:sz w:val="24"/>
                <w:highlight w:val="none"/>
                <w:vertAlign w:val="superscript"/>
              </w:rPr>
              <w:t>3</w:t>
            </w:r>
            <w:r>
              <w:rPr>
                <w:rFonts w:hint="eastAsia"/>
                <w:color w:val="auto"/>
                <w:sz w:val="24"/>
                <w:highlight w:val="none"/>
              </w:rPr>
              <w:t>;SO</w:t>
            </w:r>
            <w:r>
              <w:rPr>
                <w:rFonts w:hint="eastAsia"/>
                <w:color w:val="auto"/>
                <w:sz w:val="24"/>
                <w:highlight w:val="none"/>
                <w:vertAlign w:val="subscript"/>
              </w:rPr>
              <w:t>2</w:t>
            </w:r>
            <w:r>
              <w:rPr>
                <w:rFonts w:hint="eastAsia"/>
                <w:color w:val="auto"/>
                <w:sz w:val="24"/>
                <w:highlight w:val="none"/>
              </w:rPr>
              <w:t>有组织排放量为0.02t/a，即0.02kg/h，浓度为0.364mg/m</w:t>
            </w:r>
            <w:r>
              <w:rPr>
                <w:rFonts w:hint="eastAsia"/>
                <w:color w:val="auto"/>
                <w:sz w:val="24"/>
                <w:highlight w:val="none"/>
                <w:vertAlign w:val="superscript"/>
              </w:rPr>
              <w:t>3</w:t>
            </w:r>
            <w:r>
              <w:rPr>
                <w:rFonts w:hint="eastAsia"/>
                <w:color w:val="auto"/>
                <w:sz w:val="24"/>
                <w:highlight w:val="none"/>
              </w:rPr>
              <w:t>;NOx有组织排放量为0.0794t/a，即 0.0794kg/h，浓度为1.44mg/m</w:t>
            </w:r>
            <w:r>
              <w:rPr>
                <w:rFonts w:hint="eastAsia"/>
                <w:color w:val="auto"/>
                <w:sz w:val="24"/>
                <w:highlight w:val="none"/>
                <w:vertAlign w:val="superscript"/>
              </w:rPr>
              <w:t>3</w:t>
            </w:r>
            <w:r>
              <w:rPr>
                <w:rFonts w:hint="eastAsia"/>
                <w:color w:val="auto"/>
                <w:sz w:val="24"/>
                <w:highlight w:val="none"/>
              </w:rPr>
              <w:t>。</w:t>
            </w:r>
          </w:p>
          <w:p>
            <w:pPr>
              <w:snapToGrid w:val="0"/>
              <w:spacing w:line="360" w:lineRule="auto"/>
              <w:ind w:firstLine="480" w:firstLineChars="200"/>
              <w:jc w:val="left"/>
              <w:rPr>
                <w:color w:val="auto"/>
                <w:sz w:val="24"/>
                <w:highlight w:val="none"/>
              </w:rPr>
            </w:pPr>
            <w:r>
              <w:rPr>
                <w:rFonts w:hint="eastAsia"/>
                <w:color w:val="auto"/>
                <w:sz w:val="24"/>
                <w:highlight w:val="none"/>
              </w:rPr>
              <w:t>②</w:t>
            </w:r>
            <w:r>
              <w:rPr>
                <w:color w:val="auto"/>
                <w:sz w:val="24"/>
                <w:highlight w:val="none"/>
              </w:rPr>
              <w:t>原料堆场扬尘</w:t>
            </w:r>
          </w:p>
          <w:p>
            <w:pPr>
              <w:snapToGrid w:val="0"/>
              <w:spacing w:line="360" w:lineRule="auto"/>
              <w:ind w:firstLine="480" w:firstLineChars="200"/>
              <w:rPr>
                <w:rFonts w:hint="eastAsia" w:ascii="Times New Roman" w:hAnsi="Times New Roman" w:eastAsia="宋体" w:cs="Times New Roman"/>
                <w:color w:val="auto"/>
                <w:sz w:val="24"/>
                <w:highlight w:val="none"/>
              </w:rPr>
            </w:pPr>
            <w:r>
              <w:rPr>
                <w:rFonts w:hint="eastAsia" w:ascii="Times New Roman" w:hAnsi="Times New Roman" w:eastAsia="宋体" w:cs="Times New Roman"/>
                <w:color w:val="auto"/>
                <w:sz w:val="24"/>
                <w:highlight w:val="none"/>
              </w:rPr>
              <w:t>原料堆场粉尘主要产生在运输车辆和装载机往原料卸料、铲装、堆放过程。原料输送时为散装形式，其含水率达7%。</w:t>
            </w:r>
          </w:p>
          <w:p>
            <w:pPr>
              <w:snapToGrid w:val="0"/>
              <w:spacing w:line="360" w:lineRule="auto"/>
              <w:ind w:firstLine="480" w:firstLineChars="200"/>
              <w:rPr>
                <w:rFonts w:hint="eastAsia" w:ascii="Times New Roman" w:hAnsi="Times New Roman" w:eastAsia="宋体" w:cs="Times New Roman"/>
                <w:color w:val="auto"/>
                <w:sz w:val="24"/>
                <w:highlight w:val="none"/>
              </w:rPr>
            </w:pPr>
            <w:r>
              <w:rPr>
                <w:rFonts w:hint="eastAsia" w:ascii="Times New Roman" w:hAnsi="Times New Roman" w:eastAsia="宋体" w:cs="Times New Roman"/>
                <w:color w:val="auto"/>
                <w:sz w:val="24"/>
                <w:highlight w:val="none"/>
                <w:lang w:val="en-US" w:eastAsia="zh-CN"/>
              </w:rPr>
              <w:t>上述堆放物料扬尘参考</w:t>
            </w:r>
            <w:r>
              <w:rPr>
                <w:rFonts w:hint="default" w:ascii="Times New Roman" w:hAnsi="Times New Roman" w:eastAsia="宋体" w:cs="Times New Roman"/>
                <w:color w:val="auto"/>
                <w:sz w:val="24"/>
                <w:highlight w:val="none"/>
                <w:lang w:val="en-US" w:eastAsia="zh-CN"/>
              </w:rPr>
              <w:t>“秦皇岛港口煤炭装卸起尘及其扩散规律的研究”得出的经验公式，计算公式如下：</w:t>
            </w:r>
          </w:p>
          <w:p>
            <w:pPr>
              <w:snapToGrid w:val="0"/>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val="en-US" w:eastAsia="zh-CN"/>
              </w:rPr>
              <w:t>Q=2.1</w:t>
            </w:r>
            <w:r>
              <w:rPr>
                <w:rFonts w:hint="eastAsia" w:ascii="Times New Roman" w:hAnsi="Times New Roman" w:eastAsia="宋体"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K</w:t>
            </w:r>
            <w:r>
              <w:rPr>
                <w:rFonts w:hint="eastAsia" w:ascii="Times New Roman" w:hAnsi="Times New Roman" w:eastAsia="宋体"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(u-u0)3×e-1.023W×M</w:t>
            </w:r>
          </w:p>
          <w:p>
            <w:pPr>
              <w:snapToGrid w:val="0"/>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val="en-US" w:eastAsia="zh-CN"/>
              </w:rPr>
              <w:t>式中：</w:t>
            </w:r>
          </w:p>
          <w:p>
            <w:pPr>
              <w:snapToGrid w:val="0"/>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val="en-US" w:eastAsia="zh-CN"/>
              </w:rPr>
              <w:t>Q</w:t>
            </w:r>
            <w:r>
              <w:rPr>
                <w:rFonts w:hint="eastAsia" w:ascii="Times New Roman" w:hAnsi="Times New Roman" w:eastAsia="宋体" w:cs="Times New Roman"/>
                <w:color w:val="auto"/>
                <w:sz w:val="24"/>
                <w:highlight w:val="none"/>
                <w:lang w:val="en-US" w:eastAsia="zh-CN"/>
              </w:rPr>
              <w:t>—堆放场地起尘量，</w:t>
            </w:r>
            <w:r>
              <w:rPr>
                <w:rFonts w:hint="default" w:ascii="Times New Roman" w:hAnsi="Times New Roman" w:eastAsia="宋体" w:cs="Times New Roman"/>
                <w:color w:val="auto"/>
                <w:sz w:val="24"/>
                <w:highlight w:val="none"/>
                <w:lang w:val="en-US" w:eastAsia="zh-CN"/>
              </w:rPr>
              <w:t>kg/a</w:t>
            </w:r>
            <w:r>
              <w:rPr>
                <w:rFonts w:hint="eastAsia" w:ascii="Times New Roman" w:hAnsi="Times New Roman" w:eastAsia="宋体" w:cs="Times New Roman"/>
                <w:color w:val="auto"/>
                <w:sz w:val="24"/>
                <w:highlight w:val="none"/>
                <w:lang w:val="en-US" w:eastAsia="zh-CN"/>
              </w:rPr>
              <w:t>；</w:t>
            </w:r>
          </w:p>
          <w:p>
            <w:pPr>
              <w:snapToGrid w:val="0"/>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val="en-US" w:eastAsia="zh-CN"/>
              </w:rPr>
              <w:t>u</w:t>
            </w:r>
            <w:r>
              <w:rPr>
                <w:rFonts w:hint="eastAsia" w:ascii="Times New Roman" w:hAnsi="Times New Roman" w:eastAsia="宋体" w:cs="Times New Roman"/>
                <w:color w:val="auto"/>
                <w:sz w:val="24"/>
                <w:highlight w:val="none"/>
                <w:lang w:val="en-US" w:eastAsia="zh-CN"/>
              </w:rPr>
              <w:t>—堆棚平均风速，取3.05</w:t>
            </w:r>
            <w:r>
              <w:rPr>
                <w:rFonts w:hint="default" w:ascii="Times New Roman" w:hAnsi="Times New Roman" w:eastAsia="宋体" w:cs="Times New Roman"/>
                <w:color w:val="auto"/>
                <w:sz w:val="24"/>
                <w:highlight w:val="none"/>
                <w:lang w:val="en-US" w:eastAsia="zh-CN"/>
              </w:rPr>
              <w:t>m/s</w:t>
            </w:r>
            <w:r>
              <w:rPr>
                <w:rFonts w:hint="eastAsia" w:ascii="Times New Roman" w:hAnsi="Times New Roman" w:eastAsia="宋体" w:cs="Times New Roman"/>
                <w:color w:val="auto"/>
                <w:sz w:val="24"/>
                <w:highlight w:val="none"/>
                <w:lang w:val="en-US" w:eastAsia="zh-CN"/>
              </w:rPr>
              <w:t>；</w:t>
            </w:r>
          </w:p>
          <w:p>
            <w:pPr>
              <w:snapToGrid w:val="0"/>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val="en-US" w:eastAsia="zh-CN"/>
              </w:rPr>
              <w:t>u0—</w:t>
            </w:r>
            <w:r>
              <w:rPr>
                <w:rFonts w:hint="eastAsia" w:ascii="Times New Roman" w:hAnsi="Times New Roman" w:eastAsia="宋体" w:cs="Times New Roman"/>
                <w:color w:val="auto"/>
                <w:sz w:val="24"/>
                <w:highlight w:val="none"/>
                <w:lang w:val="en-US" w:eastAsia="zh-CN"/>
              </w:rPr>
              <w:t>原料粉尘的启动</w:t>
            </w:r>
            <w:r>
              <w:rPr>
                <w:rFonts w:hint="default" w:ascii="Times New Roman" w:hAnsi="Times New Roman" w:eastAsia="宋体" w:cs="Times New Roman"/>
                <w:color w:val="auto"/>
                <w:sz w:val="24"/>
                <w:highlight w:val="none"/>
                <w:lang w:val="en-US" w:eastAsia="zh-CN"/>
              </w:rPr>
              <w:t>风速，取2.5m/s</w:t>
            </w:r>
            <w:r>
              <w:rPr>
                <w:rFonts w:hint="eastAsia" w:ascii="Times New Roman" w:hAnsi="Times New Roman" w:eastAsia="宋体" w:cs="Times New Roman"/>
                <w:color w:val="auto"/>
                <w:sz w:val="24"/>
                <w:highlight w:val="none"/>
                <w:lang w:val="en-US" w:eastAsia="zh-CN"/>
              </w:rPr>
              <w:t>；</w:t>
            </w:r>
          </w:p>
          <w:p>
            <w:pPr>
              <w:snapToGrid w:val="0"/>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val="en-US" w:eastAsia="zh-CN"/>
              </w:rPr>
              <w:t>w</w:t>
            </w:r>
            <w:r>
              <w:rPr>
                <w:rFonts w:hint="eastAsia" w:ascii="Times New Roman" w:hAnsi="Times New Roman" w:eastAsia="宋体" w:cs="Times New Roman"/>
                <w:color w:val="auto"/>
                <w:sz w:val="24"/>
                <w:highlight w:val="none"/>
                <w:lang w:val="en-US" w:eastAsia="zh-CN"/>
              </w:rPr>
              <w:t>—物料含水率，</w:t>
            </w:r>
            <w:r>
              <w:rPr>
                <w:rFonts w:hint="default" w:ascii="Times New Roman" w:hAnsi="Times New Roman" w:eastAsia="宋体" w:cs="Times New Roman"/>
                <w:color w:val="auto"/>
                <w:sz w:val="24"/>
                <w:highlight w:val="none"/>
                <w:lang w:val="en-US" w:eastAsia="zh-CN"/>
              </w:rPr>
              <w:t>%</w:t>
            </w:r>
            <w:r>
              <w:rPr>
                <w:rFonts w:hint="eastAsia" w:ascii="Times New Roman" w:hAnsi="Times New Roman" w:eastAsia="宋体" w:cs="Times New Roman"/>
                <w:color w:val="auto"/>
                <w:sz w:val="24"/>
                <w:highlight w:val="none"/>
                <w:lang w:val="en-US" w:eastAsia="zh-CN"/>
              </w:rPr>
              <w:t>；</w:t>
            </w:r>
          </w:p>
          <w:p>
            <w:pPr>
              <w:snapToGrid w:val="0"/>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val="en-US" w:eastAsia="zh-CN"/>
              </w:rPr>
              <w:t>M</w:t>
            </w:r>
            <w:r>
              <w:rPr>
                <w:rFonts w:hint="eastAsia" w:ascii="Times New Roman" w:hAnsi="Times New Roman" w:eastAsia="宋体" w:cs="Times New Roman"/>
                <w:color w:val="auto"/>
                <w:sz w:val="24"/>
                <w:highlight w:val="none"/>
                <w:lang w:val="en-US" w:eastAsia="zh-CN"/>
              </w:rPr>
              <w:t>—堆场年累计堆放的物料量，</w:t>
            </w:r>
            <w:r>
              <w:rPr>
                <w:rFonts w:hint="default" w:ascii="Times New Roman" w:hAnsi="Times New Roman" w:eastAsia="宋体" w:cs="Times New Roman"/>
                <w:color w:val="auto"/>
                <w:sz w:val="24"/>
                <w:highlight w:val="none"/>
                <w:lang w:val="en-US" w:eastAsia="zh-CN"/>
              </w:rPr>
              <w:t>t</w:t>
            </w:r>
            <w:r>
              <w:rPr>
                <w:rFonts w:hint="eastAsia" w:ascii="Times New Roman" w:hAnsi="Times New Roman" w:eastAsia="宋体" w:cs="Times New Roman"/>
                <w:color w:val="auto"/>
                <w:sz w:val="24"/>
                <w:highlight w:val="none"/>
                <w:lang w:val="en-US" w:eastAsia="zh-CN"/>
              </w:rPr>
              <w:t>；</w:t>
            </w:r>
          </w:p>
          <w:p>
            <w:pPr>
              <w:spacing w:line="360" w:lineRule="auto"/>
              <w:ind w:firstLine="480" w:firstLineChars="200"/>
              <w:jc w:val="both"/>
              <w:rPr>
                <w:rFonts w:hint="eastAsia"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K</w:t>
            </w:r>
            <w:r>
              <w:rPr>
                <w:rFonts w:hint="eastAsia" w:ascii="Times New Roman" w:hAnsi="Times New Roman" w:eastAsia="宋体" w:cs="Times New Roman"/>
                <w:color w:val="auto"/>
                <w:sz w:val="24"/>
                <w:highlight w:val="none"/>
                <w:lang w:val="en-US" w:eastAsia="zh-CN"/>
              </w:rPr>
              <w:t>—与堆放物料含水率有关的系数，取值见下表。</w:t>
            </w:r>
          </w:p>
          <w:tbl>
            <w:tblPr>
              <w:tblStyle w:val="39"/>
              <w:tblpPr w:leftFromText="180" w:rightFromText="180" w:vertAnchor="text" w:horzAnchor="page" w:tblpX="119" w:tblpY="467"/>
              <w:tblOverlap w:val="never"/>
              <w:tblW w:w="7939" w:type="dxa"/>
              <w:jc w:val="center"/>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Layout w:type="autofit"/>
              <w:tblCellMar>
                <w:top w:w="0" w:type="dxa"/>
                <w:left w:w="108" w:type="dxa"/>
                <w:bottom w:w="0" w:type="dxa"/>
                <w:right w:w="108" w:type="dxa"/>
              </w:tblCellMar>
            </w:tblPr>
            <w:tblGrid>
              <w:gridCol w:w="793"/>
              <w:gridCol w:w="794"/>
              <w:gridCol w:w="794"/>
              <w:gridCol w:w="794"/>
              <w:gridCol w:w="794"/>
              <w:gridCol w:w="794"/>
              <w:gridCol w:w="794"/>
              <w:gridCol w:w="794"/>
              <w:gridCol w:w="794"/>
              <w:gridCol w:w="794"/>
            </w:tblGrid>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PrEx>
              <w:trPr>
                <w:trHeight w:val="270" w:hRule="atLeast"/>
                <w:jc w:val="center"/>
              </w:trPr>
              <w:tc>
                <w:tcPr>
                  <w:tcW w:w="49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含水率(%）</w:t>
                  </w:r>
                </w:p>
              </w:tc>
              <w:tc>
                <w:tcPr>
                  <w:tcW w:w="500" w:type="pct"/>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1</w:t>
                  </w:r>
                </w:p>
              </w:tc>
              <w:tc>
                <w:tcPr>
                  <w:tcW w:w="500" w:type="pct"/>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2</w:t>
                  </w:r>
                </w:p>
              </w:tc>
              <w:tc>
                <w:tcPr>
                  <w:tcW w:w="50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3</w:t>
                  </w:r>
                </w:p>
              </w:tc>
              <w:tc>
                <w:tcPr>
                  <w:tcW w:w="500" w:type="pct"/>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4</w:t>
                  </w:r>
                </w:p>
              </w:tc>
              <w:tc>
                <w:tcPr>
                  <w:tcW w:w="500" w:type="pct"/>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5</w:t>
                  </w:r>
                </w:p>
              </w:tc>
              <w:tc>
                <w:tcPr>
                  <w:tcW w:w="500" w:type="pct"/>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6</w:t>
                  </w:r>
                </w:p>
              </w:tc>
              <w:tc>
                <w:tcPr>
                  <w:tcW w:w="500" w:type="pct"/>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7</w:t>
                  </w:r>
                </w:p>
              </w:tc>
              <w:tc>
                <w:tcPr>
                  <w:tcW w:w="50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8</w:t>
                  </w:r>
                </w:p>
              </w:tc>
              <w:tc>
                <w:tcPr>
                  <w:tcW w:w="50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9</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270" w:hRule="atLeast"/>
                <w:jc w:val="center"/>
              </w:trPr>
              <w:tc>
                <w:tcPr>
                  <w:tcW w:w="49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K</w:t>
                  </w:r>
                </w:p>
              </w:tc>
              <w:tc>
                <w:tcPr>
                  <w:tcW w:w="50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1.019</w:t>
                  </w:r>
                </w:p>
              </w:tc>
              <w:tc>
                <w:tcPr>
                  <w:tcW w:w="50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1.01</w:t>
                  </w:r>
                </w:p>
              </w:tc>
              <w:tc>
                <w:tcPr>
                  <w:tcW w:w="50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1.002</w:t>
                  </w:r>
                </w:p>
              </w:tc>
              <w:tc>
                <w:tcPr>
                  <w:tcW w:w="50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0.995</w:t>
                  </w:r>
                </w:p>
              </w:tc>
              <w:tc>
                <w:tcPr>
                  <w:tcW w:w="50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0.986</w:t>
                  </w:r>
                </w:p>
              </w:tc>
              <w:tc>
                <w:tcPr>
                  <w:tcW w:w="50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0.979</w:t>
                  </w:r>
                </w:p>
              </w:tc>
              <w:tc>
                <w:tcPr>
                  <w:tcW w:w="50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0.971</w:t>
                  </w:r>
                </w:p>
              </w:tc>
              <w:tc>
                <w:tcPr>
                  <w:tcW w:w="50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0.963</w:t>
                  </w:r>
                </w:p>
              </w:tc>
              <w:tc>
                <w:tcPr>
                  <w:tcW w:w="50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0.96</w:t>
                  </w:r>
                </w:p>
              </w:tc>
            </w:tr>
          </w:tbl>
          <w:p>
            <w:pPr>
              <w:spacing w:line="360" w:lineRule="auto"/>
              <w:jc w:val="center"/>
              <w:rPr>
                <w:rFonts w:hint="default"/>
                <w:color w:val="auto"/>
                <w:highlight w:val="none"/>
              </w:rPr>
            </w:pPr>
            <w:r>
              <w:rPr>
                <w:rFonts w:hint="eastAsia" w:ascii="Times New Roman" w:hAnsi="Times New Roman" w:eastAsia="黑体" w:cs="Times New Roman"/>
                <w:color w:val="auto"/>
                <w:sz w:val="24"/>
                <w:highlight w:val="none"/>
                <w:lang w:val="en-US" w:eastAsia="zh-CN"/>
              </w:rPr>
              <w:t>表2-8 不同含水率下的K值</w:t>
            </w:r>
          </w:p>
          <w:p>
            <w:pPr>
              <w:snapToGrid w:val="0"/>
              <w:spacing w:line="360" w:lineRule="auto"/>
              <w:ind w:firstLine="480" w:firstLineChars="200"/>
              <w:jc w:val="left"/>
              <w:rPr>
                <w:color w:val="auto"/>
                <w:sz w:val="24"/>
                <w:highlight w:val="none"/>
              </w:rPr>
            </w:pPr>
            <w:r>
              <w:rPr>
                <w:color w:val="auto"/>
                <w:sz w:val="24"/>
                <w:highlight w:val="none"/>
              </w:rPr>
              <w:t>项目年加工</w:t>
            </w:r>
            <w:r>
              <w:rPr>
                <w:rFonts w:hint="eastAsia"/>
                <w:color w:val="auto"/>
                <w:sz w:val="24"/>
                <w:highlight w:val="none"/>
              </w:rPr>
              <w:t>生产1万吨沥青混凝土拌和料</w:t>
            </w:r>
            <w:r>
              <w:rPr>
                <w:color w:val="auto"/>
                <w:sz w:val="24"/>
                <w:highlight w:val="none"/>
              </w:rPr>
              <w:t>，</w:t>
            </w:r>
            <w:r>
              <w:rPr>
                <w:rFonts w:hint="eastAsia"/>
                <w:color w:val="auto"/>
                <w:sz w:val="24"/>
                <w:highlight w:val="none"/>
                <w:lang w:val="en-US" w:eastAsia="zh-CN"/>
              </w:rPr>
              <w:t>根据原辅材料矿石年用量为9500t，</w:t>
            </w:r>
            <w:r>
              <w:rPr>
                <w:color w:val="auto"/>
                <w:sz w:val="24"/>
                <w:highlight w:val="none"/>
              </w:rPr>
              <w:t>经核算，运营期粉尘产生量为</w:t>
            </w:r>
            <w:r>
              <w:rPr>
                <w:rFonts w:hint="eastAsia"/>
                <w:color w:val="auto"/>
                <w:sz w:val="24"/>
                <w:highlight w:val="none"/>
              </w:rPr>
              <w:t>3</w:t>
            </w:r>
            <w:r>
              <w:rPr>
                <w:color w:val="auto"/>
                <w:sz w:val="24"/>
                <w:highlight w:val="none"/>
              </w:rPr>
              <w:t>t/a，</w:t>
            </w:r>
            <w:r>
              <w:rPr>
                <w:rFonts w:hint="eastAsia"/>
                <w:color w:val="auto"/>
                <w:sz w:val="24"/>
                <w:highlight w:val="none"/>
              </w:rPr>
              <w:t>由于原料堆场1为三面封闭式顶棚设计，同时进行喷淋洒水</w:t>
            </w:r>
            <w:r>
              <w:rPr>
                <w:color w:val="auto"/>
                <w:sz w:val="24"/>
                <w:highlight w:val="none"/>
              </w:rPr>
              <w:t>，除尘效率达到85%，</w:t>
            </w:r>
            <w:r>
              <w:rPr>
                <w:rFonts w:hint="eastAsia"/>
                <w:color w:val="auto"/>
                <w:sz w:val="24"/>
                <w:highlight w:val="none"/>
              </w:rPr>
              <w:t>因此原料堆场1的粉尘排放量为0.225t/a，0.0852kg/h；而原料堆场2为露天堆场，仅加装防尘网罩，其粉尘产生量较大，其排放量按照1.5t/a，0.568kg/h</w:t>
            </w:r>
            <w:r>
              <w:rPr>
                <w:color w:val="auto"/>
                <w:sz w:val="24"/>
                <w:highlight w:val="none"/>
              </w:rPr>
              <w:t>。</w:t>
            </w:r>
          </w:p>
          <w:p>
            <w:pPr>
              <w:snapToGrid w:val="0"/>
              <w:spacing w:line="360" w:lineRule="auto"/>
              <w:ind w:firstLine="480" w:firstLineChars="200"/>
              <w:jc w:val="left"/>
              <w:rPr>
                <w:rFonts w:hint="eastAsia"/>
                <w:color w:val="auto"/>
                <w:sz w:val="24"/>
                <w:highlight w:val="none"/>
              </w:rPr>
            </w:pPr>
            <w:r>
              <w:rPr>
                <w:rFonts w:hint="eastAsia"/>
                <w:color w:val="auto"/>
                <w:sz w:val="24"/>
                <w:highlight w:val="none"/>
              </w:rPr>
              <w:t>③沥青烟</w:t>
            </w:r>
          </w:p>
          <w:p>
            <w:pPr>
              <w:snapToGrid w:val="0"/>
              <w:spacing w:line="360" w:lineRule="auto"/>
              <w:ind w:firstLine="480" w:firstLineChars="200"/>
              <w:jc w:val="left"/>
              <w:rPr>
                <w:rFonts w:hint="eastAsia"/>
                <w:color w:val="auto"/>
                <w:sz w:val="24"/>
                <w:highlight w:val="none"/>
              </w:rPr>
            </w:pPr>
            <w:r>
              <w:rPr>
                <w:rFonts w:hint="eastAsia"/>
                <w:color w:val="auto"/>
                <w:sz w:val="24"/>
                <w:highlight w:val="none"/>
              </w:rPr>
              <w:t>生产所需沥青先通过导热油炉加热，再由沥青泵送入搅拌器中，因此在沥青加热和混合搅拌工序会产生沥青烟。</w:t>
            </w:r>
          </w:p>
          <w:p>
            <w:pPr>
              <w:snapToGrid w:val="0"/>
              <w:spacing w:line="360" w:lineRule="auto"/>
              <w:ind w:firstLine="480" w:firstLineChars="200"/>
              <w:jc w:val="left"/>
              <w:rPr>
                <w:rFonts w:hint="eastAsia"/>
                <w:color w:val="auto"/>
                <w:sz w:val="24"/>
                <w:highlight w:val="none"/>
              </w:rPr>
            </w:pPr>
            <w:r>
              <w:rPr>
                <w:rFonts w:hint="eastAsia"/>
                <w:color w:val="auto"/>
                <w:sz w:val="24"/>
                <w:highlight w:val="none"/>
              </w:rPr>
              <w:t>根据《沥青搅拌设备沥青烟排放机理及控制研究》(长安大学，焦信信，2018年）中的结论，确定在沥青加热及搅拌设备生产中沥青烟的排放因子为6.3×10</w:t>
            </w:r>
            <w:r>
              <w:rPr>
                <w:rFonts w:hint="eastAsia"/>
                <w:color w:val="auto"/>
                <w:sz w:val="24"/>
                <w:highlight w:val="none"/>
                <w:vertAlign w:val="superscript"/>
              </w:rPr>
              <w:t>-4</w:t>
            </w:r>
            <w:r>
              <w:rPr>
                <w:rFonts w:hint="eastAsia"/>
                <w:color w:val="auto"/>
                <w:sz w:val="24"/>
                <w:highlight w:val="none"/>
              </w:rPr>
              <w:t>kg/t。本项目沥青用量为500t/a，共计600h，可计算沥青烟产生量为0.315t/a，产生速率为0.525kg/h。</w:t>
            </w:r>
          </w:p>
          <w:p>
            <w:pPr>
              <w:snapToGrid w:val="0"/>
              <w:spacing w:line="360" w:lineRule="auto"/>
              <w:ind w:firstLine="480" w:firstLineChars="200"/>
              <w:jc w:val="left"/>
              <w:rPr>
                <w:rFonts w:hint="eastAsia"/>
                <w:color w:val="auto"/>
                <w:sz w:val="24"/>
                <w:highlight w:val="none"/>
              </w:rPr>
            </w:pPr>
            <w:r>
              <w:rPr>
                <w:rFonts w:hint="eastAsia"/>
                <w:color w:val="auto"/>
                <w:sz w:val="24"/>
                <w:highlight w:val="none"/>
              </w:rPr>
              <w:t>根据《工业生产中有害物物质手册》(化学工业出版社)中提供的数据，沥青烟中苯并[a]芘含量约0.01～0.02‰，本次评价取最大值0.02‰，则苯并[a]芘废气产生量约为0.0000105kg/h，则苯并芘产生量共计0.0000063t/a。</w:t>
            </w:r>
          </w:p>
          <w:p>
            <w:pPr>
              <w:snapToGrid w:val="0"/>
              <w:spacing w:line="360" w:lineRule="auto"/>
              <w:ind w:firstLine="480" w:firstLineChars="200"/>
              <w:jc w:val="left"/>
              <w:rPr>
                <w:rFonts w:hint="eastAsia"/>
                <w:color w:val="auto"/>
                <w:sz w:val="24"/>
                <w:highlight w:val="none"/>
              </w:rPr>
            </w:pPr>
            <w:r>
              <w:rPr>
                <w:rFonts w:hint="eastAsia"/>
                <w:color w:val="auto"/>
                <w:sz w:val="24"/>
                <w:highlight w:val="none"/>
              </w:rPr>
              <w:t>原项目未对沥青烟及苯并[a]芘进行收集处理，采用无组织的排放方式，因此沥青烟的无组织排放量为0.315t/a，排放速率为0.525kg/h；苯并[a]芘的排放量为0.0000063t/a，排放速率为0.0000105kg/h。</w:t>
            </w:r>
          </w:p>
          <w:p>
            <w:pPr>
              <w:snapToGrid w:val="0"/>
              <w:spacing w:line="360" w:lineRule="auto"/>
              <w:ind w:firstLine="480" w:firstLineChars="200"/>
              <w:jc w:val="left"/>
              <w:rPr>
                <w:rFonts w:hint="eastAsia"/>
                <w:color w:val="auto"/>
                <w:sz w:val="24"/>
                <w:highlight w:val="none"/>
              </w:rPr>
            </w:pPr>
            <w:r>
              <w:rPr>
                <w:rFonts w:hint="eastAsia"/>
                <w:color w:val="auto"/>
                <w:sz w:val="24"/>
                <w:highlight w:val="none"/>
              </w:rPr>
              <w:t>非甲烷总</w:t>
            </w:r>
            <w:r>
              <w:rPr>
                <w:rFonts w:hint="eastAsia"/>
                <w:color w:val="auto"/>
                <w:sz w:val="24"/>
                <w:highlight w:val="none"/>
                <w:lang w:val="en-US" w:eastAsia="zh-CN"/>
              </w:rPr>
              <w:t>烃</w:t>
            </w:r>
            <w:r>
              <w:rPr>
                <w:rFonts w:hint="eastAsia"/>
                <w:color w:val="auto"/>
                <w:sz w:val="24"/>
                <w:highlight w:val="none"/>
              </w:rPr>
              <w:t>：根据参考前苏联拉扎列夫主编的《工业生产中有害物物质手册》第一卷（化学工业出版社，1987年12月出版)《有机化合物污染化学》(清华大学出版社,1990年8月出版）及《壳牌沥青手册》(壳牌大中华集团1995年9月初版)的有关资料,每吨石油沥青在搅拌及加热过程中可产生非甲烷总烃2.5g/t，项目年使用沥青量为500 t/a，则非甲烷总</w:t>
            </w:r>
            <w:r>
              <w:rPr>
                <w:rFonts w:hint="eastAsia"/>
                <w:color w:val="auto"/>
                <w:sz w:val="24"/>
                <w:highlight w:val="none"/>
                <w:lang w:val="en-US" w:eastAsia="zh-CN"/>
              </w:rPr>
              <w:t>烃</w:t>
            </w:r>
            <w:r>
              <w:rPr>
                <w:rFonts w:hint="eastAsia"/>
                <w:color w:val="auto"/>
                <w:sz w:val="24"/>
                <w:highlight w:val="none"/>
              </w:rPr>
              <w:t>产生量为0.00125t/a。无组织排放速率为0.00208kg/h。</w:t>
            </w:r>
          </w:p>
          <w:p>
            <w:pPr>
              <w:snapToGrid w:val="0"/>
              <w:spacing w:line="360" w:lineRule="auto"/>
              <w:ind w:firstLine="480" w:firstLineChars="200"/>
              <w:rPr>
                <w:color w:val="auto"/>
                <w:sz w:val="24"/>
                <w:highlight w:val="none"/>
              </w:rPr>
            </w:pPr>
            <w:r>
              <w:rPr>
                <w:rFonts w:hint="eastAsia"/>
                <w:color w:val="auto"/>
                <w:sz w:val="24"/>
                <w:highlight w:val="none"/>
              </w:rPr>
              <w:t>改建前</w:t>
            </w:r>
            <w:r>
              <w:rPr>
                <w:color w:val="auto"/>
                <w:sz w:val="24"/>
                <w:highlight w:val="none"/>
              </w:rPr>
              <w:t>全厂有组织废气产生</w:t>
            </w:r>
            <w:r>
              <w:rPr>
                <w:rFonts w:hint="eastAsia"/>
                <w:color w:val="auto"/>
                <w:sz w:val="24"/>
                <w:highlight w:val="none"/>
              </w:rPr>
              <w:t>、</w:t>
            </w:r>
            <w:r>
              <w:rPr>
                <w:color w:val="auto"/>
                <w:sz w:val="24"/>
                <w:highlight w:val="none"/>
              </w:rPr>
              <w:t>治理和排放情况见表</w:t>
            </w:r>
            <w:r>
              <w:rPr>
                <w:rFonts w:hint="eastAsia"/>
                <w:color w:val="auto"/>
                <w:sz w:val="24"/>
                <w:highlight w:val="none"/>
              </w:rPr>
              <w:t>2-8。</w:t>
            </w:r>
          </w:p>
          <w:p>
            <w:pPr>
              <w:spacing w:line="360" w:lineRule="auto"/>
              <w:jc w:val="center"/>
              <w:rPr>
                <w:rFonts w:eastAsia="黑体"/>
                <w:color w:val="auto"/>
                <w:sz w:val="24"/>
                <w:highlight w:val="none"/>
              </w:rPr>
            </w:pPr>
            <w:r>
              <w:rPr>
                <w:rFonts w:hint="eastAsia" w:eastAsia="黑体"/>
                <w:color w:val="auto"/>
                <w:sz w:val="24"/>
                <w:highlight w:val="none"/>
              </w:rPr>
              <w:t>表</w:t>
            </w:r>
            <w:bookmarkStart w:id="6" w:name="_Hlk27213407"/>
            <w:r>
              <w:rPr>
                <w:rFonts w:hint="eastAsia" w:eastAsia="黑体"/>
                <w:color w:val="auto"/>
                <w:sz w:val="24"/>
                <w:highlight w:val="none"/>
              </w:rPr>
              <w:t>2-8</w:t>
            </w:r>
            <w:r>
              <w:rPr>
                <w:rFonts w:eastAsia="黑体"/>
                <w:color w:val="auto"/>
                <w:sz w:val="24"/>
                <w:highlight w:val="none"/>
              </w:rPr>
              <w:t xml:space="preserve"> </w:t>
            </w:r>
            <w:r>
              <w:rPr>
                <w:rFonts w:hint="eastAsia" w:eastAsia="黑体"/>
                <w:color w:val="auto"/>
                <w:sz w:val="24"/>
                <w:highlight w:val="none"/>
              </w:rPr>
              <w:t>改建前全厂有组织废气产生、治理及排放情况表</w:t>
            </w:r>
            <w:bookmarkEnd w:id="6"/>
          </w:p>
          <w:tbl>
            <w:tblPr>
              <w:tblStyle w:val="39"/>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blLayout w:type="autofit"/>
              <w:tblCellMar>
                <w:top w:w="0" w:type="dxa"/>
                <w:left w:w="108" w:type="dxa"/>
                <w:bottom w:w="0" w:type="dxa"/>
                <w:right w:w="108" w:type="dxa"/>
              </w:tblCellMar>
            </w:tblPr>
            <w:tblGrid>
              <w:gridCol w:w="222"/>
              <w:gridCol w:w="227"/>
              <w:gridCol w:w="582"/>
              <w:gridCol w:w="222"/>
              <w:gridCol w:w="1085"/>
              <w:gridCol w:w="437"/>
              <w:gridCol w:w="1098"/>
              <w:gridCol w:w="894"/>
              <w:gridCol w:w="222"/>
              <w:gridCol w:w="685"/>
              <w:gridCol w:w="757"/>
              <w:gridCol w:w="894"/>
              <w:gridCol w:w="109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40" w:hRule="atLeast"/>
                <w:tblHeader/>
                <w:jc w:val="center"/>
              </w:trPr>
              <w:tc>
                <w:tcPr>
                  <w:tcW w:w="638" w:type="dxa"/>
                  <w:shd w:val="clear" w:color="auto" w:fill="FFFFFF"/>
                  <w:noWrap w:val="0"/>
                  <w:vAlign w:val="center"/>
                </w:tcPr>
                <w:p>
                  <w:pPr>
                    <w:tabs>
                      <w:tab w:val="left" w:pos="105"/>
                    </w:tabs>
                    <w:spacing w:line="240" w:lineRule="exact"/>
                    <w:ind w:left="-120" w:leftChars="-50" w:right="-120" w:rightChars="-50"/>
                    <w:jc w:val="center"/>
                    <w:rPr>
                      <w:b/>
                      <w:color w:val="auto"/>
                      <w:szCs w:val="21"/>
                      <w:highlight w:val="none"/>
                    </w:rPr>
                  </w:pPr>
                  <w:bookmarkStart w:id="7" w:name="_Hlk12971084"/>
                  <w:bookmarkStart w:id="8" w:name="_Hlk12971105"/>
                  <w:r>
                    <w:rPr>
                      <w:b/>
                      <w:color w:val="auto"/>
                      <w:szCs w:val="21"/>
                      <w:highlight w:val="none"/>
                    </w:rPr>
                    <w:t>废气</w:t>
                  </w:r>
                </w:p>
                <w:p>
                  <w:pPr>
                    <w:tabs>
                      <w:tab w:val="left" w:pos="105"/>
                    </w:tabs>
                    <w:spacing w:line="240" w:lineRule="exact"/>
                    <w:ind w:left="-120" w:leftChars="-50" w:right="-120" w:rightChars="-50"/>
                    <w:jc w:val="center"/>
                    <w:rPr>
                      <w:b/>
                      <w:color w:val="auto"/>
                      <w:szCs w:val="21"/>
                      <w:highlight w:val="none"/>
                    </w:rPr>
                  </w:pPr>
                  <w:r>
                    <w:rPr>
                      <w:b/>
                      <w:color w:val="auto"/>
                      <w:szCs w:val="21"/>
                      <w:highlight w:val="none"/>
                    </w:rPr>
                    <w:t>名称</w:t>
                  </w:r>
                </w:p>
              </w:tc>
              <w:tc>
                <w:tcPr>
                  <w:tcW w:w="268" w:type="dxa"/>
                  <w:shd w:val="clear" w:color="auto" w:fill="FFFFFF"/>
                  <w:noWrap w:val="0"/>
                  <w:vAlign w:val="center"/>
                </w:tcPr>
                <w:p>
                  <w:pPr>
                    <w:tabs>
                      <w:tab w:val="left" w:pos="105"/>
                    </w:tabs>
                    <w:spacing w:line="240" w:lineRule="exact"/>
                    <w:ind w:left="-120" w:leftChars="-50" w:right="-120" w:rightChars="-50"/>
                    <w:jc w:val="center"/>
                    <w:rPr>
                      <w:b/>
                      <w:color w:val="auto"/>
                      <w:szCs w:val="21"/>
                      <w:highlight w:val="none"/>
                    </w:rPr>
                  </w:pPr>
                  <w:r>
                    <w:rPr>
                      <w:b/>
                      <w:color w:val="auto"/>
                      <w:szCs w:val="21"/>
                      <w:highlight w:val="none"/>
                    </w:rPr>
                    <w:t>废气</w:t>
                  </w:r>
                </w:p>
                <w:p>
                  <w:pPr>
                    <w:tabs>
                      <w:tab w:val="left" w:pos="105"/>
                    </w:tabs>
                    <w:spacing w:line="240" w:lineRule="exact"/>
                    <w:ind w:left="-120" w:leftChars="-50" w:right="-120" w:rightChars="-50"/>
                    <w:jc w:val="center"/>
                    <w:rPr>
                      <w:b/>
                      <w:color w:val="auto"/>
                      <w:szCs w:val="21"/>
                      <w:highlight w:val="none"/>
                    </w:rPr>
                  </w:pPr>
                  <w:r>
                    <w:rPr>
                      <w:b/>
                      <w:color w:val="auto"/>
                      <w:szCs w:val="21"/>
                      <w:highlight w:val="none"/>
                    </w:rPr>
                    <w:t>编号</w:t>
                  </w:r>
                </w:p>
              </w:tc>
              <w:tc>
                <w:tcPr>
                  <w:tcW w:w="514" w:type="dxa"/>
                  <w:shd w:val="clear" w:color="auto" w:fill="FFFFFF"/>
                  <w:noWrap w:val="0"/>
                  <w:vAlign w:val="center"/>
                </w:tcPr>
                <w:p>
                  <w:pPr>
                    <w:tabs>
                      <w:tab w:val="left" w:pos="105"/>
                    </w:tabs>
                    <w:spacing w:line="220" w:lineRule="exact"/>
                    <w:ind w:left="-120" w:leftChars="-50" w:right="-120" w:rightChars="-50"/>
                    <w:jc w:val="center"/>
                    <w:rPr>
                      <w:b/>
                      <w:color w:val="auto"/>
                      <w:szCs w:val="21"/>
                      <w:highlight w:val="none"/>
                    </w:rPr>
                  </w:pPr>
                  <w:r>
                    <w:rPr>
                      <w:b/>
                      <w:color w:val="auto"/>
                      <w:szCs w:val="21"/>
                      <w:highlight w:val="none"/>
                    </w:rPr>
                    <w:t>运行</w:t>
                  </w:r>
                </w:p>
                <w:p>
                  <w:pPr>
                    <w:tabs>
                      <w:tab w:val="left" w:pos="105"/>
                    </w:tabs>
                    <w:spacing w:line="220" w:lineRule="exact"/>
                    <w:ind w:left="-120" w:leftChars="-50" w:right="-120" w:rightChars="-50"/>
                    <w:jc w:val="center"/>
                    <w:rPr>
                      <w:b/>
                      <w:color w:val="auto"/>
                      <w:szCs w:val="21"/>
                      <w:highlight w:val="none"/>
                    </w:rPr>
                  </w:pPr>
                  <w:r>
                    <w:rPr>
                      <w:b/>
                      <w:color w:val="auto"/>
                      <w:szCs w:val="21"/>
                      <w:highlight w:val="none"/>
                    </w:rPr>
                    <w:t>时间</w:t>
                  </w:r>
                </w:p>
                <w:p>
                  <w:pPr>
                    <w:tabs>
                      <w:tab w:val="left" w:pos="105"/>
                    </w:tabs>
                    <w:spacing w:line="240" w:lineRule="exact"/>
                    <w:ind w:left="-120" w:leftChars="-50" w:right="-120" w:rightChars="-50"/>
                    <w:jc w:val="center"/>
                    <w:rPr>
                      <w:b/>
                      <w:color w:val="auto"/>
                      <w:szCs w:val="21"/>
                      <w:highlight w:val="none"/>
                    </w:rPr>
                  </w:pPr>
                  <w:r>
                    <w:rPr>
                      <w:b/>
                      <w:color w:val="auto"/>
                      <w:szCs w:val="21"/>
                      <w:highlight w:val="none"/>
                    </w:rPr>
                    <w:t>（h）</w:t>
                  </w:r>
                </w:p>
              </w:tc>
              <w:tc>
                <w:tcPr>
                  <w:tcW w:w="482" w:type="dxa"/>
                  <w:shd w:val="clear" w:color="auto" w:fill="FFFFFF"/>
                  <w:noWrap w:val="0"/>
                  <w:vAlign w:val="center"/>
                </w:tcPr>
                <w:p>
                  <w:pPr>
                    <w:tabs>
                      <w:tab w:val="left" w:pos="105"/>
                    </w:tabs>
                    <w:spacing w:line="240" w:lineRule="exact"/>
                    <w:ind w:left="-120" w:leftChars="-50" w:right="-120" w:rightChars="-50"/>
                    <w:jc w:val="center"/>
                    <w:rPr>
                      <w:b/>
                      <w:color w:val="auto"/>
                      <w:szCs w:val="21"/>
                      <w:highlight w:val="none"/>
                    </w:rPr>
                  </w:pPr>
                  <w:r>
                    <w:rPr>
                      <w:b/>
                      <w:color w:val="auto"/>
                      <w:szCs w:val="21"/>
                      <w:highlight w:val="none"/>
                    </w:rPr>
                    <w:t>废气</w:t>
                  </w:r>
                </w:p>
                <w:p>
                  <w:pPr>
                    <w:tabs>
                      <w:tab w:val="left" w:pos="105"/>
                    </w:tabs>
                    <w:spacing w:line="240" w:lineRule="exact"/>
                    <w:ind w:left="-120" w:leftChars="-50" w:right="-120" w:rightChars="-50"/>
                    <w:jc w:val="center"/>
                    <w:rPr>
                      <w:b/>
                      <w:color w:val="auto"/>
                      <w:szCs w:val="21"/>
                      <w:highlight w:val="none"/>
                    </w:rPr>
                  </w:pPr>
                  <w:r>
                    <w:rPr>
                      <w:b/>
                      <w:color w:val="auto"/>
                      <w:szCs w:val="21"/>
                      <w:highlight w:val="none"/>
                    </w:rPr>
                    <w:t>源点</w:t>
                  </w:r>
                </w:p>
              </w:tc>
              <w:tc>
                <w:tcPr>
                  <w:tcW w:w="761" w:type="dxa"/>
                  <w:shd w:val="clear" w:color="auto" w:fill="FFFFFF"/>
                  <w:noWrap w:val="0"/>
                  <w:vAlign w:val="center"/>
                </w:tcPr>
                <w:p>
                  <w:pPr>
                    <w:tabs>
                      <w:tab w:val="left" w:pos="105"/>
                    </w:tabs>
                    <w:spacing w:line="240" w:lineRule="exact"/>
                    <w:ind w:left="-120" w:leftChars="-50" w:right="-120" w:rightChars="-50"/>
                    <w:jc w:val="center"/>
                    <w:rPr>
                      <w:b/>
                      <w:color w:val="auto"/>
                      <w:szCs w:val="21"/>
                      <w:highlight w:val="none"/>
                    </w:rPr>
                  </w:pPr>
                  <w:r>
                    <w:rPr>
                      <w:b/>
                      <w:color w:val="auto"/>
                      <w:szCs w:val="21"/>
                      <w:highlight w:val="none"/>
                    </w:rPr>
                    <w:t>废气量</w:t>
                  </w:r>
                </w:p>
                <w:p>
                  <w:pPr>
                    <w:tabs>
                      <w:tab w:val="left" w:pos="105"/>
                    </w:tabs>
                    <w:spacing w:line="240" w:lineRule="exact"/>
                    <w:ind w:left="-120" w:leftChars="-50" w:right="-120" w:rightChars="-50"/>
                    <w:jc w:val="center"/>
                    <w:rPr>
                      <w:b/>
                      <w:color w:val="auto"/>
                      <w:szCs w:val="21"/>
                      <w:highlight w:val="none"/>
                    </w:rPr>
                  </w:pPr>
                  <w:r>
                    <w:rPr>
                      <w:b/>
                      <w:color w:val="auto"/>
                      <w:szCs w:val="21"/>
                      <w:highlight w:val="none"/>
                    </w:rPr>
                    <w:t>（Nm</w:t>
                  </w:r>
                  <w:r>
                    <w:rPr>
                      <w:b/>
                      <w:color w:val="auto"/>
                      <w:szCs w:val="21"/>
                      <w:highlight w:val="none"/>
                      <w:vertAlign w:val="superscript"/>
                    </w:rPr>
                    <w:t>3</w:t>
                  </w:r>
                  <w:r>
                    <w:rPr>
                      <w:b/>
                      <w:color w:val="auto"/>
                      <w:szCs w:val="21"/>
                      <w:highlight w:val="none"/>
                    </w:rPr>
                    <w:t>/h）</w:t>
                  </w:r>
                </w:p>
              </w:tc>
              <w:tc>
                <w:tcPr>
                  <w:tcW w:w="525" w:type="dxa"/>
                  <w:shd w:val="clear" w:color="auto" w:fill="FFFFFF"/>
                  <w:noWrap w:val="0"/>
                  <w:vAlign w:val="center"/>
                </w:tcPr>
                <w:p>
                  <w:pPr>
                    <w:tabs>
                      <w:tab w:val="left" w:pos="105"/>
                    </w:tabs>
                    <w:spacing w:line="240" w:lineRule="exact"/>
                    <w:ind w:left="-120" w:leftChars="-50" w:right="-120" w:rightChars="-50"/>
                    <w:jc w:val="center"/>
                    <w:rPr>
                      <w:b/>
                      <w:color w:val="auto"/>
                      <w:szCs w:val="21"/>
                      <w:highlight w:val="none"/>
                    </w:rPr>
                  </w:pPr>
                  <w:r>
                    <w:rPr>
                      <w:b/>
                      <w:color w:val="auto"/>
                      <w:szCs w:val="21"/>
                      <w:highlight w:val="none"/>
                    </w:rPr>
                    <w:t>污染物</w:t>
                  </w:r>
                </w:p>
              </w:tc>
              <w:tc>
                <w:tcPr>
                  <w:tcW w:w="750" w:type="dxa"/>
                  <w:shd w:val="clear" w:color="auto" w:fill="FFFFFF"/>
                  <w:noWrap w:val="0"/>
                  <w:vAlign w:val="center"/>
                </w:tcPr>
                <w:p>
                  <w:pPr>
                    <w:tabs>
                      <w:tab w:val="left" w:pos="105"/>
                    </w:tabs>
                    <w:spacing w:line="240" w:lineRule="exact"/>
                    <w:ind w:left="-120" w:leftChars="-50" w:right="-120" w:rightChars="-50"/>
                    <w:jc w:val="center"/>
                    <w:rPr>
                      <w:b/>
                      <w:color w:val="auto"/>
                      <w:szCs w:val="21"/>
                      <w:highlight w:val="none"/>
                    </w:rPr>
                  </w:pPr>
                  <w:r>
                    <w:rPr>
                      <w:b/>
                      <w:color w:val="auto"/>
                      <w:szCs w:val="21"/>
                      <w:highlight w:val="none"/>
                    </w:rPr>
                    <w:t>产生浓度（mg/m</w:t>
                  </w:r>
                  <w:r>
                    <w:rPr>
                      <w:b/>
                      <w:color w:val="auto"/>
                      <w:szCs w:val="21"/>
                      <w:highlight w:val="none"/>
                      <w:vertAlign w:val="superscript"/>
                    </w:rPr>
                    <w:t>3</w:t>
                  </w:r>
                  <w:r>
                    <w:rPr>
                      <w:b/>
                      <w:color w:val="auto"/>
                      <w:szCs w:val="21"/>
                      <w:highlight w:val="none"/>
                    </w:rPr>
                    <w:t>）</w:t>
                  </w:r>
                </w:p>
              </w:tc>
              <w:tc>
                <w:tcPr>
                  <w:tcW w:w="566" w:type="dxa"/>
                  <w:shd w:val="clear" w:color="auto" w:fill="FFFFFF"/>
                  <w:noWrap w:val="0"/>
                  <w:vAlign w:val="center"/>
                </w:tcPr>
                <w:p>
                  <w:pPr>
                    <w:tabs>
                      <w:tab w:val="left" w:pos="105"/>
                    </w:tabs>
                    <w:spacing w:line="240" w:lineRule="exact"/>
                    <w:ind w:left="-120" w:leftChars="-50" w:right="-120" w:rightChars="-50"/>
                    <w:jc w:val="center"/>
                    <w:rPr>
                      <w:b/>
                      <w:color w:val="auto"/>
                      <w:szCs w:val="21"/>
                      <w:highlight w:val="none"/>
                    </w:rPr>
                  </w:pPr>
                  <w:r>
                    <w:rPr>
                      <w:b/>
                      <w:color w:val="auto"/>
                      <w:szCs w:val="21"/>
                      <w:highlight w:val="none"/>
                    </w:rPr>
                    <w:t>产生</w:t>
                  </w:r>
                </w:p>
                <w:p>
                  <w:pPr>
                    <w:tabs>
                      <w:tab w:val="left" w:pos="105"/>
                    </w:tabs>
                    <w:spacing w:line="240" w:lineRule="exact"/>
                    <w:ind w:left="-120" w:leftChars="-50" w:right="-120" w:rightChars="-50"/>
                    <w:jc w:val="center"/>
                    <w:rPr>
                      <w:b/>
                      <w:color w:val="auto"/>
                      <w:szCs w:val="21"/>
                      <w:highlight w:val="none"/>
                    </w:rPr>
                  </w:pPr>
                  <w:r>
                    <w:rPr>
                      <w:b/>
                      <w:color w:val="auto"/>
                      <w:szCs w:val="21"/>
                      <w:highlight w:val="none"/>
                    </w:rPr>
                    <w:t>速率</w:t>
                  </w:r>
                </w:p>
                <w:p>
                  <w:pPr>
                    <w:tabs>
                      <w:tab w:val="left" w:pos="105"/>
                    </w:tabs>
                    <w:spacing w:line="240" w:lineRule="exact"/>
                    <w:ind w:left="-120" w:leftChars="-50" w:right="-120" w:rightChars="-50"/>
                    <w:jc w:val="center"/>
                    <w:rPr>
                      <w:b/>
                      <w:color w:val="auto"/>
                      <w:szCs w:val="21"/>
                      <w:highlight w:val="none"/>
                    </w:rPr>
                  </w:pPr>
                  <w:r>
                    <w:rPr>
                      <w:b/>
                      <w:color w:val="auto"/>
                      <w:szCs w:val="21"/>
                      <w:highlight w:val="none"/>
                    </w:rPr>
                    <w:t>（kg/h）</w:t>
                  </w:r>
                </w:p>
              </w:tc>
              <w:tc>
                <w:tcPr>
                  <w:tcW w:w="773" w:type="dxa"/>
                  <w:shd w:val="clear" w:color="auto" w:fill="FFFFFF"/>
                  <w:noWrap w:val="0"/>
                  <w:vAlign w:val="center"/>
                </w:tcPr>
                <w:p>
                  <w:pPr>
                    <w:tabs>
                      <w:tab w:val="left" w:pos="105"/>
                    </w:tabs>
                    <w:spacing w:line="240" w:lineRule="exact"/>
                    <w:ind w:left="-120" w:leftChars="-50" w:right="-120" w:rightChars="-50"/>
                    <w:jc w:val="center"/>
                    <w:rPr>
                      <w:b/>
                      <w:color w:val="auto"/>
                      <w:szCs w:val="21"/>
                      <w:highlight w:val="none"/>
                    </w:rPr>
                  </w:pPr>
                  <w:r>
                    <w:rPr>
                      <w:b/>
                      <w:color w:val="auto"/>
                      <w:szCs w:val="21"/>
                      <w:highlight w:val="none"/>
                    </w:rPr>
                    <w:t>治理措施</w:t>
                  </w:r>
                </w:p>
              </w:tc>
              <w:tc>
                <w:tcPr>
                  <w:tcW w:w="557" w:type="dxa"/>
                  <w:shd w:val="clear" w:color="auto" w:fill="FFFFFF"/>
                  <w:noWrap w:val="0"/>
                  <w:vAlign w:val="center"/>
                </w:tcPr>
                <w:p>
                  <w:pPr>
                    <w:tabs>
                      <w:tab w:val="left" w:pos="105"/>
                    </w:tabs>
                    <w:spacing w:line="240" w:lineRule="exact"/>
                    <w:ind w:left="-120" w:leftChars="-50" w:right="-120" w:rightChars="-50"/>
                    <w:jc w:val="center"/>
                    <w:rPr>
                      <w:b/>
                      <w:color w:val="auto"/>
                      <w:szCs w:val="21"/>
                      <w:highlight w:val="none"/>
                    </w:rPr>
                  </w:pPr>
                  <w:r>
                    <w:rPr>
                      <w:b/>
                      <w:color w:val="auto"/>
                      <w:szCs w:val="21"/>
                      <w:highlight w:val="none"/>
                    </w:rPr>
                    <w:t>治理</w:t>
                  </w:r>
                </w:p>
                <w:p>
                  <w:pPr>
                    <w:tabs>
                      <w:tab w:val="left" w:pos="105"/>
                    </w:tabs>
                    <w:spacing w:line="240" w:lineRule="exact"/>
                    <w:ind w:left="-120" w:leftChars="-50" w:right="-120" w:rightChars="-50"/>
                    <w:jc w:val="center"/>
                    <w:rPr>
                      <w:b/>
                      <w:color w:val="auto"/>
                      <w:szCs w:val="21"/>
                      <w:highlight w:val="none"/>
                    </w:rPr>
                  </w:pPr>
                  <w:r>
                    <w:rPr>
                      <w:b/>
                      <w:color w:val="auto"/>
                      <w:szCs w:val="21"/>
                      <w:highlight w:val="none"/>
                    </w:rPr>
                    <w:t>效率</w:t>
                  </w:r>
                </w:p>
                <w:p>
                  <w:pPr>
                    <w:tabs>
                      <w:tab w:val="left" w:pos="105"/>
                    </w:tabs>
                    <w:spacing w:line="240" w:lineRule="exact"/>
                    <w:ind w:left="-120" w:leftChars="-50" w:right="-120" w:rightChars="-50"/>
                    <w:jc w:val="center"/>
                    <w:rPr>
                      <w:b/>
                      <w:color w:val="auto"/>
                      <w:szCs w:val="21"/>
                      <w:highlight w:val="none"/>
                    </w:rPr>
                  </w:pPr>
                  <w:r>
                    <w:rPr>
                      <w:b/>
                      <w:color w:val="auto"/>
                      <w:szCs w:val="21"/>
                      <w:highlight w:val="none"/>
                    </w:rPr>
                    <w:t>（%）</w:t>
                  </w:r>
                </w:p>
              </w:tc>
              <w:tc>
                <w:tcPr>
                  <w:tcW w:w="815" w:type="dxa"/>
                  <w:shd w:val="clear" w:color="auto" w:fill="FFFFFF"/>
                  <w:noWrap w:val="0"/>
                  <w:vAlign w:val="center"/>
                </w:tcPr>
                <w:p>
                  <w:pPr>
                    <w:tabs>
                      <w:tab w:val="left" w:pos="105"/>
                    </w:tabs>
                    <w:spacing w:line="240" w:lineRule="exact"/>
                    <w:ind w:left="-120" w:leftChars="-50" w:right="-120" w:rightChars="-50"/>
                    <w:jc w:val="center"/>
                    <w:rPr>
                      <w:b/>
                      <w:color w:val="auto"/>
                      <w:szCs w:val="21"/>
                      <w:highlight w:val="none"/>
                    </w:rPr>
                  </w:pPr>
                  <w:r>
                    <w:rPr>
                      <w:b/>
                      <w:color w:val="auto"/>
                      <w:szCs w:val="21"/>
                      <w:highlight w:val="none"/>
                    </w:rPr>
                    <w:t>排气筒</w:t>
                  </w:r>
                </w:p>
                <w:p>
                  <w:pPr>
                    <w:tabs>
                      <w:tab w:val="left" w:pos="105"/>
                    </w:tabs>
                    <w:spacing w:line="240" w:lineRule="exact"/>
                    <w:ind w:left="-120" w:leftChars="-50" w:right="-120" w:rightChars="-50"/>
                    <w:jc w:val="center"/>
                    <w:rPr>
                      <w:b/>
                      <w:color w:val="auto"/>
                      <w:szCs w:val="21"/>
                      <w:highlight w:val="none"/>
                    </w:rPr>
                  </w:pPr>
                  <w:r>
                    <w:rPr>
                      <w:b/>
                      <w:color w:val="auto"/>
                      <w:szCs w:val="21"/>
                      <w:highlight w:val="none"/>
                    </w:rPr>
                    <w:t>参数</w:t>
                  </w:r>
                </w:p>
              </w:tc>
              <w:tc>
                <w:tcPr>
                  <w:tcW w:w="621" w:type="dxa"/>
                  <w:shd w:val="clear" w:color="auto" w:fill="FFFFFF"/>
                  <w:noWrap w:val="0"/>
                  <w:vAlign w:val="center"/>
                </w:tcPr>
                <w:p>
                  <w:pPr>
                    <w:tabs>
                      <w:tab w:val="left" w:pos="105"/>
                    </w:tabs>
                    <w:spacing w:line="240" w:lineRule="exact"/>
                    <w:ind w:left="-120" w:leftChars="-50" w:right="-120" w:rightChars="-50"/>
                    <w:jc w:val="center"/>
                    <w:rPr>
                      <w:b/>
                      <w:color w:val="auto"/>
                      <w:szCs w:val="21"/>
                      <w:highlight w:val="none"/>
                    </w:rPr>
                  </w:pPr>
                  <w:r>
                    <w:rPr>
                      <w:b/>
                      <w:color w:val="auto"/>
                      <w:szCs w:val="21"/>
                      <w:highlight w:val="none"/>
                    </w:rPr>
                    <w:t>废气排放</w:t>
                  </w:r>
                </w:p>
                <w:p>
                  <w:pPr>
                    <w:tabs>
                      <w:tab w:val="left" w:pos="105"/>
                    </w:tabs>
                    <w:spacing w:line="240" w:lineRule="exact"/>
                    <w:ind w:left="-120" w:leftChars="-50" w:right="-120" w:rightChars="-50"/>
                    <w:jc w:val="center"/>
                    <w:rPr>
                      <w:b/>
                      <w:color w:val="auto"/>
                      <w:szCs w:val="21"/>
                      <w:highlight w:val="none"/>
                    </w:rPr>
                  </w:pPr>
                  <w:r>
                    <w:rPr>
                      <w:b/>
                      <w:color w:val="auto"/>
                      <w:szCs w:val="21"/>
                      <w:highlight w:val="none"/>
                    </w:rPr>
                    <w:t>（kg/h）</w:t>
                  </w:r>
                </w:p>
              </w:tc>
              <w:tc>
                <w:tcPr>
                  <w:tcW w:w="667" w:type="dxa"/>
                  <w:shd w:val="clear" w:color="auto" w:fill="FFFFFF"/>
                  <w:noWrap w:val="0"/>
                  <w:vAlign w:val="center"/>
                </w:tcPr>
                <w:p>
                  <w:pPr>
                    <w:tabs>
                      <w:tab w:val="left" w:pos="105"/>
                    </w:tabs>
                    <w:spacing w:line="240" w:lineRule="exact"/>
                    <w:ind w:left="-120" w:leftChars="-50" w:right="-120" w:rightChars="-50"/>
                    <w:jc w:val="center"/>
                    <w:rPr>
                      <w:b/>
                      <w:color w:val="auto"/>
                      <w:szCs w:val="21"/>
                      <w:highlight w:val="none"/>
                    </w:rPr>
                  </w:pPr>
                  <w:r>
                    <w:rPr>
                      <w:b/>
                      <w:color w:val="auto"/>
                      <w:szCs w:val="21"/>
                      <w:highlight w:val="none"/>
                    </w:rPr>
                    <w:t>标准值</w:t>
                  </w:r>
                </w:p>
                <w:p>
                  <w:pPr>
                    <w:tabs>
                      <w:tab w:val="left" w:pos="105"/>
                    </w:tabs>
                    <w:spacing w:line="240" w:lineRule="exact"/>
                    <w:ind w:left="-120" w:leftChars="-50" w:right="-120" w:rightChars="-50"/>
                    <w:jc w:val="center"/>
                    <w:rPr>
                      <w:b/>
                      <w:color w:val="auto"/>
                      <w:szCs w:val="21"/>
                      <w:highlight w:val="none"/>
                    </w:rPr>
                  </w:pPr>
                  <w:r>
                    <w:rPr>
                      <w:b/>
                      <w:color w:val="auto"/>
                      <w:szCs w:val="21"/>
                      <w:highlight w:val="none"/>
                    </w:rPr>
                    <w:t>（mg/m</w:t>
                  </w:r>
                  <w:r>
                    <w:rPr>
                      <w:b/>
                      <w:color w:val="auto"/>
                      <w:szCs w:val="21"/>
                      <w:highlight w:val="none"/>
                      <w:vertAlign w:val="superscript"/>
                    </w:rPr>
                    <w:t>3</w:t>
                  </w:r>
                  <w:r>
                    <w:rPr>
                      <w:b/>
                      <w:color w:val="auto"/>
                      <w:szCs w:val="21"/>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638" w:type="dxa"/>
                  <w:vMerge w:val="restart"/>
                  <w:shd w:val="clear" w:color="auto" w:fill="FFFFFF"/>
                  <w:noWrap w:val="0"/>
                  <w:vAlign w:val="center"/>
                </w:tcPr>
                <w:p>
                  <w:pPr>
                    <w:tabs>
                      <w:tab w:val="left" w:pos="105"/>
                    </w:tabs>
                    <w:spacing w:line="240" w:lineRule="exact"/>
                    <w:ind w:left="-120" w:leftChars="-50" w:right="-120" w:rightChars="-50"/>
                    <w:jc w:val="center"/>
                    <w:rPr>
                      <w:color w:val="auto"/>
                      <w:szCs w:val="21"/>
                      <w:highlight w:val="none"/>
                    </w:rPr>
                  </w:pPr>
                  <w:r>
                    <w:rPr>
                      <w:color w:val="auto"/>
                      <w:szCs w:val="21"/>
                      <w:highlight w:val="none"/>
                    </w:rPr>
                    <w:t>骨料加热粉尘及燃烧尾气</w:t>
                  </w:r>
                </w:p>
              </w:tc>
              <w:tc>
                <w:tcPr>
                  <w:tcW w:w="268" w:type="dxa"/>
                  <w:vMerge w:val="restart"/>
                  <w:shd w:val="clear" w:color="auto" w:fill="FFFFFF"/>
                  <w:noWrap w:val="0"/>
                  <w:vAlign w:val="center"/>
                </w:tcPr>
                <w:p>
                  <w:pPr>
                    <w:tabs>
                      <w:tab w:val="left" w:pos="105"/>
                    </w:tabs>
                    <w:spacing w:line="240" w:lineRule="exact"/>
                    <w:ind w:left="-120" w:leftChars="-50" w:right="-120" w:rightChars="-50"/>
                    <w:jc w:val="center"/>
                    <w:rPr>
                      <w:color w:val="auto"/>
                      <w:szCs w:val="21"/>
                      <w:highlight w:val="none"/>
                    </w:rPr>
                  </w:pPr>
                  <w:r>
                    <w:rPr>
                      <w:color w:val="auto"/>
                      <w:szCs w:val="21"/>
                      <w:highlight w:val="none"/>
                    </w:rPr>
                    <w:t>G</w:t>
                  </w:r>
                  <w:r>
                    <w:rPr>
                      <w:color w:val="auto"/>
                      <w:szCs w:val="21"/>
                      <w:highlight w:val="none"/>
                      <w:vertAlign w:val="subscript"/>
                    </w:rPr>
                    <w:t>1</w:t>
                  </w:r>
                </w:p>
              </w:tc>
              <w:tc>
                <w:tcPr>
                  <w:tcW w:w="514" w:type="dxa"/>
                  <w:vMerge w:val="restart"/>
                  <w:shd w:val="clear" w:color="auto" w:fill="FFFFFF"/>
                  <w:noWrap w:val="0"/>
                  <w:vAlign w:val="center"/>
                </w:tcPr>
                <w:p>
                  <w:pPr>
                    <w:tabs>
                      <w:tab w:val="left" w:pos="105"/>
                    </w:tabs>
                    <w:spacing w:line="240" w:lineRule="exact"/>
                    <w:ind w:left="-120" w:leftChars="-50" w:right="-120" w:rightChars="-50"/>
                    <w:jc w:val="center"/>
                    <w:rPr>
                      <w:color w:val="auto"/>
                      <w:szCs w:val="21"/>
                      <w:highlight w:val="none"/>
                    </w:rPr>
                  </w:pPr>
                  <w:r>
                    <w:rPr>
                      <w:color w:val="auto"/>
                      <w:szCs w:val="21"/>
                      <w:highlight w:val="none"/>
                    </w:rPr>
                    <w:t>1000</w:t>
                  </w:r>
                </w:p>
              </w:tc>
              <w:tc>
                <w:tcPr>
                  <w:tcW w:w="482" w:type="dxa"/>
                  <w:vMerge w:val="restart"/>
                  <w:shd w:val="clear" w:color="auto" w:fill="FFFFFF"/>
                  <w:noWrap w:val="0"/>
                  <w:vAlign w:val="center"/>
                </w:tcPr>
                <w:p>
                  <w:pPr>
                    <w:tabs>
                      <w:tab w:val="left" w:pos="105"/>
                    </w:tabs>
                    <w:spacing w:line="240" w:lineRule="exact"/>
                    <w:ind w:left="-120" w:leftChars="-50" w:right="-120" w:rightChars="-50"/>
                    <w:jc w:val="center"/>
                    <w:rPr>
                      <w:color w:val="auto"/>
                      <w:szCs w:val="21"/>
                      <w:highlight w:val="none"/>
                    </w:rPr>
                  </w:pPr>
                  <w:r>
                    <w:rPr>
                      <w:color w:val="auto"/>
                      <w:szCs w:val="21"/>
                      <w:highlight w:val="none"/>
                    </w:rPr>
                    <w:t>骨料干燥</w:t>
                  </w:r>
                </w:p>
              </w:tc>
              <w:tc>
                <w:tcPr>
                  <w:tcW w:w="761" w:type="dxa"/>
                  <w:vMerge w:val="restart"/>
                  <w:shd w:val="clear" w:color="auto" w:fill="FFFFFF"/>
                  <w:noWrap w:val="0"/>
                  <w:vAlign w:val="center"/>
                </w:tcPr>
                <w:p>
                  <w:pPr>
                    <w:tabs>
                      <w:tab w:val="left" w:pos="105"/>
                    </w:tabs>
                    <w:spacing w:line="240" w:lineRule="exact"/>
                    <w:ind w:left="-120" w:leftChars="-50" w:right="-120" w:rightChars="-50"/>
                    <w:jc w:val="center"/>
                    <w:rPr>
                      <w:color w:val="auto"/>
                      <w:szCs w:val="21"/>
                      <w:highlight w:val="none"/>
                    </w:rPr>
                  </w:pPr>
                  <w:r>
                    <w:rPr>
                      <w:color w:val="auto"/>
                      <w:szCs w:val="21"/>
                      <w:highlight w:val="none"/>
                    </w:rPr>
                    <w:t>55000</w:t>
                  </w:r>
                </w:p>
              </w:tc>
              <w:tc>
                <w:tcPr>
                  <w:tcW w:w="525" w:type="dxa"/>
                  <w:shd w:val="clear" w:color="auto" w:fill="FFFFFF"/>
                  <w:noWrap w:val="0"/>
                  <w:vAlign w:val="center"/>
                </w:tcPr>
                <w:p>
                  <w:pPr>
                    <w:tabs>
                      <w:tab w:val="left" w:pos="105"/>
                    </w:tabs>
                    <w:spacing w:line="240" w:lineRule="exact"/>
                    <w:ind w:left="-120" w:leftChars="-50" w:right="-120" w:rightChars="-50"/>
                    <w:jc w:val="center"/>
                    <w:rPr>
                      <w:color w:val="auto"/>
                      <w:szCs w:val="21"/>
                      <w:highlight w:val="none"/>
                    </w:rPr>
                  </w:pPr>
                  <w:r>
                    <w:rPr>
                      <w:color w:val="auto"/>
                      <w:szCs w:val="21"/>
                      <w:highlight w:val="none"/>
                    </w:rPr>
                    <w:t>SO</w:t>
                  </w:r>
                  <w:r>
                    <w:rPr>
                      <w:color w:val="auto"/>
                      <w:szCs w:val="21"/>
                      <w:highlight w:val="none"/>
                      <w:vertAlign w:val="subscript"/>
                    </w:rPr>
                    <w:t>2</w:t>
                  </w:r>
                </w:p>
              </w:tc>
              <w:tc>
                <w:tcPr>
                  <w:tcW w:w="750" w:type="dxa"/>
                  <w:shd w:val="clear" w:color="auto" w:fill="FFFFFF"/>
                  <w:noWrap w:val="0"/>
                  <w:vAlign w:val="center"/>
                </w:tcPr>
                <w:p>
                  <w:pPr>
                    <w:tabs>
                      <w:tab w:val="left" w:pos="105"/>
                    </w:tabs>
                    <w:spacing w:line="240" w:lineRule="exact"/>
                    <w:ind w:left="-120" w:leftChars="-50" w:right="-120" w:rightChars="-50"/>
                    <w:jc w:val="center"/>
                    <w:rPr>
                      <w:color w:val="auto"/>
                      <w:szCs w:val="21"/>
                      <w:highlight w:val="none"/>
                    </w:rPr>
                  </w:pPr>
                  <w:r>
                    <w:rPr>
                      <w:rFonts w:hint="eastAsia"/>
                      <w:color w:val="auto"/>
                      <w:szCs w:val="21"/>
                      <w:highlight w:val="none"/>
                    </w:rPr>
                    <w:t>0.364</w:t>
                  </w:r>
                </w:p>
              </w:tc>
              <w:tc>
                <w:tcPr>
                  <w:tcW w:w="566" w:type="dxa"/>
                  <w:shd w:val="clear" w:color="auto" w:fill="FFFFFF"/>
                  <w:noWrap w:val="0"/>
                  <w:vAlign w:val="center"/>
                </w:tcPr>
                <w:p>
                  <w:pPr>
                    <w:tabs>
                      <w:tab w:val="left" w:pos="105"/>
                    </w:tabs>
                    <w:spacing w:line="240" w:lineRule="exact"/>
                    <w:ind w:left="-120" w:leftChars="-50" w:right="-120" w:rightChars="-50"/>
                    <w:jc w:val="center"/>
                    <w:rPr>
                      <w:color w:val="auto"/>
                      <w:szCs w:val="21"/>
                      <w:highlight w:val="none"/>
                    </w:rPr>
                  </w:pPr>
                  <w:r>
                    <w:rPr>
                      <w:color w:val="auto"/>
                      <w:szCs w:val="21"/>
                      <w:highlight w:val="none"/>
                    </w:rPr>
                    <w:t>0.02</w:t>
                  </w:r>
                </w:p>
              </w:tc>
              <w:tc>
                <w:tcPr>
                  <w:tcW w:w="773" w:type="dxa"/>
                  <w:vMerge w:val="restart"/>
                  <w:shd w:val="clear" w:color="auto" w:fill="FFFFFF"/>
                  <w:noWrap w:val="0"/>
                  <w:vAlign w:val="center"/>
                </w:tcPr>
                <w:p>
                  <w:pPr>
                    <w:tabs>
                      <w:tab w:val="left" w:pos="105"/>
                    </w:tabs>
                    <w:spacing w:line="240" w:lineRule="exact"/>
                    <w:ind w:left="-120" w:leftChars="-50" w:right="-120" w:rightChars="-50"/>
                    <w:jc w:val="center"/>
                    <w:rPr>
                      <w:color w:val="auto"/>
                      <w:szCs w:val="21"/>
                      <w:highlight w:val="none"/>
                    </w:rPr>
                  </w:pPr>
                </w:p>
              </w:tc>
              <w:tc>
                <w:tcPr>
                  <w:tcW w:w="557" w:type="dxa"/>
                  <w:shd w:val="clear" w:color="auto" w:fill="FFFFFF"/>
                  <w:noWrap w:val="0"/>
                  <w:vAlign w:val="center"/>
                </w:tcPr>
                <w:p>
                  <w:pPr>
                    <w:tabs>
                      <w:tab w:val="left" w:pos="105"/>
                    </w:tabs>
                    <w:spacing w:line="240" w:lineRule="exact"/>
                    <w:ind w:left="-120" w:leftChars="-50" w:right="-120" w:rightChars="-50"/>
                    <w:jc w:val="center"/>
                    <w:rPr>
                      <w:color w:val="auto"/>
                      <w:szCs w:val="21"/>
                      <w:highlight w:val="none"/>
                    </w:rPr>
                  </w:pPr>
                  <w:r>
                    <w:rPr>
                      <w:color w:val="auto"/>
                      <w:szCs w:val="21"/>
                      <w:highlight w:val="none"/>
                    </w:rPr>
                    <w:t>-</w:t>
                  </w:r>
                </w:p>
              </w:tc>
              <w:tc>
                <w:tcPr>
                  <w:tcW w:w="815" w:type="dxa"/>
                  <w:vMerge w:val="restart"/>
                  <w:shd w:val="clear" w:color="auto" w:fill="FFFFFF"/>
                  <w:noWrap w:val="0"/>
                  <w:vAlign w:val="center"/>
                </w:tcPr>
                <w:p>
                  <w:pPr>
                    <w:spacing w:line="240" w:lineRule="exact"/>
                    <w:ind w:left="-120" w:leftChars="-50" w:right="-120" w:rightChars="-50"/>
                    <w:jc w:val="center"/>
                    <w:rPr>
                      <w:color w:val="auto"/>
                      <w:szCs w:val="21"/>
                      <w:highlight w:val="none"/>
                    </w:rPr>
                  </w:pPr>
                  <w:r>
                    <w:rPr>
                      <w:color w:val="auto"/>
                      <w:szCs w:val="21"/>
                      <w:highlight w:val="none"/>
                    </w:rPr>
                    <w:t>H=15m</w:t>
                  </w:r>
                </w:p>
                <w:p>
                  <w:pPr>
                    <w:spacing w:line="240" w:lineRule="exact"/>
                    <w:ind w:left="-120" w:leftChars="-50" w:right="-120" w:rightChars="-50"/>
                    <w:jc w:val="center"/>
                    <w:rPr>
                      <w:color w:val="auto"/>
                      <w:szCs w:val="21"/>
                      <w:highlight w:val="none"/>
                    </w:rPr>
                  </w:pPr>
                  <w:r>
                    <w:rPr>
                      <w:color w:val="auto"/>
                      <w:szCs w:val="21"/>
                      <w:highlight w:val="none"/>
                    </w:rPr>
                    <w:t>T=80℃</w:t>
                  </w:r>
                </w:p>
                <w:p>
                  <w:pPr>
                    <w:spacing w:line="240" w:lineRule="exact"/>
                    <w:ind w:left="-120" w:leftChars="-50" w:right="-120" w:rightChars="-50"/>
                    <w:jc w:val="center"/>
                    <w:rPr>
                      <w:color w:val="auto"/>
                      <w:szCs w:val="21"/>
                      <w:highlight w:val="none"/>
                    </w:rPr>
                  </w:pPr>
                  <w:r>
                    <w:rPr>
                      <w:color w:val="auto"/>
                      <w:szCs w:val="21"/>
                      <w:highlight w:val="none"/>
                    </w:rPr>
                    <w:t>D=0.8m</w:t>
                  </w:r>
                </w:p>
              </w:tc>
              <w:tc>
                <w:tcPr>
                  <w:tcW w:w="621" w:type="dxa"/>
                  <w:shd w:val="clear" w:color="auto" w:fill="FFFFFF"/>
                  <w:noWrap w:val="0"/>
                  <w:vAlign w:val="center"/>
                </w:tcPr>
                <w:p>
                  <w:pPr>
                    <w:tabs>
                      <w:tab w:val="left" w:pos="105"/>
                    </w:tabs>
                    <w:spacing w:line="240" w:lineRule="exact"/>
                    <w:ind w:left="-120" w:leftChars="-50" w:right="-120" w:rightChars="-50"/>
                    <w:jc w:val="center"/>
                    <w:rPr>
                      <w:color w:val="auto"/>
                      <w:szCs w:val="21"/>
                      <w:highlight w:val="none"/>
                    </w:rPr>
                  </w:pPr>
                  <w:r>
                    <w:rPr>
                      <w:color w:val="auto"/>
                      <w:szCs w:val="21"/>
                      <w:highlight w:val="none"/>
                    </w:rPr>
                    <w:t>0.02</w:t>
                  </w:r>
                </w:p>
              </w:tc>
              <w:tc>
                <w:tcPr>
                  <w:tcW w:w="667" w:type="dxa"/>
                  <w:shd w:val="clear" w:color="auto" w:fill="FFFFFF"/>
                  <w:noWrap w:val="0"/>
                  <w:vAlign w:val="center"/>
                </w:tcPr>
                <w:p>
                  <w:pPr>
                    <w:tabs>
                      <w:tab w:val="left" w:pos="105"/>
                    </w:tabs>
                    <w:spacing w:line="240" w:lineRule="exact"/>
                    <w:ind w:left="-120" w:leftChars="-50" w:right="-120" w:rightChars="-50"/>
                    <w:jc w:val="center"/>
                    <w:rPr>
                      <w:color w:val="auto"/>
                      <w:szCs w:val="21"/>
                      <w:highlight w:val="none"/>
                    </w:rPr>
                  </w:pPr>
                  <w:r>
                    <w:rPr>
                      <w:color w:val="auto"/>
                      <w:szCs w:val="21"/>
                      <w:highlight w:val="none"/>
                    </w:rPr>
                    <w:t>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76" w:hRule="atLeast"/>
                <w:jc w:val="center"/>
              </w:trPr>
              <w:tc>
                <w:tcPr>
                  <w:tcW w:w="638" w:type="dxa"/>
                  <w:vMerge w:val="continue"/>
                  <w:shd w:val="clear" w:color="auto" w:fill="FFFFFF"/>
                  <w:noWrap w:val="0"/>
                  <w:vAlign w:val="center"/>
                </w:tcPr>
                <w:p>
                  <w:pPr>
                    <w:tabs>
                      <w:tab w:val="left" w:pos="105"/>
                    </w:tabs>
                    <w:spacing w:line="240" w:lineRule="exact"/>
                    <w:ind w:left="-120" w:leftChars="-50" w:right="-120" w:rightChars="-50"/>
                    <w:jc w:val="center"/>
                    <w:rPr>
                      <w:color w:val="auto"/>
                      <w:szCs w:val="21"/>
                      <w:highlight w:val="none"/>
                    </w:rPr>
                  </w:pPr>
                </w:p>
              </w:tc>
              <w:tc>
                <w:tcPr>
                  <w:tcW w:w="268" w:type="dxa"/>
                  <w:vMerge w:val="continue"/>
                  <w:shd w:val="clear" w:color="auto" w:fill="FFFFFF"/>
                  <w:noWrap w:val="0"/>
                  <w:vAlign w:val="center"/>
                </w:tcPr>
                <w:p>
                  <w:pPr>
                    <w:tabs>
                      <w:tab w:val="left" w:pos="105"/>
                    </w:tabs>
                    <w:spacing w:line="240" w:lineRule="exact"/>
                    <w:ind w:left="-120" w:leftChars="-50" w:right="-120" w:rightChars="-50"/>
                    <w:jc w:val="center"/>
                    <w:rPr>
                      <w:color w:val="auto"/>
                      <w:szCs w:val="21"/>
                      <w:highlight w:val="none"/>
                    </w:rPr>
                  </w:pPr>
                </w:p>
              </w:tc>
              <w:tc>
                <w:tcPr>
                  <w:tcW w:w="514" w:type="dxa"/>
                  <w:vMerge w:val="continue"/>
                  <w:shd w:val="clear" w:color="auto" w:fill="FFFFFF"/>
                  <w:noWrap w:val="0"/>
                  <w:vAlign w:val="center"/>
                </w:tcPr>
                <w:p>
                  <w:pPr>
                    <w:tabs>
                      <w:tab w:val="left" w:pos="105"/>
                    </w:tabs>
                    <w:spacing w:line="240" w:lineRule="exact"/>
                    <w:ind w:left="-120" w:leftChars="-50" w:right="-120" w:rightChars="-50"/>
                    <w:jc w:val="center"/>
                    <w:rPr>
                      <w:color w:val="auto"/>
                      <w:szCs w:val="21"/>
                      <w:highlight w:val="none"/>
                    </w:rPr>
                  </w:pPr>
                </w:p>
              </w:tc>
              <w:tc>
                <w:tcPr>
                  <w:tcW w:w="482" w:type="dxa"/>
                  <w:vMerge w:val="continue"/>
                  <w:shd w:val="clear" w:color="auto" w:fill="FFFFFF"/>
                  <w:noWrap w:val="0"/>
                  <w:vAlign w:val="center"/>
                </w:tcPr>
                <w:p>
                  <w:pPr>
                    <w:tabs>
                      <w:tab w:val="left" w:pos="105"/>
                    </w:tabs>
                    <w:spacing w:line="240" w:lineRule="exact"/>
                    <w:ind w:left="-120" w:leftChars="-50" w:right="-120" w:rightChars="-50"/>
                    <w:jc w:val="center"/>
                    <w:rPr>
                      <w:color w:val="auto"/>
                      <w:szCs w:val="21"/>
                      <w:highlight w:val="none"/>
                    </w:rPr>
                  </w:pPr>
                </w:p>
              </w:tc>
              <w:tc>
                <w:tcPr>
                  <w:tcW w:w="761" w:type="dxa"/>
                  <w:vMerge w:val="continue"/>
                  <w:shd w:val="clear" w:color="auto" w:fill="FFFFFF"/>
                  <w:noWrap w:val="0"/>
                  <w:vAlign w:val="center"/>
                </w:tcPr>
                <w:p>
                  <w:pPr>
                    <w:tabs>
                      <w:tab w:val="left" w:pos="105"/>
                    </w:tabs>
                    <w:spacing w:line="240" w:lineRule="exact"/>
                    <w:ind w:left="-120" w:leftChars="-50" w:right="-120" w:rightChars="-50"/>
                    <w:jc w:val="center"/>
                    <w:rPr>
                      <w:color w:val="auto"/>
                      <w:szCs w:val="21"/>
                      <w:highlight w:val="none"/>
                    </w:rPr>
                  </w:pPr>
                </w:p>
              </w:tc>
              <w:tc>
                <w:tcPr>
                  <w:tcW w:w="525" w:type="dxa"/>
                  <w:shd w:val="clear" w:color="auto" w:fill="FFFFFF"/>
                  <w:noWrap w:val="0"/>
                  <w:vAlign w:val="center"/>
                </w:tcPr>
                <w:p>
                  <w:pPr>
                    <w:tabs>
                      <w:tab w:val="left" w:pos="105"/>
                    </w:tabs>
                    <w:spacing w:line="240" w:lineRule="exact"/>
                    <w:ind w:left="-120" w:leftChars="-50" w:right="-120" w:rightChars="-50"/>
                    <w:jc w:val="center"/>
                    <w:rPr>
                      <w:color w:val="auto"/>
                      <w:szCs w:val="21"/>
                      <w:highlight w:val="none"/>
                    </w:rPr>
                  </w:pPr>
                  <w:r>
                    <w:rPr>
                      <w:color w:val="auto"/>
                      <w:szCs w:val="21"/>
                      <w:highlight w:val="none"/>
                    </w:rPr>
                    <w:t>NOx</w:t>
                  </w:r>
                </w:p>
              </w:tc>
              <w:tc>
                <w:tcPr>
                  <w:tcW w:w="750" w:type="dxa"/>
                  <w:shd w:val="clear" w:color="auto" w:fill="FFFFFF"/>
                  <w:noWrap w:val="0"/>
                  <w:vAlign w:val="center"/>
                </w:tcPr>
                <w:p>
                  <w:pPr>
                    <w:tabs>
                      <w:tab w:val="left" w:pos="105"/>
                    </w:tabs>
                    <w:spacing w:line="240" w:lineRule="exact"/>
                    <w:ind w:left="-120" w:leftChars="-50" w:right="-120" w:rightChars="-50"/>
                    <w:jc w:val="center"/>
                    <w:rPr>
                      <w:color w:val="auto"/>
                      <w:szCs w:val="21"/>
                      <w:highlight w:val="none"/>
                    </w:rPr>
                  </w:pPr>
                  <w:r>
                    <w:rPr>
                      <w:rFonts w:hint="eastAsia"/>
                      <w:color w:val="auto"/>
                      <w:szCs w:val="21"/>
                      <w:highlight w:val="none"/>
                    </w:rPr>
                    <w:t>1.44</w:t>
                  </w:r>
                </w:p>
              </w:tc>
              <w:tc>
                <w:tcPr>
                  <w:tcW w:w="566" w:type="dxa"/>
                  <w:shd w:val="clear" w:color="auto" w:fill="FFFFFF"/>
                  <w:noWrap w:val="0"/>
                  <w:vAlign w:val="center"/>
                </w:tcPr>
                <w:p>
                  <w:pPr>
                    <w:tabs>
                      <w:tab w:val="left" w:pos="105"/>
                    </w:tabs>
                    <w:spacing w:line="240" w:lineRule="exact"/>
                    <w:ind w:left="-120" w:leftChars="-50" w:right="-120" w:rightChars="-50"/>
                    <w:jc w:val="center"/>
                    <w:rPr>
                      <w:color w:val="auto"/>
                      <w:szCs w:val="21"/>
                      <w:highlight w:val="none"/>
                    </w:rPr>
                  </w:pPr>
                  <w:r>
                    <w:rPr>
                      <w:rFonts w:hint="eastAsia"/>
                      <w:color w:val="auto"/>
                      <w:szCs w:val="21"/>
                      <w:highlight w:val="none"/>
                    </w:rPr>
                    <w:t>0.0794</w:t>
                  </w:r>
                </w:p>
              </w:tc>
              <w:tc>
                <w:tcPr>
                  <w:tcW w:w="773" w:type="dxa"/>
                  <w:vMerge w:val="continue"/>
                  <w:shd w:val="clear" w:color="auto" w:fill="FFFFFF"/>
                  <w:noWrap w:val="0"/>
                  <w:vAlign w:val="center"/>
                </w:tcPr>
                <w:p>
                  <w:pPr>
                    <w:tabs>
                      <w:tab w:val="left" w:pos="105"/>
                    </w:tabs>
                    <w:spacing w:line="240" w:lineRule="exact"/>
                    <w:ind w:left="-120" w:leftChars="-50" w:right="-120" w:rightChars="-50"/>
                    <w:jc w:val="center"/>
                    <w:rPr>
                      <w:color w:val="auto"/>
                      <w:szCs w:val="21"/>
                      <w:highlight w:val="none"/>
                    </w:rPr>
                  </w:pPr>
                </w:p>
              </w:tc>
              <w:tc>
                <w:tcPr>
                  <w:tcW w:w="557" w:type="dxa"/>
                  <w:shd w:val="clear" w:color="auto" w:fill="FFFFFF"/>
                  <w:noWrap w:val="0"/>
                  <w:vAlign w:val="center"/>
                </w:tcPr>
                <w:p>
                  <w:pPr>
                    <w:tabs>
                      <w:tab w:val="left" w:pos="105"/>
                    </w:tabs>
                    <w:spacing w:line="240" w:lineRule="exact"/>
                    <w:ind w:left="-120" w:leftChars="-50" w:right="-120" w:rightChars="-50"/>
                    <w:jc w:val="center"/>
                    <w:rPr>
                      <w:color w:val="auto"/>
                      <w:szCs w:val="21"/>
                      <w:highlight w:val="none"/>
                    </w:rPr>
                  </w:pPr>
                  <w:r>
                    <w:rPr>
                      <w:color w:val="auto"/>
                      <w:szCs w:val="21"/>
                      <w:highlight w:val="none"/>
                    </w:rPr>
                    <w:t>-</w:t>
                  </w:r>
                </w:p>
              </w:tc>
              <w:tc>
                <w:tcPr>
                  <w:tcW w:w="815" w:type="dxa"/>
                  <w:vMerge w:val="continue"/>
                  <w:shd w:val="clear" w:color="auto" w:fill="FFFFFF"/>
                  <w:noWrap w:val="0"/>
                  <w:vAlign w:val="center"/>
                </w:tcPr>
                <w:p>
                  <w:pPr>
                    <w:tabs>
                      <w:tab w:val="left" w:pos="105"/>
                    </w:tabs>
                    <w:spacing w:line="240" w:lineRule="exact"/>
                    <w:ind w:left="-120" w:leftChars="-50" w:right="-120" w:rightChars="-50"/>
                    <w:jc w:val="center"/>
                    <w:rPr>
                      <w:color w:val="auto"/>
                      <w:szCs w:val="21"/>
                      <w:highlight w:val="none"/>
                    </w:rPr>
                  </w:pPr>
                </w:p>
              </w:tc>
              <w:tc>
                <w:tcPr>
                  <w:tcW w:w="621" w:type="dxa"/>
                  <w:shd w:val="clear" w:color="auto" w:fill="FFFFFF"/>
                  <w:noWrap w:val="0"/>
                  <w:vAlign w:val="center"/>
                </w:tcPr>
                <w:p>
                  <w:pPr>
                    <w:tabs>
                      <w:tab w:val="left" w:pos="105"/>
                    </w:tabs>
                    <w:spacing w:line="240" w:lineRule="exact"/>
                    <w:ind w:left="-120" w:leftChars="-50" w:right="-120" w:rightChars="-50"/>
                    <w:jc w:val="center"/>
                    <w:rPr>
                      <w:color w:val="auto"/>
                      <w:szCs w:val="21"/>
                      <w:highlight w:val="none"/>
                    </w:rPr>
                  </w:pPr>
                  <w:r>
                    <w:rPr>
                      <w:rFonts w:hint="eastAsia"/>
                      <w:color w:val="auto"/>
                      <w:szCs w:val="21"/>
                      <w:highlight w:val="none"/>
                    </w:rPr>
                    <w:t>0.0794</w:t>
                  </w:r>
                </w:p>
              </w:tc>
              <w:tc>
                <w:tcPr>
                  <w:tcW w:w="667" w:type="dxa"/>
                  <w:shd w:val="clear" w:color="auto" w:fill="FFFFFF"/>
                  <w:noWrap w:val="0"/>
                  <w:vAlign w:val="center"/>
                </w:tcPr>
                <w:p>
                  <w:pPr>
                    <w:tabs>
                      <w:tab w:val="left" w:pos="105"/>
                    </w:tabs>
                    <w:spacing w:line="240" w:lineRule="exact"/>
                    <w:ind w:left="-120" w:leftChars="-50" w:right="-120" w:rightChars="-50"/>
                    <w:jc w:val="center"/>
                    <w:rPr>
                      <w:color w:val="auto"/>
                      <w:szCs w:val="21"/>
                      <w:highlight w:val="none"/>
                    </w:rPr>
                  </w:pPr>
                  <w:r>
                    <w:rPr>
                      <w:color w:val="auto"/>
                      <w:szCs w:val="21"/>
                      <w:highlight w:val="none"/>
                    </w:rPr>
                    <w:t>150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76" w:hRule="atLeast"/>
                <w:jc w:val="center"/>
              </w:trPr>
              <w:tc>
                <w:tcPr>
                  <w:tcW w:w="638" w:type="dxa"/>
                  <w:vMerge w:val="continue"/>
                  <w:shd w:val="clear" w:color="auto" w:fill="FFFFFF"/>
                  <w:noWrap w:val="0"/>
                  <w:vAlign w:val="center"/>
                </w:tcPr>
                <w:p>
                  <w:pPr>
                    <w:tabs>
                      <w:tab w:val="left" w:pos="105"/>
                    </w:tabs>
                    <w:spacing w:line="240" w:lineRule="exact"/>
                    <w:ind w:left="-120" w:leftChars="-50" w:right="-120" w:rightChars="-50"/>
                    <w:jc w:val="center"/>
                    <w:rPr>
                      <w:color w:val="auto"/>
                      <w:szCs w:val="21"/>
                      <w:highlight w:val="none"/>
                    </w:rPr>
                  </w:pPr>
                </w:p>
              </w:tc>
              <w:tc>
                <w:tcPr>
                  <w:tcW w:w="268" w:type="dxa"/>
                  <w:vMerge w:val="continue"/>
                  <w:shd w:val="clear" w:color="auto" w:fill="FFFFFF"/>
                  <w:noWrap w:val="0"/>
                  <w:vAlign w:val="center"/>
                </w:tcPr>
                <w:p>
                  <w:pPr>
                    <w:tabs>
                      <w:tab w:val="left" w:pos="105"/>
                    </w:tabs>
                    <w:spacing w:line="240" w:lineRule="exact"/>
                    <w:ind w:left="-120" w:leftChars="-50" w:right="-120" w:rightChars="-50"/>
                    <w:jc w:val="center"/>
                    <w:rPr>
                      <w:color w:val="auto"/>
                      <w:szCs w:val="21"/>
                      <w:highlight w:val="none"/>
                    </w:rPr>
                  </w:pPr>
                </w:p>
              </w:tc>
              <w:tc>
                <w:tcPr>
                  <w:tcW w:w="514" w:type="dxa"/>
                  <w:vMerge w:val="continue"/>
                  <w:shd w:val="clear" w:color="auto" w:fill="FFFFFF"/>
                  <w:noWrap w:val="0"/>
                  <w:vAlign w:val="center"/>
                </w:tcPr>
                <w:p>
                  <w:pPr>
                    <w:tabs>
                      <w:tab w:val="left" w:pos="105"/>
                    </w:tabs>
                    <w:spacing w:line="240" w:lineRule="exact"/>
                    <w:ind w:left="-120" w:leftChars="-50" w:right="-120" w:rightChars="-50"/>
                    <w:jc w:val="center"/>
                    <w:rPr>
                      <w:color w:val="auto"/>
                      <w:szCs w:val="21"/>
                      <w:highlight w:val="none"/>
                    </w:rPr>
                  </w:pPr>
                </w:p>
              </w:tc>
              <w:tc>
                <w:tcPr>
                  <w:tcW w:w="482" w:type="dxa"/>
                  <w:vMerge w:val="continue"/>
                  <w:shd w:val="clear" w:color="auto" w:fill="FFFFFF"/>
                  <w:noWrap w:val="0"/>
                  <w:vAlign w:val="center"/>
                </w:tcPr>
                <w:p>
                  <w:pPr>
                    <w:tabs>
                      <w:tab w:val="left" w:pos="105"/>
                    </w:tabs>
                    <w:spacing w:line="240" w:lineRule="exact"/>
                    <w:ind w:left="-120" w:leftChars="-50" w:right="-120" w:rightChars="-50"/>
                    <w:jc w:val="center"/>
                    <w:rPr>
                      <w:color w:val="auto"/>
                      <w:szCs w:val="21"/>
                      <w:highlight w:val="none"/>
                    </w:rPr>
                  </w:pPr>
                </w:p>
              </w:tc>
              <w:tc>
                <w:tcPr>
                  <w:tcW w:w="761" w:type="dxa"/>
                  <w:vMerge w:val="continue"/>
                  <w:shd w:val="clear" w:color="auto" w:fill="FFFFFF"/>
                  <w:noWrap w:val="0"/>
                  <w:vAlign w:val="center"/>
                </w:tcPr>
                <w:p>
                  <w:pPr>
                    <w:tabs>
                      <w:tab w:val="left" w:pos="105"/>
                    </w:tabs>
                    <w:spacing w:line="240" w:lineRule="exact"/>
                    <w:ind w:left="-120" w:leftChars="-50" w:right="-120" w:rightChars="-50"/>
                    <w:jc w:val="center"/>
                    <w:rPr>
                      <w:color w:val="auto"/>
                      <w:szCs w:val="21"/>
                      <w:highlight w:val="none"/>
                    </w:rPr>
                  </w:pPr>
                </w:p>
              </w:tc>
              <w:tc>
                <w:tcPr>
                  <w:tcW w:w="525" w:type="dxa"/>
                  <w:shd w:val="clear" w:color="auto" w:fill="FFFFFF"/>
                  <w:noWrap w:val="0"/>
                  <w:vAlign w:val="center"/>
                </w:tcPr>
                <w:p>
                  <w:pPr>
                    <w:tabs>
                      <w:tab w:val="left" w:pos="105"/>
                    </w:tabs>
                    <w:spacing w:line="240" w:lineRule="exact"/>
                    <w:ind w:left="-120" w:leftChars="-50" w:right="-120" w:rightChars="-50"/>
                    <w:jc w:val="center"/>
                    <w:rPr>
                      <w:color w:val="auto"/>
                      <w:szCs w:val="21"/>
                      <w:highlight w:val="none"/>
                    </w:rPr>
                  </w:pPr>
                  <w:r>
                    <w:rPr>
                      <w:color w:val="auto"/>
                      <w:szCs w:val="21"/>
                      <w:highlight w:val="none"/>
                    </w:rPr>
                    <w:t>粉尘</w:t>
                  </w:r>
                </w:p>
              </w:tc>
              <w:tc>
                <w:tcPr>
                  <w:tcW w:w="750" w:type="dxa"/>
                  <w:shd w:val="clear" w:color="auto" w:fill="FFFFFF"/>
                  <w:noWrap w:val="0"/>
                  <w:vAlign w:val="center"/>
                </w:tcPr>
                <w:p>
                  <w:pPr>
                    <w:tabs>
                      <w:tab w:val="left" w:pos="105"/>
                    </w:tabs>
                    <w:spacing w:line="240" w:lineRule="exact"/>
                    <w:ind w:left="-120" w:leftChars="-50" w:right="-120" w:rightChars="-50"/>
                    <w:jc w:val="center"/>
                    <w:rPr>
                      <w:color w:val="auto"/>
                      <w:szCs w:val="21"/>
                      <w:highlight w:val="none"/>
                    </w:rPr>
                  </w:pPr>
                  <w:r>
                    <w:rPr>
                      <w:rFonts w:hint="eastAsia"/>
                      <w:color w:val="auto"/>
                      <w:szCs w:val="21"/>
                      <w:highlight w:val="none"/>
                    </w:rPr>
                    <w:t>172.95</w:t>
                  </w:r>
                </w:p>
              </w:tc>
              <w:tc>
                <w:tcPr>
                  <w:tcW w:w="566" w:type="dxa"/>
                  <w:shd w:val="clear" w:color="auto" w:fill="FFFFFF"/>
                  <w:noWrap w:val="0"/>
                  <w:vAlign w:val="center"/>
                </w:tcPr>
                <w:p>
                  <w:pPr>
                    <w:tabs>
                      <w:tab w:val="left" w:pos="105"/>
                    </w:tabs>
                    <w:spacing w:line="240" w:lineRule="exact"/>
                    <w:ind w:left="-120" w:leftChars="-50" w:right="-120" w:rightChars="-50"/>
                    <w:jc w:val="center"/>
                    <w:rPr>
                      <w:color w:val="auto"/>
                      <w:szCs w:val="21"/>
                      <w:highlight w:val="none"/>
                    </w:rPr>
                  </w:pPr>
                  <w:r>
                    <w:rPr>
                      <w:color w:val="auto"/>
                      <w:szCs w:val="21"/>
                      <w:highlight w:val="none"/>
                    </w:rPr>
                    <w:t>9.512</w:t>
                  </w:r>
                </w:p>
              </w:tc>
              <w:tc>
                <w:tcPr>
                  <w:tcW w:w="773" w:type="dxa"/>
                  <w:vMerge w:val="continue"/>
                  <w:shd w:val="clear" w:color="auto" w:fill="FFFFFF"/>
                  <w:noWrap w:val="0"/>
                  <w:vAlign w:val="center"/>
                </w:tcPr>
                <w:p>
                  <w:pPr>
                    <w:tabs>
                      <w:tab w:val="left" w:pos="105"/>
                    </w:tabs>
                    <w:spacing w:line="240" w:lineRule="exact"/>
                    <w:ind w:left="-120" w:leftChars="-50" w:right="-120" w:rightChars="-50"/>
                    <w:jc w:val="center"/>
                    <w:rPr>
                      <w:color w:val="auto"/>
                      <w:szCs w:val="21"/>
                      <w:highlight w:val="none"/>
                    </w:rPr>
                  </w:pPr>
                </w:p>
              </w:tc>
              <w:tc>
                <w:tcPr>
                  <w:tcW w:w="557" w:type="dxa"/>
                  <w:shd w:val="clear" w:color="auto" w:fill="FFFFFF"/>
                  <w:noWrap w:val="0"/>
                  <w:vAlign w:val="center"/>
                </w:tcPr>
                <w:p>
                  <w:pPr>
                    <w:tabs>
                      <w:tab w:val="left" w:pos="105"/>
                    </w:tabs>
                    <w:spacing w:line="240" w:lineRule="exact"/>
                    <w:ind w:left="-120" w:leftChars="-50" w:right="-120" w:rightChars="-50"/>
                    <w:jc w:val="center"/>
                    <w:rPr>
                      <w:color w:val="auto"/>
                      <w:szCs w:val="21"/>
                      <w:highlight w:val="none"/>
                    </w:rPr>
                  </w:pPr>
                  <w:r>
                    <w:rPr>
                      <w:color w:val="auto"/>
                      <w:szCs w:val="21"/>
                      <w:highlight w:val="none"/>
                    </w:rPr>
                    <w:t>90%</w:t>
                  </w:r>
                </w:p>
              </w:tc>
              <w:tc>
                <w:tcPr>
                  <w:tcW w:w="815" w:type="dxa"/>
                  <w:vMerge w:val="continue"/>
                  <w:shd w:val="clear" w:color="auto" w:fill="FFFFFF"/>
                  <w:noWrap w:val="0"/>
                  <w:vAlign w:val="center"/>
                </w:tcPr>
                <w:p>
                  <w:pPr>
                    <w:tabs>
                      <w:tab w:val="left" w:pos="105"/>
                    </w:tabs>
                    <w:spacing w:line="240" w:lineRule="exact"/>
                    <w:ind w:left="-120" w:leftChars="-50" w:right="-120" w:rightChars="-50"/>
                    <w:jc w:val="center"/>
                    <w:rPr>
                      <w:color w:val="auto"/>
                      <w:szCs w:val="21"/>
                      <w:highlight w:val="none"/>
                    </w:rPr>
                  </w:pPr>
                </w:p>
              </w:tc>
              <w:tc>
                <w:tcPr>
                  <w:tcW w:w="621" w:type="dxa"/>
                  <w:shd w:val="clear" w:color="auto" w:fill="FFFFFF"/>
                  <w:noWrap w:val="0"/>
                  <w:vAlign w:val="center"/>
                </w:tcPr>
                <w:p>
                  <w:pPr>
                    <w:tabs>
                      <w:tab w:val="left" w:pos="105"/>
                    </w:tabs>
                    <w:spacing w:line="240" w:lineRule="exact"/>
                    <w:ind w:left="-120" w:leftChars="-50" w:right="-120" w:rightChars="-50"/>
                    <w:jc w:val="center"/>
                    <w:rPr>
                      <w:color w:val="auto"/>
                      <w:szCs w:val="21"/>
                      <w:highlight w:val="none"/>
                    </w:rPr>
                  </w:pPr>
                  <w:r>
                    <w:rPr>
                      <w:color w:val="auto"/>
                      <w:szCs w:val="21"/>
                      <w:highlight w:val="none"/>
                    </w:rPr>
                    <w:t>0.9212</w:t>
                  </w:r>
                </w:p>
              </w:tc>
              <w:tc>
                <w:tcPr>
                  <w:tcW w:w="667" w:type="dxa"/>
                  <w:shd w:val="clear" w:color="auto" w:fill="FFFFFF"/>
                  <w:noWrap w:val="0"/>
                  <w:vAlign w:val="center"/>
                </w:tcPr>
                <w:p>
                  <w:pPr>
                    <w:tabs>
                      <w:tab w:val="left" w:pos="105"/>
                    </w:tabs>
                    <w:spacing w:line="240" w:lineRule="exact"/>
                    <w:ind w:left="-120" w:leftChars="-50" w:right="-120" w:rightChars="-50"/>
                    <w:jc w:val="center"/>
                    <w:rPr>
                      <w:color w:val="auto"/>
                      <w:szCs w:val="21"/>
                      <w:highlight w:val="none"/>
                    </w:rPr>
                  </w:pPr>
                  <w:r>
                    <w:rPr>
                      <w:color w:val="auto"/>
                      <w:szCs w:val="21"/>
                      <w:highlight w:val="none"/>
                    </w:rPr>
                    <w:t>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290" w:hRule="atLeast"/>
                <w:jc w:val="center"/>
              </w:trPr>
              <w:tc>
                <w:tcPr>
                  <w:tcW w:w="638" w:type="dxa"/>
                  <w:vMerge w:val="restart"/>
                  <w:shd w:val="clear" w:color="auto" w:fill="FFFFFF"/>
                  <w:noWrap w:val="0"/>
                  <w:vAlign w:val="center"/>
                </w:tcPr>
                <w:p>
                  <w:pPr>
                    <w:spacing w:line="220" w:lineRule="exact"/>
                    <w:ind w:left="-120" w:leftChars="-50" w:right="-120" w:rightChars="-50"/>
                    <w:jc w:val="center"/>
                    <w:rPr>
                      <w:color w:val="auto"/>
                      <w:szCs w:val="21"/>
                      <w:highlight w:val="none"/>
                    </w:rPr>
                  </w:pPr>
                  <w:r>
                    <w:rPr>
                      <w:color w:val="auto"/>
                      <w:szCs w:val="21"/>
                      <w:highlight w:val="none"/>
                    </w:rPr>
                    <w:t>导热油炉燃烧尾气</w:t>
                  </w:r>
                </w:p>
              </w:tc>
              <w:tc>
                <w:tcPr>
                  <w:tcW w:w="268" w:type="dxa"/>
                  <w:vMerge w:val="restart"/>
                  <w:shd w:val="clear" w:color="auto" w:fill="FFFFFF"/>
                  <w:noWrap w:val="0"/>
                  <w:vAlign w:val="center"/>
                </w:tcPr>
                <w:p>
                  <w:pPr>
                    <w:spacing w:line="220" w:lineRule="exact"/>
                    <w:ind w:left="-120" w:leftChars="-50" w:right="-120" w:rightChars="-50"/>
                    <w:jc w:val="center"/>
                    <w:rPr>
                      <w:color w:val="auto"/>
                      <w:szCs w:val="21"/>
                      <w:highlight w:val="none"/>
                    </w:rPr>
                  </w:pPr>
                  <w:r>
                    <w:rPr>
                      <w:color w:val="auto"/>
                      <w:szCs w:val="21"/>
                      <w:highlight w:val="none"/>
                    </w:rPr>
                    <w:t>G</w:t>
                  </w:r>
                  <w:r>
                    <w:rPr>
                      <w:color w:val="auto"/>
                      <w:szCs w:val="21"/>
                      <w:highlight w:val="none"/>
                      <w:vertAlign w:val="subscript"/>
                    </w:rPr>
                    <w:t>2</w:t>
                  </w:r>
                </w:p>
              </w:tc>
              <w:tc>
                <w:tcPr>
                  <w:tcW w:w="514" w:type="dxa"/>
                  <w:vMerge w:val="restart"/>
                  <w:shd w:val="clear" w:color="auto" w:fill="FFFFFF"/>
                  <w:noWrap w:val="0"/>
                  <w:vAlign w:val="center"/>
                </w:tcPr>
                <w:p>
                  <w:pPr>
                    <w:spacing w:line="220" w:lineRule="exact"/>
                    <w:ind w:left="-120" w:leftChars="-50" w:right="-120" w:rightChars="-50"/>
                    <w:jc w:val="center"/>
                    <w:rPr>
                      <w:color w:val="auto"/>
                      <w:szCs w:val="21"/>
                      <w:highlight w:val="none"/>
                    </w:rPr>
                  </w:pPr>
                  <w:r>
                    <w:rPr>
                      <w:color w:val="auto"/>
                      <w:szCs w:val="21"/>
                      <w:highlight w:val="none"/>
                    </w:rPr>
                    <w:t>600</w:t>
                  </w:r>
                </w:p>
              </w:tc>
              <w:tc>
                <w:tcPr>
                  <w:tcW w:w="482" w:type="dxa"/>
                  <w:vMerge w:val="restart"/>
                  <w:shd w:val="clear" w:color="auto" w:fill="FFFFFF"/>
                  <w:noWrap w:val="0"/>
                  <w:vAlign w:val="center"/>
                </w:tcPr>
                <w:p>
                  <w:pPr>
                    <w:spacing w:line="220" w:lineRule="exact"/>
                    <w:ind w:left="-120" w:leftChars="-50" w:right="-120" w:rightChars="-50"/>
                    <w:jc w:val="center"/>
                    <w:rPr>
                      <w:color w:val="auto"/>
                      <w:szCs w:val="21"/>
                      <w:highlight w:val="none"/>
                    </w:rPr>
                  </w:pPr>
                  <w:r>
                    <w:rPr>
                      <w:color w:val="auto"/>
                      <w:szCs w:val="21"/>
                      <w:highlight w:val="none"/>
                    </w:rPr>
                    <w:t>导热油炉</w:t>
                  </w:r>
                </w:p>
              </w:tc>
              <w:tc>
                <w:tcPr>
                  <w:tcW w:w="761" w:type="dxa"/>
                  <w:vMerge w:val="restart"/>
                  <w:shd w:val="clear" w:color="auto" w:fill="FFFFFF"/>
                  <w:noWrap w:val="0"/>
                  <w:vAlign w:val="center"/>
                </w:tcPr>
                <w:p>
                  <w:pPr>
                    <w:spacing w:line="220" w:lineRule="exact"/>
                    <w:ind w:left="-120" w:leftChars="-50" w:right="-120" w:rightChars="-50"/>
                    <w:jc w:val="center"/>
                    <w:rPr>
                      <w:color w:val="auto"/>
                      <w:szCs w:val="21"/>
                      <w:highlight w:val="none"/>
                    </w:rPr>
                  </w:pPr>
                  <w:r>
                    <w:rPr>
                      <w:color w:val="auto"/>
                      <w:kern w:val="0"/>
                      <w:szCs w:val="21"/>
                      <w:highlight w:val="none"/>
                      <w:lang w:bidi="ar"/>
                    </w:rPr>
                    <w:t>681.296</w:t>
                  </w:r>
                </w:p>
              </w:tc>
              <w:tc>
                <w:tcPr>
                  <w:tcW w:w="525" w:type="dxa"/>
                  <w:shd w:val="clear" w:color="auto" w:fill="FFFFFF"/>
                  <w:noWrap w:val="0"/>
                  <w:vAlign w:val="center"/>
                </w:tcPr>
                <w:p>
                  <w:pPr>
                    <w:tabs>
                      <w:tab w:val="left" w:pos="105"/>
                    </w:tabs>
                    <w:spacing w:line="240" w:lineRule="exact"/>
                    <w:ind w:left="-120" w:leftChars="-50" w:right="-120" w:rightChars="-50"/>
                    <w:jc w:val="center"/>
                    <w:rPr>
                      <w:color w:val="auto"/>
                      <w:szCs w:val="21"/>
                      <w:highlight w:val="none"/>
                    </w:rPr>
                  </w:pPr>
                  <w:r>
                    <w:rPr>
                      <w:color w:val="auto"/>
                      <w:szCs w:val="21"/>
                      <w:highlight w:val="none"/>
                    </w:rPr>
                    <w:t>SO</w:t>
                  </w:r>
                  <w:r>
                    <w:rPr>
                      <w:color w:val="auto"/>
                      <w:szCs w:val="21"/>
                      <w:highlight w:val="none"/>
                      <w:vertAlign w:val="subscript"/>
                    </w:rPr>
                    <w:t>2</w:t>
                  </w:r>
                </w:p>
              </w:tc>
              <w:tc>
                <w:tcPr>
                  <w:tcW w:w="750" w:type="dxa"/>
                  <w:shd w:val="clear" w:color="auto" w:fill="FFFFFF"/>
                  <w:noWrap w:val="0"/>
                  <w:vAlign w:val="center"/>
                </w:tcPr>
                <w:p>
                  <w:pPr>
                    <w:widowControl/>
                    <w:jc w:val="center"/>
                    <w:textAlignment w:val="bottom"/>
                    <w:rPr>
                      <w:color w:val="auto"/>
                      <w:szCs w:val="21"/>
                      <w:highlight w:val="none"/>
                    </w:rPr>
                  </w:pPr>
                  <w:r>
                    <w:rPr>
                      <w:rFonts w:hint="eastAsia"/>
                      <w:color w:val="auto"/>
                      <w:kern w:val="0"/>
                      <w:szCs w:val="21"/>
                      <w:highlight w:val="none"/>
                      <w:lang w:bidi="ar"/>
                    </w:rPr>
                    <w:t>37.12</w:t>
                  </w:r>
                </w:p>
              </w:tc>
              <w:tc>
                <w:tcPr>
                  <w:tcW w:w="566" w:type="dxa"/>
                  <w:shd w:val="clear" w:color="auto" w:fill="FFFFFF"/>
                  <w:noWrap w:val="0"/>
                  <w:vAlign w:val="center"/>
                </w:tcPr>
                <w:p>
                  <w:pPr>
                    <w:spacing w:line="220" w:lineRule="exact"/>
                    <w:ind w:left="-120" w:leftChars="-50" w:right="-120" w:rightChars="-50"/>
                    <w:jc w:val="center"/>
                    <w:rPr>
                      <w:color w:val="auto"/>
                      <w:szCs w:val="21"/>
                      <w:highlight w:val="none"/>
                    </w:rPr>
                  </w:pPr>
                  <w:r>
                    <w:rPr>
                      <w:color w:val="auto"/>
                      <w:szCs w:val="21"/>
                      <w:highlight w:val="none"/>
                    </w:rPr>
                    <w:t>0.02</w:t>
                  </w:r>
                </w:p>
              </w:tc>
              <w:tc>
                <w:tcPr>
                  <w:tcW w:w="773" w:type="dxa"/>
                  <w:vMerge w:val="restart"/>
                  <w:shd w:val="clear" w:color="auto" w:fill="FFFFFF"/>
                  <w:noWrap w:val="0"/>
                  <w:vAlign w:val="center"/>
                </w:tcPr>
                <w:p>
                  <w:pPr>
                    <w:spacing w:line="220" w:lineRule="exact"/>
                    <w:ind w:left="-120" w:leftChars="-50" w:right="-120" w:rightChars="-50"/>
                    <w:jc w:val="center"/>
                    <w:rPr>
                      <w:color w:val="auto"/>
                      <w:szCs w:val="21"/>
                      <w:highlight w:val="none"/>
                    </w:rPr>
                  </w:pPr>
                  <w:r>
                    <w:rPr>
                      <w:color w:val="auto"/>
                      <w:szCs w:val="21"/>
                      <w:highlight w:val="none"/>
                    </w:rPr>
                    <w:t>有组织排放</w:t>
                  </w:r>
                </w:p>
              </w:tc>
              <w:tc>
                <w:tcPr>
                  <w:tcW w:w="557" w:type="dxa"/>
                  <w:vMerge w:val="restart"/>
                  <w:shd w:val="clear" w:color="auto" w:fill="FFFFFF"/>
                  <w:noWrap w:val="0"/>
                  <w:vAlign w:val="center"/>
                </w:tcPr>
                <w:p>
                  <w:pPr>
                    <w:spacing w:line="220" w:lineRule="exact"/>
                    <w:ind w:left="-120" w:leftChars="-50" w:right="-120" w:rightChars="-50"/>
                    <w:jc w:val="center"/>
                    <w:rPr>
                      <w:color w:val="auto"/>
                      <w:szCs w:val="21"/>
                      <w:highlight w:val="none"/>
                    </w:rPr>
                  </w:pPr>
                  <w:r>
                    <w:rPr>
                      <w:color w:val="auto"/>
                      <w:szCs w:val="21"/>
                      <w:highlight w:val="none"/>
                    </w:rPr>
                    <w:t>-</w:t>
                  </w:r>
                </w:p>
              </w:tc>
              <w:tc>
                <w:tcPr>
                  <w:tcW w:w="815" w:type="dxa"/>
                  <w:vMerge w:val="restart"/>
                  <w:shd w:val="clear" w:color="auto" w:fill="FFFFFF"/>
                  <w:noWrap w:val="0"/>
                  <w:vAlign w:val="center"/>
                </w:tcPr>
                <w:p>
                  <w:pPr>
                    <w:spacing w:line="220" w:lineRule="exact"/>
                    <w:ind w:left="-120" w:leftChars="-50" w:right="-120" w:rightChars="-50"/>
                    <w:jc w:val="center"/>
                    <w:rPr>
                      <w:color w:val="auto"/>
                      <w:szCs w:val="21"/>
                      <w:highlight w:val="none"/>
                    </w:rPr>
                  </w:pPr>
                  <w:r>
                    <w:rPr>
                      <w:color w:val="auto"/>
                      <w:szCs w:val="21"/>
                      <w:highlight w:val="none"/>
                    </w:rPr>
                    <w:t>H=15m</w:t>
                  </w:r>
                </w:p>
                <w:p>
                  <w:pPr>
                    <w:spacing w:line="220" w:lineRule="exact"/>
                    <w:ind w:left="-120" w:leftChars="-50" w:right="-120" w:rightChars="-50"/>
                    <w:jc w:val="center"/>
                    <w:rPr>
                      <w:color w:val="auto"/>
                      <w:szCs w:val="21"/>
                      <w:highlight w:val="none"/>
                    </w:rPr>
                  </w:pPr>
                  <w:r>
                    <w:rPr>
                      <w:color w:val="auto"/>
                      <w:szCs w:val="21"/>
                      <w:highlight w:val="none"/>
                    </w:rPr>
                    <w:t>T=</w:t>
                  </w:r>
                  <w:r>
                    <w:rPr>
                      <w:rFonts w:hint="eastAsia"/>
                      <w:color w:val="auto"/>
                      <w:szCs w:val="21"/>
                      <w:highlight w:val="none"/>
                    </w:rPr>
                    <w:t>80</w:t>
                  </w:r>
                  <w:r>
                    <w:rPr>
                      <w:color w:val="auto"/>
                      <w:szCs w:val="21"/>
                      <w:highlight w:val="none"/>
                    </w:rPr>
                    <w:t>℃</w:t>
                  </w:r>
                </w:p>
                <w:p>
                  <w:pPr>
                    <w:spacing w:line="220" w:lineRule="exact"/>
                    <w:ind w:left="-120" w:leftChars="-50" w:right="-120" w:rightChars="-50"/>
                    <w:jc w:val="center"/>
                    <w:rPr>
                      <w:color w:val="auto"/>
                      <w:szCs w:val="21"/>
                      <w:highlight w:val="none"/>
                    </w:rPr>
                  </w:pPr>
                  <w:r>
                    <w:rPr>
                      <w:color w:val="auto"/>
                      <w:szCs w:val="21"/>
                      <w:highlight w:val="none"/>
                    </w:rPr>
                    <w:t>D=0.3m</w:t>
                  </w:r>
                </w:p>
              </w:tc>
              <w:tc>
                <w:tcPr>
                  <w:tcW w:w="621" w:type="dxa"/>
                  <w:shd w:val="clear" w:color="auto" w:fill="FFFFFF"/>
                  <w:noWrap w:val="0"/>
                  <w:vAlign w:val="center"/>
                </w:tcPr>
                <w:p>
                  <w:pPr>
                    <w:spacing w:line="220" w:lineRule="exact"/>
                    <w:ind w:left="-120" w:leftChars="-50" w:right="-120" w:rightChars="-50"/>
                    <w:jc w:val="center"/>
                    <w:rPr>
                      <w:color w:val="auto"/>
                      <w:szCs w:val="21"/>
                      <w:highlight w:val="none"/>
                    </w:rPr>
                  </w:pPr>
                  <w:r>
                    <w:rPr>
                      <w:color w:val="auto"/>
                      <w:szCs w:val="21"/>
                      <w:highlight w:val="none"/>
                    </w:rPr>
                    <w:t>0.02</w:t>
                  </w:r>
                </w:p>
              </w:tc>
              <w:tc>
                <w:tcPr>
                  <w:tcW w:w="667" w:type="dxa"/>
                  <w:shd w:val="clear" w:color="auto" w:fill="FFFFFF"/>
                  <w:noWrap w:val="0"/>
                  <w:vAlign w:val="center"/>
                </w:tcPr>
                <w:p>
                  <w:pPr>
                    <w:tabs>
                      <w:tab w:val="left" w:pos="105"/>
                    </w:tabs>
                    <w:spacing w:line="240" w:lineRule="exact"/>
                    <w:ind w:left="-120" w:leftChars="-50" w:right="-120" w:rightChars="-50"/>
                    <w:jc w:val="center"/>
                    <w:rPr>
                      <w:color w:val="auto"/>
                      <w:szCs w:val="21"/>
                      <w:highlight w:val="none"/>
                    </w:rPr>
                  </w:pPr>
                  <w:r>
                    <w:rPr>
                      <w:color w:val="auto"/>
                      <w:szCs w:val="21"/>
                      <w:highlight w:val="none"/>
                    </w:rPr>
                    <w:t>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638" w:type="dxa"/>
                  <w:vMerge w:val="continue"/>
                  <w:shd w:val="clear" w:color="auto" w:fill="FFFFFF"/>
                  <w:noWrap w:val="0"/>
                  <w:vAlign w:val="center"/>
                </w:tcPr>
                <w:p>
                  <w:pPr>
                    <w:spacing w:line="220" w:lineRule="exact"/>
                    <w:ind w:left="-120" w:leftChars="-50" w:right="-120" w:rightChars="-50"/>
                    <w:jc w:val="center"/>
                    <w:rPr>
                      <w:color w:val="auto"/>
                      <w:szCs w:val="21"/>
                      <w:highlight w:val="none"/>
                    </w:rPr>
                  </w:pPr>
                </w:p>
              </w:tc>
              <w:tc>
                <w:tcPr>
                  <w:tcW w:w="268" w:type="dxa"/>
                  <w:vMerge w:val="continue"/>
                  <w:shd w:val="clear" w:color="auto" w:fill="FFFFFF"/>
                  <w:noWrap w:val="0"/>
                  <w:vAlign w:val="center"/>
                </w:tcPr>
                <w:p>
                  <w:pPr>
                    <w:spacing w:line="220" w:lineRule="exact"/>
                    <w:ind w:left="-120" w:leftChars="-50" w:right="-120" w:rightChars="-50"/>
                    <w:jc w:val="center"/>
                    <w:rPr>
                      <w:color w:val="auto"/>
                      <w:szCs w:val="21"/>
                      <w:highlight w:val="none"/>
                    </w:rPr>
                  </w:pPr>
                </w:p>
              </w:tc>
              <w:tc>
                <w:tcPr>
                  <w:tcW w:w="514" w:type="dxa"/>
                  <w:vMerge w:val="continue"/>
                  <w:shd w:val="clear" w:color="auto" w:fill="FFFFFF"/>
                  <w:noWrap w:val="0"/>
                  <w:vAlign w:val="center"/>
                </w:tcPr>
                <w:p>
                  <w:pPr>
                    <w:spacing w:line="220" w:lineRule="exact"/>
                    <w:ind w:left="-120" w:leftChars="-50" w:right="-120" w:rightChars="-50"/>
                    <w:jc w:val="center"/>
                    <w:rPr>
                      <w:color w:val="auto"/>
                      <w:szCs w:val="21"/>
                      <w:highlight w:val="none"/>
                    </w:rPr>
                  </w:pPr>
                </w:p>
              </w:tc>
              <w:tc>
                <w:tcPr>
                  <w:tcW w:w="482" w:type="dxa"/>
                  <w:vMerge w:val="continue"/>
                  <w:shd w:val="clear" w:color="auto" w:fill="FFFFFF"/>
                  <w:noWrap w:val="0"/>
                  <w:vAlign w:val="center"/>
                </w:tcPr>
                <w:p>
                  <w:pPr>
                    <w:spacing w:line="220" w:lineRule="exact"/>
                    <w:ind w:left="-120" w:leftChars="-50" w:right="-120" w:rightChars="-50"/>
                    <w:jc w:val="center"/>
                    <w:rPr>
                      <w:color w:val="auto"/>
                      <w:szCs w:val="21"/>
                      <w:highlight w:val="none"/>
                    </w:rPr>
                  </w:pPr>
                </w:p>
              </w:tc>
              <w:tc>
                <w:tcPr>
                  <w:tcW w:w="761" w:type="dxa"/>
                  <w:vMerge w:val="continue"/>
                  <w:shd w:val="clear" w:color="auto" w:fill="FFFFFF"/>
                  <w:noWrap w:val="0"/>
                  <w:vAlign w:val="center"/>
                </w:tcPr>
                <w:p>
                  <w:pPr>
                    <w:spacing w:line="220" w:lineRule="exact"/>
                    <w:ind w:left="-120" w:leftChars="-50" w:right="-120" w:rightChars="-50"/>
                    <w:jc w:val="center"/>
                    <w:rPr>
                      <w:color w:val="auto"/>
                      <w:szCs w:val="21"/>
                      <w:highlight w:val="none"/>
                    </w:rPr>
                  </w:pPr>
                </w:p>
              </w:tc>
              <w:tc>
                <w:tcPr>
                  <w:tcW w:w="525" w:type="dxa"/>
                  <w:shd w:val="clear" w:color="auto" w:fill="FFFFFF"/>
                  <w:noWrap w:val="0"/>
                  <w:vAlign w:val="center"/>
                </w:tcPr>
                <w:p>
                  <w:pPr>
                    <w:tabs>
                      <w:tab w:val="left" w:pos="105"/>
                    </w:tabs>
                    <w:spacing w:line="240" w:lineRule="exact"/>
                    <w:ind w:left="-120" w:leftChars="-50" w:right="-120" w:rightChars="-50"/>
                    <w:jc w:val="center"/>
                    <w:rPr>
                      <w:color w:val="auto"/>
                      <w:szCs w:val="21"/>
                      <w:highlight w:val="none"/>
                    </w:rPr>
                  </w:pPr>
                  <w:r>
                    <w:rPr>
                      <w:color w:val="auto"/>
                      <w:szCs w:val="21"/>
                      <w:highlight w:val="none"/>
                    </w:rPr>
                    <w:t>NOx</w:t>
                  </w:r>
                </w:p>
              </w:tc>
              <w:tc>
                <w:tcPr>
                  <w:tcW w:w="750" w:type="dxa"/>
                  <w:shd w:val="clear" w:color="auto" w:fill="FFFFFF"/>
                  <w:noWrap w:val="0"/>
                  <w:vAlign w:val="center"/>
                </w:tcPr>
                <w:p>
                  <w:pPr>
                    <w:widowControl/>
                    <w:jc w:val="center"/>
                    <w:textAlignment w:val="bottom"/>
                    <w:rPr>
                      <w:color w:val="auto"/>
                      <w:szCs w:val="21"/>
                      <w:highlight w:val="none"/>
                    </w:rPr>
                  </w:pPr>
                  <w:r>
                    <w:rPr>
                      <w:rFonts w:hint="eastAsia"/>
                      <w:color w:val="auto"/>
                      <w:kern w:val="0"/>
                      <w:szCs w:val="21"/>
                      <w:highlight w:val="none"/>
                      <w:lang w:bidi="ar"/>
                    </w:rPr>
                    <w:t>147.28</w:t>
                  </w:r>
                </w:p>
              </w:tc>
              <w:tc>
                <w:tcPr>
                  <w:tcW w:w="566" w:type="dxa"/>
                  <w:shd w:val="clear" w:color="auto" w:fill="FFFFFF"/>
                  <w:noWrap w:val="0"/>
                  <w:vAlign w:val="center"/>
                </w:tcPr>
                <w:p>
                  <w:pPr>
                    <w:spacing w:line="220" w:lineRule="exact"/>
                    <w:ind w:left="-120" w:leftChars="-50" w:right="-120" w:rightChars="-50"/>
                    <w:jc w:val="center"/>
                    <w:rPr>
                      <w:color w:val="auto"/>
                      <w:szCs w:val="21"/>
                      <w:highlight w:val="none"/>
                    </w:rPr>
                  </w:pPr>
                  <w:r>
                    <w:rPr>
                      <w:color w:val="auto"/>
                      <w:szCs w:val="21"/>
                      <w:highlight w:val="none"/>
                    </w:rPr>
                    <w:t>0.0</w:t>
                  </w:r>
                  <w:r>
                    <w:rPr>
                      <w:rFonts w:hint="eastAsia"/>
                      <w:color w:val="auto"/>
                      <w:szCs w:val="21"/>
                      <w:highlight w:val="none"/>
                    </w:rPr>
                    <w:t>8</w:t>
                  </w:r>
                </w:p>
              </w:tc>
              <w:tc>
                <w:tcPr>
                  <w:tcW w:w="773" w:type="dxa"/>
                  <w:vMerge w:val="continue"/>
                  <w:shd w:val="clear" w:color="auto" w:fill="FFFFFF"/>
                  <w:noWrap w:val="0"/>
                  <w:vAlign w:val="center"/>
                </w:tcPr>
                <w:p>
                  <w:pPr>
                    <w:spacing w:line="220" w:lineRule="exact"/>
                    <w:ind w:left="-120" w:leftChars="-50" w:right="-120" w:rightChars="-50"/>
                    <w:jc w:val="center"/>
                    <w:rPr>
                      <w:color w:val="auto"/>
                      <w:szCs w:val="21"/>
                      <w:highlight w:val="none"/>
                    </w:rPr>
                  </w:pPr>
                </w:p>
              </w:tc>
              <w:tc>
                <w:tcPr>
                  <w:tcW w:w="557" w:type="dxa"/>
                  <w:vMerge w:val="continue"/>
                  <w:shd w:val="clear" w:color="auto" w:fill="FFFFFF"/>
                  <w:noWrap w:val="0"/>
                  <w:vAlign w:val="center"/>
                </w:tcPr>
                <w:p>
                  <w:pPr>
                    <w:spacing w:line="220" w:lineRule="exact"/>
                    <w:ind w:left="-120" w:leftChars="-50" w:right="-120" w:rightChars="-50"/>
                    <w:jc w:val="center"/>
                    <w:rPr>
                      <w:color w:val="auto"/>
                      <w:szCs w:val="21"/>
                      <w:highlight w:val="none"/>
                    </w:rPr>
                  </w:pPr>
                </w:p>
              </w:tc>
              <w:tc>
                <w:tcPr>
                  <w:tcW w:w="815" w:type="dxa"/>
                  <w:vMerge w:val="continue"/>
                  <w:shd w:val="clear" w:color="auto" w:fill="FFFFFF"/>
                  <w:noWrap w:val="0"/>
                  <w:vAlign w:val="center"/>
                </w:tcPr>
                <w:p>
                  <w:pPr>
                    <w:spacing w:line="220" w:lineRule="exact"/>
                    <w:ind w:left="-120" w:leftChars="-50" w:right="-120" w:rightChars="-50"/>
                    <w:jc w:val="center"/>
                    <w:rPr>
                      <w:color w:val="auto"/>
                      <w:szCs w:val="21"/>
                      <w:highlight w:val="none"/>
                    </w:rPr>
                  </w:pPr>
                </w:p>
              </w:tc>
              <w:tc>
                <w:tcPr>
                  <w:tcW w:w="621" w:type="dxa"/>
                  <w:shd w:val="clear" w:color="auto" w:fill="FFFFFF"/>
                  <w:noWrap w:val="0"/>
                  <w:vAlign w:val="center"/>
                </w:tcPr>
                <w:p>
                  <w:pPr>
                    <w:spacing w:line="220" w:lineRule="exact"/>
                    <w:ind w:left="-120" w:leftChars="-50" w:right="-120" w:rightChars="-50"/>
                    <w:jc w:val="center"/>
                    <w:rPr>
                      <w:rFonts w:hint="eastAsia"/>
                      <w:color w:val="auto"/>
                      <w:szCs w:val="21"/>
                      <w:highlight w:val="none"/>
                    </w:rPr>
                  </w:pPr>
                  <w:r>
                    <w:rPr>
                      <w:color w:val="auto"/>
                      <w:szCs w:val="21"/>
                      <w:highlight w:val="none"/>
                    </w:rPr>
                    <w:t>0.0</w:t>
                  </w:r>
                  <w:r>
                    <w:rPr>
                      <w:rFonts w:hint="eastAsia"/>
                      <w:color w:val="auto"/>
                      <w:szCs w:val="21"/>
                      <w:highlight w:val="none"/>
                    </w:rPr>
                    <w:t>8</w:t>
                  </w:r>
                </w:p>
              </w:tc>
              <w:tc>
                <w:tcPr>
                  <w:tcW w:w="667" w:type="dxa"/>
                  <w:shd w:val="clear" w:color="auto" w:fill="FFFFFF"/>
                  <w:noWrap w:val="0"/>
                  <w:vAlign w:val="center"/>
                </w:tcPr>
                <w:p>
                  <w:pPr>
                    <w:tabs>
                      <w:tab w:val="left" w:pos="105"/>
                    </w:tabs>
                    <w:spacing w:line="240" w:lineRule="exact"/>
                    <w:ind w:left="-120" w:leftChars="-50" w:right="-120" w:rightChars="-50"/>
                    <w:jc w:val="center"/>
                    <w:rPr>
                      <w:color w:val="auto"/>
                      <w:szCs w:val="21"/>
                      <w:highlight w:val="none"/>
                    </w:rPr>
                  </w:pPr>
                  <w:r>
                    <w:rPr>
                      <w:color w:val="auto"/>
                      <w:szCs w:val="21"/>
                      <w:highlight w:val="none"/>
                    </w:rPr>
                    <w:t>150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638" w:type="dxa"/>
                  <w:vMerge w:val="continue"/>
                  <w:shd w:val="clear" w:color="auto" w:fill="FFFFFF"/>
                  <w:noWrap w:val="0"/>
                  <w:vAlign w:val="center"/>
                </w:tcPr>
                <w:p>
                  <w:pPr>
                    <w:spacing w:line="220" w:lineRule="exact"/>
                    <w:ind w:left="-120" w:leftChars="-50" w:right="-120" w:rightChars="-50"/>
                    <w:jc w:val="center"/>
                    <w:rPr>
                      <w:color w:val="auto"/>
                      <w:szCs w:val="21"/>
                      <w:highlight w:val="none"/>
                    </w:rPr>
                  </w:pPr>
                </w:p>
              </w:tc>
              <w:tc>
                <w:tcPr>
                  <w:tcW w:w="268" w:type="dxa"/>
                  <w:vMerge w:val="continue"/>
                  <w:shd w:val="clear" w:color="auto" w:fill="FFFFFF"/>
                  <w:noWrap w:val="0"/>
                  <w:vAlign w:val="center"/>
                </w:tcPr>
                <w:p>
                  <w:pPr>
                    <w:spacing w:line="220" w:lineRule="exact"/>
                    <w:ind w:left="-120" w:leftChars="-50" w:right="-120" w:rightChars="-50"/>
                    <w:jc w:val="center"/>
                    <w:rPr>
                      <w:color w:val="auto"/>
                      <w:szCs w:val="21"/>
                      <w:highlight w:val="none"/>
                    </w:rPr>
                  </w:pPr>
                </w:p>
              </w:tc>
              <w:tc>
                <w:tcPr>
                  <w:tcW w:w="514" w:type="dxa"/>
                  <w:vMerge w:val="continue"/>
                  <w:shd w:val="clear" w:color="auto" w:fill="FFFFFF"/>
                  <w:noWrap w:val="0"/>
                  <w:vAlign w:val="center"/>
                </w:tcPr>
                <w:p>
                  <w:pPr>
                    <w:spacing w:line="220" w:lineRule="exact"/>
                    <w:ind w:left="-120" w:leftChars="-50" w:right="-120" w:rightChars="-50"/>
                    <w:jc w:val="center"/>
                    <w:rPr>
                      <w:color w:val="auto"/>
                      <w:szCs w:val="21"/>
                      <w:highlight w:val="none"/>
                    </w:rPr>
                  </w:pPr>
                </w:p>
              </w:tc>
              <w:tc>
                <w:tcPr>
                  <w:tcW w:w="482" w:type="dxa"/>
                  <w:vMerge w:val="continue"/>
                  <w:shd w:val="clear" w:color="auto" w:fill="FFFFFF"/>
                  <w:noWrap w:val="0"/>
                  <w:vAlign w:val="center"/>
                </w:tcPr>
                <w:p>
                  <w:pPr>
                    <w:spacing w:line="220" w:lineRule="exact"/>
                    <w:ind w:left="-120" w:leftChars="-50" w:right="-120" w:rightChars="-50"/>
                    <w:jc w:val="center"/>
                    <w:rPr>
                      <w:color w:val="auto"/>
                      <w:szCs w:val="21"/>
                      <w:highlight w:val="none"/>
                    </w:rPr>
                  </w:pPr>
                </w:p>
              </w:tc>
              <w:tc>
                <w:tcPr>
                  <w:tcW w:w="761" w:type="dxa"/>
                  <w:vMerge w:val="continue"/>
                  <w:shd w:val="clear" w:color="auto" w:fill="FFFFFF"/>
                  <w:noWrap w:val="0"/>
                  <w:vAlign w:val="center"/>
                </w:tcPr>
                <w:p>
                  <w:pPr>
                    <w:spacing w:line="220" w:lineRule="exact"/>
                    <w:ind w:left="-120" w:leftChars="-50" w:right="-120" w:rightChars="-50"/>
                    <w:jc w:val="center"/>
                    <w:rPr>
                      <w:color w:val="auto"/>
                      <w:szCs w:val="21"/>
                      <w:highlight w:val="none"/>
                    </w:rPr>
                  </w:pPr>
                </w:p>
              </w:tc>
              <w:tc>
                <w:tcPr>
                  <w:tcW w:w="525" w:type="dxa"/>
                  <w:shd w:val="clear" w:color="auto" w:fill="FFFFFF"/>
                  <w:noWrap w:val="0"/>
                  <w:vAlign w:val="center"/>
                </w:tcPr>
                <w:p>
                  <w:pPr>
                    <w:tabs>
                      <w:tab w:val="left" w:pos="105"/>
                    </w:tabs>
                    <w:spacing w:line="240" w:lineRule="exact"/>
                    <w:ind w:left="-120" w:leftChars="-50" w:right="-120" w:rightChars="-50"/>
                    <w:jc w:val="center"/>
                    <w:rPr>
                      <w:color w:val="auto"/>
                      <w:szCs w:val="21"/>
                      <w:highlight w:val="none"/>
                    </w:rPr>
                  </w:pPr>
                  <w:r>
                    <w:rPr>
                      <w:color w:val="auto"/>
                      <w:szCs w:val="21"/>
                      <w:highlight w:val="none"/>
                    </w:rPr>
                    <w:t>粉尘</w:t>
                  </w:r>
                </w:p>
              </w:tc>
              <w:tc>
                <w:tcPr>
                  <w:tcW w:w="750" w:type="dxa"/>
                  <w:shd w:val="clear" w:color="auto" w:fill="FFFFFF"/>
                  <w:noWrap w:val="0"/>
                  <w:vAlign w:val="center"/>
                </w:tcPr>
                <w:p>
                  <w:pPr>
                    <w:spacing w:line="220" w:lineRule="exact"/>
                    <w:ind w:left="-120" w:leftChars="-50" w:right="-120" w:rightChars="-50"/>
                    <w:jc w:val="center"/>
                    <w:rPr>
                      <w:color w:val="auto"/>
                      <w:szCs w:val="21"/>
                      <w:highlight w:val="none"/>
                    </w:rPr>
                  </w:pPr>
                  <w:r>
                    <w:rPr>
                      <w:rFonts w:hint="eastAsia"/>
                      <w:color w:val="auto"/>
                      <w:szCs w:val="21"/>
                      <w:highlight w:val="none"/>
                    </w:rPr>
                    <w:t>22.27</w:t>
                  </w:r>
                </w:p>
              </w:tc>
              <w:tc>
                <w:tcPr>
                  <w:tcW w:w="566" w:type="dxa"/>
                  <w:shd w:val="clear" w:color="auto" w:fill="FFFFFF"/>
                  <w:noWrap w:val="0"/>
                  <w:vAlign w:val="center"/>
                </w:tcPr>
                <w:p>
                  <w:pPr>
                    <w:spacing w:line="220" w:lineRule="exact"/>
                    <w:ind w:left="-120" w:leftChars="-50" w:right="-120" w:rightChars="-50"/>
                    <w:jc w:val="center"/>
                    <w:rPr>
                      <w:color w:val="auto"/>
                      <w:szCs w:val="21"/>
                      <w:highlight w:val="none"/>
                    </w:rPr>
                  </w:pPr>
                  <w:r>
                    <w:rPr>
                      <w:color w:val="auto"/>
                      <w:szCs w:val="21"/>
                      <w:highlight w:val="none"/>
                    </w:rPr>
                    <w:t>0.0072</w:t>
                  </w:r>
                </w:p>
              </w:tc>
              <w:tc>
                <w:tcPr>
                  <w:tcW w:w="773" w:type="dxa"/>
                  <w:vMerge w:val="continue"/>
                  <w:shd w:val="clear" w:color="auto" w:fill="FFFFFF"/>
                  <w:noWrap w:val="0"/>
                  <w:vAlign w:val="center"/>
                </w:tcPr>
                <w:p>
                  <w:pPr>
                    <w:spacing w:line="220" w:lineRule="exact"/>
                    <w:ind w:left="-120" w:leftChars="-50" w:right="-120" w:rightChars="-50"/>
                    <w:jc w:val="center"/>
                    <w:rPr>
                      <w:color w:val="auto"/>
                      <w:szCs w:val="21"/>
                      <w:highlight w:val="none"/>
                    </w:rPr>
                  </w:pPr>
                </w:p>
              </w:tc>
              <w:tc>
                <w:tcPr>
                  <w:tcW w:w="557" w:type="dxa"/>
                  <w:vMerge w:val="continue"/>
                  <w:shd w:val="clear" w:color="auto" w:fill="FFFFFF"/>
                  <w:noWrap w:val="0"/>
                  <w:vAlign w:val="center"/>
                </w:tcPr>
                <w:p>
                  <w:pPr>
                    <w:spacing w:line="220" w:lineRule="exact"/>
                    <w:ind w:left="-120" w:leftChars="-50" w:right="-120" w:rightChars="-50"/>
                    <w:jc w:val="center"/>
                    <w:rPr>
                      <w:color w:val="auto"/>
                      <w:szCs w:val="21"/>
                      <w:highlight w:val="none"/>
                    </w:rPr>
                  </w:pPr>
                </w:p>
              </w:tc>
              <w:tc>
                <w:tcPr>
                  <w:tcW w:w="815" w:type="dxa"/>
                  <w:vMerge w:val="continue"/>
                  <w:shd w:val="clear" w:color="auto" w:fill="FFFFFF"/>
                  <w:noWrap w:val="0"/>
                  <w:vAlign w:val="center"/>
                </w:tcPr>
                <w:p>
                  <w:pPr>
                    <w:spacing w:line="220" w:lineRule="exact"/>
                    <w:ind w:left="-120" w:leftChars="-50" w:right="-120" w:rightChars="-50"/>
                    <w:jc w:val="center"/>
                    <w:rPr>
                      <w:color w:val="auto"/>
                      <w:szCs w:val="21"/>
                      <w:highlight w:val="none"/>
                    </w:rPr>
                  </w:pPr>
                </w:p>
              </w:tc>
              <w:tc>
                <w:tcPr>
                  <w:tcW w:w="621" w:type="dxa"/>
                  <w:shd w:val="clear" w:color="auto" w:fill="FFFFFF"/>
                  <w:noWrap w:val="0"/>
                  <w:vAlign w:val="center"/>
                </w:tcPr>
                <w:p>
                  <w:pPr>
                    <w:spacing w:line="220" w:lineRule="exact"/>
                    <w:ind w:left="-120" w:leftChars="-50" w:right="-120" w:rightChars="-50"/>
                    <w:jc w:val="center"/>
                    <w:rPr>
                      <w:color w:val="auto"/>
                      <w:szCs w:val="21"/>
                      <w:highlight w:val="none"/>
                    </w:rPr>
                  </w:pPr>
                  <w:r>
                    <w:rPr>
                      <w:color w:val="auto"/>
                      <w:szCs w:val="21"/>
                      <w:highlight w:val="none"/>
                    </w:rPr>
                    <w:t>0.0072</w:t>
                  </w:r>
                </w:p>
              </w:tc>
              <w:tc>
                <w:tcPr>
                  <w:tcW w:w="667" w:type="dxa"/>
                  <w:shd w:val="clear" w:color="auto" w:fill="FFFFFF"/>
                  <w:noWrap w:val="0"/>
                  <w:vAlign w:val="center"/>
                </w:tcPr>
                <w:p>
                  <w:pPr>
                    <w:tabs>
                      <w:tab w:val="left" w:pos="105"/>
                    </w:tabs>
                    <w:spacing w:line="240" w:lineRule="exact"/>
                    <w:ind w:left="-120" w:leftChars="-50" w:right="-120" w:rightChars="-50"/>
                    <w:jc w:val="center"/>
                    <w:rPr>
                      <w:color w:val="auto"/>
                      <w:szCs w:val="21"/>
                      <w:highlight w:val="none"/>
                    </w:rPr>
                  </w:pPr>
                  <w:r>
                    <w:rPr>
                      <w:color w:val="auto"/>
                      <w:szCs w:val="21"/>
                      <w:highlight w:val="none"/>
                    </w:rPr>
                    <w:t>20</w:t>
                  </w:r>
                </w:p>
              </w:tc>
            </w:tr>
            <w:bookmarkEnd w:id="7"/>
            <w:bookmarkEnd w:id="8"/>
          </w:tbl>
          <w:p>
            <w:pPr>
              <w:snapToGrid w:val="0"/>
              <w:spacing w:line="360" w:lineRule="auto"/>
              <w:ind w:firstLine="480" w:firstLineChars="200"/>
              <w:rPr>
                <w:color w:val="auto"/>
                <w:sz w:val="24"/>
                <w:highlight w:val="none"/>
              </w:rPr>
            </w:pPr>
            <w:r>
              <w:rPr>
                <w:rFonts w:hint="eastAsia"/>
                <w:color w:val="auto"/>
                <w:sz w:val="24"/>
                <w:highlight w:val="none"/>
              </w:rPr>
              <w:t>改建前</w:t>
            </w:r>
            <w:r>
              <w:rPr>
                <w:color w:val="auto"/>
                <w:sz w:val="24"/>
                <w:highlight w:val="none"/>
              </w:rPr>
              <w:t>全厂无组织废气产生</w:t>
            </w:r>
            <w:r>
              <w:rPr>
                <w:rFonts w:hint="eastAsia"/>
                <w:color w:val="auto"/>
                <w:sz w:val="24"/>
                <w:highlight w:val="none"/>
              </w:rPr>
              <w:t>、</w:t>
            </w:r>
            <w:r>
              <w:rPr>
                <w:color w:val="auto"/>
                <w:sz w:val="24"/>
                <w:highlight w:val="none"/>
              </w:rPr>
              <w:t>治理和排放情况见表</w:t>
            </w:r>
            <w:r>
              <w:rPr>
                <w:rFonts w:hint="eastAsia"/>
                <w:color w:val="auto"/>
                <w:sz w:val="24"/>
                <w:highlight w:val="none"/>
              </w:rPr>
              <w:t>2-20。</w:t>
            </w:r>
          </w:p>
          <w:p>
            <w:pPr>
              <w:spacing w:line="360" w:lineRule="auto"/>
              <w:jc w:val="center"/>
              <w:rPr>
                <w:rFonts w:eastAsia="黑体"/>
                <w:color w:val="auto"/>
                <w:sz w:val="24"/>
                <w:highlight w:val="none"/>
              </w:rPr>
            </w:pPr>
            <w:r>
              <w:rPr>
                <w:rFonts w:hint="eastAsia" w:eastAsia="黑体"/>
                <w:color w:val="auto"/>
                <w:sz w:val="24"/>
                <w:highlight w:val="none"/>
              </w:rPr>
              <w:t>表2-9</w:t>
            </w:r>
            <w:r>
              <w:rPr>
                <w:rFonts w:eastAsia="黑体"/>
                <w:color w:val="auto"/>
                <w:sz w:val="24"/>
                <w:highlight w:val="none"/>
              </w:rPr>
              <w:t xml:space="preserve"> </w:t>
            </w:r>
            <w:r>
              <w:rPr>
                <w:rFonts w:hint="eastAsia" w:eastAsia="黑体"/>
                <w:color w:val="auto"/>
                <w:sz w:val="24"/>
                <w:highlight w:val="none"/>
              </w:rPr>
              <w:t>改建前全厂无组织</w:t>
            </w:r>
            <w:r>
              <w:rPr>
                <w:rFonts w:eastAsia="黑体"/>
                <w:color w:val="auto"/>
                <w:sz w:val="24"/>
                <w:highlight w:val="none"/>
              </w:rPr>
              <w:t>废气</w:t>
            </w:r>
            <w:r>
              <w:rPr>
                <w:rFonts w:hint="eastAsia" w:eastAsia="黑体"/>
                <w:color w:val="auto"/>
                <w:sz w:val="24"/>
                <w:highlight w:val="none"/>
              </w:rPr>
              <w:t>产生、</w:t>
            </w:r>
            <w:r>
              <w:rPr>
                <w:rFonts w:eastAsia="黑体"/>
                <w:color w:val="auto"/>
                <w:sz w:val="24"/>
                <w:highlight w:val="none"/>
              </w:rPr>
              <w:t>治理及</w:t>
            </w:r>
            <w:r>
              <w:rPr>
                <w:rFonts w:hint="eastAsia" w:eastAsia="黑体"/>
                <w:color w:val="auto"/>
                <w:sz w:val="24"/>
                <w:highlight w:val="none"/>
              </w:rPr>
              <w:t>排放情况</w:t>
            </w:r>
          </w:p>
          <w:tbl>
            <w:tblPr>
              <w:tblStyle w:val="39"/>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86"/>
              <w:gridCol w:w="1386"/>
              <w:gridCol w:w="1540"/>
              <w:gridCol w:w="1757"/>
              <w:gridCol w:w="206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93" w:type="dxa"/>
                  <w:noWrap w:val="0"/>
                  <w:vAlign w:val="center"/>
                </w:tcPr>
                <w:p>
                  <w:pPr>
                    <w:tabs>
                      <w:tab w:val="left" w:pos="105"/>
                    </w:tabs>
                    <w:spacing w:line="240" w:lineRule="exact"/>
                    <w:ind w:left="-120" w:leftChars="-50" w:right="-120" w:rightChars="-50"/>
                    <w:jc w:val="center"/>
                    <w:rPr>
                      <w:b/>
                      <w:bCs/>
                      <w:color w:val="auto"/>
                      <w:szCs w:val="21"/>
                      <w:highlight w:val="none"/>
                    </w:rPr>
                  </w:pPr>
                  <w:r>
                    <w:rPr>
                      <w:b/>
                      <w:bCs/>
                      <w:color w:val="auto"/>
                      <w:szCs w:val="21"/>
                      <w:highlight w:val="none"/>
                    </w:rPr>
                    <w:t>类别</w:t>
                  </w:r>
                </w:p>
              </w:tc>
              <w:tc>
                <w:tcPr>
                  <w:tcW w:w="1386" w:type="dxa"/>
                  <w:noWrap w:val="0"/>
                  <w:vAlign w:val="center"/>
                </w:tcPr>
                <w:p>
                  <w:pPr>
                    <w:tabs>
                      <w:tab w:val="left" w:pos="105"/>
                    </w:tabs>
                    <w:spacing w:line="240" w:lineRule="exact"/>
                    <w:ind w:left="-120" w:leftChars="-50" w:right="-120" w:rightChars="-50"/>
                    <w:jc w:val="center"/>
                    <w:rPr>
                      <w:b/>
                      <w:bCs/>
                      <w:color w:val="auto"/>
                      <w:szCs w:val="21"/>
                      <w:highlight w:val="none"/>
                    </w:rPr>
                  </w:pPr>
                  <w:r>
                    <w:rPr>
                      <w:b/>
                      <w:bCs/>
                      <w:color w:val="auto"/>
                      <w:szCs w:val="21"/>
                      <w:highlight w:val="none"/>
                    </w:rPr>
                    <w:t>产污位置</w:t>
                  </w:r>
                </w:p>
              </w:tc>
              <w:tc>
                <w:tcPr>
                  <w:tcW w:w="1540" w:type="dxa"/>
                  <w:noWrap w:val="0"/>
                  <w:vAlign w:val="center"/>
                </w:tcPr>
                <w:p>
                  <w:pPr>
                    <w:tabs>
                      <w:tab w:val="left" w:pos="105"/>
                    </w:tabs>
                    <w:spacing w:line="240" w:lineRule="exact"/>
                    <w:ind w:left="-120" w:leftChars="-50" w:right="-120" w:rightChars="-50"/>
                    <w:jc w:val="center"/>
                    <w:rPr>
                      <w:b/>
                      <w:bCs/>
                      <w:color w:val="auto"/>
                      <w:szCs w:val="21"/>
                      <w:highlight w:val="none"/>
                    </w:rPr>
                  </w:pPr>
                  <w:r>
                    <w:rPr>
                      <w:b/>
                      <w:bCs/>
                      <w:color w:val="auto"/>
                      <w:szCs w:val="21"/>
                      <w:highlight w:val="none"/>
                    </w:rPr>
                    <w:t>污染物</w:t>
                  </w:r>
                </w:p>
              </w:tc>
              <w:tc>
                <w:tcPr>
                  <w:tcW w:w="1757" w:type="dxa"/>
                  <w:noWrap w:val="0"/>
                  <w:vAlign w:val="center"/>
                </w:tcPr>
                <w:p>
                  <w:pPr>
                    <w:tabs>
                      <w:tab w:val="left" w:pos="105"/>
                    </w:tabs>
                    <w:spacing w:line="240" w:lineRule="exact"/>
                    <w:ind w:left="-120" w:leftChars="-50" w:right="-120" w:rightChars="-50"/>
                    <w:jc w:val="center"/>
                    <w:rPr>
                      <w:b/>
                      <w:bCs/>
                      <w:color w:val="auto"/>
                      <w:szCs w:val="21"/>
                      <w:highlight w:val="none"/>
                    </w:rPr>
                  </w:pPr>
                  <w:r>
                    <w:rPr>
                      <w:b/>
                      <w:bCs/>
                      <w:color w:val="auto"/>
                      <w:szCs w:val="21"/>
                      <w:highlight w:val="none"/>
                    </w:rPr>
                    <w:t>产生情况</w:t>
                  </w:r>
                </w:p>
                <w:p>
                  <w:pPr>
                    <w:tabs>
                      <w:tab w:val="left" w:pos="105"/>
                    </w:tabs>
                    <w:spacing w:line="240" w:lineRule="exact"/>
                    <w:ind w:left="-120" w:leftChars="-50" w:right="-120" w:rightChars="-50"/>
                    <w:jc w:val="center"/>
                    <w:rPr>
                      <w:b/>
                      <w:bCs/>
                      <w:color w:val="auto"/>
                      <w:szCs w:val="21"/>
                      <w:highlight w:val="none"/>
                    </w:rPr>
                  </w:pPr>
                  <w:r>
                    <w:rPr>
                      <w:b/>
                      <w:bCs/>
                      <w:color w:val="auto"/>
                      <w:szCs w:val="21"/>
                      <w:highlight w:val="none"/>
                    </w:rPr>
                    <w:t>Kg/h</w:t>
                  </w:r>
                </w:p>
              </w:tc>
              <w:tc>
                <w:tcPr>
                  <w:tcW w:w="2066" w:type="dxa"/>
                  <w:noWrap w:val="0"/>
                  <w:vAlign w:val="center"/>
                </w:tcPr>
                <w:p>
                  <w:pPr>
                    <w:tabs>
                      <w:tab w:val="left" w:pos="105"/>
                    </w:tabs>
                    <w:spacing w:line="240" w:lineRule="exact"/>
                    <w:ind w:left="-120" w:leftChars="-50" w:right="-120" w:rightChars="-50"/>
                    <w:jc w:val="center"/>
                    <w:rPr>
                      <w:b/>
                      <w:bCs/>
                      <w:color w:val="auto"/>
                      <w:szCs w:val="21"/>
                      <w:highlight w:val="none"/>
                    </w:rPr>
                  </w:pPr>
                  <w:r>
                    <w:rPr>
                      <w:b/>
                      <w:bCs/>
                      <w:color w:val="auto"/>
                      <w:szCs w:val="21"/>
                      <w:highlight w:val="none"/>
                    </w:rPr>
                    <w:t>无组织排放</w:t>
                  </w:r>
                </w:p>
                <w:p>
                  <w:pPr>
                    <w:tabs>
                      <w:tab w:val="left" w:pos="105"/>
                    </w:tabs>
                    <w:spacing w:line="240" w:lineRule="exact"/>
                    <w:ind w:left="-120" w:leftChars="-50" w:right="-120" w:rightChars="-50"/>
                    <w:jc w:val="center"/>
                    <w:rPr>
                      <w:b/>
                      <w:bCs/>
                      <w:color w:val="auto"/>
                      <w:szCs w:val="21"/>
                      <w:highlight w:val="none"/>
                    </w:rPr>
                  </w:pPr>
                  <w:r>
                    <w:rPr>
                      <w:b/>
                      <w:bCs/>
                      <w:color w:val="auto"/>
                      <w:szCs w:val="21"/>
                      <w:highlight w:val="none"/>
                    </w:rPr>
                    <w:t>情况/kg/h</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93" w:type="dxa"/>
                  <w:noWrap w:val="0"/>
                  <w:vAlign w:val="center"/>
                </w:tcPr>
                <w:p>
                  <w:pPr>
                    <w:pStyle w:val="31"/>
                    <w:spacing w:line="240" w:lineRule="auto"/>
                    <w:rPr>
                      <w:rFonts w:ascii="Times New Roman" w:eastAsia="宋体"/>
                      <w:color w:val="auto"/>
                      <w:sz w:val="21"/>
                      <w:szCs w:val="21"/>
                      <w:highlight w:val="none"/>
                    </w:rPr>
                  </w:pPr>
                  <w:r>
                    <w:rPr>
                      <w:rFonts w:ascii="Times New Roman" w:eastAsia="宋体"/>
                      <w:color w:val="auto"/>
                      <w:sz w:val="21"/>
                      <w:szCs w:val="21"/>
                      <w:highlight w:val="none"/>
                    </w:rPr>
                    <w:t>粉尘</w:t>
                  </w:r>
                </w:p>
              </w:tc>
              <w:tc>
                <w:tcPr>
                  <w:tcW w:w="1386" w:type="dxa"/>
                  <w:noWrap w:val="0"/>
                  <w:vAlign w:val="center"/>
                </w:tcPr>
                <w:p>
                  <w:pPr>
                    <w:pStyle w:val="31"/>
                    <w:spacing w:line="240" w:lineRule="auto"/>
                    <w:rPr>
                      <w:rFonts w:ascii="Times New Roman" w:eastAsia="宋体"/>
                      <w:color w:val="auto"/>
                      <w:sz w:val="21"/>
                      <w:szCs w:val="21"/>
                      <w:highlight w:val="none"/>
                    </w:rPr>
                  </w:pPr>
                  <w:r>
                    <w:rPr>
                      <w:rFonts w:ascii="Times New Roman" w:eastAsia="宋体"/>
                      <w:color w:val="auto"/>
                      <w:sz w:val="21"/>
                      <w:szCs w:val="21"/>
                      <w:highlight w:val="none"/>
                    </w:rPr>
                    <w:t>原料堆场1</w:t>
                  </w:r>
                </w:p>
              </w:tc>
              <w:tc>
                <w:tcPr>
                  <w:tcW w:w="1540" w:type="dxa"/>
                  <w:noWrap w:val="0"/>
                  <w:vAlign w:val="center"/>
                </w:tcPr>
                <w:p>
                  <w:pPr>
                    <w:pStyle w:val="31"/>
                    <w:spacing w:line="240" w:lineRule="auto"/>
                    <w:rPr>
                      <w:rFonts w:ascii="Times New Roman" w:eastAsia="宋体"/>
                      <w:color w:val="auto"/>
                      <w:sz w:val="21"/>
                      <w:szCs w:val="21"/>
                      <w:highlight w:val="none"/>
                    </w:rPr>
                  </w:pPr>
                  <w:r>
                    <w:rPr>
                      <w:rFonts w:ascii="Times New Roman" w:eastAsia="宋体"/>
                      <w:color w:val="auto"/>
                      <w:sz w:val="21"/>
                      <w:szCs w:val="21"/>
                      <w:highlight w:val="none"/>
                    </w:rPr>
                    <w:t>TSP</w:t>
                  </w:r>
                </w:p>
              </w:tc>
              <w:tc>
                <w:tcPr>
                  <w:tcW w:w="1757" w:type="dxa"/>
                  <w:noWrap w:val="0"/>
                  <w:vAlign w:val="center"/>
                </w:tcPr>
                <w:p>
                  <w:pPr>
                    <w:pStyle w:val="31"/>
                    <w:spacing w:line="240" w:lineRule="auto"/>
                    <w:rPr>
                      <w:rFonts w:ascii="Times New Roman" w:eastAsia="宋体"/>
                      <w:color w:val="auto"/>
                      <w:sz w:val="21"/>
                      <w:szCs w:val="21"/>
                      <w:highlight w:val="none"/>
                    </w:rPr>
                  </w:pPr>
                  <w:r>
                    <w:rPr>
                      <w:rFonts w:ascii="Times New Roman" w:eastAsia="宋体"/>
                      <w:color w:val="auto"/>
                      <w:sz w:val="21"/>
                      <w:szCs w:val="21"/>
                      <w:highlight w:val="none"/>
                    </w:rPr>
                    <w:t>0.568</w:t>
                  </w:r>
                </w:p>
              </w:tc>
              <w:tc>
                <w:tcPr>
                  <w:tcW w:w="2066" w:type="dxa"/>
                  <w:noWrap w:val="0"/>
                  <w:vAlign w:val="center"/>
                </w:tcPr>
                <w:p>
                  <w:pPr>
                    <w:pStyle w:val="31"/>
                    <w:spacing w:line="240" w:lineRule="auto"/>
                    <w:rPr>
                      <w:rFonts w:ascii="Times New Roman" w:eastAsia="宋体"/>
                      <w:color w:val="auto"/>
                      <w:sz w:val="21"/>
                      <w:szCs w:val="21"/>
                      <w:highlight w:val="none"/>
                    </w:rPr>
                  </w:pPr>
                  <w:r>
                    <w:rPr>
                      <w:rFonts w:ascii="Times New Roman" w:eastAsia="宋体"/>
                      <w:color w:val="auto"/>
                      <w:sz w:val="21"/>
                      <w:szCs w:val="21"/>
                      <w:highlight w:val="none"/>
                    </w:rPr>
                    <w:t>0.0852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1" w:hRule="atLeast"/>
              </w:trPr>
              <w:tc>
                <w:tcPr>
                  <w:tcW w:w="1193" w:type="dxa"/>
                  <w:noWrap w:val="0"/>
                  <w:vAlign w:val="center"/>
                </w:tcPr>
                <w:p>
                  <w:pPr>
                    <w:pStyle w:val="31"/>
                    <w:spacing w:line="240" w:lineRule="auto"/>
                    <w:rPr>
                      <w:rFonts w:ascii="Times New Roman" w:eastAsia="宋体"/>
                      <w:color w:val="auto"/>
                      <w:sz w:val="21"/>
                      <w:szCs w:val="21"/>
                      <w:highlight w:val="none"/>
                    </w:rPr>
                  </w:pPr>
                  <w:r>
                    <w:rPr>
                      <w:rFonts w:ascii="Times New Roman" w:eastAsia="宋体"/>
                      <w:color w:val="auto"/>
                      <w:sz w:val="21"/>
                      <w:szCs w:val="21"/>
                      <w:highlight w:val="none"/>
                    </w:rPr>
                    <w:t>粉尘</w:t>
                  </w:r>
                </w:p>
              </w:tc>
              <w:tc>
                <w:tcPr>
                  <w:tcW w:w="1386" w:type="dxa"/>
                  <w:noWrap w:val="0"/>
                  <w:vAlign w:val="center"/>
                </w:tcPr>
                <w:p>
                  <w:pPr>
                    <w:pStyle w:val="31"/>
                    <w:spacing w:line="240" w:lineRule="auto"/>
                    <w:rPr>
                      <w:rFonts w:ascii="Times New Roman" w:eastAsia="宋体"/>
                      <w:color w:val="auto"/>
                      <w:sz w:val="21"/>
                      <w:szCs w:val="21"/>
                      <w:highlight w:val="none"/>
                    </w:rPr>
                  </w:pPr>
                  <w:r>
                    <w:rPr>
                      <w:rFonts w:ascii="Times New Roman" w:eastAsia="宋体"/>
                      <w:color w:val="auto"/>
                      <w:sz w:val="21"/>
                      <w:szCs w:val="21"/>
                      <w:highlight w:val="none"/>
                    </w:rPr>
                    <w:t>原料堆场2</w:t>
                  </w:r>
                </w:p>
              </w:tc>
              <w:tc>
                <w:tcPr>
                  <w:tcW w:w="1540" w:type="dxa"/>
                  <w:noWrap w:val="0"/>
                  <w:vAlign w:val="center"/>
                </w:tcPr>
                <w:p>
                  <w:pPr>
                    <w:pStyle w:val="31"/>
                    <w:spacing w:line="240" w:lineRule="auto"/>
                    <w:rPr>
                      <w:rFonts w:ascii="Times New Roman" w:eastAsia="宋体"/>
                      <w:color w:val="auto"/>
                      <w:sz w:val="21"/>
                      <w:szCs w:val="21"/>
                      <w:highlight w:val="none"/>
                    </w:rPr>
                  </w:pPr>
                  <w:r>
                    <w:rPr>
                      <w:rFonts w:ascii="Times New Roman" w:eastAsia="宋体"/>
                      <w:color w:val="auto"/>
                      <w:sz w:val="21"/>
                      <w:szCs w:val="21"/>
                      <w:highlight w:val="none"/>
                    </w:rPr>
                    <w:t>TSP</w:t>
                  </w:r>
                </w:p>
              </w:tc>
              <w:tc>
                <w:tcPr>
                  <w:tcW w:w="1757" w:type="dxa"/>
                  <w:noWrap w:val="0"/>
                  <w:vAlign w:val="center"/>
                </w:tcPr>
                <w:p>
                  <w:pPr>
                    <w:pStyle w:val="31"/>
                    <w:spacing w:line="240" w:lineRule="auto"/>
                    <w:rPr>
                      <w:rFonts w:ascii="Times New Roman" w:eastAsia="宋体"/>
                      <w:color w:val="auto"/>
                      <w:sz w:val="21"/>
                      <w:szCs w:val="21"/>
                      <w:highlight w:val="none"/>
                    </w:rPr>
                  </w:pPr>
                  <w:r>
                    <w:rPr>
                      <w:rFonts w:ascii="Times New Roman" w:eastAsia="宋体"/>
                      <w:color w:val="auto"/>
                      <w:sz w:val="21"/>
                      <w:szCs w:val="21"/>
                      <w:highlight w:val="none"/>
                    </w:rPr>
                    <w:t>0.568</w:t>
                  </w:r>
                </w:p>
              </w:tc>
              <w:tc>
                <w:tcPr>
                  <w:tcW w:w="2066" w:type="dxa"/>
                  <w:noWrap w:val="0"/>
                  <w:vAlign w:val="center"/>
                </w:tcPr>
                <w:p>
                  <w:pPr>
                    <w:pStyle w:val="31"/>
                    <w:spacing w:line="240" w:lineRule="auto"/>
                    <w:rPr>
                      <w:rFonts w:ascii="Times New Roman" w:eastAsia="宋体"/>
                      <w:color w:val="auto"/>
                      <w:sz w:val="21"/>
                      <w:szCs w:val="21"/>
                      <w:highlight w:val="none"/>
                    </w:rPr>
                  </w:pPr>
                  <w:r>
                    <w:rPr>
                      <w:rFonts w:ascii="Times New Roman" w:eastAsia="宋体"/>
                      <w:color w:val="auto"/>
                      <w:sz w:val="21"/>
                      <w:szCs w:val="21"/>
                      <w:highlight w:val="none"/>
                    </w:rPr>
                    <w:t>0.568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1" w:hRule="atLeast"/>
              </w:trPr>
              <w:tc>
                <w:tcPr>
                  <w:tcW w:w="1193" w:type="dxa"/>
                  <w:vMerge w:val="restart"/>
                  <w:noWrap w:val="0"/>
                  <w:vAlign w:val="center"/>
                </w:tcPr>
                <w:p>
                  <w:pPr>
                    <w:pStyle w:val="31"/>
                    <w:spacing w:line="240" w:lineRule="auto"/>
                    <w:rPr>
                      <w:rFonts w:ascii="Times New Roman" w:eastAsia="宋体"/>
                      <w:color w:val="auto"/>
                      <w:sz w:val="21"/>
                      <w:szCs w:val="21"/>
                      <w:highlight w:val="none"/>
                    </w:rPr>
                  </w:pPr>
                  <w:r>
                    <w:rPr>
                      <w:rFonts w:ascii="Times New Roman" w:eastAsia="宋体"/>
                      <w:color w:val="auto"/>
                      <w:sz w:val="21"/>
                      <w:szCs w:val="21"/>
                      <w:highlight w:val="none"/>
                    </w:rPr>
                    <w:t>沥青烟气</w:t>
                  </w:r>
                </w:p>
              </w:tc>
              <w:tc>
                <w:tcPr>
                  <w:tcW w:w="1386" w:type="dxa"/>
                  <w:vMerge w:val="restart"/>
                  <w:noWrap w:val="0"/>
                  <w:vAlign w:val="center"/>
                </w:tcPr>
                <w:p>
                  <w:pPr>
                    <w:pStyle w:val="31"/>
                    <w:spacing w:line="240" w:lineRule="auto"/>
                    <w:rPr>
                      <w:rFonts w:ascii="Times New Roman" w:eastAsia="宋体"/>
                      <w:color w:val="auto"/>
                      <w:sz w:val="21"/>
                      <w:szCs w:val="21"/>
                      <w:highlight w:val="none"/>
                    </w:rPr>
                  </w:pPr>
                  <w:r>
                    <w:rPr>
                      <w:rFonts w:ascii="Times New Roman" w:eastAsia="宋体"/>
                      <w:color w:val="auto"/>
                      <w:sz w:val="21"/>
                      <w:szCs w:val="21"/>
                      <w:highlight w:val="none"/>
                    </w:rPr>
                    <w:t>沥青储罐及搅拌缸</w:t>
                  </w:r>
                </w:p>
              </w:tc>
              <w:tc>
                <w:tcPr>
                  <w:tcW w:w="1540" w:type="dxa"/>
                  <w:noWrap w:val="0"/>
                  <w:vAlign w:val="center"/>
                </w:tcPr>
                <w:p>
                  <w:pPr>
                    <w:pStyle w:val="31"/>
                    <w:spacing w:line="240" w:lineRule="auto"/>
                    <w:rPr>
                      <w:rFonts w:ascii="Times New Roman" w:eastAsia="宋体"/>
                      <w:color w:val="auto"/>
                      <w:sz w:val="21"/>
                      <w:szCs w:val="21"/>
                      <w:highlight w:val="none"/>
                    </w:rPr>
                  </w:pPr>
                  <w:r>
                    <w:rPr>
                      <w:rFonts w:ascii="Times New Roman" w:eastAsia="宋体"/>
                      <w:color w:val="auto"/>
                      <w:sz w:val="21"/>
                      <w:szCs w:val="21"/>
                      <w:highlight w:val="none"/>
                    </w:rPr>
                    <w:t>沥青烟</w:t>
                  </w:r>
                </w:p>
              </w:tc>
              <w:tc>
                <w:tcPr>
                  <w:tcW w:w="1757" w:type="dxa"/>
                  <w:noWrap w:val="0"/>
                  <w:vAlign w:val="center"/>
                </w:tcPr>
                <w:p>
                  <w:pPr>
                    <w:pStyle w:val="31"/>
                    <w:spacing w:line="240" w:lineRule="auto"/>
                    <w:rPr>
                      <w:rFonts w:ascii="Times New Roman" w:eastAsia="宋体"/>
                      <w:color w:val="auto"/>
                      <w:sz w:val="21"/>
                      <w:szCs w:val="21"/>
                      <w:highlight w:val="none"/>
                    </w:rPr>
                  </w:pPr>
                  <w:r>
                    <w:rPr>
                      <w:rFonts w:ascii="Times New Roman" w:eastAsia="宋体"/>
                      <w:color w:val="auto"/>
                      <w:sz w:val="21"/>
                      <w:szCs w:val="21"/>
                      <w:highlight w:val="none"/>
                    </w:rPr>
                    <w:t>0.525</w:t>
                  </w:r>
                </w:p>
              </w:tc>
              <w:tc>
                <w:tcPr>
                  <w:tcW w:w="2066" w:type="dxa"/>
                  <w:noWrap w:val="0"/>
                  <w:vAlign w:val="center"/>
                </w:tcPr>
                <w:p>
                  <w:pPr>
                    <w:pStyle w:val="31"/>
                    <w:spacing w:line="240" w:lineRule="auto"/>
                    <w:rPr>
                      <w:rFonts w:ascii="Times New Roman" w:eastAsia="宋体"/>
                      <w:color w:val="auto"/>
                      <w:sz w:val="21"/>
                      <w:szCs w:val="21"/>
                      <w:highlight w:val="none"/>
                    </w:rPr>
                  </w:pPr>
                  <w:r>
                    <w:rPr>
                      <w:rFonts w:ascii="Times New Roman" w:eastAsia="宋体"/>
                      <w:color w:val="auto"/>
                      <w:sz w:val="21"/>
                      <w:szCs w:val="21"/>
                      <w:highlight w:val="none"/>
                    </w:rPr>
                    <w:t>0.525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1" w:hRule="atLeast"/>
              </w:trPr>
              <w:tc>
                <w:tcPr>
                  <w:tcW w:w="1193" w:type="dxa"/>
                  <w:vMerge w:val="continue"/>
                  <w:noWrap w:val="0"/>
                  <w:vAlign w:val="center"/>
                </w:tcPr>
                <w:p>
                  <w:pPr>
                    <w:pStyle w:val="31"/>
                    <w:spacing w:line="240" w:lineRule="auto"/>
                    <w:rPr>
                      <w:rFonts w:ascii="Times New Roman" w:eastAsia="宋体"/>
                      <w:color w:val="auto"/>
                      <w:sz w:val="21"/>
                      <w:szCs w:val="21"/>
                      <w:highlight w:val="none"/>
                    </w:rPr>
                  </w:pPr>
                </w:p>
              </w:tc>
              <w:tc>
                <w:tcPr>
                  <w:tcW w:w="1386" w:type="dxa"/>
                  <w:vMerge w:val="continue"/>
                  <w:noWrap w:val="0"/>
                  <w:vAlign w:val="center"/>
                </w:tcPr>
                <w:p>
                  <w:pPr>
                    <w:pStyle w:val="31"/>
                    <w:spacing w:line="240" w:lineRule="auto"/>
                    <w:rPr>
                      <w:rFonts w:ascii="Times New Roman" w:eastAsia="宋体"/>
                      <w:color w:val="auto"/>
                      <w:sz w:val="21"/>
                      <w:szCs w:val="21"/>
                      <w:highlight w:val="none"/>
                    </w:rPr>
                  </w:pPr>
                </w:p>
              </w:tc>
              <w:tc>
                <w:tcPr>
                  <w:tcW w:w="1540" w:type="dxa"/>
                  <w:noWrap w:val="0"/>
                  <w:vAlign w:val="center"/>
                </w:tcPr>
                <w:p>
                  <w:pPr>
                    <w:pStyle w:val="31"/>
                    <w:spacing w:line="240" w:lineRule="auto"/>
                    <w:rPr>
                      <w:rFonts w:ascii="Times New Roman" w:eastAsia="宋体"/>
                      <w:color w:val="auto"/>
                      <w:sz w:val="21"/>
                      <w:szCs w:val="21"/>
                      <w:highlight w:val="none"/>
                    </w:rPr>
                  </w:pPr>
                  <w:r>
                    <w:rPr>
                      <w:rFonts w:ascii="Times New Roman" w:eastAsia="宋体"/>
                      <w:color w:val="auto"/>
                      <w:sz w:val="21"/>
                      <w:szCs w:val="21"/>
                      <w:highlight w:val="none"/>
                    </w:rPr>
                    <w:t>苯并芘</w:t>
                  </w:r>
                </w:p>
              </w:tc>
              <w:tc>
                <w:tcPr>
                  <w:tcW w:w="1757" w:type="dxa"/>
                  <w:noWrap w:val="0"/>
                  <w:vAlign w:val="center"/>
                </w:tcPr>
                <w:p>
                  <w:pPr>
                    <w:pStyle w:val="31"/>
                    <w:spacing w:line="240" w:lineRule="auto"/>
                    <w:rPr>
                      <w:rFonts w:ascii="Times New Roman" w:eastAsia="宋体"/>
                      <w:color w:val="auto"/>
                      <w:sz w:val="21"/>
                      <w:szCs w:val="21"/>
                      <w:highlight w:val="none"/>
                    </w:rPr>
                  </w:pPr>
                  <w:r>
                    <w:rPr>
                      <w:rFonts w:ascii="Times New Roman" w:eastAsia="宋体"/>
                      <w:color w:val="auto"/>
                      <w:sz w:val="21"/>
                      <w:szCs w:val="21"/>
                      <w:highlight w:val="none"/>
                    </w:rPr>
                    <w:t>0.0000105</w:t>
                  </w:r>
                </w:p>
              </w:tc>
              <w:tc>
                <w:tcPr>
                  <w:tcW w:w="2066" w:type="dxa"/>
                  <w:noWrap w:val="0"/>
                  <w:vAlign w:val="center"/>
                </w:tcPr>
                <w:p>
                  <w:pPr>
                    <w:pStyle w:val="31"/>
                    <w:spacing w:line="240" w:lineRule="auto"/>
                    <w:rPr>
                      <w:rFonts w:ascii="Times New Roman" w:eastAsia="宋体"/>
                      <w:color w:val="auto"/>
                      <w:sz w:val="21"/>
                      <w:szCs w:val="21"/>
                      <w:highlight w:val="none"/>
                    </w:rPr>
                  </w:pPr>
                  <w:r>
                    <w:rPr>
                      <w:rFonts w:ascii="Times New Roman" w:eastAsia="宋体"/>
                      <w:color w:val="auto"/>
                      <w:sz w:val="21"/>
                      <w:szCs w:val="21"/>
                      <w:highlight w:val="none"/>
                    </w:rPr>
                    <w:t>0.0000105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1" w:hRule="atLeast"/>
              </w:trPr>
              <w:tc>
                <w:tcPr>
                  <w:tcW w:w="1193" w:type="dxa"/>
                  <w:vMerge w:val="continue"/>
                  <w:noWrap w:val="0"/>
                  <w:vAlign w:val="center"/>
                </w:tcPr>
                <w:p>
                  <w:pPr>
                    <w:pStyle w:val="31"/>
                    <w:spacing w:line="240" w:lineRule="auto"/>
                    <w:rPr>
                      <w:rFonts w:ascii="Times New Roman" w:eastAsia="宋体"/>
                      <w:color w:val="auto"/>
                      <w:sz w:val="21"/>
                      <w:szCs w:val="21"/>
                      <w:highlight w:val="none"/>
                    </w:rPr>
                  </w:pPr>
                </w:p>
              </w:tc>
              <w:tc>
                <w:tcPr>
                  <w:tcW w:w="1386" w:type="dxa"/>
                  <w:vMerge w:val="continue"/>
                  <w:noWrap w:val="0"/>
                  <w:vAlign w:val="center"/>
                </w:tcPr>
                <w:p>
                  <w:pPr>
                    <w:pStyle w:val="31"/>
                    <w:spacing w:line="240" w:lineRule="auto"/>
                    <w:rPr>
                      <w:rFonts w:ascii="Times New Roman" w:eastAsia="宋体"/>
                      <w:color w:val="auto"/>
                      <w:sz w:val="21"/>
                      <w:szCs w:val="21"/>
                      <w:highlight w:val="none"/>
                    </w:rPr>
                  </w:pPr>
                </w:p>
              </w:tc>
              <w:tc>
                <w:tcPr>
                  <w:tcW w:w="1540" w:type="dxa"/>
                  <w:noWrap w:val="0"/>
                  <w:vAlign w:val="center"/>
                </w:tcPr>
                <w:p>
                  <w:pPr>
                    <w:pStyle w:val="31"/>
                    <w:spacing w:line="240" w:lineRule="auto"/>
                    <w:rPr>
                      <w:rFonts w:ascii="Times New Roman" w:eastAsia="宋体"/>
                      <w:color w:val="auto"/>
                      <w:sz w:val="21"/>
                      <w:szCs w:val="21"/>
                      <w:highlight w:val="none"/>
                    </w:rPr>
                  </w:pPr>
                  <w:r>
                    <w:rPr>
                      <w:rFonts w:ascii="Times New Roman" w:eastAsia="宋体"/>
                      <w:color w:val="auto"/>
                      <w:sz w:val="21"/>
                      <w:szCs w:val="21"/>
                      <w:highlight w:val="none"/>
                    </w:rPr>
                    <w:t>非甲烷总烃</w:t>
                  </w:r>
                </w:p>
              </w:tc>
              <w:tc>
                <w:tcPr>
                  <w:tcW w:w="1757" w:type="dxa"/>
                  <w:noWrap w:val="0"/>
                  <w:vAlign w:val="center"/>
                </w:tcPr>
                <w:p>
                  <w:pPr>
                    <w:pStyle w:val="31"/>
                    <w:spacing w:line="240" w:lineRule="auto"/>
                    <w:rPr>
                      <w:rFonts w:ascii="Times New Roman" w:eastAsia="宋体"/>
                      <w:color w:val="auto"/>
                      <w:sz w:val="21"/>
                      <w:szCs w:val="21"/>
                      <w:highlight w:val="none"/>
                    </w:rPr>
                  </w:pPr>
                  <w:r>
                    <w:rPr>
                      <w:rFonts w:ascii="Times New Roman" w:eastAsia="宋体"/>
                      <w:color w:val="auto"/>
                      <w:sz w:val="21"/>
                      <w:szCs w:val="21"/>
                      <w:highlight w:val="none"/>
                    </w:rPr>
                    <w:t>0.00208</w:t>
                  </w:r>
                </w:p>
              </w:tc>
              <w:tc>
                <w:tcPr>
                  <w:tcW w:w="2066" w:type="dxa"/>
                  <w:noWrap w:val="0"/>
                  <w:vAlign w:val="center"/>
                </w:tcPr>
                <w:p>
                  <w:pPr>
                    <w:pStyle w:val="31"/>
                    <w:spacing w:line="240" w:lineRule="auto"/>
                    <w:rPr>
                      <w:rFonts w:ascii="Times New Roman" w:eastAsia="宋体"/>
                      <w:color w:val="auto"/>
                      <w:sz w:val="21"/>
                      <w:szCs w:val="21"/>
                      <w:highlight w:val="none"/>
                    </w:rPr>
                  </w:pPr>
                  <w:r>
                    <w:rPr>
                      <w:rFonts w:ascii="Times New Roman" w:eastAsia="宋体"/>
                      <w:color w:val="auto"/>
                      <w:sz w:val="21"/>
                      <w:szCs w:val="21"/>
                      <w:highlight w:val="none"/>
                    </w:rPr>
                    <w:t>0.00208</w:t>
                  </w:r>
                </w:p>
              </w:tc>
            </w:tr>
          </w:tbl>
          <w:p>
            <w:pPr>
              <w:pStyle w:val="6"/>
              <w:tabs>
                <w:tab w:val="left" w:pos="709"/>
              </w:tabs>
              <w:rPr>
                <w:color w:val="auto"/>
                <w:sz w:val="24"/>
                <w:szCs w:val="24"/>
                <w:highlight w:val="none"/>
              </w:rPr>
            </w:pPr>
            <w:bookmarkStart w:id="9" w:name="_Toc11944"/>
            <w:r>
              <w:rPr>
                <w:rFonts w:hint="eastAsia"/>
                <w:color w:val="auto"/>
                <w:sz w:val="24"/>
                <w:szCs w:val="24"/>
                <w:highlight w:val="none"/>
              </w:rPr>
              <w:t>3、噪声</w:t>
            </w:r>
            <w:bookmarkEnd w:id="9"/>
          </w:p>
          <w:p>
            <w:pPr>
              <w:snapToGrid w:val="0"/>
              <w:spacing w:line="360" w:lineRule="auto"/>
              <w:ind w:firstLine="480" w:firstLineChars="200"/>
              <w:rPr>
                <w:color w:val="auto"/>
                <w:sz w:val="24"/>
                <w:highlight w:val="none"/>
              </w:rPr>
            </w:pPr>
            <w:r>
              <w:rPr>
                <w:rFonts w:hint="eastAsia"/>
                <w:color w:val="auto"/>
                <w:sz w:val="24"/>
                <w:highlight w:val="none"/>
              </w:rPr>
              <w:t>噪声主要是搅拌机等设备产生的噪音，噪音在70~90dB（A）之间。</w:t>
            </w:r>
            <w:r>
              <w:rPr>
                <w:color w:val="auto"/>
                <w:sz w:val="24"/>
                <w:highlight w:val="none"/>
              </w:rPr>
              <w:t>项目</w:t>
            </w:r>
            <w:r>
              <w:rPr>
                <w:rFonts w:hint="eastAsia"/>
                <w:color w:val="auto"/>
                <w:sz w:val="24"/>
                <w:highlight w:val="none"/>
              </w:rPr>
              <w:t>噪声</w:t>
            </w:r>
            <w:r>
              <w:rPr>
                <w:color w:val="auto"/>
                <w:sz w:val="24"/>
                <w:highlight w:val="none"/>
              </w:rPr>
              <w:t>产生</w:t>
            </w:r>
            <w:r>
              <w:rPr>
                <w:rFonts w:hint="eastAsia"/>
                <w:color w:val="auto"/>
                <w:sz w:val="24"/>
                <w:highlight w:val="none"/>
              </w:rPr>
              <w:t>、</w:t>
            </w:r>
            <w:r>
              <w:rPr>
                <w:color w:val="auto"/>
                <w:sz w:val="24"/>
                <w:highlight w:val="none"/>
              </w:rPr>
              <w:t>治理和排放情况见表</w:t>
            </w:r>
            <w:r>
              <w:rPr>
                <w:rFonts w:hint="eastAsia"/>
                <w:color w:val="auto"/>
                <w:sz w:val="24"/>
                <w:highlight w:val="none"/>
              </w:rPr>
              <w:t>2-10。</w:t>
            </w:r>
          </w:p>
          <w:p>
            <w:pPr>
              <w:spacing w:line="360" w:lineRule="auto"/>
              <w:jc w:val="right"/>
              <w:rPr>
                <w:rFonts w:eastAsia="黑体"/>
                <w:color w:val="auto"/>
                <w:sz w:val="24"/>
                <w:highlight w:val="none"/>
              </w:rPr>
            </w:pPr>
            <w:r>
              <w:rPr>
                <w:rFonts w:hint="eastAsia" w:eastAsia="黑体"/>
                <w:color w:val="auto"/>
                <w:sz w:val="24"/>
                <w:highlight w:val="none"/>
              </w:rPr>
              <w:t>表2-10</w:t>
            </w:r>
            <w:r>
              <w:rPr>
                <w:rFonts w:eastAsia="黑体"/>
                <w:color w:val="auto"/>
                <w:sz w:val="24"/>
                <w:highlight w:val="none"/>
              </w:rPr>
              <w:t xml:space="preserve"> </w:t>
            </w:r>
            <w:r>
              <w:rPr>
                <w:rFonts w:hint="eastAsia" w:eastAsia="黑体"/>
                <w:color w:val="auto"/>
                <w:sz w:val="24"/>
                <w:highlight w:val="none"/>
              </w:rPr>
              <w:t xml:space="preserve">主要噪声源产生、处理情况    </w:t>
            </w:r>
            <w:r>
              <w:rPr>
                <w:rFonts w:eastAsia="黑体"/>
                <w:color w:val="auto"/>
                <w:sz w:val="24"/>
                <w:highlight w:val="none"/>
              </w:rPr>
              <w:t xml:space="preserve">  </w:t>
            </w:r>
            <w:r>
              <w:rPr>
                <w:rFonts w:hint="eastAsia" w:eastAsia="黑体"/>
                <w:color w:val="auto"/>
                <w:sz w:val="24"/>
                <w:highlight w:val="none"/>
              </w:rPr>
              <w:t xml:space="preserve">  单位：</w:t>
            </w:r>
            <w:r>
              <w:rPr>
                <w:rFonts w:eastAsia="黑体"/>
                <w:color w:val="auto"/>
                <w:sz w:val="24"/>
                <w:highlight w:val="none"/>
              </w:rPr>
              <w:t>dB</w:t>
            </w:r>
            <w:r>
              <w:rPr>
                <w:rFonts w:hint="eastAsia" w:eastAsia="黑体"/>
                <w:color w:val="auto"/>
                <w:sz w:val="24"/>
                <w:highlight w:val="none"/>
              </w:rPr>
              <w:t>（</w:t>
            </w:r>
            <w:r>
              <w:rPr>
                <w:rFonts w:eastAsia="黑体"/>
                <w:color w:val="auto"/>
                <w:sz w:val="24"/>
                <w:highlight w:val="none"/>
              </w:rPr>
              <w:t>A</w:t>
            </w:r>
            <w:r>
              <w:rPr>
                <w:rFonts w:hint="eastAsia" w:eastAsia="黑体"/>
                <w:color w:val="auto"/>
                <w:sz w:val="24"/>
                <w:highlight w:val="none"/>
              </w:rPr>
              <w:t>）</w:t>
            </w:r>
          </w:p>
          <w:tbl>
            <w:tblPr>
              <w:tblStyle w:val="39"/>
              <w:tblW w:w="0" w:type="auto"/>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15" w:type="dxa"/>
                <w:left w:w="15" w:type="dxa"/>
                <w:bottom w:w="15" w:type="dxa"/>
                <w:right w:w="15" w:type="dxa"/>
              </w:tblCellMar>
            </w:tblPr>
            <w:tblGrid>
              <w:gridCol w:w="466"/>
              <w:gridCol w:w="685"/>
              <w:gridCol w:w="800"/>
              <w:gridCol w:w="599"/>
              <w:gridCol w:w="728"/>
              <w:gridCol w:w="971"/>
              <w:gridCol w:w="1129"/>
              <w:gridCol w:w="1892"/>
              <w:gridCol w:w="675"/>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1610" w:hRule="atLeast"/>
              </w:trPr>
              <w:tc>
                <w:tcPr>
                  <w:tcW w:w="466" w:type="dxa"/>
                  <w:noWrap/>
                  <w:vAlign w:val="center"/>
                </w:tcPr>
                <w:p>
                  <w:pPr>
                    <w:widowControl/>
                    <w:jc w:val="center"/>
                    <w:textAlignment w:val="bottom"/>
                    <w:rPr>
                      <w:b/>
                      <w:bCs/>
                      <w:color w:val="auto"/>
                      <w:szCs w:val="21"/>
                      <w:highlight w:val="none"/>
                    </w:rPr>
                  </w:pPr>
                  <w:r>
                    <w:rPr>
                      <w:b/>
                      <w:bCs/>
                      <w:color w:val="auto"/>
                      <w:kern w:val="0"/>
                      <w:szCs w:val="21"/>
                      <w:highlight w:val="none"/>
                      <w:lang w:bidi="ar"/>
                    </w:rPr>
                    <w:t>序</w:t>
                  </w:r>
                  <w:r>
                    <w:rPr>
                      <w:b/>
                      <w:bCs/>
                      <w:color w:val="auto"/>
                      <w:kern w:val="0"/>
                      <w:szCs w:val="21"/>
                      <w:highlight w:val="none"/>
                      <w:lang w:bidi="ar"/>
                    </w:rPr>
                    <w:br w:type="textWrapping"/>
                  </w:r>
                  <w:r>
                    <w:rPr>
                      <w:b/>
                      <w:bCs/>
                      <w:color w:val="auto"/>
                      <w:kern w:val="0"/>
                      <w:szCs w:val="21"/>
                      <w:highlight w:val="none"/>
                      <w:lang w:bidi="ar"/>
                    </w:rPr>
                    <w:t>号</w:t>
                  </w:r>
                </w:p>
              </w:tc>
              <w:tc>
                <w:tcPr>
                  <w:tcW w:w="685" w:type="dxa"/>
                  <w:noWrap/>
                  <w:vAlign w:val="center"/>
                </w:tcPr>
                <w:p>
                  <w:pPr>
                    <w:widowControl/>
                    <w:jc w:val="center"/>
                    <w:textAlignment w:val="bottom"/>
                    <w:rPr>
                      <w:b/>
                      <w:bCs/>
                      <w:color w:val="auto"/>
                      <w:szCs w:val="21"/>
                      <w:highlight w:val="none"/>
                    </w:rPr>
                  </w:pPr>
                  <w:r>
                    <w:rPr>
                      <w:b/>
                      <w:bCs/>
                      <w:color w:val="auto"/>
                      <w:kern w:val="0"/>
                      <w:szCs w:val="21"/>
                      <w:highlight w:val="none"/>
                      <w:lang w:bidi="ar"/>
                    </w:rPr>
                    <w:t>设备名称</w:t>
                  </w:r>
                </w:p>
              </w:tc>
              <w:tc>
                <w:tcPr>
                  <w:tcW w:w="800" w:type="dxa"/>
                  <w:noWrap/>
                  <w:vAlign w:val="center"/>
                </w:tcPr>
                <w:p>
                  <w:pPr>
                    <w:widowControl/>
                    <w:jc w:val="center"/>
                    <w:textAlignment w:val="bottom"/>
                    <w:rPr>
                      <w:b/>
                      <w:bCs/>
                      <w:color w:val="auto"/>
                      <w:szCs w:val="21"/>
                      <w:highlight w:val="none"/>
                    </w:rPr>
                  </w:pPr>
                  <w:r>
                    <w:rPr>
                      <w:b/>
                      <w:bCs/>
                      <w:color w:val="auto"/>
                      <w:kern w:val="0"/>
                      <w:szCs w:val="21"/>
                      <w:highlight w:val="none"/>
                      <w:lang w:bidi="ar"/>
                    </w:rPr>
                    <w:t>位置</w:t>
                  </w:r>
                </w:p>
              </w:tc>
              <w:tc>
                <w:tcPr>
                  <w:tcW w:w="599" w:type="dxa"/>
                  <w:noWrap/>
                  <w:vAlign w:val="center"/>
                </w:tcPr>
                <w:p>
                  <w:pPr>
                    <w:widowControl/>
                    <w:jc w:val="center"/>
                    <w:textAlignment w:val="bottom"/>
                    <w:rPr>
                      <w:b/>
                      <w:bCs/>
                      <w:color w:val="auto"/>
                      <w:szCs w:val="21"/>
                      <w:highlight w:val="none"/>
                    </w:rPr>
                  </w:pPr>
                  <w:r>
                    <w:rPr>
                      <w:b/>
                      <w:bCs/>
                      <w:color w:val="auto"/>
                      <w:kern w:val="0"/>
                      <w:szCs w:val="21"/>
                      <w:highlight w:val="none"/>
                      <w:lang w:bidi="ar"/>
                    </w:rPr>
                    <w:t>|数量</w:t>
                  </w:r>
                </w:p>
              </w:tc>
              <w:tc>
                <w:tcPr>
                  <w:tcW w:w="728" w:type="dxa"/>
                  <w:noWrap/>
                  <w:vAlign w:val="center"/>
                </w:tcPr>
                <w:p>
                  <w:pPr>
                    <w:widowControl/>
                    <w:jc w:val="center"/>
                    <w:textAlignment w:val="bottom"/>
                    <w:rPr>
                      <w:b/>
                      <w:bCs/>
                      <w:color w:val="auto"/>
                      <w:szCs w:val="21"/>
                      <w:highlight w:val="none"/>
                    </w:rPr>
                  </w:pPr>
                  <w:r>
                    <w:rPr>
                      <w:b/>
                      <w:bCs/>
                      <w:color w:val="auto"/>
                      <w:kern w:val="0"/>
                      <w:szCs w:val="21"/>
                      <w:highlight w:val="none"/>
                      <w:lang w:bidi="ar"/>
                    </w:rPr>
                    <w:t>声源类</w:t>
                  </w:r>
                  <w:r>
                    <w:rPr>
                      <w:b/>
                      <w:bCs/>
                      <w:color w:val="auto"/>
                      <w:kern w:val="0"/>
                      <w:szCs w:val="21"/>
                      <w:highlight w:val="none"/>
                      <w:lang w:bidi="ar"/>
                    </w:rPr>
                    <w:br w:type="textWrapping"/>
                  </w:r>
                  <w:r>
                    <w:rPr>
                      <w:b/>
                      <w:bCs/>
                      <w:color w:val="auto"/>
                      <w:kern w:val="0"/>
                      <w:szCs w:val="21"/>
                      <w:highlight w:val="none"/>
                      <w:lang w:bidi="ar"/>
                    </w:rPr>
                    <w:t>型（偶</w:t>
                  </w:r>
                  <w:r>
                    <w:rPr>
                      <w:b/>
                      <w:bCs/>
                      <w:color w:val="auto"/>
                      <w:kern w:val="0"/>
                      <w:szCs w:val="21"/>
                      <w:highlight w:val="none"/>
                      <w:lang w:bidi="ar"/>
                    </w:rPr>
                    <w:br w:type="textWrapping"/>
                  </w:r>
                  <w:r>
                    <w:rPr>
                      <w:b/>
                      <w:bCs/>
                      <w:color w:val="auto"/>
                      <w:kern w:val="0"/>
                      <w:szCs w:val="21"/>
                      <w:highlight w:val="none"/>
                      <w:lang w:bidi="ar"/>
                    </w:rPr>
                    <w:t>发、频</w:t>
                  </w:r>
                  <w:r>
                    <w:rPr>
                      <w:b/>
                      <w:bCs/>
                      <w:color w:val="auto"/>
                      <w:kern w:val="0"/>
                      <w:szCs w:val="21"/>
                      <w:highlight w:val="none"/>
                      <w:lang w:bidi="ar"/>
                    </w:rPr>
                    <w:br w:type="textWrapping"/>
                  </w:r>
                  <w:r>
                    <w:rPr>
                      <w:b/>
                      <w:bCs/>
                      <w:color w:val="auto"/>
                      <w:kern w:val="0"/>
                      <w:szCs w:val="21"/>
                      <w:highlight w:val="none"/>
                      <w:lang w:bidi="ar"/>
                    </w:rPr>
                    <w:t>发)</w:t>
                  </w:r>
                </w:p>
              </w:tc>
              <w:tc>
                <w:tcPr>
                  <w:tcW w:w="2100" w:type="dxa"/>
                  <w:gridSpan w:val="2"/>
                  <w:noWrap/>
                  <w:vAlign w:val="center"/>
                </w:tcPr>
                <w:p>
                  <w:pPr>
                    <w:widowControl/>
                    <w:jc w:val="center"/>
                    <w:textAlignment w:val="bottom"/>
                    <w:rPr>
                      <w:b/>
                      <w:bCs/>
                      <w:color w:val="auto"/>
                      <w:szCs w:val="21"/>
                      <w:highlight w:val="none"/>
                    </w:rPr>
                  </w:pPr>
                  <w:r>
                    <w:rPr>
                      <w:rFonts w:hint="eastAsia"/>
                      <w:b/>
                      <w:bCs/>
                      <w:color w:val="auto"/>
                      <w:kern w:val="0"/>
                      <w:szCs w:val="21"/>
                      <w:highlight w:val="none"/>
                      <w:lang w:bidi="ar"/>
                    </w:rPr>
                    <w:t>治理前</w:t>
                  </w:r>
                </w:p>
              </w:tc>
              <w:tc>
                <w:tcPr>
                  <w:tcW w:w="1892" w:type="dxa"/>
                  <w:noWrap/>
                  <w:vAlign w:val="center"/>
                </w:tcPr>
                <w:p>
                  <w:pPr>
                    <w:widowControl/>
                    <w:jc w:val="center"/>
                    <w:textAlignment w:val="bottom"/>
                    <w:rPr>
                      <w:b/>
                      <w:bCs/>
                      <w:color w:val="auto"/>
                      <w:kern w:val="0"/>
                      <w:szCs w:val="21"/>
                      <w:highlight w:val="none"/>
                      <w:lang w:bidi="ar"/>
                    </w:rPr>
                  </w:pPr>
                  <w:r>
                    <w:rPr>
                      <w:rFonts w:hint="eastAsia"/>
                      <w:b/>
                      <w:bCs/>
                      <w:color w:val="auto"/>
                      <w:kern w:val="0"/>
                      <w:szCs w:val="21"/>
                      <w:highlight w:val="none"/>
                      <w:lang w:bidi="ar"/>
                    </w:rPr>
                    <w:t>治理措施</w:t>
                  </w:r>
                </w:p>
              </w:tc>
              <w:tc>
                <w:tcPr>
                  <w:tcW w:w="675" w:type="dxa"/>
                  <w:noWrap/>
                  <w:vAlign w:val="center"/>
                </w:tcPr>
                <w:p>
                  <w:pPr>
                    <w:widowControl/>
                    <w:jc w:val="center"/>
                    <w:textAlignment w:val="bottom"/>
                    <w:rPr>
                      <w:b/>
                      <w:bCs/>
                      <w:color w:val="auto"/>
                      <w:szCs w:val="21"/>
                      <w:highlight w:val="none"/>
                    </w:rPr>
                  </w:pPr>
                  <w:r>
                    <w:rPr>
                      <w:rFonts w:hint="eastAsia"/>
                      <w:b/>
                      <w:bCs/>
                      <w:color w:val="auto"/>
                      <w:kern w:val="0"/>
                      <w:szCs w:val="21"/>
                      <w:highlight w:val="none"/>
                      <w:lang w:bidi="ar"/>
                    </w:rPr>
                    <w:t>治理后</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23" w:hRule="atLeast"/>
              </w:trPr>
              <w:tc>
                <w:tcPr>
                  <w:tcW w:w="466" w:type="dxa"/>
                  <w:noWrap/>
                  <w:vAlign w:val="center"/>
                </w:tcPr>
                <w:p>
                  <w:pPr>
                    <w:widowControl/>
                    <w:jc w:val="center"/>
                    <w:rPr>
                      <w:rFonts w:hint="eastAsia"/>
                      <w:color w:val="auto"/>
                      <w:szCs w:val="21"/>
                      <w:highlight w:val="none"/>
                    </w:rPr>
                  </w:pPr>
                  <w:r>
                    <w:rPr>
                      <w:rFonts w:hint="eastAsia"/>
                      <w:color w:val="auto"/>
                      <w:szCs w:val="21"/>
                      <w:highlight w:val="none"/>
                    </w:rPr>
                    <w:t>1</w:t>
                  </w:r>
                </w:p>
              </w:tc>
              <w:tc>
                <w:tcPr>
                  <w:tcW w:w="685" w:type="dxa"/>
                  <w:noWrap/>
                  <w:vAlign w:val="center"/>
                </w:tcPr>
                <w:p>
                  <w:pPr>
                    <w:widowControl/>
                    <w:jc w:val="center"/>
                    <w:textAlignment w:val="bottom"/>
                    <w:rPr>
                      <w:color w:val="auto"/>
                      <w:szCs w:val="21"/>
                      <w:highlight w:val="none"/>
                    </w:rPr>
                  </w:pPr>
                  <w:r>
                    <w:rPr>
                      <w:color w:val="auto"/>
                      <w:kern w:val="0"/>
                      <w:szCs w:val="21"/>
                      <w:highlight w:val="none"/>
                      <w:lang w:bidi="ar"/>
                    </w:rPr>
                    <w:t>搅拌机</w:t>
                  </w:r>
                </w:p>
              </w:tc>
              <w:tc>
                <w:tcPr>
                  <w:tcW w:w="800" w:type="dxa"/>
                  <w:noWrap/>
                  <w:vAlign w:val="center"/>
                </w:tcPr>
                <w:p>
                  <w:pPr>
                    <w:widowControl/>
                    <w:jc w:val="center"/>
                    <w:textAlignment w:val="bottom"/>
                    <w:rPr>
                      <w:color w:val="auto"/>
                      <w:szCs w:val="21"/>
                      <w:highlight w:val="none"/>
                    </w:rPr>
                  </w:pPr>
                  <w:r>
                    <w:rPr>
                      <w:color w:val="auto"/>
                      <w:kern w:val="0"/>
                      <w:szCs w:val="21"/>
                      <w:highlight w:val="none"/>
                      <w:lang w:bidi="ar"/>
                    </w:rPr>
                    <w:t>拌合楼</w:t>
                  </w:r>
                </w:p>
              </w:tc>
              <w:tc>
                <w:tcPr>
                  <w:tcW w:w="599" w:type="dxa"/>
                  <w:noWrap/>
                  <w:vAlign w:val="center"/>
                </w:tcPr>
                <w:p>
                  <w:pPr>
                    <w:widowControl/>
                    <w:jc w:val="center"/>
                    <w:textAlignment w:val="bottom"/>
                    <w:rPr>
                      <w:color w:val="auto"/>
                      <w:szCs w:val="21"/>
                      <w:highlight w:val="none"/>
                    </w:rPr>
                  </w:pPr>
                  <w:r>
                    <w:rPr>
                      <w:color w:val="auto"/>
                      <w:kern w:val="0"/>
                      <w:szCs w:val="21"/>
                      <w:highlight w:val="none"/>
                      <w:lang w:bidi="ar"/>
                    </w:rPr>
                    <w:t>1台</w:t>
                  </w:r>
                </w:p>
              </w:tc>
              <w:tc>
                <w:tcPr>
                  <w:tcW w:w="728" w:type="dxa"/>
                  <w:noWrap/>
                  <w:vAlign w:val="center"/>
                </w:tcPr>
                <w:p>
                  <w:pPr>
                    <w:widowControl/>
                    <w:jc w:val="center"/>
                    <w:textAlignment w:val="bottom"/>
                    <w:rPr>
                      <w:color w:val="auto"/>
                      <w:szCs w:val="21"/>
                      <w:highlight w:val="none"/>
                    </w:rPr>
                  </w:pPr>
                  <w:r>
                    <w:rPr>
                      <w:color w:val="auto"/>
                      <w:kern w:val="0"/>
                      <w:szCs w:val="21"/>
                      <w:highlight w:val="none"/>
                      <w:lang w:bidi="ar"/>
                    </w:rPr>
                    <w:t>频发</w:t>
                  </w:r>
                </w:p>
              </w:tc>
              <w:tc>
                <w:tcPr>
                  <w:tcW w:w="971" w:type="dxa"/>
                  <w:noWrap/>
                  <w:vAlign w:val="center"/>
                </w:tcPr>
                <w:p>
                  <w:pPr>
                    <w:widowControl/>
                    <w:jc w:val="center"/>
                    <w:textAlignment w:val="bottom"/>
                    <w:rPr>
                      <w:color w:val="auto"/>
                      <w:szCs w:val="21"/>
                      <w:highlight w:val="none"/>
                    </w:rPr>
                  </w:pPr>
                  <w:r>
                    <w:rPr>
                      <w:color w:val="auto"/>
                      <w:kern w:val="0"/>
                      <w:szCs w:val="21"/>
                      <w:highlight w:val="none"/>
                      <w:lang w:bidi="ar"/>
                    </w:rPr>
                    <w:t>类比</w:t>
                  </w:r>
                </w:p>
              </w:tc>
              <w:tc>
                <w:tcPr>
                  <w:tcW w:w="1129" w:type="dxa"/>
                  <w:noWrap/>
                  <w:vAlign w:val="center"/>
                </w:tcPr>
                <w:p>
                  <w:pPr>
                    <w:widowControl/>
                    <w:jc w:val="center"/>
                    <w:textAlignment w:val="bottom"/>
                    <w:rPr>
                      <w:color w:val="auto"/>
                      <w:szCs w:val="21"/>
                      <w:highlight w:val="none"/>
                    </w:rPr>
                  </w:pPr>
                  <w:r>
                    <w:rPr>
                      <w:color w:val="auto"/>
                      <w:kern w:val="0"/>
                      <w:szCs w:val="21"/>
                      <w:highlight w:val="none"/>
                      <w:lang w:bidi="ar"/>
                    </w:rPr>
                    <w:t>85</w:t>
                  </w:r>
                </w:p>
              </w:tc>
              <w:tc>
                <w:tcPr>
                  <w:tcW w:w="1892" w:type="dxa"/>
                  <w:noWrap/>
                  <w:vAlign w:val="center"/>
                </w:tcPr>
                <w:p>
                  <w:pPr>
                    <w:widowControl/>
                    <w:jc w:val="center"/>
                    <w:textAlignment w:val="bottom"/>
                    <w:rPr>
                      <w:color w:val="auto"/>
                      <w:kern w:val="0"/>
                      <w:szCs w:val="21"/>
                      <w:highlight w:val="none"/>
                      <w:lang w:bidi="ar"/>
                    </w:rPr>
                  </w:pPr>
                  <w:r>
                    <w:rPr>
                      <w:color w:val="auto"/>
                      <w:kern w:val="0"/>
                      <w:szCs w:val="21"/>
                      <w:highlight w:val="none"/>
                      <w:lang w:bidi="ar"/>
                    </w:rPr>
                    <w:t>基础减振、安消声器、厂房隔音、优化总图</w:t>
                  </w:r>
                </w:p>
              </w:tc>
              <w:tc>
                <w:tcPr>
                  <w:tcW w:w="675" w:type="dxa"/>
                  <w:noWrap/>
                  <w:vAlign w:val="center"/>
                </w:tcPr>
                <w:p>
                  <w:pPr>
                    <w:widowControl/>
                    <w:jc w:val="center"/>
                    <w:textAlignment w:val="bottom"/>
                    <w:rPr>
                      <w:color w:val="auto"/>
                      <w:szCs w:val="21"/>
                      <w:highlight w:val="none"/>
                    </w:rPr>
                  </w:pPr>
                  <w:r>
                    <w:rPr>
                      <w:rFonts w:hint="eastAsia"/>
                      <w:color w:val="auto"/>
                      <w:kern w:val="0"/>
                      <w:szCs w:val="21"/>
                      <w:highlight w:val="none"/>
                      <w:lang w:bidi="ar"/>
                    </w:rPr>
                    <w:t>70~75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23" w:hRule="atLeast"/>
              </w:trPr>
              <w:tc>
                <w:tcPr>
                  <w:tcW w:w="466" w:type="dxa"/>
                  <w:noWrap/>
                  <w:vAlign w:val="center"/>
                </w:tcPr>
                <w:p>
                  <w:pPr>
                    <w:widowControl/>
                    <w:jc w:val="center"/>
                    <w:textAlignment w:val="bottom"/>
                    <w:rPr>
                      <w:color w:val="auto"/>
                      <w:szCs w:val="21"/>
                      <w:highlight w:val="none"/>
                    </w:rPr>
                  </w:pPr>
                  <w:r>
                    <w:rPr>
                      <w:color w:val="auto"/>
                      <w:kern w:val="0"/>
                      <w:szCs w:val="21"/>
                      <w:highlight w:val="none"/>
                      <w:lang w:bidi="ar"/>
                    </w:rPr>
                    <w:t>2</w:t>
                  </w:r>
                </w:p>
              </w:tc>
              <w:tc>
                <w:tcPr>
                  <w:tcW w:w="685" w:type="dxa"/>
                  <w:noWrap/>
                  <w:vAlign w:val="center"/>
                </w:tcPr>
                <w:p>
                  <w:pPr>
                    <w:widowControl/>
                    <w:jc w:val="center"/>
                    <w:textAlignment w:val="bottom"/>
                    <w:rPr>
                      <w:color w:val="auto"/>
                      <w:szCs w:val="21"/>
                      <w:highlight w:val="none"/>
                    </w:rPr>
                  </w:pPr>
                  <w:r>
                    <w:rPr>
                      <w:color w:val="auto"/>
                      <w:kern w:val="0"/>
                      <w:szCs w:val="21"/>
                      <w:highlight w:val="none"/>
                      <w:lang w:bidi="ar"/>
                    </w:rPr>
                    <w:t>冷料斗</w:t>
                  </w:r>
                </w:p>
              </w:tc>
              <w:tc>
                <w:tcPr>
                  <w:tcW w:w="800" w:type="dxa"/>
                  <w:noWrap/>
                  <w:vAlign w:val="center"/>
                </w:tcPr>
                <w:p>
                  <w:pPr>
                    <w:widowControl/>
                    <w:jc w:val="center"/>
                    <w:textAlignment w:val="bottom"/>
                    <w:rPr>
                      <w:color w:val="auto"/>
                      <w:szCs w:val="21"/>
                      <w:highlight w:val="none"/>
                    </w:rPr>
                  </w:pPr>
                  <w:r>
                    <w:rPr>
                      <w:color w:val="auto"/>
                      <w:kern w:val="0"/>
                      <w:szCs w:val="21"/>
                      <w:highlight w:val="none"/>
                      <w:lang w:bidi="ar"/>
                    </w:rPr>
                    <w:t>拌合楼</w:t>
                  </w:r>
                </w:p>
              </w:tc>
              <w:tc>
                <w:tcPr>
                  <w:tcW w:w="599" w:type="dxa"/>
                  <w:noWrap/>
                  <w:vAlign w:val="center"/>
                </w:tcPr>
                <w:p>
                  <w:pPr>
                    <w:widowControl/>
                    <w:jc w:val="center"/>
                    <w:textAlignment w:val="bottom"/>
                    <w:rPr>
                      <w:color w:val="auto"/>
                      <w:szCs w:val="21"/>
                      <w:highlight w:val="none"/>
                    </w:rPr>
                  </w:pPr>
                  <w:r>
                    <w:rPr>
                      <w:color w:val="auto"/>
                      <w:kern w:val="0"/>
                      <w:szCs w:val="21"/>
                      <w:highlight w:val="none"/>
                      <w:lang w:bidi="ar"/>
                    </w:rPr>
                    <w:t>l台</w:t>
                  </w:r>
                </w:p>
              </w:tc>
              <w:tc>
                <w:tcPr>
                  <w:tcW w:w="728" w:type="dxa"/>
                  <w:noWrap/>
                  <w:vAlign w:val="center"/>
                </w:tcPr>
                <w:p>
                  <w:pPr>
                    <w:widowControl/>
                    <w:jc w:val="center"/>
                    <w:textAlignment w:val="bottom"/>
                    <w:rPr>
                      <w:color w:val="auto"/>
                      <w:szCs w:val="21"/>
                      <w:highlight w:val="none"/>
                    </w:rPr>
                  </w:pPr>
                  <w:r>
                    <w:rPr>
                      <w:color w:val="auto"/>
                      <w:kern w:val="0"/>
                      <w:szCs w:val="21"/>
                      <w:highlight w:val="none"/>
                      <w:lang w:bidi="ar"/>
                    </w:rPr>
                    <w:t>频发</w:t>
                  </w:r>
                </w:p>
              </w:tc>
              <w:tc>
                <w:tcPr>
                  <w:tcW w:w="971" w:type="dxa"/>
                  <w:noWrap/>
                  <w:vAlign w:val="center"/>
                </w:tcPr>
                <w:p>
                  <w:pPr>
                    <w:widowControl/>
                    <w:jc w:val="center"/>
                    <w:textAlignment w:val="bottom"/>
                    <w:rPr>
                      <w:color w:val="auto"/>
                      <w:szCs w:val="21"/>
                      <w:highlight w:val="none"/>
                    </w:rPr>
                  </w:pPr>
                  <w:r>
                    <w:rPr>
                      <w:color w:val="auto"/>
                      <w:kern w:val="0"/>
                      <w:szCs w:val="21"/>
                      <w:highlight w:val="none"/>
                      <w:lang w:bidi="ar"/>
                    </w:rPr>
                    <w:t>类比</w:t>
                  </w:r>
                </w:p>
              </w:tc>
              <w:tc>
                <w:tcPr>
                  <w:tcW w:w="1129" w:type="dxa"/>
                  <w:noWrap/>
                  <w:vAlign w:val="center"/>
                </w:tcPr>
                <w:p>
                  <w:pPr>
                    <w:widowControl/>
                    <w:jc w:val="center"/>
                    <w:textAlignment w:val="bottom"/>
                    <w:rPr>
                      <w:color w:val="auto"/>
                      <w:szCs w:val="21"/>
                      <w:highlight w:val="none"/>
                    </w:rPr>
                  </w:pPr>
                  <w:r>
                    <w:rPr>
                      <w:color w:val="auto"/>
                      <w:kern w:val="0"/>
                      <w:szCs w:val="21"/>
                      <w:highlight w:val="none"/>
                      <w:lang w:bidi="ar"/>
                    </w:rPr>
                    <w:t>80</w:t>
                  </w:r>
                </w:p>
              </w:tc>
              <w:tc>
                <w:tcPr>
                  <w:tcW w:w="1892" w:type="dxa"/>
                  <w:noWrap/>
                  <w:vAlign w:val="center"/>
                </w:tcPr>
                <w:p>
                  <w:pPr>
                    <w:widowControl/>
                    <w:jc w:val="center"/>
                    <w:textAlignment w:val="bottom"/>
                    <w:rPr>
                      <w:color w:val="auto"/>
                      <w:kern w:val="0"/>
                      <w:szCs w:val="21"/>
                      <w:highlight w:val="none"/>
                      <w:lang w:bidi="ar"/>
                    </w:rPr>
                  </w:pPr>
                  <w:r>
                    <w:rPr>
                      <w:rFonts w:hint="eastAsia"/>
                      <w:color w:val="auto"/>
                      <w:szCs w:val="21"/>
                      <w:highlight w:val="none"/>
                    </w:rPr>
                    <w:t>基础减振、安消声器、厂房隔音、优化总图</w:t>
                  </w:r>
                </w:p>
              </w:tc>
              <w:tc>
                <w:tcPr>
                  <w:tcW w:w="675" w:type="dxa"/>
                  <w:noWrap/>
                  <w:vAlign w:val="center"/>
                </w:tcPr>
                <w:p>
                  <w:pPr>
                    <w:widowControl/>
                    <w:jc w:val="center"/>
                    <w:textAlignment w:val="bottom"/>
                    <w:rPr>
                      <w:color w:val="auto"/>
                      <w:szCs w:val="21"/>
                      <w:highlight w:val="none"/>
                    </w:rPr>
                  </w:pPr>
                  <w:r>
                    <w:rPr>
                      <w:rFonts w:hint="eastAsia"/>
                      <w:color w:val="auto"/>
                      <w:kern w:val="0"/>
                      <w:szCs w:val="21"/>
                      <w:highlight w:val="none"/>
                      <w:lang w:bidi="ar"/>
                    </w:rPr>
                    <w:t>70~75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23" w:hRule="atLeast"/>
              </w:trPr>
              <w:tc>
                <w:tcPr>
                  <w:tcW w:w="466" w:type="dxa"/>
                  <w:noWrap/>
                  <w:vAlign w:val="center"/>
                </w:tcPr>
                <w:p>
                  <w:pPr>
                    <w:widowControl/>
                    <w:jc w:val="center"/>
                    <w:rPr>
                      <w:rFonts w:hint="eastAsia"/>
                      <w:color w:val="auto"/>
                      <w:szCs w:val="21"/>
                      <w:highlight w:val="none"/>
                    </w:rPr>
                  </w:pPr>
                  <w:r>
                    <w:rPr>
                      <w:rFonts w:hint="eastAsia"/>
                      <w:color w:val="auto"/>
                      <w:szCs w:val="21"/>
                      <w:highlight w:val="none"/>
                    </w:rPr>
                    <w:t>3</w:t>
                  </w:r>
                </w:p>
              </w:tc>
              <w:tc>
                <w:tcPr>
                  <w:tcW w:w="685" w:type="dxa"/>
                  <w:noWrap/>
                  <w:vAlign w:val="center"/>
                </w:tcPr>
                <w:p>
                  <w:pPr>
                    <w:widowControl/>
                    <w:jc w:val="center"/>
                    <w:textAlignment w:val="bottom"/>
                    <w:rPr>
                      <w:color w:val="auto"/>
                      <w:szCs w:val="21"/>
                      <w:highlight w:val="none"/>
                    </w:rPr>
                  </w:pPr>
                  <w:r>
                    <w:rPr>
                      <w:color w:val="auto"/>
                      <w:kern w:val="0"/>
                      <w:szCs w:val="21"/>
                      <w:highlight w:val="none"/>
                      <w:lang w:bidi="ar"/>
                    </w:rPr>
                    <w:t>干燥</w:t>
                  </w:r>
                  <w:r>
                    <w:rPr>
                      <w:rFonts w:hint="eastAsia"/>
                      <w:color w:val="auto"/>
                      <w:kern w:val="0"/>
                      <w:szCs w:val="21"/>
                      <w:highlight w:val="none"/>
                      <w:lang w:bidi="ar"/>
                    </w:rPr>
                    <w:t>筒</w:t>
                  </w:r>
                </w:p>
              </w:tc>
              <w:tc>
                <w:tcPr>
                  <w:tcW w:w="800" w:type="dxa"/>
                  <w:noWrap/>
                  <w:vAlign w:val="center"/>
                </w:tcPr>
                <w:p>
                  <w:pPr>
                    <w:widowControl/>
                    <w:jc w:val="center"/>
                    <w:textAlignment w:val="bottom"/>
                    <w:rPr>
                      <w:color w:val="auto"/>
                      <w:szCs w:val="21"/>
                      <w:highlight w:val="none"/>
                    </w:rPr>
                  </w:pPr>
                  <w:r>
                    <w:rPr>
                      <w:color w:val="auto"/>
                      <w:kern w:val="0"/>
                      <w:szCs w:val="21"/>
                      <w:highlight w:val="none"/>
                      <w:lang w:bidi="ar"/>
                    </w:rPr>
                    <w:t>拌合楼</w:t>
                  </w:r>
                </w:p>
              </w:tc>
              <w:tc>
                <w:tcPr>
                  <w:tcW w:w="599" w:type="dxa"/>
                  <w:noWrap/>
                  <w:vAlign w:val="center"/>
                </w:tcPr>
                <w:p>
                  <w:pPr>
                    <w:widowControl/>
                    <w:jc w:val="center"/>
                    <w:textAlignment w:val="bottom"/>
                    <w:rPr>
                      <w:color w:val="auto"/>
                      <w:szCs w:val="21"/>
                      <w:highlight w:val="none"/>
                    </w:rPr>
                  </w:pPr>
                  <w:r>
                    <w:rPr>
                      <w:color w:val="auto"/>
                      <w:kern w:val="0"/>
                      <w:szCs w:val="21"/>
                      <w:highlight w:val="none"/>
                      <w:lang w:bidi="ar"/>
                    </w:rPr>
                    <w:t>1台</w:t>
                  </w:r>
                </w:p>
              </w:tc>
              <w:tc>
                <w:tcPr>
                  <w:tcW w:w="728" w:type="dxa"/>
                  <w:noWrap/>
                  <w:vAlign w:val="center"/>
                </w:tcPr>
                <w:p>
                  <w:pPr>
                    <w:widowControl/>
                    <w:jc w:val="center"/>
                    <w:textAlignment w:val="bottom"/>
                    <w:rPr>
                      <w:color w:val="auto"/>
                      <w:szCs w:val="21"/>
                      <w:highlight w:val="none"/>
                    </w:rPr>
                  </w:pPr>
                  <w:r>
                    <w:rPr>
                      <w:color w:val="auto"/>
                      <w:kern w:val="0"/>
                      <w:szCs w:val="21"/>
                      <w:highlight w:val="none"/>
                      <w:lang w:bidi="ar"/>
                    </w:rPr>
                    <w:t>频发</w:t>
                  </w:r>
                </w:p>
              </w:tc>
              <w:tc>
                <w:tcPr>
                  <w:tcW w:w="971" w:type="dxa"/>
                  <w:noWrap/>
                  <w:vAlign w:val="center"/>
                </w:tcPr>
                <w:p>
                  <w:pPr>
                    <w:widowControl/>
                    <w:jc w:val="center"/>
                    <w:textAlignment w:val="bottom"/>
                    <w:rPr>
                      <w:color w:val="auto"/>
                      <w:szCs w:val="21"/>
                      <w:highlight w:val="none"/>
                    </w:rPr>
                  </w:pPr>
                  <w:r>
                    <w:rPr>
                      <w:color w:val="auto"/>
                      <w:kern w:val="0"/>
                      <w:szCs w:val="21"/>
                      <w:highlight w:val="none"/>
                      <w:lang w:bidi="ar"/>
                    </w:rPr>
                    <w:t>类比</w:t>
                  </w:r>
                </w:p>
              </w:tc>
              <w:tc>
                <w:tcPr>
                  <w:tcW w:w="1129" w:type="dxa"/>
                  <w:noWrap/>
                  <w:vAlign w:val="center"/>
                </w:tcPr>
                <w:p>
                  <w:pPr>
                    <w:widowControl/>
                    <w:jc w:val="center"/>
                    <w:textAlignment w:val="bottom"/>
                    <w:rPr>
                      <w:color w:val="auto"/>
                      <w:szCs w:val="21"/>
                      <w:highlight w:val="none"/>
                    </w:rPr>
                  </w:pPr>
                  <w:r>
                    <w:rPr>
                      <w:color w:val="auto"/>
                      <w:kern w:val="0"/>
                      <w:szCs w:val="21"/>
                      <w:highlight w:val="none"/>
                      <w:lang w:bidi="ar"/>
                    </w:rPr>
                    <w:t>80</w:t>
                  </w:r>
                </w:p>
              </w:tc>
              <w:tc>
                <w:tcPr>
                  <w:tcW w:w="1892" w:type="dxa"/>
                  <w:noWrap/>
                  <w:vAlign w:val="center"/>
                </w:tcPr>
                <w:p>
                  <w:pPr>
                    <w:widowControl/>
                    <w:jc w:val="center"/>
                    <w:textAlignment w:val="bottom"/>
                    <w:rPr>
                      <w:color w:val="auto"/>
                      <w:kern w:val="0"/>
                      <w:szCs w:val="21"/>
                      <w:highlight w:val="none"/>
                      <w:lang w:bidi="ar"/>
                    </w:rPr>
                  </w:pPr>
                  <w:r>
                    <w:rPr>
                      <w:rFonts w:hint="eastAsia"/>
                      <w:color w:val="auto"/>
                      <w:szCs w:val="21"/>
                      <w:highlight w:val="none"/>
                    </w:rPr>
                    <w:t>基础减振、安消声器、厂房隔音、优化总图</w:t>
                  </w:r>
                </w:p>
              </w:tc>
              <w:tc>
                <w:tcPr>
                  <w:tcW w:w="675" w:type="dxa"/>
                  <w:noWrap/>
                  <w:vAlign w:val="center"/>
                </w:tcPr>
                <w:p>
                  <w:pPr>
                    <w:widowControl/>
                    <w:jc w:val="center"/>
                    <w:textAlignment w:val="bottom"/>
                    <w:rPr>
                      <w:color w:val="auto"/>
                      <w:szCs w:val="21"/>
                      <w:highlight w:val="none"/>
                    </w:rPr>
                  </w:pPr>
                  <w:r>
                    <w:rPr>
                      <w:rFonts w:hint="eastAsia"/>
                      <w:color w:val="auto"/>
                      <w:kern w:val="0"/>
                      <w:szCs w:val="21"/>
                      <w:highlight w:val="none"/>
                      <w:lang w:bidi="ar"/>
                    </w:rPr>
                    <w:t>70~75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23" w:hRule="atLeast"/>
              </w:trPr>
              <w:tc>
                <w:tcPr>
                  <w:tcW w:w="466" w:type="dxa"/>
                  <w:noWrap/>
                  <w:vAlign w:val="center"/>
                </w:tcPr>
                <w:p>
                  <w:pPr>
                    <w:widowControl/>
                    <w:jc w:val="center"/>
                    <w:textAlignment w:val="bottom"/>
                    <w:rPr>
                      <w:color w:val="auto"/>
                      <w:szCs w:val="21"/>
                      <w:highlight w:val="none"/>
                    </w:rPr>
                  </w:pPr>
                  <w:r>
                    <w:rPr>
                      <w:color w:val="auto"/>
                      <w:kern w:val="0"/>
                      <w:szCs w:val="21"/>
                      <w:highlight w:val="none"/>
                      <w:lang w:bidi="ar"/>
                    </w:rPr>
                    <w:t>4</w:t>
                  </w:r>
                </w:p>
              </w:tc>
              <w:tc>
                <w:tcPr>
                  <w:tcW w:w="685" w:type="dxa"/>
                  <w:noWrap/>
                  <w:vAlign w:val="center"/>
                </w:tcPr>
                <w:p>
                  <w:pPr>
                    <w:widowControl/>
                    <w:jc w:val="center"/>
                    <w:textAlignment w:val="bottom"/>
                    <w:rPr>
                      <w:color w:val="auto"/>
                      <w:szCs w:val="21"/>
                      <w:highlight w:val="none"/>
                    </w:rPr>
                  </w:pPr>
                  <w:r>
                    <w:rPr>
                      <w:color w:val="auto"/>
                      <w:kern w:val="0"/>
                      <w:szCs w:val="21"/>
                      <w:highlight w:val="none"/>
                      <w:lang w:bidi="ar"/>
                    </w:rPr>
                    <w:t>振动筛</w:t>
                  </w:r>
                </w:p>
              </w:tc>
              <w:tc>
                <w:tcPr>
                  <w:tcW w:w="800" w:type="dxa"/>
                  <w:noWrap/>
                  <w:vAlign w:val="center"/>
                </w:tcPr>
                <w:p>
                  <w:pPr>
                    <w:widowControl/>
                    <w:jc w:val="center"/>
                    <w:textAlignment w:val="bottom"/>
                    <w:rPr>
                      <w:color w:val="auto"/>
                      <w:szCs w:val="21"/>
                      <w:highlight w:val="none"/>
                    </w:rPr>
                  </w:pPr>
                  <w:r>
                    <w:rPr>
                      <w:color w:val="auto"/>
                      <w:kern w:val="0"/>
                      <w:szCs w:val="21"/>
                      <w:highlight w:val="none"/>
                      <w:lang w:bidi="ar"/>
                    </w:rPr>
                    <w:t>拌合楼</w:t>
                  </w:r>
                </w:p>
              </w:tc>
              <w:tc>
                <w:tcPr>
                  <w:tcW w:w="599" w:type="dxa"/>
                  <w:noWrap/>
                  <w:vAlign w:val="center"/>
                </w:tcPr>
                <w:p>
                  <w:pPr>
                    <w:widowControl/>
                    <w:jc w:val="center"/>
                    <w:textAlignment w:val="bottom"/>
                    <w:rPr>
                      <w:color w:val="auto"/>
                      <w:szCs w:val="21"/>
                      <w:highlight w:val="none"/>
                    </w:rPr>
                  </w:pPr>
                  <w:r>
                    <w:rPr>
                      <w:color w:val="auto"/>
                      <w:kern w:val="0"/>
                      <w:szCs w:val="21"/>
                      <w:highlight w:val="none"/>
                      <w:lang w:bidi="ar"/>
                    </w:rPr>
                    <w:t>1条</w:t>
                  </w:r>
                </w:p>
              </w:tc>
              <w:tc>
                <w:tcPr>
                  <w:tcW w:w="728" w:type="dxa"/>
                  <w:noWrap/>
                  <w:vAlign w:val="center"/>
                </w:tcPr>
                <w:p>
                  <w:pPr>
                    <w:widowControl/>
                    <w:jc w:val="center"/>
                    <w:textAlignment w:val="bottom"/>
                    <w:rPr>
                      <w:color w:val="auto"/>
                      <w:szCs w:val="21"/>
                      <w:highlight w:val="none"/>
                    </w:rPr>
                  </w:pPr>
                  <w:r>
                    <w:rPr>
                      <w:color w:val="auto"/>
                      <w:kern w:val="0"/>
                      <w:szCs w:val="21"/>
                      <w:highlight w:val="none"/>
                      <w:lang w:bidi="ar"/>
                    </w:rPr>
                    <w:t>频发</w:t>
                  </w:r>
                </w:p>
              </w:tc>
              <w:tc>
                <w:tcPr>
                  <w:tcW w:w="971" w:type="dxa"/>
                  <w:noWrap/>
                  <w:vAlign w:val="center"/>
                </w:tcPr>
                <w:p>
                  <w:pPr>
                    <w:widowControl/>
                    <w:jc w:val="center"/>
                    <w:textAlignment w:val="bottom"/>
                    <w:rPr>
                      <w:color w:val="auto"/>
                      <w:szCs w:val="21"/>
                      <w:highlight w:val="none"/>
                    </w:rPr>
                  </w:pPr>
                  <w:r>
                    <w:rPr>
                      <w:color w:val="auto"/>
                      <w:kern w:val="0"/>
                      <w:szCs w:val="21"/>
                      <w:highlight w:val="none"/>
                      <w:lang w:bidi="ar"/>
                    </w:rPr>
                    <w:t>类比</w:t>
                  </w:r>
                </w:p>
              </w:tc>
              <w:tc>
                <w:tcPr>
                  <w:tcW w:w="1129" w:type="dxa"/>
                  <w:noWrap/>
                  <w:vAlign w:val="center"/>
                </w:tcPr>
                <w:p>
                  <w:pPr>
                    <w:widowControl/>
                    <w:jc w:val="center"/>
                    <w:textAlignment w:val="bottom"/>
                    <w:rPr>
                      <w:color w:val="auto"/>
                      <w:szCs w:val="21"/>
                      <w:highlight w:val="none"/>
                    </w:rPr>
                  </w:pPr>
                  <w:r>
                    <w:rPr>
                      <w:color w:val="auto"/>
                      <w:kern w:val="0"/>
                      <w:szCs w:val="21"/>
                      <w:highlight w:val="none"/>
                      <w:lang w:bidi="ar"/>
                    </w:rPr>
                    <w:t>85</w:t>
                  </w:r>
                </w:p>
              </w:tc>
              <w:tc>
                <w:tcPr>
                  <w:tcW w:w="1892" w:type="dxa"/>
                  <w:noWrap/>
                  <w:vAlign w:val="center"/>
                </w:tcPr>
                <w:p>
                  <w:pPr>
                    <w:widowControl/>
                    <w:jc w:val="center"/>
                    <w:textAlignment w:val="bottom"/>
                    <w:rPr>
                      <w:color w:val="auto"/>
                      <w:kern w:val="0"/>
                      <w:szCs w:val="21"/>
                      <w:highlight w:val="none"/>
                      <w:lang w:bidi="ar"/>
                    </w:rPr>
                  </w:pPr>
                  <w:r>
                    <w:rPr>
                      <w:rFonts w:hint="eastAsia"/>
                      <w:color w:val="auto"/>
                      <w:szCs w:val="21"/>
                      <w:highlight w:val="none"/>
                    </w:rPr>
                    <w:t>基础减振、安消声器、厂房隔音、优化总图</w:t>
                  </w:r>
                </w:p>
              </w:tc>
              <w:tc>
                <w:tcPr>
                  <w:tcW w:w="675" w:type="dxa"/>
                  <w:noWrap/>
                  <w:vAlign w:val="center"/>
                </w:tcPr>
                <w:p>
                  <w:pPr>
                    <w:widowControl/>
                    <w:jc w:val="center"/>
                    <w:textAlignment w:val="bottom"/>
                    <w:rPr>
                      <w:color w:val="auto"/>
                      <w:szCs w:val="21"/>
                      <w:highlight w:val="none"/>
                    </w:rPr>
                  </w:pPr>
                  <w:r>
                    <w:rPr>
                      <w:rFonts w:hint="eastAsia"/>
                      <w:color w:val="auto"/>
                      <w:kern w:val="0"/>
                      <w:szCs w:val="21"/>
                      <w:highlight w:val="none"/>
                      <w:lang w:bidi="ar"/>
                    </w:rPr>
                    <w:t>70~75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23" w:hRule="atLeast"/>
              </w:trPr>
              <w:tc>
                <w:tcPr>
                  <w:tcW w:w="466" w:type="dxa"/>
                  <w:noWrap/>
                  <w:vAlign w:val="center"/>
                </w:tcPr>
                <w:p>
                  <w:pPr>
                    <w:widowControl/>
                    <w:jc w:val="center"/>
                    <w:textAlignment w:val="bottom"/>
                    <w:rPr>
                      <w:color w:val="auto"/>
                      <w:szCs w:val="21"/>
                      <w:highlight w:val="none"/>
                    </w:rPr>
                  </w:pPr>
                  <w:r>
                    <w:rPr>
                      <w:color w:val="auto"/>
                      <w:kern w:val="0"/>
                      <w:szCs w:val="21"/>
                      <w:highlight w:val="none"/>
                      <w:lang w:bidi="ar"/>
                    </w:rPr>
                    <w:t>5</w:t>
                  </w:r>
                </w:p>
              </w:tc>
              <w:tc>
                <w:tcPr>
                  <w:tcW w:w="685" w:type="dxa"/>
                  <w:noWrap/>
                  <w:vAlign w:val="center"/>
                </w:tcPr>
                <w:p>
                  <w:pPr>
                    <w:widowControl/>
                    <w:jc w:val="center"/>
                    <w:textAlignment w:val="bottom"/>
                    <w:rPr>
                      <w:color w:val="auto"/>
                      <w:szCs w:val="21"/>
                      <w:highlight w:val="none"/>
                    </w:rPr>
                  </w:pPr>
                  <w:r>
                    <w:rPr>
                      <w:color w:val="auto"/>
                      <w:kern w:val="0"/>
                      <w:szCs w:val="21"/>
                      <w:highlight w:val="none"/>
                      <w:lang w:bidi="ar"/>
                    </w:rPr>
                    <w:t>空压机</w:t>
                  </w:r>
                </w:p>
              </w:tc>
              <w:tc>
                <w:tcPr>
                  <w:tcW w:w="800" w:type="dxa"/>
                  <w:noWrap/>
                  <w:vAlign w:val="center"/>
                </w:tcPr>
                <w:p>
                  <w:pPr>
                    <w:widowControl/>
                    <w:jc w:val="center"/>
                    <w:textAlignment w:val="bottom"/>
                    <w:rPr>
                      <w:color w:val="auto"/>
                      <w:szCs w:val="21"/>
                      <w:highlight w:val="none"/>
                    </w:rPr>
                  </w:pPr>
                  <w:r>
                    <w:rPr>
                      <w:color w:val="auto"/>
                      <w:kern w:val="0"/>
                      <w:szCs w:val="21"/>
                      <w:highlight w:val="none"/>
                      <w:lang w:bidi="ar"/>
                    </w:rPr>
                    <w:t>拌合楼</w:t>
                  </w:r>
                </w:p>
              </w:tc>
              <w:tc>
                <w:tcPr>
                  <w:tcW w:w="599" w:type="dxa"/>
                  <w:noWrap/>
                  <w:vAlign w:val="center"/>
                </w:tcPr>
                <w:p>
                  <w:pPr>
                    <w:widowControl/>
                    <w:jc w:val="center"/>
                    <w:textAlignment w:val="bottom"/>
                    <w:rPr>
                      <w:color w:val="auto"/>
                      <w:szCs w:val="21"/>
                      <w:highlight w:val="none"/>
                    </w:rPr>
                  </w:pPr>
                  <w:r>
                    <w:rPr>
                      <w:color w:val="auto"/>
                      <w:kern w:val="0"/>
                      <w:szCs w:val="21"/>
                      <w:highlight w:val="none"/>
                      <w:lang w:bidi="ar"/>
                    </w:rPr>
                    <w:t>1台</w:t>
                  </w:r>
                </w:p>
              </w:tc>
              <w:tc>
                <w:tcPr>
                  <w:tcW w:w="728" w:type="dxa"/>
                  <w:noWrap/>
                  <w:vAlign w:val="center"/>
                </w:tcPr>
                <w:p>
                  <w:pPr>
                    <w:widowControl/>
                    <w:jc w:val="center"/>
                    <w:textAlignment w:val="bottom"/>
                    <w:rPr>
                      <w:color w:val="auto"/>
                      <w:szCs w:val="21"/>
                      <w:highlight w:val="none"/>
                    </w:rPr>
                  </w:pPr>
                  <w:r>
                    <w:rPr>
                      <w:color w:val="auto"/>
                      <w:kern w:val="0"/>
                      <w:szCs w:val="21"/>
                      <w:highlight w:val="none"/>
                      <w:lang w:bidi="ar"/>
                    </w:rPr>
                    <w:t>频发</w:t>
                  </w:r>
                </w:p>
              </w:tc>
              <w:tc>
                <w:tcPr>
                  <w:tcW w:w="971" w:type="dxa"/>
                  <w:noWrap/>
                  <w:vAlign w:val="center"/>
                </w:tcPr>
                <w:p>
                  <w:pPr>
                    <w:widowControl/>
                    <w:jc w:val="center"/>
                    <w:textAlignment w:val="bottom"/>
                    <w:rPr>
                      <w:color w:val="auto"/>
                      <w:szCs w:val="21"/>
                      <w:highlight w:val="none"/>
                    </w:rPr>
                  </w:pPr>
                  <w:r>
                    <w:rPr>
                      <w:color w:val="auto"/>
                      <w:kern w:val="0"/>
                      <w:szCs w:val="21"/>
                      <w:highlight w:val="none"/>
                      <w:lang w:bidi="ar"/>
                    </w:rPr>
                    <w:t>类比</w:t>
                  </w:r>
                </w:p>
              </w:tc>
              <w:tc>
                <w:tcPr>
                  <w:tcW w:w="1129" w:type="dxa"/>
                  <w:noWrap/>
                  <w:vAlign w:val="center"/>
                </w:tcPr>
                <w:p>
                  <w:pPr>
                    <w:widowControl/>
                    <w:jc w:val="center"/>
                    <w:textAlignment w:val="bottom"/>
                    <w:rPr>
                      <w:color w:val="auto"/>
                      <w:szCs w:val="21"/>
                      <w:highlight w:val="none"/>
                    </w:rPr>
                  </w:pPr>
                  <w:r>
                    <w:rPr>
                      <w:color w:val="auto"/>
                      <w:kern w:val="0"/>
                      <w:szCs w:val="21"/>
                      <w:highlight w:val="none"/>
                      <w:lang w:bidi="ar"/>
                    </w:rPr>
                    <w:t>80</w:t>
                  </w:r>
                </w:p>
              </w:tc>
              <w:tc>
                <w:tcPr>
                  <w:tcW w:w="1892" w:type="dxa"/>
                  <w:noWrap/>
                  <w:vAlign w:val="center"/>
                </w:tcPr>
                <w:p>
                  <w:pPr>
                    <w:widowControl/>
                    <w:jc w:val="center"/>
                    <w:textAlignment w:val="bottom"/>
                    <w:rPr>
                      <w:color w:val="auto"/>
                      <w:kern w:val="0"/>
                      <w:szCs w:val="21"/>
                      <w:highlight w:val="none"/>
                      <w:lang w:bidi="ar"/>
                    </w:rPr>
                  </w:pPr>
                  <w:r>
                    <w:rPr>
                      <w:rFonts w:hint="eastAsia"/>
                      <w:color w:val="auto"/>
                      <w:szCs w:val="21"/>
                      <w:highlight w:val="none"/>
                    </w:rPr>
                    <w:t>基础减振、安消声器、厂房隔音、优化总图</w:t>
                  </w:r>
                </w:p>
              </w:tc>
              <w:tc>
                <w:tcPr>
                  <w:tcW w:w="675" w:type="dxa"/>
                  <w:noWrap/>
                  <w:vAlign w:val="center"/>
                </w:tcPr>
                <w:p>
                  <w:pPr>
                    <w:widowControl/>
                    <w:jc w:val="center"/>
                    <w:textAlignment w:val="bottom"/>
                    <w:rPr>
                      <w:color w:val="auto"/>
                      <w:szCs w:val="21"/>
                      <w:highlight w:val="none"/>
                    </w:rPr>
                  </w:pPr>
                  <w:r>
                    <w:rPr>
                      <w:rFonts w:hint="eastAsia"/>
                      <w:color w:val="auto"/>
                      <w:kern w:val="0"/>
                      <w:szCs w:val="21"/>
                      <w:highlight w:val="none"/>
                      <w:lang w:bidi="ar"/>
                    </w:rPr>
                    <w:t>70~75</w:t>
                  </w:r>
                </w:p>
              </w:tc>
            </w:tr>
          </w:tbl>
          <w:p>
            <w:pPr>
              <w:pStyle w:val="6"/>
              <w:tabs>
                <w:tab w:val="left" w:pos="709"/>
              </w:tabs>
              <w:rPr>
                <w:color w:val="auto"/>
                <w:sz w:val="24"/>
                <w:szCs w:val="24"/>
                <w:highlight w:val="none"/>
              </w:rPr>
            </w:pPr>
            <w:bookmarkStart w:id="10" w:name="_Toc15501"/>
            <w:r>
              <w:rPr>
                <w:rFonts w:hint="eastAsia"/>
                <w:color w:val="auto"/>
                <w:sz w:val="24"/>
                <w:szCs w:val="24"/>
                <w:highlight w:val="none"/>
              </w:rPr>
              <w:t>4、</w:t>
            </w:r>
            <w:r>
              <w:rPr>
                <w:color w:val="auto"/>
                <w:sz w:val="24"/>
                <w:szCs w:val="24"/>
                <w:highlight w:val="none"/>
              </w:rPr>
              <w:t>固体废物</w:t>
            </w:r>
            <w:bookmarkEnd w:id="10"/>
          </w:p>
          <w:p>
            <w:pPr>
              <w:snapToGrid w:val="0"/>
              <w:spacing w:line="360" w:lineRule="auto"/>
              <w:ind w:firstLine="480" w:firstLineChars="200"/>
              <w:rPr>
                <w:color w:val="auto"/>
                <w:sz w:val="24"/>
                <w:highlight w:val="none"/>
              </w:rPr>
            </w:pPr>
            <w:r>
              <w:rPr>
                <w:color w:val="auto"/>
                <w:sz w:val="24"/>
                <w:highlight w:val="none"/>
              </w:rPr>
              <w:t>（1）除尘灰渣</w:t>
            </w:r>
          </w:p>
          <w:p>
            <w:pPr>
              <w:snapToGrid w:val="0"/>
              <w:spacing w:line="360" w:lineRule="auto"/>
              <w:ind w:firstLine="480" w:firstLineChars="200"/>
              <w:rPr>
                <w:color w:val="auto"/>
                <w:sz w:val="24"/>
                <w:highlight w:val="none"/>
              </w:rPr>
            </w:pPr>
            <w:r>
              <w:rPr>
                <w:color w:val="auto"/>
                <w:sz w:val="24"/>
                <w:highlight w:val="none"/>
              </w:rPr>
              <w:t>项目生产过程中各除尘器共收集粉尘8.591t/a，作为原料矿粉利用。</w:t>
            </w:r>
          </w:p>
          <w:p>
            <w:pPr>
              <w:snapToGrid w:val="0"/>
              <w:spacing w:line="360" w:lineRule="auto"/>
              <w:ind w:firstLine="480" w:firstLineChars="200"/>
              <w:rPr>
                <w:color w:val="auto"/>
                <w:sz w:val="24"/>
                <w:highlight w:val="none"/>
              </w:rPr>
            </w:pPr>
            <w:r>
              <w:rPr>
                <w:color w:val="auto"/>
                <w:sz w:val="24"/>
                <w:highlight w:val="none"/>
              </w:rPr>
              <w:t>（2）生产固废</w:t>
            </w:r>
          </w:p>
          <w:p>
            <w:pPr>
              <w:snapToGrid w:val="0"/>
              <w:spacing w:line="360" w:lineRule="auto"/>
              <w:ind w:firstLine="480" w:firstLineChars="200"/>
              <w:rPr>
                <w:color w:val="auto"/>
                <w:sz w:val="24"/>
                <w:highlight w:val="none"/>
              </w:rPr>
            </w:pPr>
            <w:r>
              <w:rPr>
                <w:color w:val="auto"/>
                <w:sz w:val="24"/>
                <w:highlight w:val="none"/>
              </w:rPr>
              <w:t>①废石</w:t>
            </w:r>
          </w:p>
          <w:p>
            <w:pPr>
              <w:snapToGrid w:val="0"/>
              <w:spacing w:line="360" w:lineRule="auto"/>
              <w:ind w:firstLine="480" w:firstLineChars="200"/>
              <w:rPr>
                <w:color w:val="auto"/>
                <w:sz w:val="24"/>
                <w:highlight w:val="none"/>
              </w:rPr>
            </w:pPr>
            <w:r>
              <w:rPr>
                <w:color w:val="auto"/>
                <w:sz w:val="24"/>
                <w:highlight w:val="none"/>
              </w:rPr>
              <w:t>项目生产原料碎石，烘干后通过提升机进入振动筛，筛分后合格的碎石进入搅拌缸内搅拌，筛选不合格（粒径过大）的碎石则不能进入生产线。不合格的按1%计算，废石产生量为95t/a。</w:t>
            </w:r>
          </w:p>
          <w:p>
            <w:pPr>
              <w:snapToGrid w:val="0"/>
              <w:spacing w:line="360" w:lineRule="auto"/>
              <w:ind w:firstLine="480" w:firstLineChars="200"/>
              <w:rPr>
                <w:color w:val="auto"/>
                <w:sz w:val="24"/>
                <w:highlight w:val="none"/>
              </w:rPr>
            </w:pPr>
            <w:r>
              <w:rPr>
                <w:color w:val="auto"/>
                <w:sz w:val="24"/>
                <w:highlight w:val="none"/>
              </w:rPr>
              <w:t>②滴漏沥青混凝土</w:t>
            </w:r>
          </w:p>
          <w:p>
            <w:pPr>
              <w:snapToGrid w:val="0"/>
              <w:spacing w:line="360" w:lineRule="auto"/>
              <w:ind w:firstLine="480" w:firstLineChars="200"/>
              <w:rPr>
                <w:color w:val="auto"/>
                <w:sz w:val="24"/>
                <w:highlight w:val="none"/>
              </w:rPr>
            </w:pPr>
            <w:r>
              <w:rPr>
                <w:color w:val="auto"/>
                <w:sz w:val="24"/>
                <w:highlight w:val="none"/>
              </w:rPr>
              <w:t>当沥青混凝土从储料仓转移至沥青混凝土输送车辆时，会滴漏少量沥青混凝土。沥青混凝土暴露于常温下时呈凝固状态，不会四处流溢，滴漏沥青混凝土产生量分别按用量的0.01%计算，共为1t/a，可回用于生产，不对外排放。</w:t>
            </w:r>
          </w:p>
          <w:p>
            <w:pPr>
              <w:snapToGrid w:val="0"/>
              <w:spacing w:line="360" w:lineRule="auto"/>
              <w:ind w:firstLine="480" w:firstLineChars="200"/>
              <w:rPr>
                <w:color w:val="auto"/>
                <w:sz w:val="24"/>
                <w:highlight w:val="none"/>
              </w:rPr>
            </w:pPr>
            <w:r>
              <w:rPr>
                <w:color w:val="auto"/>
                <w:sz w:val="24"/>
                <w:highlight w:val="none"/>
              </w:rPr>
              <w:t>（3）生活垃圾:</w:t>
            </w:r>
          </w:p>
          <w:p>
            <w:pPr>
              <w:snapToGrid w:val="0"/>
              <w:spacing w:line="360" w:lineRule="auto"/>
              <w:ind w:firstLine="480" w:firstLineChars="200"/>
              <w:rPr>
                <w:color w:val="auto"/>
                <w:sz w:val="24"/>
                <w:highlight w:val="none"/>
              </w:rPr>
            </w:pPr>
            <w:r>
              <w:rPr>
                <w:color w:val="auto"/>
                <w:sz w:val="24"/>
                <w:highlight w:val="none"/>
              </w:rPr>
              <w:t>职工生活垃圾产生量按G=R·K·N·10</w:t>
            </w:r>
            <w:r>
              <w:rPr>
                <w:color w:val="auto"/>
                <w:sz w:val="24"/>
                <w:highlight w:val="none"/>
                <w:vertAlign w:val="superscript"/>
              </w:rPr>
              <w:t>3</w:t>
            </w:r>
            <w:r>
              <w:rPr>
                <w:color w:val="auto"/>
                <w:sz w:val="24"/>
                <w:highlight w:val="none"/>
              </w:rPr>
              <w:t>计算。式中:G---生活垃圾产生量(td)</w:t>
            </w:r>
          </w:p>
          <w:p>
            <w:pPr>
              <w:snapToGrid w:val="0"/>
              <w:spacing w:line="360" w:lineRule="auto"/>
              <w:ind w:firstLine="480" w:firstLineChars="200"/>
              <w:rPr>
                <w:color w:val="auto"/>
                <w:sz w:val="24"/>
                <w:highlight w:val="none"/>
              </w:rPr>
            </w:pPr>
            <w:r>
              <w:rPr>
                <w:color w:val="auto"/>
                <w:sz w:val="24"/>
                <w:highlight w:val="none"/>
              </w:rPr>
              <w:t>K---人均排放系数(kg/人·天)N---人口数(人)</w:t>
            </w:r>
          </w:p>
          <w:p>
            <w:pPr>
              <w:snapToGrid w:val="0"/>
              <w:spacing w:line="360" w:lineRule="auto"/>
              <w:ind w:firstLine="480" w:firstLineChars="200"/>
              <w:rPr>
                <w:color w:val="auto"/>
                <w:sz w:val="24"/>
                <w:highlight w:val="none"/>
              </w:rPr>
            </w:pPr>
            <w:r>
              <w:rPr>
                <w:color w:val="auto"/>
                <w:sz w:val="24"/>
                <w:highlight w:val="none"/>
              </w:rPr>
              <w:t>R---每年排放天数(天)</w:t>
            </w:r>
          </w:p>
          <w:p>
            <w:pPr>
              <w:snapToGrid w:val="0"/>
              <w:spacing w:line="360" w:lineRule="auto"/>
              <w:ind w:firstLine="480" w:firstLineChars="200"/>
              <w:rPr>
                <w:color w:val="auto"/>
                <w:sz w:val="24"/>
                <w:highlight w:val="none"/>
              </w:rPr>
            </w:pPr>
            <w:r>
              <w:rPr>
                <w:color w:val="auto"/>
                <w:sz w:val="24"/>
                <w:highlight w:val="none"/>
              </w:rPr>
              <w:t>根据我国生活垃圾排放系数，不住在厂内职工取K=0.5kg/(人·天)，项目聘有员工10人，年工作日300天，则项目生活垃圾年产生量为1.5t/a。</w:t>
            </w:r>
          </w:p>
          <w:p>
            <w:pPr>
              <w:snapToGrid w:val="0"/>
              <w:spacing w:line="360" w:lineRule="auto"/>
              <w:ind w:firstLine="480" w:firstLineChars="200"/>
              <w:rPr>
                <w:color w:val="auto"/>
                <w:sz w:val="24"/>
                <w:highlight w:val="none"/>
              </w:rPr>
            </w:pPr>
            <w:r>
              <w:rPr>
                <w:color w:val="auto"/>
                <w:sz w:val="24"/>
                <w:highlight w:val="none"/>
              </w:rPr>
              <w:t>（4）废机油:</w:t>
            </w:r>
          </w:p>
          <w:p>
            <w:pPr>
              <w:snapToGrid w:val="0"/>
              <w:spacing w:line="360" w:lineRule="auto"/>
              <w:ind w:firstLine="480" w:firstLineChars="200"/>
              <w:rPr>
                <w:color w:val="auto"/>
                <w:sz w:val="24"/>
                <w:highlight w:val="none"/>
              </w:rPr>
            </w:pPr>
            <w:r>
              <w:rPr>
                <w:color w:val="auto"/>
                <w:sz w:val="24"/>
                <w:highlight w:val="none"/>
              </w:rPr>
              <w:t>项目在进行日常机械维护保养过程中会产生少量废机油，这些废机油通过设置专用的废机油收集桶收集起来委托有资质单位处置。</w:t>
            </w:r>
          </w:p>
          <w:p>
            <w:pPr>
              <w:spacing w:line="360" w:lineRule="auto"/>
              <w:jc w:val="right"/>
              <w:rPr>
                <w:color w:val="auto"/>
                <w:sz w:val="24"/>
                <w:highlight w:val="none"/>
              </w:rPr>
            </w:pPr>
            <w:bookmarkStart w:id="11" w:name="_Toc30505995"/>
            <w:r>
              <w:rPr>
                <w:color w:val="auto"/>
                <w:sz w:val="24"/>
                <w:highlight w:val="none"/>
              </w:rPr>
              <w:t>表</w:t>
            </w:r>
            <w:r>
              <w:rPr>
                <w:rFonts w:hint="eastAsia"/>
                <w:color w:val="auto"/>
                <w:sz w:val="24"/>
                <w:highlight w:val="none"/>
              </w:rPr>
              <w:t>2-11</w:t>
            </w:r>
            <w:r>
              <w:rPr>
                <w:color w:val="auto"/>
                <w:sz w:val="24"/>
                <w:highlight w:val="none"/>
              </w:rPr>
              <w:t xml:space="preserve"> </w:t>
            </w:r>
            <w:r>
              <w:rPr>
                <w:rFonts w:hint="eastAsia"/>
                <w:color w:val="auto"/>
                <w:sz w:val="24"/>
                <w:highlight w:val="none"/>
              </w:rPr>
              <w:t>改建前</w:t>
            </w:r>
            <w:r>
              <w:rPr>
                <w:color w:val="auto"/>
                <w:sz w:val="24"/>
                <w:highlight w:val="none"/>
              </w:rPr>
              <w:t>全厂固废产生、处理处置措施表      单位：t/a</w:t>
            </w:r>
            <w:bookmarkEnd w:id="11"/>
          </w:p>
          <w:tbl>
            <w:tblPr>
              <w:tblStyle w:val="39"/>
              <w:tblW w:w="0" w:type="auto"/>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15" w:type="dxa"/>
                <w:left w:w="15" w:type="dxa"/>
                <w:bottom w:w="15" w:type="dxa"/>
                <w:right w:w="15" w:type="dxa"/>
              </w:tblCellMar>
            </w:tblPr>
            <w:tblGrid>
              <w:gridCol w:w="521"/>
              <w:gridCol w:w="2218"/>
              <w:gridCol w:w="1976"/>
              <w:gridCol w:w="766"/>
              <w:gridCol w:w="2461"/>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615" w:hRule="atLeast"/>
                <w:jc w:val="center"/>
              </w:trPr>
              <w:tc>
                <w:tcPr>
                  <w:tcW w:w="521" w:type="dxa"/>
                  <w:noWrap/>
                  <w:vAlign w:val="center"/>
                </w:tcPr>
                <w:p>
                  <w:pPr>
                    <w:widowControl/>
                    <w:jc w:val="center"/>
                    <w:textAlignment w:val="bottom"/>
                    <w:rPr>
                      <w:b/>
                      <w:bCs/>
                      <w:color w:val="auto"/>
                      <w:szCs w:val="21"/>
                      <w:highlight w:val="none"/>
                    </w:rPr>
                  </w:pPr>
                  <w:r>
                    <w:rPr>
                      <w:b/>
                      <w:bCs/>
                      <w:color w:val="auto"/>
                      <w:kern w:val="0"/>
                      <w:szCs w:val="21"/>
                      <w:highlight w:val="none"/>
                      <w:lang w:bidi="ar"/>
                    </w:rPr>
                    <w:t>序号</w:t>
                  </w:r>
                </w:p>
              </w:tc>
              <w:tc>
                <w:tcPr>
                  <w:tcW w:w="2218" w:type="dxa"/>
                  <w:noWrap/>
                  <w:vAlign w:val="center"/>
                </w:tcPr>
                <w:p>
                  <w:pPr>
                    <w:widowControl/>
                    <w:jc w:val="center"/>
                    <w:textAlignment w:val="bottom"/>
                    <w:rPr>
                      <w:b/>
                      <w:bCs/>
                      <w:color w:val="auto"/>
                      <w:szCs w:val="21"/>
                      <w:highlight w:val="none"/>
                    </w:rPr>
                  </w:pPr>
                  <w:r>
                    <w:rPr>
                      <w:b/>
                      <w:bCs/>
                      <w:color w:val="auto"/>
                      <w:kern w:val="0"/>
                      <w:szCs w:val="21"/>
                      <w:highlight w:val="none"/>
                      <w:lang w:bidi="ar"/>
                    </w:rPr>
                    <w:t>固废名称</w:t>
                  </w:r>
                </w:p>
              </w:tc>
              <w:tc>
                <w:tcPr>
                  <w:tcW w:w="1976" w:type="dxa"/>
                  <w:noWrap/>
                  <w:vAlign w:val="center"/>
                </w:tcPr>
                <w:p>
                  <w:pPr>
                    <w:widowControl/>
                    <w:jc w:val="center"/>
                    <w:textAlignment w:val="bottom"/>
                    <w:rPr>
                      <w:b/>
                      <w:bCs/>
                      <w:color w:val="auto"/>
                      <w:szCs w:val="21"/>
                      <w:highlight w:val="none"/>
                    </w:rPr>
                  </w:pPr>
                  <w:r>
                    <w:rPr>
                      <w:b/>
                      <w:bCs/>
                      <w:color w:val="auto"/>
                      <w:kern w:val="0"/>
                      <w:szCs w:val="21"/>
                      <w:highlight w:val="none"/>
                      <w:lang w:bidi="ar"/>
                    </w:rPr>
                    <w:t>产生源</w:t>
                  </w:r>
                </w:p>
              </w:tc>
              <w:tc>
                <w:tcPr>
                  <w:tcW w:w="766" w:type="dxa"/>
                  <w:noWrap/>
                  <w:vAlign w:val="center"/>
                </w:tcPr>
                <w:p>
                  <w:pPr>
                    <w:widowControl/>
                    <w:jc w:val="center"/>
                    <w:textAlignment w:val="bottom"/>
                    <w:rPr>
                      <w:b/>
                      <w:bCs/>
                      <w:color w:val="auto"/>
                      <w:szCs w:val="21"/>
                      <w:highlight w:val="none"/>
                    </w:rPr>
                  </w:pPr>
                  <w:r>
                    <w:rPr>
                      <w:b/>
                      <w:bCs/>
                      <w:color w:val="auto"/>
                      <w:kern w:val="0"/>
                      <w:szCs w:val="21"/>
                      <w:highlight w:val="none"/>
                      <w:lang w:bidi="ar"/>
                    </w:rPr>
                    <w:t>产生量</w:t>
                  </w:r>
                  <w:r>
                    <w:rPr>
                      <w:b/>
                      <w:bCs/>
                      <w:color w:val="auto"/>
                      <w:kern w:val="0"/>
                      <w:szCs w:val="21"/>
                      <w:highlight w:val="none"/>
                      <w:lang w:bidi="ar"/>
                    </w:rPr>
                    <w:br w:type="textWrapping"/>
                  </w:r>
                  <w:r>
                    <w:rPr>
                      <w:b/>
                      <w:bCs/>
                      <w:color w:val="auto"/>
                      <w:kern w:val="0"/>
                      <w:szCs w:val="21"/>
                      <w:highlight w:val="none"/>
                      <w:lang w:bidi="ar"/>
                    </w:rPr>
                    <w:t>(t/a)</w:t>
                  </w:r>
                </w:p>
              </w:tc>
              <w:tc>
                <w:tcPr>
                  <w:tcW w:w="2461" w:type="dxa"/>
                  <w:noWrap/>
                  <w:vAlign w:val="center"/>
                </w:tcPr>
                <w:p>
                  <w:pPr>
                    <w:widowControl/>
                    <w:jc w:val="center"/>
                    <w:textAlignment w:val="bottom"/>
                    <w:rPr>
                      <w:b/>
                      <w:bCs/>
                      <w:color w:val="auto"/>
                      <w:szCs w:val="21"/>
                      <w:highlight w:val="none"/>
                    </w:rPr>
                  </w:pPr>
                  <w:r>
                    <w:rPr>
                      <w:b/>
                      <w:bCs/>
                      <w:color w:val="auto"/>
                      <w:kern w:val="0"/>
                      <w:szCs w:val="21"/>
                      <w:highlight w:val="none"/>
                      <w:lang w:bidi="ar"/>
                    </w:rPr>
                    <w:t>处理或处置措施</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630" w:hRule="atLeast"/>
                <w:jc w:val="center"/>
              </w:trPr>
              <w:tc>
                <w:tcPr>
                  <w:tcW w:w="521" w:type="dxa"/>
                  <w:noWrap/>
                  <w:vAlign w:val="center"/>
                </w:tcPr>
                <w:p>
                  <w:pPr>
                    <w:jc w:val="center"/>
                    <w:rPr>
                      <w:color w:val="auto"/>
                      <w:szCs w:val="21"/>
                      <w:highlight w:val="none"/>
                    </w:rPr>
                  </w:pPr>
                  <w:r>
                    <w:rPr>
                      <w:color w:val="auto"/>
                      <w:szCs w:val="21"/>
                      <w:highlight w:val="none"/>
                    </w:rPr>
                    <w:t>1</w:t>
                  </w:r>
                </w:p>
              </w:tc>
              <w:tc>
                <w:tcPr>
                  <w:tcW w:w="2218" w:type="dxa"/>
                  <w:noWrap/>
                  <w:vAlign w:val="center"/>
                </w:tcPr>
                <w:p>
                  <w:pPr>
                    <w:widowControl/>
                    <w:jc w:val="center"/>
                    <w:textAlignment w:val="bottom"/>
                    <w:rPr>
                      <w:color w:val="auto"/>
                      <w:szCs w:val="21"/>
                      <w:highlight w:val="none"/>
                    </w:rPr>
                  </w:pPr>
                  <w:r>
                    <w:rPr>
                      <w:color w:val="auto"/>
                      <w:kern w:val="0"/>
                      <w:szCs w:val="21"/>
                      <w:highlight w:val="none"/>
                      <w:lang w:bidi="ar"/>
                    </w:rPr>
                    <w:t>废石料</w:t>
                  </w:r>
                </w:p>
              </w:tc>
              <w:tc>
                <w:tcPr>
                  <w:tcW w:w="1976" w:type="dxa"/>
                  <w:noWrap/>
                  <w:vAlign w:val="center"/>
                </w:tcPr>
                <w:p>
                  <w:pPr>
                    <w:widowControl/>
                    <w:jc w:val="center"/>
                    <w:textAlignment w:val="bottom"/>
                    <w:rPr>
                      <w:color w:val="auto"/>
                      <w:szCs w:val="21"/>
                      <w:highlight w:val="none"/>
                    </w:rPr>
                  </w:pPr>
                  <w:r>
                    <w:rPr>
                      <w:color w:val="auto"/>
                      <w:kern w:val="0"/>
                      <w:szCs w:val="21"/>
                      <w:highlight w:val="none"/>
                      <w:lang w:bidi="ar"/>
                    </w:rPr>
                    <w:t>振动筛</w:t>
                  </w:r>
                </w:p>
              </w:tc>
              <w:tc>
                <w:tcPr>
                  <w:tcW w:w="766" w:type="dxa"/>
                  <w:noWrap/>
                  <w:vAlign w:val="center"/>
                </w:tcPr>
                <w:p>
                  <w:pPr>
                    <w:widowControl/>
                    <w:jc w:val="center"/>
                    <w:textAlignment w:val="bottom"/>
                    <w:rPr>
                      <w:color w:val="auto"/>
                      <w:szCs w:val="21"/>
                      <w:highlight w:val="none"/>
                    </w:rPr>
                  </w:pPr>
                  <w:r>
                    <w:rPr>
                      <w:rFonts w:hint="eastAsia"/>
                      <w:color w:val="auto"/>
                      <w:kern w:val="0"/>
                      <w:szCs w:val="21"/>
                      <w:highlight w:val="none"/>
                      <w:lang w:bidi="ar"/>
                    </w:rPr>
                    <w:t>95</w:t>
                  </w:r>
                </w:p>
              </w:tc>
              <w:tc>
                <w:tcPr>
                  <w:tcW w:w="2461" w:type="dxa"/>
                  <w:noWrap/>
                  <w:vAlign w:val="center"/>
                </w:tcPr>
                <w:p>
                  <w:pPr>
                    <w:widowControl/>
                    <w:jc w:val="center"/>
                    <w:textAlignment w:val="bottom"/>
                    <w:rPr>
                      <w:color w:val="auto"/>
                      <w:szCs w:val="21"/>
                      <w:highlight w:val="none"/>
                    </w:rPr>
                  </w:pPr>
                  <w:r>
                    <w:rPr>
                      <w:color w:val="auto"/>
                      <w:kern w:val="0"/>
                      <w:szCs w:val="21"/>
                      <w:highlight w:val="none"/>
                      <w:lang w:bidi="ar"/>
                    </w:rPr>
                    <w:t>由骨料供应商回收破碎</w:t>
                  </w:r>
                  <w:r>
                    <w:rPr>
                      <w:color w:val="auto"/>
                      <w:kern w:val="0"/>
                      <w:szCs w:val="21"/>
                      <w:highlight w:val="none"/>
                      <w:lang w:bidi="ar"/>
                    </w:rPr>
                    <w:br w:type="textWrapping"/>
                  </w:r>
                  <w:r>
                    <w:rPr>
                      <w:color w:val="auto"/>
                      <w:kern w:val="0"/>
                      <w:szCs w:val="21"/>
                      <w:highlight w:val="none"/>
                      <w:lang w:bidi="ar"/>
                    </w:rPr>
                    <w:t>后重新利用</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450" w:hRule="atLeast"/>
                <w:jc w:val="center"/>
              </w:trPr>
              <w:tc>
                <w:tcPr>
                  <w:tcW w:w="521" w:type="dxa"/>
                  <w:noWrap/>
                  <w:vAlign w:val="center"/>
                </w:tcPr>
                <w:p>
                  <w:pPr>
                    <w:jc w:val="center"/>
                    <w:rPr>
                      <w:color w:val="auto"/>
                      <w:szCs w:val="21"/>
                      <w:highlight w:val="none"/>
                    </w:rPr>
                  </w:pPr>
                  <w:r>
                    <w:rPr>
                      <w:color w:val="auto"/>
                      <w:szCs w:val="21"/>
                      <w:highlight w:val="none"/>
                    </w:rPr>
                    <w:t>2</w:t>
                  </w:r>
                </w:p>
              </w:tc>
              <w:tc>
                <w:tcPr>
                  <w:tcW w:w="2218" w:type="dxa"/>
                  <w:noWrap/>
                  <w:vAlign w:val="center"/>
                </w:tcPr>
                <w:p>
                  <w:pPr>
                    <w:widowControl/>
                    <w:jc w:val="center"/>
                    <w:textAlignment w:val="bottom"/>
                    <w:rPr>
                      <w:color w:val="auto"/>
                      <w:szCs w:val="21"/>
                      <w:highlight w:val="none"/>
                    </w:rPr>
                  </w:pPr>
                  <w:r>
                    <w:rPr>
                      <w:color w:val="auto"/>
                      <w:kern w:val="0"/>
                      <w:szCs w:val="21"/>
                      <w:highlight w:val="none"/>
                      <w:lang w:bidi="ar"/>
                    </w:rPr>
                    <w:t>粉（烟）尘</w:t>
                  </w:r>
                </w:p>
              </w:tc>
              <w:tc>
                <w:tcPr>
                  <w:tcW w:w="1976" w:type="dxa"/>
                  <w:noWrap/>
                  <w:vAlign w:val="center"/>
                </w:tcPr>
                <w:p>
                  <w:pPr>
                    <w:widowControl/>
                    <w:jc w:val="center"/>
                    <w:textAlignment w:val="bottom"/>
                    <w:rPr>
                      <w:color w:val="auto"/>
                      <w:szCs w:val="21"/>
                      <w:highlight w:val="none"/>
                    </w:rPr>
                  </w:pPr>
                  <w:r>
                    <w:rPr>
                      <w:color w:val="auto"/>
                      <w:kern w:val="0"/>
                      <w:szCs w:val="21"/>
                      <w:highlight w:val="none"/>
                      <w:lang w:bidi="ar"/>
                    </w:rPr>
                    <w:t>除尘器</w:t>
                  </w:r>
                </w:p>
              </w:tc>
              <w:tc>
                <w:tcPr>
                  <w:tcW w:w="766" w:type="dxa"/>
                  <w:noWrap/>
                  <w:vAlign w:val="center"/>
                </w:tcPr>
                <w:p>
                  <w:pPr>
                    <w:widowControl/>
                    <w:jc w:val="center"/>
                    <w:textAlignment w:val="bottom"/>
                    <w:rPr>
                      <w:color w:val="auto"/>
                      <w:szCs w:val="21"/>
                      <w:highlight w:val="none"/>
                    </w:rPr>
                  </w:pPr>
                  <w:r>
                    <w:rPr>
                      <w:rFonts w:hint="eastAsia"/>
                      <w:color w:val="auto"/>
                      <w:kern w:val="0"/>
                      <w:szCs w:val="21"/>
                      <w:highlight w:val="none"/>
                      <w:lang w:bidi="ar"/>
                    </w:rPr>
                    <w:t>8.591</w:t>
                  </w:r>
                </w:p>
              </w:tc>
              <w:tc>
                <w:tcPr>
                  <w:tcW w:w="2461" w:type="dxa"/>
                  <w:noWrap/>
                  <w:vAlign w:val="center"/>
                </w:tcPr>
                <w:p>
                  <w:pPr>
                    <w:widowControl/>
                    <w:jc w:val="center"/>
                    <w:textAlignment w:val="bottom"/>
                    <w:rPr>
                      <w:color w:val="auto"/>
                      <w:szCs w:val="21"/>
                      <w:highlight w:val="none"/>
                    </w:rPr>
                  </w:pPr>
                  <w:r>
                    <w:rPr>
                      <w:color w:val="auto"/>
                      <w:kern w:val="0"/>
                      <w:szCs w:val="21"/>
                      <w:highlight w:val="none"/>
                      <w:lang w:bidi="ar"/>
                    </w:rPr>
                    <w:t>收集后作为原料再利用</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615" w:hRule="atLeast"/>
                <w:jc w:val="center"/>
              </w:trPr>
              <w:tc>
                <w:tcPr>
                  <w:tcW w:w="521" w:type="dxa"/>
                  <w:noWrap/>
                  <w:vAlign w:val="center"/>
                </w:tcPr>
                <w:p>
                  <w:pPr>
                    <w:jc w:val="center"/>
                    <w:rPr>
                      <w:color w:val="auto"/>
                      <w:szCs w:val="21"/>
                      <w:highlight w:val="none"/>
                    </w:rPr>
                  </w:pPr>
                  <w:r>
                    <w:rPr>
                      <w:color w:val="auto"/>
                      <w:szCs w:val="21"/>
                      <w:highlight w:val="none"/>
                    </w:rPr>
                    <w:t>3</w:t>
                  </w:r>
                </w:p>
              </w:tc>
              <w:tc>
                <w:tcPr>
                  <w:tcW w:w="2218" w:type="dxa"/>
                  <w:noWrap/>
                  <w:vAlign w:val="center"/>
                </w:tcPr>
                <w:p>
                  <w:pPr>
                    <w:widowControl/>
                    <w:jc w:val="center"/>
                    <w:textAlignment w:val="bottom"/>
                    <w:rPr>
                      <w:color w:val="auto"/>
                      <w:szCs w:val="21"/>
                      <w:highlight w:val="none"/>
                    </w:rPr>
                  </w:pPr>
                  <w:r>
                    <w:rPr>
                      <w:color w:val="auto"/>
                      <w:kern w:val="0"/>
                      <w:szCs w:val="21"/>
                      <w:highlight w:val="none"/>
                      <w:lang w:bidi="ar"/>
                    </w:rPr>
                    <w:t>滴漏沥青及拌和残渣</w:t>
                  </w:r>
                </w:p>
              </w:tc>
              <w:tc>
                <w:tcPr>
                  <w:tcW w:w="1976" w:type="dxa"/>
                  <w:noWrap/>
                  <w:vAlign w:val="center"/>
                </w:tcPr>
                <w:p>
                  <w:pPr>
                    <w:widowControl/>
                    <w:jc w:val="center"/>
                    <w:textAlignment w:val="bottom"/>
                    <w:rPr>
                      <w:color w:val="auto"/>
                      <w:szCs w:val="21"/>
                      <w:highlight w:val="none"/>
                    </w:rPr>
                  </w:pPr>
                  <w:r>
                    <w:rPr>
                      <w:color w:val="auto"/>
                      <w:kern w:val="0"/>
                      <w:szCs w:val="21"/>
                      <w:highlight w:val="none"/>
                      <w:lang w:bidi="ar"/>
                    </w:rPr>
                    <w:t>运输车、沥青储罐</w:t>
                  </w:r>
                  <w:r>
                    <w:rPr>
                      <w:color w:val="auto"/>
                      <w:kern w:val="0"/>
                      <w:szCs w:val="21"/>
                      <w:highlight w:val="none"/>
                      <w:lang w:bidi="ar"/>
                    </w:rPr>
                    <w:br w:type="textWrapping"/>
                  </w:r>
                  <w:r>
                    <w:rPr>
                      <w:color w:val="auto"/>
                      <w:kern w:val="0"/>
                      <w:szCs w:val="21"/>
                      <w:highlight w:val="none"/>
                      <w:lang w:bidi="ar"/>
                    </w:rPr>
                    <w:t>及沥青输送泵</w:t>
                  </w:r>
                </w:p>
              </w:tc>
              <w:tc>
                <w:tcPr>
                  <w:tcW w:w="766" w:type="dxa"/>
                  <w:noWrap/>
                  <w:vAlign w:val="center"/>
                </w:tcPr>
                <w:p>
                  <w:pPr>
                    <w:widowControl/>
                    <w:jc w:val="center"/>
                    <w:textAlignment w:val="bottom"/>
                    <w:rPr>
                      <w:color w:val="auto"/>
                      <w:szCs w:val="21"/>
                      <w:highlight w:val="none"/>
                    </w:rPr>
                  </w:pPr>
                  <w:r>
                    <w:rPr>
                      <w:rFonts w:hint="eastAsia"/>
                      <w:color w:val="auto"/>
                      <w:kern w:val="0"/>
                      <w:szCs w:val="21"/>
                      <w:highlight w:val="none"/>
                      <w:lang w:bidi="ar"/>
                    </w:rPr>
                    <w:t>1</w:t>
                  </w:r>
                </w:p>
              </w:tc>
              <w:tc>
                <w:tcPr>
                  <w:tcW w:w="2461" w:type="dxa"/>
                  <w:noWrap/>
                  <w:vAlign w:val="center"/>
                </w:tcPr>
                <w:p>
                  <w:pPr>
                    <w:widowControl/>
                    <w:jc w:val="center"/>
                    <w:textAlignment w:val="bottom"/>
                    <w:rPr>
                      <w:color w:val="auto"/>
                      <w:szCs w:val="21"/>
                      <w:highlight w:val="none"/>
                    </w:rPr>
                  </w:pPr>
                  <w:r>
                    <w:rPr>
                      <w:color w:val="auto"/>
                      <w:kern w:val="0"/>
                      <w:szCs w:val="21"/>
                      <w:highlight w:val="none"/>
                      <w:lang w:bidi="ar"/>
                    </w:rPr>
                    <w:t>作为原料回用于生产</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600" w:hRule="atLeast"/>
                <w:jc w:val="center"/>
              </w:trPr>
              <w:tc>
                <w:tcPr>
                  <w:tcW w:w="521" w:type="dxa"/>
                  <w:noWrap/>
                  <w:vAlign w:val="center"/>
                </w:tcPr>
                <w:p>
                  <w:pPr>
                    <w:widowControl/>
                    <w:jc w:val="center"/>
                    <w:textAlignment w:val="bottom"/>
                    <w:rPr>
                      <w:color w:val="auto"/>
                      <w:szCs w:val="21"/>
                      <w:highlight w:val="none"/>
                    </w:rPr>
                  </w:pPr>
                  <w:r>
                    <w:rPr>
                      <w:color w:val="auto"/>
                      <w:kern w:val="0"/>
                      <w:szCs w:val="21"/>
                      <w:highlight w:val="none"/>
                      <w:lang w:bidi="ar"/>
                    </w:rPr>
                    <w:t>4</w:t>
                  </w:r>
                </w:p>
              </w:tc>
              <w:tc>
                <w:tcPr>
                  <w:tcW w:w="2218" w:type="dxa"/>
                  <w:noWrap/>
                  <w:vAlign w:val="center"/>
                </w:tcPr>
                <w:p>
                  <w:pPr>
                    <w:widowControl/>
                    <w:jc w:val="center"/>
                    <w:textAlignment w:val="bottom"/>
                    <w:rPr>
                      <w:color w:val="auto"/>
                      <w:szCs w:val="21"/>
                      <w:highlight w:val="none"/>
                    </w:rPr>
                  </w:pPr>
                  <w:r>
                    <w:rPr>
                      <w:color w:val="auto"/>
                      <w:kern w:val="0"/>
                      <w:szCs w:val="21"/>
                      <w:highlight w:val="none"/>
                      <w:lang w:bidi="ar"/>
                    </w:rPr>
                    <w:t>生活垃圾</w:t>
                  </w:r>
                </w:p>
              </w:tc>
              <w:tc>
                <w:tcPr>
                  <w:tcW w:w="1976" w:type="dxa"/>
                  <w:noWrap/>
                  <w:vAlign w:val="center"/>
                </w:tcPr>
                <w:p>
                  <w:pPr>
                    <w:widowControl/>
                    <w:jc w:val="center"/>
                    <w:textAlignment w:val="bottom"/>
                    <w:rPr>
                      <w:color w:val="auto"/>
                      <w:szCs w:val="21"/>
                      <w:highlight w:val="none"/>
                    </w:rPr>
                  </w:pPr>
                  <w:r>
                    <w:rPr>
                      <w:color w:val="auto"/>
                      <w:kern w:val="0"/>
                      <w:szCs w:val="21"/>
                      <w:highlight w:val="none"/>
                      <w:lang w:bidi="ar"/>
                    </w:rPr>
                    <w:t>办公用房、沥青</w:t>
                  </w:r>
                  <w:r>
                    <w:rPr>
                      <w:color w:val="auto"/>
                      <w:kern w:val="0"/>
                      <w:szCs w:val="21"/>
                      <w:highlight w:val="none"/>
                      <w:lang w:bidi="ar"/>
                    </w:rPr>
                    <w:br w:type="textWrapping"/>
                  </w:r>
                  <w:r>
                    <w:rPr>
                      <w:color w:val="auto"/>
                      <w:kern w:val="0"/>
                      <w:szCs w:val="21"/>
                      <w:highlight w:val="none"/>
                      <w:lang w:bidi="ar"/>
                    </w:rPr>
                    <w:t>混凝土搅拌主楼等</w:t>
                  </w:r>
                </w:p>
              </w:tc>
              <w:tc>
                <w:tcPr>
                  <w:tcW w:w="766" w:type="dxa"/>
                  <w:noWrap/>
                  <w:vAlign w:val="center"/>
                </w:tcPr>
                <w:p>
                  <w:pPr>
                    <w:widowControl/>
                    <w:jc w:val="center"/>
                    <w:textAlignment w:val="bottom"/>
                    <w:rPr>
                      <w:color w:val="auto"/>
                      <w:szCs w:val="21"/>
                      <w:highlight w:val="none"/>
                    </w:rPr>
                  </w:pPr>
                  <w:r>
                    <w:rPr>
                      <w:rFonts w:hint="eastAsia"/>
                      <w:color w:val="auto"/>
                      <w:kern w:val="0"/>
                      <w:szCs w:val="21"/>
                      <w:highlight w:val="none"/>
                      <w:lang w:bidi="ar"/>
                    </w:rPr>
                    <w:t>1.5</w:t>
                  </w:r>
                </w:p>
              </w:tc>
              <w:tc>
                <w:tcPr>
                  <w:tcW w:w="2461" w:type="dxa"/>
                  <w:noWrap/>
                  <w:vAlign w:val="center"/>
                </w:tcPr>
                <w:p>
                  <w:pPr>
                    <w:widowControl/>
                    <w:jc w:val="center"/>
                    <w:textAlignment w:val="bottom"/>
                    <w:rPr>
                      <w:color w:val="auto"/>
                      <w:szCs w:val="21"/>
                      <w:highlight w:val="none"/>
                    </w:rPr>
                  </w:pPr>
                  <w:r>
                    <w:rPr>
                      <w:color w:val="auto"/>
                      <w:kern w:val="0"/>
                      <w:szCs w:val="21"/>
                      <w:highlight w:val="none"/>
                      <w:lang w:bidi="ar"/>
                    </w:rPr>
                    <w:t>集中收集后交由环卫</w:t>
                  </w:r>
                  <w:r>
                    <w:rPr>
                      <w:color w:val="auto"/>
                      <w:kern w:val="0"/>
                      <w:szCs w:val="21"/>
                      <w:highlight w:val="none"/>
                      <w:lang w:bidi="ar"/>
                    </w:rPr>
                    <w:br w:type="textWrapping"/>
                  </w:r>
                  <w:r>
                    <w:rPr>
                      <w:color w:val="auto"/>
                      <w:kern w:val="0"/>
                      <w:szCs w:val="21"/>
                      <w:highlight w:val="none"/>
                      <w:lang w:bidi="ar"/>
                    </w:rPr>
                    <w:t>部门处理</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630" w:hRule="atLeast"/>
                <w:jc w:val="center"/>
              </w:trPr>
              <w:tc>
                <w:tcPr>
                  <w:tcW w:w="521" w:type="dxa"/>
                  <w:noWrap/>
                  <w:vAlign w:val="center"/>
                </w:tcPr>
                <w:p>
                  <w:pPr>
                    <w:widowControl/>
                    <w:jc w:val="center"/>
                    <w:textAlignment w:val="bottom"/>
                    <w:rPr>
                      <w:color w:val="auto"/>
                      <w:szCs w:val="21"/>
                      <w:highlight w:val="none"/>
                    </w:rPr>
                  </w:pPr>
                  <w:r>
                    <w:rPr>
                      <w:rFonts w:hint="eastAsia"/>
                      <w:color w:val="auto"/>
                      <w:kern w:val="0"/>
                      <w:szCs w:val="21"/>
                      <w:highlight w:val="none"/>
                      <w:lang w:bidi="ar"/>
                    </w:rPr>
                    <w:t>5</w:t>
                  </w:r>
                </w:p>
              </w:tc>
              <w:tc>
                <w:tcPr>
                  <w:tcW w:w="2218" w:type="dxa"/>
                  <w:noWrap/>
                  <w:vAlign w:val="center"/>
                </w:tcPr>
                <w:p>
                  <w:pPr>
                    <w:widowControl/>
                    <w:jc w:val="center"/>
                    <w:textAlignment w:val="bottom"/>
                    <w:rPr>
                      <w:color w:val="auto"/>
                      <w:kern w:val="0"/>
                      <w:szCs w:val="21"/>
                      <w:highlight w:val="none"/>
                      <w:lang w:bidi="ar"/>
                    </w:rPr>
                  </w:pPr>
                  <w:r>
                    <w:rPr>
                      <w:color w:val="auto"/>
                      <w:kern w:val="0"/>
                      <w:szCs w:val="21"/>
                      <w:highlight w:val="none"/>
                      <w:lang w:bidi="ar"/>
                    </w:rPr>
                    <w:t>废布袋</w:t>
                  </w:r>
                </w:p>
              </w:tc>
              <w:tc>
                <w:tcPr>
                  <w:tcW w:w="1976" w:type="dxa"/>
                  <w:noWrap/>
                  <w:vAlign w:val="center"/>
                </w:tcPr>
                <w:p>
                  <w:pPr>
                    <w:widowControl/>
                    <w:jc w:val="center"/>
                    <w:textAlignment w:val="bottom"/>
                    <w:rPr>
                      <w:rFonts w:hint="eastAsia"/>
                      <w:color w:val="auto"/>
                      <w:kern w:val="0"/>
                      <w:szCs w:val="21"/>
                      <w:highlight w:val="none"/>
                      <w:lang w:bidi="ar"/>
                    </w:rPr>
                  </w:pPr>
                  <w:r>
                    <w:rPr>
                      <w:color w:val="auto"/>
                      <w:kern w:val="0"/>
                      <w:szCs w:val="21"/>
                      <w:highlight w:val="none"/>
                      <w:lang w:bidi="ar"/>
                    </w:rPr>
                    <w:t>布袋除尘器更换</w:t>
                  </w:r>
                </w:p>
              </w:tc>
              <w:tc>
                <w:tcPr>
                  <w:tcW w:w="766" w:type="dxa"/>
                  <w:noWrap/>
                  <w:vAlign w:val="center"/>
                </w:tcPr>
                <w:p>
                  <w:pPr>
                    <w:widowControl/>
                    <w:jc w:val="center"/>
                    <w:textAlignment w:val="bottom"/>
                    <w:rPr>
                      <w:rFonts w:hint="default" w:eastAsia="宋体"/>
                      <w:color w:val="auto"/>
                      <w:kern w:val="0"/>
                      <w:szCs w:val="21"/>
                      <w:highlight w:val="none"/>
                      <w:lang w:val="en-US" w:eastAsia="zh-CN" w:bidi="ar"/>
                    </w:rPr>
                  </w:pPr>
                  <w:r>
                    <w:rPr>
                      <w:rFonts w:hint="eastAsia"/>
                      <w:color w:val="auto"/>
                      <w:kern w:val="0"/>
                      <w:szCs w:val="21"/>
                      <w:highlight w:val="none"/>
                      <w:lang w:val="en-US" w:eastAsia="zh-CN" w:bidi="ar"/>
                    </w:rPr>
                    <w:t>两年更换一次</w:t>
                  </w:r>
                </w:p>
              </w:tc>
              <w:tc>
                <w:tcPr>
                  <w:tcW w:w="2461" w:type="dxa"/>
                  <w:noWrap/>
                  <w:vAlign w:val="center"/>
                </w:tcPr>
                <w:p>
                  <w:pPr>
                    <w:widowControl/>
                    <w:jc w:val="center"/>
                    <w:textAlignment w:val="bottom"/>
                    <w:rPr>
                      <w:color w:val="auto"/>
                      <w:kern w:val="0"/>
                      <w:szCs w:val="21"/>
                      <w:highlight w:val="none"/>
                      <w:lang w:bidi="ar"/>
                    </w:rPr>
                  </w:pPr>
                  <w:r>
                    <w:rPr>
                      <w:color w:val="auto"/>
                      <w:kern w:val="0"/>
                      <w:szCs w:val="21"/>
                      <w:highlight w:val="none"/>
                      <w:lang w:bidi="ar"/>
                    </w:rPr>
                    <w:t>由更换厂家回收</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630" w:hRule="atLeast"/>
                <w:jc w:val="center"/>
              </w:trPr>
              <w:tc>
                <w:tcPr>
                  <w:tcW w:w="521" w:type="dxa"/>
                  <w:noWrap/>
                  <w:vAlign w:val="center"/>
                </w:tcPr>
                <w:p>
                  <w:pPr>
                    <w:jc w:val="center"/>
                    <w:rPr>
                      <w:rFonts w:hint="eastAsia" w:eastAsia="宋体"/>
                      <w:color w:val="auto"/>
                      <w:szCs w:val="21"/>
                      <w:highlight w:val="none"/>
                      <w:lang w:eastAsia="zh-CN"/>
                    </w:rPr>
                  </w:pPr>
                  <w:r>
                    <w:rPr>
                      <w:rFonts w:hint="eastAsia"/>
                      <w:color w:val="auto"/>
                      <w:szCs w:val="21"/>
                      <w:highlight w:val="none"/>
                      <w:lang w:val="en-US" w:eastAsia="zh-CN"/>
                    </w:rPr>
                    <w:t>6</w:t>
                  </w:r>
                </w:p>
              </w:tc>
              <w:tc>
                <w:tcPr>
                  <w:tcW w:w="2218" w:type="dxa"/>
                  <w:noWrap/>
                  <w:vAlign w:val="center"/>
                </w:tcPr>
                <w:p>
                  <w:pPr>
                    <w:widowControl/>
                    <w:jc w:val="center"/>
                    <w:textAlignment w:val="bottom"/>
                    <w:rPr>
                      <w:color w:val="auto"/>
                      <w:szCs w:val="21"/>
                      <w:highlight w:val="none"/>
                    </w:rPr>
                  </w:pPr>
                  <w:r>
                    <w:rPr>
                      <w:color w:val="auto"/>
                      <w:kern w:val="0"/>
                      <w:szCs w:val="21"/>
                      <w:highlight w:val="none"/>
                      <w:lang w:bidi="ar"/>
                    </w:rPr>
                    <w:t>废机油</w:t>
                  </w:r>
                </w:p>
              </w:tc>
              <w:tc>
                <w:tcPr>
                  <w:tcW w:w="1976" w:type="dxa"/>
                  <w:noWrap/>
                  <w:vAlign w:val="center"/>
                </w:tcPr>
                <w:p>
                  <w:pPr>
                    <w:widowControl/>
                    <w:jc w:val="center"/>
                    <w:textAlignment w:val="bottom"/>
                    <w:rPr>
                      <w:color w:val="auto"/>
                      <w:szCs w:val="21"/>
                      <w:highlight w:val="none"/>
                    </w:rPr>
                  </w:pPr>
                  <w:r>
                    <w:rPr>
                      <w:rFonts w:hint="eastAsia"/>
                      <w:color w:val="auto"/>
                      <w:kern w:val="0"/>
                      <w:szCs w:val="21"/>
                      <w:highlight w:val="none"/>
                      <w:lang w:bidi="ar"/>
                    </w:rPr>
                    <w:t>车辆维护</w:t>
                  </w:r>
                </w:p>
              </w:tc>
              <w:tc>
                <w:tcPr>
                  <w:tcW w:w="766" w:type="dxa"/>
                  <w:noWrap/>
                  <w:vAlign w:val="center"/>
                </w:tcPr>
                <w:p>
                  <w:pPr>
                    <w:widowControl/>
                    <w:jc w:val="center"/>
                    <w:textAlignment w:val="bottom"/>
                    <w:rPr>
                      <w:color w:val="auto"/>
                      <w:szCs w:val="21"/>
                      <w:highlight w:val="none"/>
                    </w:rPr>
                  </w:pPr>
                  <w:r>
                    <w:rPr>
                      <w:color w:val="auto"/>
                      <w:kern w:val="0"/>
                      <w:szCs w:val="21"/>
                      <w:highlight w:val="none"/>
                      <w:lang w:bidi="ar"/>
                    </w:rPr>
                    <w:t>少量</w:t>
                  </w:r>
                </w:p>
              </w:tc>
              <w:tc>
                <w:tcPr>
                  <w:tcW w:w="2461" w:type="dxa"/>
                  <w:noWrap/>
                  <w:vAlign w:val="center"/>
                </w:tcPr>
                <w:p>
                  <w:pPr>
                    <w:widowControl/>
                    <w:jc w:val="center"/>
                    <w:textAlignment w:val="bottom"/>
                    <w:rPr>
                      <w:color w:val="auto"/>
                      <w:szCs w:val="21"/>
                      <w:highlight w:val="none"/>
                    </w:rPr>
                  </w:pPr>
                  <w:r>
                    <w:rPr>
                      <w:color w:val="auto"/>
                      <w:kern w:val="0"/>
                      <w:szCs w:val="21"/>
                      <w:highlight w:val="none"/>
                      <w:lang w:bidi="ar"/>
                    </w:rPr>
                    <w:t>定期交有危险废物处置</w:t>
                  </w:r>
                  <w:r>
                    <w:rPr>
                      <w:color w:val="auto"/>
                      <w:kern w:val="0"/>
                      <w:szCs w:val="21"/>
                      <w:highlight w:val="none"/>
                      <w:lang w:bidi="ar"/>
                    </w:rPr>
                    <w:br w:type="textWrapping"/>
                  </w:r>
                  <w:r>
                    <w:rPr>
                      <w:color w:val="auto"/>
                      <w:kern w:val="0"/>
                      <w:szCs w:val="21"/>
                      <w:highlight w:val="none"/>
                      <w:lang w:bidi="ar"/>
                    </w:rPr>
                    <w:t>资质部门处理</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450" w:hRule="atLeast"/>
                <w:jc w:val="center"/>
              </w:trPr>
              <w:tc>
                <w:tcPr>
                  <w:tcW w:w="4715" w:type="dxa"/>
                  <w:gridSpan w:val="3"/>
                  <w:noWrap/>
                  <w:vAlign w:val="center"/>
                </w:tcPr>
                <w:p>
                  <w:pPr>
                    <w:widowControl/>
                    <w:jc w:val="center"/>
                    <w:textAlignment w:val="bottom"/>
                    <w:rPr>
                      <w:color w:val="auto"/>
                      <w:szCs w:val="21"/>
                      <w:highlight w:val="none"/>
                    </w:rPr>
                  </w:pPr>
                  <w:r>
                    <w:rPr>
                      <w:color w:val="auto"/>
                      <w:kern w:val="0"/>
                      <w:szCs w:val="21"/>
                      <w:highlight w:val="none"/>
                      <w:lang w:bidi="ar"/>
                    </w:rPr>
                    <w:t>合计</w:t>
                  </w:r>
                </w:p>
              </w:tc>
              <w:tc>
                <w:tcPr>
                  <w:tcW w:w="766" w:type="dxa"/>
                  <w:noWrap/>
                  <w:vAlign w:val="center"/>
                </w:tcPr>
                <w:p>
                  <w:pPr>
                    <w:widowControl/>
                    <w:jc w:val="center"/>
                    <w:textAlignment w:val="bottom"/>
                    <w:rPr>
                      <w:color w:val="auto"/>
                      <w:szCs w:val="21"/>
                      <w:highlight w:val="none"/>
                    </w:rPr>
                  </w:pPr>
                  <w:r>
                    <w:rPr>
                      <w:rFonts w:hint="eastAsia"/>
                      <w:color w:val="auto"/>
                      <w:kern w:val="0"/>
                      <w:szCs w:val="21"/>
                      <w:highlight w:val="none"/>
                      <w:lang w:bidi="ar"/>
                    </w:rPr>
                    <w:t>106.09</w:t>
                  </w:r>
                </w:p>
              </w:tc>
              <w:tc>
                <w:tcPr>
                  <w:tcW w:w="2461" w:type="dxa"/>
                  <w:noWrap/>
                  <w:vAlign w:val="center"/>
                </w:tcPr>
                <w:p>
                  <w:pPr>
                    <w:jc w:val="center"/>
                    <w:rPr>
                      <w:color w:val="auto"/>
                      <w:szCs w:val="21"/>
                      <w:highlight w:val="none"/>
                    </w:rPr>
                  </w:pPr>
                </w:p>
              </w:tc>
            </w:tr>
          </w:tbl>
          <w:p>
            <w:pPr>
              <w:pStyle w:val="5"/>
              <w:ind w:firstLine="0" w:firstLineChars="0"/>
              <w:rPr>
                <w:color w:val="auto"/>
                <w:sz w:val="24"/>
                <w:szCs w:val="24"/>
                <w:highlight w:val="none"/>
              </w:rPr>
            </w:pPr>
            <w:bookmarkStart w:id="12" w:name="_Toc16071"/>
            <w:r>
              <w:rPr>
                <w:color w:val="auto"/>
                <w:sz w:val="24"/>
                <w:szCs w:val="24"/>
                <w:highlight w:val="none"/>
              </w:rPr>
              <w:t>2、原项目存在环境问题</w:t>
            </w:r>
            <w:bookmarkEnd w:id="12"/>
          </w:p>
          <w:p>
            <w:pPr>
              <w:pStyle w:val="50"/>
              <w:numPr>
                <w:ilvl w:val="0"/>
                <w:numId w:val="4"/>
              </w:numPr>
              <w:snapToGrid w:val="0"/>
              <w:rPr>
                <w:rFonts w:ascii="Times New Roman" w:hAnsi="Times New Roman"/>
                <w:color w:val="auto"/>
                <w:szCs w:val="24"/>
                <w:highlight w:val="none"/>
              </w:rPr>
            </w:pPr>
            <w:r>
              <w:rPr>
                <w:rFonts w:ascii="Times New Roman" w:hAnsi="Times New Roman"/>
                <w:color w:val="auto"/>
                <w:szCs w:val="24"/>
                <w:highlight w:val="none"/>
              </w:rPr>
              <w:t>项目堆场为露天堆场粉尘扬尘产生量较大</w:t>
            </w:r>
          </w:p>
          <w:p>
            <w:pPr>
              <w:pStyle w:val="50"/>
              <w:snapToGrid w:val="0"/>
              <w:ind w:firstLine="480" w:firstLineChars="200"/>
              <w:rPr>
                <w:rFonts w:ascii="Times New Roman" w:hAnsi="Times New Roman"/>
                <w:color w:val="auto"/>
                <w:szCs w:val="24"/>
                <w:highlight w:val="none"/>
              </w:rPr>
            </w:pPr>
            <w:r>
              <w:rPr>
                <w:rFonts w:ascii="Times New Roman" w:hAnsi="Times New Roman"/>
                <w:color w:val="auto"/>
                <w:szCs w:val="24"/>
                <w:highlight w:val="none"/>
              </w:rPr>
              <w:t>升级改造方案：将项目原料堆场修建为三面封闭顶棚式结构，同时在堆场设置喷淋装置，减少堆场粉尘产生量。</w:t>
            </w:r>
          </w:p>
          <w:p>
            <w:pPr>
              <w:pStyle w:val="50"/>
              <w:numPr>
                <w:ilvl w:val="0"/>
                <w:numId w:val="4"/>
              </w:numPr>
              <w:snapToGrid w:val="0"/>
              <w:rPr>
                <w:rFonts w:ascii="Times New Roman" w:hAnsi="Times New Roman"/>
                <w:color w:val="auto"/>
                <w:szCs w:val="24"/>
                <w:highlight w:val="none"/>
              </w:rPr>
            </w:pPr>
            <w:r>
              <w:rPr>
                <w:rFonts w:ascii="Times New Roman" w:hAnsi="Times New Roman"/>
                <w:color w:val="auto"/>
                <w:szCs w:val="24"/>
                <w:highlight w:val="none"/>
              </w:rPr>
              <w:t>项目厂区地面</w:t>
            </w:r>
            <w:r>
              <w:rPr>
                <w:rFonts w:hint="eastAsia" w:ascii="Times New Roman" w:hAnsi="Times New Roman"/>
                <w:color w:val="auto"/>
                <w:szCs w:val="24"/>
                <w:highlight w:val="none"/>
              </w:rPr>
              <w:t>未进行</w:t>
            </w:r>
            <w:r>
              <w:rPr>
                <w:rFonts w:ascii="Times New Roman" w:hAnsi="Times New Roman"/>
                <w:color w:val="auto"/>
                <w:szCs w:val="24"/>
                <w:highlight w:val="none"/>
              </w:rPr>
              <w:t>硬化处理，容易造成车辆进出引起的扬尘</w:t>
            </w:r>
          </w:p>
          <w:p>
            <w:pPr>
              <w:pStyle w:val="50"/>
              <w:snapToGrid w:val="0"/>
              <w:ind w:firstLine="480" w:firstLineChars="200"/>
              <w:rPr>
                <w:rFonts w:ascii="Times New Roman" w:hAnsi="Times New Roman"/>
                <w:color w:val="auto"/>
                <w:szCs w:val="24"/>
                <w:highlight w:val="none"/>
              </w:rPr>
            </w:pPr>
            <w:r>
              <w:rPr>
                <w:rFonts w:ascii="Times New Roman" w:hAnsi="Times New Roman"/>
                <w:color w:val="auto"/>
                <w:szCs w:val="24"/>
                <w:highlight w:val="none"/>
              </w:rPr>
              <w:t>升级改造方案：将厂区地面进行硬化处理，减少厂区路面车辆进出引起的扬尘。</w:t>
            </w:r>
          </w:p>
          <w:p>
            <w:pPr>
              <w:pStyle w:val="50"/>
              <w:numPr>
                <w:ilvl w:val="0"/>
                <w:numId w:val="4"/>
              </w:numPr>
              <w:snapToGrid w:val="0"/>
              <w:rPr>
                <w:rFonts w:ascii="Times New Roman" w:hAnsi="Times New Roman"/>
                <w:color w:val="auto"/>
                <w:szCs w:val="24"/>
                <w:highlight w:val="none"/>
              </w:rPr>
            </w:pPr>
            <w:r>
              <w:rPr>
                <w:rFonts w:ascii="Times New Roman" w:hAnsi="Times New Roman"/>
                <w:color w:val="auto"/>
                <w:szCs w:val="24"/>
                <w:highlight w:val="none"/>
              </w:rPr>
              <w:t>项目生产线、沥青储罐产生的沥青烟气为无组织排放</w:t>
            </w:r>
          </w:p>
          <w:p>
            <w:pPr>
              <w:pStyle w:val="50"/>
              <w:snapToGrid w:val="0"/>
              <w:ind w:firstLine="480" w:firstLineChars="200"/>
              <w:rPr>
                <w:rFonts w:ascii="Times New Roman" w:hAnsi="Times New Roman"/>
                <w:color w:val="auto"/>
                <w:szCs w:val="24"/>
                <w:highlight w:val="none"/>
              </w:rPr>
            </w:pPr>
            <w:r>
              <w:rPr>
                <w:rFonts w:ascii="Times New Roman" w:hAnsi="Times New Roman"/>
                <w:color w:val="auto"/>
                <w:szCs w:val="24"/>
                <w:highlight w:val="none"/>
              </w:rPr>
              <w:t>升级改造方案：沥青混凝土出料口处安装集气罩，沥青混凝土卸料过程中产生的沥青烟气通过设置的环形集气罩收集后引入总集气管道;搅拌缸内沥青烟气由风管引入总集气管道，沥青烟气收集后引入烘干滚筒燃烧器中燃烧后跟燃气废气一并从1#排气简排放，燃烧处理效率达90%。沥青储罐加热产生沥青烟气：采用负压收集后由专用管道引致烘干筒燃烧器燃烧处置后与燃气废气一并从1#排气简排放，燃烧处理效率达90%。将厂区地面进行硬化处理，减少厂区路面车辆进出引起的扬尘。</w:t>
            </w:r>
          </w:p>
          <w:p>
            <w:pPr>
              <w:pStyle w:val="50"/>
              <w:numPr>
                <w:ilvl w:val="0"/>
                <w:numId w:val="4"/>
              </w:numPr>
              <w:snapToGrid w:val="0"/>
              <w:rPr>
                <w:rFonts w:ascii="Times New Roman" w:hAnsi="Times New Roman"/>
                <w:color w:val="auto"/>
                <w:szCs w:val="24"/>
                <w:highlight w:val="none"/>
              </w:rPr>
            </w:pPr>
            <w:r>
              <w:rPr>
                <w:rFonts w:ascii="Times New Roman" w:hAnsi="Times New Roman"/>
                <w:color w:val="auto"/>
                <w:szCs w:val="24"/>
                <w:highlight w:val="none"/>
              </w:rPr>
              <w:t>项目</w:t>
            </w:r>
            <w:r>
              <w:rPr>
                <w:rFonts w:hint="eastAsia" w:ascii="Times New Roman" w:hAnsi="Times New Roman"/>
                <w:color w:val="auto"/>
                <w:szCs w:val="24"/>
                <w:highlight w:val="none"/>
              </w:rPr>
              <w:t>未设置标准的危废暂存间</w:t>
            </w:r>
          </w:p>
          <w:p>
            <w:pPr>
              <w:adjustRightInd w:val="0"/>
              <w:snapToGrid w:val="0"/>
              <w:ind w:firstLine="480" w:firstLineChars="200"/>
              <w:rPr>
                <w:rFonts w:ascii="宋体" w:hAnsi="宋体"/>
                <w:bCs/>
                <w:color w:val="auto"/>
                <w:szCs w:val="21"/>
                <w:highlight w:val="none"/>
              </w:rPr>
            </w:pPr>
            <w:r>
              <w:rPr>
                <w:rFonts w:hint="eastAsia"/>
                <w:color w:val="auto"/>
                <w:sz w:val="24"/>
                <w:highlight w:val="none"/>
              </w:rPr>
              <w:t>改建</w:t>
            </w:r>
            <w:r>
              <w:rPr>
                <w:color w:val="auto"/>
                <w:sz w:val="24"/>
                <w:highlight w:val="none"/>
              </w:rPr>
              <w:t>方案：</w:t>
            </w:r>
            <w:r>
              <w:rPr>
                <w:rFonts w:hint="eastAsia"/>
                <w:color w:val="auto"/>
                <w:sz w:val="24"/>
                <w:highlight w:val="none"/>
              </w:rPr>
              <w:t>标准化设置约5m</w:t>
            </w:r>
            <w:r>
              <w:rPr>
                <w:rFonts w:hint="eastAsia"/>
                <w:color w:val="auto"/>
                <w:sz w:val="24"/>
                <w:highlight w:val="none"/>
                <w:vertAlign w:val="superscript"/>
              </w:rPr>
              <w:t>2</w:t>
            </w:r>
            <w:r>
              <w:rPr>
                <w:rFonts w:hint="eastAsia"/>
                <w:color w:val="auto"/>
                <w:sz w:val="24"/>
                <w:highlight w:val="none"/>
              </w:rPr>
              <w:t>的危废暂存间</w:t>
            </w:r>
            <w:r>
              <w:rPr>
                <w:color w:val="auto"/>
                <w:sz w:val="24"/>
                <w:highlight w:val="none"/>
              </w:rPr>
              <w:t>。</w:t>
            </w:r>
          </w:p>
        </w:tc>
      </w:tr>
    </w:tbl>
    <w:p>
      <w:pPr>
        <w:pStyle w:val="35"/>
        <w:adjustRightInd w:val="0"/>
        <w:snapToGrid w:val="0"/>
        <w:spacing w:before="0" w:beforeAutospacing="0" w:after="0" w:afterAutospacing="0" w:line="14" w:lineRule="auto"/>
        <w:jc w:val="center"/>
        <w:rPr>
          <w:rFonts w:hint="eastAsia" w:ascii="黑体" w:hAnsi="黑体" w:eastAsia="黑体"/>
          <w:snapToGrid w:val="0"/>
          <w:color w:val="auto"/>
          <w:sz w:val="30"/>
          <w:szCs w:val="30"/>
          <w:highlight w:val="none"/>
        </w:rPr>
      </w:pPr>
    </w:p>
    <w:p>
      <w:pPr>
        <w:pStyle w:val="35"/>
        <w:jc w:val="center"/>
        <w:outlineLvl w:val="0"/>
        <w:rPr>
          <w:rFonts w:hint="eastAsia" w:ascii="黑体" w:hAnsi="黑体" w:eastAsia="黑体"/>
          <w:snapToGrid w:val="0"/>
          <w:color w:val="auto"/>
          <w:sz w:val="30"/>
          <w:szCs w:val="30"/>
          <w:highlight w:val="none"/>
        </w:rPr>
        <w:sectPr>
          <w:pgSz w:w="11907" w:h="16840"/>
          <w:pgMar w:top="1701" w:right="1531" w:bottom="2127" w:left="1531" w:header="851" w:footer="851" w:gutter="0"/>
          <w:pgBorders>
            <w:top w:val="none" w:sz="0" w:space="0"/>
            <w:left w:val="none" w:sz="0" w:space="0"/>
            <w:bottom w:val="none" w:sz="0" w:space="0"/>
            <w:right w:val="none" w:sz="0" w:space="0"/>
          </w:pgBorders>
          <w:cols w:space="720" w:num="1"/>
          <w:docGrid w:linePitch="312" w:charSpace="0"/>
        </w:sectPr>
      </w:pPr>
    </w:p>
    <w:p>
      <w:pPr>
        <w:pStyle w:val="35"/>
        <w:jc w:val="center"/>
        <w:outlineLvl w:val="0"/>
        <w:rPr>
          <w:rFonts w:ascii="黑体" w:hAnsi="黑体" w:eastAsia="黑体"/>
          <w:snapToGrid w:val="0"/>
          <w:color w:val="auto"/>
          <w:sz w:val="30"/>
          <w:szCs w:val="30"/>
          <w:highlight w:val="none"/>
        </w:rPr>
      </w:pPr>
      <w:r>
        <w:rPr>
          <w:rFonts w:hint="eastAsia" w:ascii="黑体" w:hAnsi="黑体" w:eastAsia="黑体"/>
          <w:snapToGrid w:val="0"/>
          <w:color w:val="auto"/>
          <w:sz w:val="30"/>
          <w:szCs w:val="30"/>
          <w:highlight w:val="none"/>
        </w:rPr>
        <w:t>三、区域环境质量现状、环境保护目标及评价标准</w:t>
      </w:r>
    </w:p>
    <w:tbl>
      <w:tblPr>
        <w:tblStyle w:val="39"/>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509"/>
        <w:gridCol w:w="855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509" w:type="dxa"/>
            <w:noWrap w:val="0"/>
            <w:vAlign w:val="center"/>
          </w:tcPr>
          <w:p>
            <w:pPr>
              <w:adjustRightInd w:val="0"/>
              <w:snapToGrid w:val="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区域</w:t>
            </w:r>
          </w:p>
          <w:p>
            <w:pPr>
              <w:adjustRightInd w:val="0"/>
              <w:snapToGrid w:val="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环境</w:t>
            </w:r>
          </w:p>
          <w:p>
            <w:pPr>
              <w:adjustRightInd w:val="0"/>
              <w:snapToGrid w:val="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质量</w:t>
            </w:r>
          </w:p>
          <w:p>
            <w:pPr>
              <w:adjustRightInd w:val="0"/>
              <w:snapToGrid w:val="0"/>
              <w:jc w:val="center"/>
              <w:rPr>
                <w:rFonts w:ascii="宋体" w:hAnsi="宋体" w:cs="宋体"/>
                <w:color w:val="auto"/>
                <w:kern w:val="0"/>
                <w:szCs w:val="21"/>
                <w:highlight w:val="none"/>
              </w:rPr>
            </w:pPr>
            <w:r>
              <w:rPr>
                <w:rFonts w:hint="eastAsia" w:ascii="宋体" w:hAnsi="宋体" w:cs="宋体"/>
                <w:color w:val="auto"/>
                <w:kern w:val="0"/>
                <w:szCs w:val="21"/>
                <w:highlight w:val="none"/>
              </w:rPr>
              <w:t>现状</w:t>
            </w:r>
          </w:p>
        </w:tc>
        <w:tc>
          <w:tcPr>
            <w:tcW w:w="8552" w:type="dxa"/>
            <w:noWrap w:val="0"/>
            <w:vAlign w:val="center"/>
          </w:tcPr>
          <w:p>
            <w:pPr>
              <w:adjustRightInd w:val="0"/>
              <w:snapToGrid w:val="0"/>
              <w:spacing w:line="360" w:lineRule="auto"/>
              <w:rPr>
                <w:rFonts w:hint="eastAsia"/>
                <w:b/>
                <w:bCs/>
                <w:color w:val="auto"/>
                <w:sz w:val="24"/>
                <w:highlight w:val="none"/>
              </w:rPr>
            </w:pPr>
            <w:r>
              <w:rPr>
                <w:rFonts w:hint="eastAsia"/>
                <w:b/>
                <w:bCs/>
                <w:color w:val="auto"/>
                <w:sz w:val="24"/>
                <w:highlight w:val="none"/>
              </w:rPr>
              <w:t>1、大气环境质量现状</w:t>
            </w:r>
          </w:p>
          <w:p>
            <w:pPr>
              <w:pStyle w:val="14"/>
              <w:spacing w:line="360" w:lineRule="auto"/>
              <w:ind w:firstLine="480" w:firstLineChars="200"/>
              <w:jc w:val="both"/>
              <w:rPr>
                <w:rFonts w:hint="eastAsia" w:eastAsia="宋体"/>
                <w:color w:val="auto"/>
                <w:sz w:val="24"/>
                <w:highlight w:val="none"/>
              </w:rPr>
            </w:pPr>
            <w:r>
              <w:rPr>
                <w:rFonts w:hint="eastAsia" w:eastAsia="宋体"/>
                <w:color w:val="auto"/>
                <w:sz w:val="24"/>
                <w:highlight w:val="none"/>
              </w:rPr>
              <w:t>根据《环境影响评价技术导则大气环境》（HJ2.2-2018）要求，基本污染物环境质量现状数据优先采用国家或地方生态环境主管部门公开发布的评价基准年环境质量公告或环境质量报告中的数据或结论。</w:t>
            </w:r>
          </w:p>
          <w:p>
            <w:pPr>
              <w:pStyle w:val="14"/>
              <w:spacing w:line="360" w:lineRule="auto"/>
              <w:ind w:firstLine="482" w:firstLineChars="200"/>
              <w:rPr>
                <w:rFonts w:hint="eastAsia" w:eastAsia="宋体"/>
                <w:b/>
                <w:bCs/>
                <w:color w:val="auto"/>
                <w:sz w:val="24"/>
                <w:highlight w:val="none"/>
              </w:rPr>
            </w:pPr>
            <w:r>
              <w:rPr>
                <w:rFonts w:hint="eastAsia" w:eastAsia="宋体"/>
                <w:b/>
                <w:bCs/>
                <w:color w:val="auto"/>
                <w:sz w:val="24"/>
                <w:highlight w:val="none"/>
              </w:rPr>
              <w:t>（1）项目所在区域达标情况判断</w:t>
            </w:r>
          </w:p>
          <w:p>
            <w:pPr>
              <w:pStyle w:val="14"/>
              <w:spacing w:line="360" w:lineRule="auto"/>
              <w:ind w:firstLine="480" w:firstLineChars="200"/>
              <w:jc w:val="both"/>
              <w:rPr>
                <w:rFonts w:hint="eastAsia" w:eastAsia="宋体"/>
                <w:color w:val="auto"/>
                <w:sz w:val="24"/>
                <w:highlight w:val="none"/>
              </w:rPr>
            </w:pPr>
            <w:r>
              <w:rPr>
                <w:rFonts w:hint="eastAsia" w:eastAsia="宋体"/>
                <w:color w:val="auto"/>
                <w:sz w:val="24"/>
                <w:highlight w:val="none"/>
              </w:rPr>
              <w:t>本次环评收集乐山市市中区生态环境局公布的《2020年乐山市环境质量公报》中大气环境统计结果进行项目所在区域达标区的判定依据。本项目所在区域为市中区，基本项目现状评价结果如表3-1所示。</w:t>
            </w:r>
          </w:p>
          <w:p>
            <w:pPr>
              <w:pStyle w:val="14"/>
              <w:spacing w:line="360" w:lineRule="auto"/>
              <w:jc w:val="center"/>
              <w:rPr>
                <w:rFonts w:eastAsia="宋体"/>
                <w:b/>
                <w:bCs/>
                <w:color w:val="auto"/>
                <w:sz w:val="24"/>
                <w:highlight w:val="none"/>
              </w:rPr>
            </w:pPr>
            <w:r>
              <w:rPr>
                <w:rFonts w:hint="eastAsia" w:eastAsia="宋体"/>
                <w:b/>
                <w:bCs/>
                <w:color w:val="auto"/>
                <w:sz w:val="24"/>
                <w:highlight w:val="none"/>
              </w:rPr>
              <w:t>表3-1   乐山市2020年空气质量统计数据   单位：µg/m</w:t>
            </w:r>
            <w:r>
              <w:rPr>
                <w:rFonts w:hint="eastAsia" w:eastAsia="宋体"/>
                <w:b/>
                <w:bCs/>
                <w:color w:val="auto"/>
                <w:sz w:val="24"/>
                <w:highlight w:val="none"/>
                <w:vertAlign w:val="superscript"/>
              </w:rPr>
              <w:t>3</w:t>
            </w:r>
          </w:p>
          <w:tbl>
            <w:tblPr>
              <w:tblStyle w:val="39"/>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84"/>
              <w:gridCol w:w="2394"/>
              <w:gridCol w:w="1385"/>
              <w:gridCol w:w="1523"/>
              <w:gridCol w:w="969"/>
              <w:gridCol w:w="98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1084" w:type="dxa"/>
                  <w:noWrap w:val="0"/>
                  <w:vAlign w:val="center"/>
                </w:tcPr>
                <w:p>
                  <w:pPr>
                    <w:jc w:val="center"/>
                    <w:rPr>
                      <w:b/>
                      <w:bCs/>
                      <w:color w:val="auto"/>
                      <w:szCs w:val="22"/>
                      <w:highlight w:val="none"/>
                    </w:rPr>
                  </w:pPr>
                  <w:r>
                    <w:rPr>
                      <w:b/>
                      <w:bCs/>
                      <w:color w:val="auto"/>
                      <w:szCs w:val="22"/>
                      <w:highlight w:val="none"/>
                    </w:rPr>
                    <w:t>污染物</w:t>
                  </w:r>
                </w:p>
              </w:tc>
              <w:tc>
                <w:tcPr>
                  <w:tcW w:w="2394" w:type="dxa"/>
                  <w:noWrap w:val="0"/>
                  <w:vAlign w:val="center"/>
                </w:tcPr>
                <w:p>
                  <w:pPr>
                    <w:jc w:val="center"/>
                    <w:rPr>
                      <w:b/>
                      <w:bCs/>
                      <w:color w:val="auto"/>
                      <w:szCs w:val="22"/>
                      <w:highlight w:val="none"/>
                    </w:rPr>
                  </w:pPr>
                  <w:r>
                    <w:rPr>
                      <w:b/>
                      <w:bCs/>
                      <w:color w:val="auto"/>
                      <w:szCs w:val="22"/>
                      <w:highlight w:val="none"/>
                    </w:rPr>
                    <w:t>评价指标</w:t>
                  </w:r>
                </w:p>
              </w:tc>
              <w:tc>
                <w:tcPr>
                  <w:tcW w:w="1385" w:type="dxa"/>
                  <w:noWrap w:val="0"/>
                  <w:vAlign w:val="center"/>
                </w:tcPr>
                <w:p>
                  <w:pPr>
                    <w:jc w:val="center"/>
                    <w:rPr>
                      <w:b/>
                      <w:bCs/>
                      <w:color w:val="auto"/>
                      <w:szCs w:val="22"/>
                      <w:highlight w:val="none"/>
                    </w:rPr>
                  </w:pPr>
                  <w:r>
                    <w:rPr>
                      <w:b/>
                      <w:bCs/>
                      <w:color w:val="auto"/>
                      <w:szCs w:val="22"/>
                      <w:highlight w:val="none"/>
                    </w:rPr>
                    <w:t>现状浓度</w:t>
                  </w:r>
                </w:p>
                <w:p>
                  <w:pPr>
                    <w:jc w:val="center"/>
                    <w:rPr>
                      <w:b/>
                      <w:bCs/>
                      <w:color w:val="auto"/>
                      <w:szCs w:val="22"/>
                      <w:highlight w:val="none"/>
                    </w:rPr>
                  </w:pPr>
                  <w:r>
                    <w:rPr>
                      <w:b/>
                      <w:bCs/>
                      <w:color w:val="auto"/>
                      <w:szCs w:val="22"/>
                      <w:highlight w:val="none"/>
                    </w:rPr>
                    <w:t>（年均值）</w:t>
                  </w:r>
                </w:p>
              </w:tc>
              <w:tc>
                <w:tcPr>
                  <w:tcW w:w="1523" w:type="dxa"/>
                  <w:noWrap w:val="0"/>
                  <w:vAlign w:val="center"/>
                </w:tcPr>
                <w:p>
                  <w:pPr>
                    <w:jc w:val="center"/>
                    <w:rPr>
                      <w:b/>
                      <w:bCs/>
                      <w:color w:val="auto"/>
                      <w:szCs w:val="22"/>
                      <w:highlight w:val="none"/>
                    </w:rPr>
                  </w:pPr>
                  <w:r>
                    <w:rPr>
                      <w:b/>
                      <w:bCs/>
                      <w:color w:val="auto"/>
                      <w:szCs w:val="22"/>
                      <w:highlight w:val="none"/>
                    </w:rPr>
                    <w:t>标准限值（二级）</w:t>
                  </w:r>
                </w:p>
              </w:tc>
              <w:tc>
                <w:tcPr>
                  <w:tcW w:w="969" w:type="dxa"/>
                  <w:noWrap w:val="0"/>
                  <w:vAlign w:val="center"/>
                </w:tcPr>
                <w:p>
                  <w:pPr>
                    <w:jc w:val="center"/>
                    <w:rPr>
                      <w:b/>
                      <w:bCs/>
                      <w:color w:val="auto"/>
                      <w:szCs w:val="22"/>
                      <w:highlight w:val="none"/>
                    </w:rPr>
                  </w:pPr>
                  <w:r>
                    <w:rPr>
                      <w:b/>
                      <w:bCs/>
                      <w:color w:val="auto"/>
                      <w:szCs w:val="22"/>
                      <w:highlight w:val="none"/>
                    </w:rPr>
                    <w:t>占标率（%）</w:t>
                  </w:r>
                </w:p>
              </w:tc>
              <w:tc>
                <w:tcPr>
                  <w:tcW w:w="981" w:type="dxa"/>
                  <w:noWrap w:val="0"/>
                  <w:vAlign w:val="center"/>
                </w:tcPr>
                <w:p>
                  <w:pPr>
                    <w:jc w:val="center"/>
                    <w:rPr>
                      <w:b/>
                      <w:bCs/>
                      <w:color w:val="auto"/>
                      <w:szCs w:val="22"/>
                      <w:highlight w:val="none"/>
                    </w:rPr>
                  </w:pPr>
                  <w:r>
                    <w:rPr>
                      <w:b/>
                      <w:bCs/>
                      <w:color w:val="auto"/>
                      <w:szCs w:val="22"/>
                      <w:highlight w:val="none"/>
                    </w:rPr>
                    <w:t>达标情况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84" w:type="dxa"/>
                  <w:noWrap w:val="0"/>
                  <w:vAlign w:val="center"/>
                </w:tcPr>
                <w:p>
                  <w:pPr>
                    <w:jc w:val="center"/>
                    <w:rPr>
                      <w:color w:val="auto"/>
                      <w:szCs w:val="22"/>
                      <w:highlight w:val="none"/>
                    </w:rPr>
                  </w:pPr>
                  <w:r>
                    <w:rPr>
                      <w:color w:val="auto"/>
                      <w:szCs w:val="22"/>
                      <w:highlight w:val="none"/>
                    </w:rPr>
                    <w:t>SO</w:t>
                  </w:r>
                  <w:r>
                    <w:rPr>
                      <w:color w:val="auto"/>
                      <w:szCs w:val="22"/>
                      <w:highlight w:val="none"/>
                      <w:vertAlign w:val="subscript"/>
                    </w:rPr>
                    <w:t>2</w:t>
                  </w:r>
                </w:p>
              </w:tc>
              <w:tc>
                <w:tcPr>
                  <w:tcW w:w="2394" w:type="dxa"/>
                  <w:noWrap w:val="0"/>
                  <w:vAlign w:val="center"/>
                </w:tcPr>
                <w:p>
                  <w:pPr>
                    <w:jc w:val="center"/>
                    <w:rPr>
                      <w:color w:val="auto"/>
                      <w:szCs w:val="22"/>
                      <w:highlight w:val="none"/>
                    </w:rPr>
                  </w:pPr>
                  <w:r>
                    <w:rPr>
                      <w:color w:val="auto"/>
                      <w:szCs w:val="22"/>
                      <w:highlight w:val="none"/>
                    </w:rPr>
                    <w:t>年平均质量浓度</w:t>
                  </w:r>
                </w:p>
              </w:tc>
              <w:tc>
                <w:tcPr>
                  <w:tcW w:w="1385" w:type="dxa"/>
                  <w:noWrap w:val="0"/>
                  <w:vAlign w:val="center"/>
                </w:tcPr>
                <w:p>
                  <w:pPr>
                    <w:jc w:val="center"/>
                    <w:rPr>
                      <w:color w:val="auto"/>
                      <w:szCs w:val="22"/>
                      <w:highlight w:val="none"/>
                    </w:rPr>
                  </w:pPr>
                  <w:r>
                    <w:rPr>
                      <w:rFonts w:hint="eastAsia"/>
                      <w:color w:val="auto"/>
                      <w:szCs w:val="22"/>
                      <w:highlight w:val="none"/>
                    </w:rPr>
                    <w:t>11</w:t>
                  </w:r>
                </w:p>
              </w:tc>
              <w:tc>
                <w:tcPr>
                  <w:tcW w:w="1523" w:type="dxa"/>
                  <w:noWrap w:val="0"/>
                  <w:vAlign w:val="center"/>
                </w:tcPr>
                <w:p>
                  <w:pPr>
                    <w:jc w:val="center"/>
                    <w:rPr>
                      <w:color w:val="auto"/>
                      <w:szCs w:val="22"/>
                      <w:highlight w:val="none"/>
                    </w:rPr>
                  </w:pPr>
                  <w:r>
                    <w:rPr>
                      <w:color w:val="auto"/>
                      <w:szCs w:val="22"/>
                      <w:highlight w:val="none"/>
                    </w:rPr>
                    <w:t>60</w:t>
                  </w:r>
                </w:p>
              </w:tc>
              <w:tc>
                <w:tcPr>
                  <w:tcW w:w="969" w:type="dxa"/>
                  <w:noWrap w:val="0"/>
                  <w:vAlign w:val="center"/>
                </w:tcPr>
                <w:p>
                  <w:pPr>
                    <w:widowControl/>
                    <w:jc w:val="center"/>
                    <w:textAlignment w:val="center"/>
                    <w:rPr>
                      <w:color w:val="auto"/>
                      <w:szCs w:val="22"/>
                      <w:highlight w:val="none"/>
                    </w:rPr>
                  </w:pPr>
                  <w:r>
                    <w:rPr>
                      <w:rFonts w:hint="eastAsia" w:ascii="宋体" w:hAnsi="宋体" w:cs="宋体"/>
                      <w:color w:val="auto"/>
                      <w:kern w:val="0"/>
                      <w:szCs w:val="21"/>
                      <w:highlight w:val="none"/>
                      <w:lang w:bidi="ar"/>
                    </w:rPr>
                    <w:t xml:space="preserve">18.33 </w:t>
                  </w:r>
                </w:p>
              </w:tc>
              <w:tc>
                <w:tcPr>
                  <w:tcW w:w="981" w:type="dxa"/>
                  <w:noWrap w:val="0"/>
                  <w:vAlign w:val="center"/>
                </w:tcPr>
                <w:p>
                  <w:pPr>
                    <w:jc w:val="center"/>
                    <w:rPr>
                      <w:color w:val="auto"/>
                      <w:szCs w:val="22"/>
                      <w:highlight w:val="none"/>
                    </w:rPr>
                  </w:pPr>
                  <w:r>
                    <w:rPr>
                      <w:rFonts w:hint="eastAsia"/>
                      <w:color w:val="auto"/>
                      <w:szCs w:val="22"/>
                      <w:highlight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84" w:type="dxa"/>
                  <w:noWrap w:val="0"/>
                  <w:vAlign w:val="center"/>
                </w:tcPr>
                <w:p>
                  <w:pPr>
                    <w:jc w:val="center"/>
                    <w:rPr>
                      <w:color w:val="auto"/>
                      <w:szCs w:val="22"/>
                      <w:highlight w:val="none"/>
                    </w:rPr>
                  </w:pPr>
                  <w:r>
                    <w:rPr>
                      <w:color w:val="auto"/>
                      <w:szCs w:val="22"/>
                      <w:highlight w:val="none"/>
                    </w:rPr>
                    <w:t>NO</w:t>
                  </w:r>
                  <w:r>
                    <w:rPr>
                      <w:color w:val="auto"/>
                      <w:szCs w:val="22"/>
                      <w:highlight w:val="none"/>
                      <w:vertAlign w:val="subscript"/>
                    </w:rPr>
                    <w:t>2</w:t>
                  </w:r>
                </w:p>
              </w:tc>
              <w:tc>
                <w:tcPr>
                  <w:tcW w:w="2394" w:type="dxa"/>
                  <w:noWrap w:val="0"/>
                  <w:vAlign w:val="center"/>
                </w:tcPr>
                <w:p>
                  <w:pPr>
                    <w:jc w:val="center"/>
                    <w:rPr>
                      <w:color w:val="auto"/>
                      <w:szCs w:val="22"/>
                      <w:highlight w:val="none"/>
                    </w:rPr>
                  </w:pPr>
                  <w:r>
                    <w:rPr>
                      <w:color w:val="auto"/>
                      <w:szCs w:val="22"/>
                      <w:highlight w:val="none"/>
                    </w:rPr>
                    <w:t>年平均质量浓度</w:t>
                  </w:r>
                </w:p>
              </w:tc>
              <w:tc>
                <w:tcPr>
                  <w:tcW w:w="1385" w:type="dxa"/>
                  <w:noWrap w:val="0"/>
                  <w:vAlign w:val="center"/>
                </w:tcPr>
                <w:p>
                  <w:pPr>
                    <w:jc w:val="center"/>
                    <w:rPr>
                      <w:color w:val="auto"/>
                      <w:szCs w:val="22"/>
                      <w:highlight w:val="none"/>
                    </w:rPr>
                  </w:pPr>
                  <w:r>
                    <w:rPr>
                      <w:rFonts w:hint="eastAsia"/>
                      <w:color w:val="auto"/>
                      <w:szCs w:val="22"/>
                      <w:highlight w:val="none"/>
                    </w:rPr>
                    <w:t>23</w:t>
                  </w:r>
                </w:p>
              </w:tc>
              <w:tc>
                <w:tcPr>
                  <w:tcW w:w="1523" w:type="dxa"/>
                  <w:noWrap w:val="0"/>
                  <w:vAlign w:val="center"/>
                </w:tcPr>
                <w:p>
                  <w:pPr>
                    <w:jc w:val="center"/>
                    <w:rPr>
                      <w:color w:val="auto"/>
                      <w:szCs w:val="22"/>
                      <w:highlight w:val="none"/>
                    </w:rPr>
                  </w:pPr>
                  <w:r>
                    <w:rPr>
                      <w:color w:val="auto"/>
                      <w:szCs w:val="22"/>
                      <w:highlight w:val="none"/>
                    </w:rPr>
                    <w:t>40</w:t>
                  </w:r>
                </w:p>
              </w:tc>
              <w:tc>
                <w:tcPr>
                  <w:tcW w:w="969" w:type="dxa"/>
                  <w:noWrap w:val="0"/>
                  <w:vAlign w:val="center"/>
                </w:tcPr>
                <w:p>
                  <w:pPr>
                    <w:widowControl/>
                    <w:jc w:val="center"/>
                    <w:textAlignment w:val="center"/>
                    <w:rPr>
                      <w:color w:val="auto"/>
                      <w:szCs w:val="22"/>
                      <w:highlight w:val="none"/>
                    </w:rPr>
                  </w:pPr>
                  <w:r>
                    <w:rPr>
                      <w:rFonts w:hint="eastAsia" w:ascii="宋体" w:hAnsi="宋体" w:cs="宋体"/>
                      <w:color w:val="auto"/>
                      <w:kern w:val="0"/>
                      <w:szCs w:val="21"/>
                      <w:highlight w:val="none"/>
                      <w:lang w:bidi="ar"/>
                    </w:rPr>
                    <w:t xml:space="preserve">57.50 </w:t>
                  </w:r>
                </w:p>
              </w:tc>
              <w:tc>
                <w:tcPr>
                  <w:tcW w:w="981" w:type="dxa"/>
                  <w:noWrap w:val="0"/>
                  <w:vAlign w:val="center"/>
                </w:tcPr>
                <w:p>
                  <w:pPr>
                    <w:jc w:val="center"/>
                    <w:rPr>
                      <w:color w:val="auto"/>
                      <w:szCs w:val="22"/>
                      <w:highlight w:val="none"/>
                    </w:rPr>
                  </w:pPr>
                  <w:r>
                    <w:rPr>
                      <w:rFonts w:hint="eastAsia"/>
                      <w:color w:val="auto"/>
                      <w:szCs w:val="22"/>
                      <w:highlight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84" w:type="dxa"/>
                  <w:noWrap w:val="0"/>
                  <w:vAlign w:val="center"/>
                </w:tcPr>
                <w:p>
                  <w:pPr>
                    <w:jc w:val="center"/>
                    <w:rPr>
                      <w:color w:val="auto"/>
                      <w:szCs w:val="22"/>
                      <w:highlight w:val="none"/>
                    </w:rPr>
                  </w:pPr>
                  <w:r>
                    <w:rPr>
                      <w:color w:val="auto"/>
                      <w:szCs w:val="22"/>
                      <w:highlight w:val="none"/>
                    </w:rPr>
                    <w:t>CO</w:t>
                  </w:r>
                </w:p>
              </w:tc>
              <w:tc>
                <w:tcPr>
                  <w:tcW w:w="2394" w:type="dxa"/>
                  <w:noWrap w:val="0"/>
                  <w:vAlign w:val="center"/>
                </w:tcPr>
                <w:p>
                  <w:pPr>
                    <w:jc w:val="center"/>
                    <w:rPr>
                      <w:color w:val="auto"/>
                      <w:szCs w:val="22"/>
                      <w:highlight w:val="none"/>
                    </w:rPr>
                  </w:pPr>
                  <w:r>
                    <w:rPr>
                      <w:color w:val="auto"/>
                      <w:szCs w:val="22"/>
                      <w:highlight w:val="none"/>
                    </w:rPr>
                    <w:t>24小时平均第95百分位数浓度</w:t>
                  </w:r>
                </w:p>
              </w:tc>
              <w:tc>
                <w:tcPr>
                  <w:tcW w:w="1385" w:type="dxa"/>
                  <w:noWrap w:val="0"/>
                  <w:vAlign w:val="center"/>
                </w:tcPr>
                <w:p>
                  <w:pPr>
                    <w:jc w:val="center"/>
                    <w:rPr>
                      <w:color w:val="auto"/>
                      <w:szCs w:val="22"/>
                      <w:highlight w:val="none"/>
                    </w:rPr>
                  </w:pPr>
                  <w:r>
                    <w:rPr>
                      <w:rFonts w:hint="eastAsia"/>
                      <w:color w:val="auto"/>
                      <w:szCs w:val="22"/>
                      <w:highlight w:val="none"/>
                    </w:rPr>
                    <w:t>1100</w:t>
                  </w:r>
                </w:p>
              </w:tc>
              <w:tc>
                <w:tcPr>
                  <w:tcW w:w="1523" w:type="dxa"/>
                  <w:noWrap w:val="0"/>
                  <w:vAlign w:val="center"/>
                </w:tcPr>
                <w:p>
                  <w:pPr>
                    <w:jc w:val="center"/>
                    <w:rPr>
                      <w:color w:val="auto"/>
                      <w:szCs w:val="22"/>
                      <w:highlight w:val="none"/>
                    </w:rPr>
                  </w:pPr>
                  <w:r>
                    <w:rPr>
                      <w:color w:val="auto"/>
                      <w:szCs w:val="22"/>
                      <w:highlight w:val="none"/>
                    </w:rPr>
                    <w:t>4000</w:t>
                  </w:r>
                </w:p>
              </w:tc>
              <w:tc>
                <w:tcPr>
                  <w:tcW w:w="969" w:type="dxa"/>
                  <w:noWrap w:val="0"/>
                  <w:vAlign w:val="center"/>
                </w:tcPr>
                <w:p>
                  <w:pPr>
                    <w:widowControl/>
                    <w:jc w:val="center"/>
                    <w:textAlignment w:val="center"/>
                    <w:rPr>
                      <w:color w:val="auto"/>
                      <w:szCs w:val="22"/>
                      <w:highlight w:val="none"/>
                    </w:rPr>
                  </w:pPr>
                  <w:r>
                    <w:rPr>
                      <w:rFonts w:hint="eastAsia" w:ascii="宋体" w:hAnsi="宋体" w:cs="宋体"/>
                      <w:color w:val="auto"/>
                      <w:kern w:val="0"/>
                      <w:szCs w:val="21"/>
                      <w:highlight w:val="none"/>
                      <w:lang w:bidi="ar"/>
                    </w:rPr>
                    <w:t xml:space="preserve">27.50 </w:t>
                  </w:r>
                </w:p>
              </w:tc>
              <w:tc>
                <w:tcPr>
                  <w:tcW w:w="981" w:type="dxa"/>
                  <w:noWrap w:val="0"/>
                  <w:vAlign w:val="center"/>
                </w:tcPr>
                <w:p>
                  <w:pPr>
                    <w:jc w:val="center"/>
                    <w:rPr>
                      <w:color w:val="auto"/>
                      <w:szCs w:val="22"/>
                      <w:highlight w:val="none"/>
                    </w:rPr>
                  </w:pPr>
                  <w:r>
                    <w:rPr>
                      <w:rFonts w:hint="eastAsia"/>
                      <w:color w:val="auto"/>
                      <w:szCs w:val="22"/>
                      <w:highlight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84" w:type="dxa"/>
                  <w:noWrap w:val="0"/>
                  <w:vAlign w:val="center"/>
                </w:tcPr>
                <w:p>
                  <w:pPr>
                    <w:jc w:val="center"/>
                    <w:rPr>
                      <w:color w:val="auto"/>
                      <w:szCs w:val="22"/>
                      <w:highlight w:val="none"/>
                    </w:rPr>
                  </w:pPr>
                  <w:r>
                    <w:rPr>
                      <w:color w:val="auto"/>
                      <w:szCs w:val="22"/>
                      <w:highlight w:val="none"/>
                    </w:rPr>
                    <w:t>O</w:t>
                  </w:r>
                  <w:r>
                    <w:rPr>
                      <w:color w:val="auto"/>
                      <w:szCs w:val="22"/>
                      <w:highlight w:val="none"/>
                      <w:vertAlign w:val="subscript"/>
                    </w:rPr>
                    <w:t>3</w:t>
                  </w:r>
                </w:p>
              </w:tc>
              <w:tc>
                <w:tcPr>
                  <w:tcW w:w="2394" w:type="dxa"/>
                  <w:noWrap w:val="0"/>
                  <w:vAlign w:val="center"/>
                </w:tcPr>
                <w:p>
                  <w:pPr>
                    <w:jc w:val="center"/>
                    <w:rPr>
                      <w:color w:val="auto"/>
                      <w:szCs w:val="22"/>
                      <w:highlight w:val="none"/>
                    </w:rPr>
                  </w:pPr>
                  <w:r>
                    <w:rPr>
                      <w:color w:val="auto"/>
                      <w:szCs w:val="22"/>
                      <w:highlight w:val="none"/>
                    </w:rPr>
                    <w:t>最大8小时滑动平均值第90百分位数浓度</w:t>
                  </w:r>
                </w:p>
              </w:tc>
              <w:tc>
                <w:tcPr>
                  <w:tcW w:w="1385" w:type="dxa"/>
                  <w:noWrap w:val="0"/>
                  <w:vAlign w:val="center"/>
                </w:tcPr>
                <w:p>
                  <w:pPr>
                    <w:jc w:val="center"/>
                    <w:rPr>
                      <w:color w:val="auto"/>
                      <w:szCs w:val="22"/>
                      <w:highlight w:val="none"/>
                    </w:rPr>
                  </w:pPr>
                  <w:r>
                    <w:rPr>
                      <w:rFonts w:hint="eastAsia"/>
                      <w:color w:val="auto"/>
                      <w:szCs w:val="22"/>
                      <w:highlight w:val="none"/>
                    </w:rPr>
                    <w:t>126</w:t>
                  </w:r>
                </w:p>
              </w:tc>
              <w:tc>
                <w:tcPr>
                  <w:tcW w:w="1523" w:type="dxa"/>
                  <w:noWrap w:val="0"/>
                  <w:vAlign w:val="center"/>
                </w:tcPr>
                <w:p>
                  <w:pPr>
                    <w:jc w:val="center"/>
                    <w:rPr>
                      <w:color w:val="auto"/>
                      <w:szCs w:val="22"/>
                      <w:highlight w:val="none"/>
                    </w:rPr>
                  </w:pPr>
                  <w:r>
                    <w:rPr>
                      <w:color w:val="auto"/>
                      <w:szCs w:val="22"/>
                      <w:highlight w:val="none"/>
                    </w:rPr>
                    <w:t>160</w:t>
                  </w:r>
                </w:p>
              </w:tc>
              <w:tc>
                <w:tcPr>
                  <w:tcW w:w="969" w:type="dxa"/>
                  <w:noWrap w:val="0"/>
                  <w:vAlign w:val="center"/>
                </w:tcPr>
                <w:p>
                  <w:pPr>
                    <w:widowControl/>
                    <w:jc w:val="center"/>
                    <w:textAlignment w:val="center"/>
                    <w:rPr>
                      <w:color w:val="auto"/>
                      <w:szCs w:val="22"/>
                      <w:highlight w:val="none"/>
                    </w:rPr>
                  </w:pPr>
                  <w:r>
                    <w:rPr>
                      <w:rFonts w:hint="eastAsia" w:ascii="宋体" w:hAnsi="宋体" w:cs="宋体"/>
                      <w:color w:val="auto"/>
                      <w:kern w:val="0"/>
                      <w:szCs w:val="21"/>
                      <w:highlight w:val="none"/>
                      <w:lang w:bidi="ar"/>
                    </w:rPr>
                    <w:t xml:space="preserve">78.75 </w:t>
                  </w:r>
                </w:p>
              </w:tc>
              <w:tc>
                <w:tcPr>
                  <w:tcW w:w="981" w:type="dxa"/>
                  <w:noWrap w:val="0"/>
                  <w:vAlign w:val="center"/>
                </w:tcPr>
                <w:p>
                  <w:pPr>
                    <w:jc w:val="center"/>
                    <w:rPr>
                      <w:color w:val="auto"/>
                      <w:szCs w:val="22"/>
                      <w:highlight w:val="none"/>
                    </w:rPr>
                  </w:pPr>
                  <w:r>
                    <w:rPr>
                      <w:rFonts w:hint="eastAsia"/>
                      <w:color w:val="auto"/>
                      <w:szCs w:val="22"/>
                      <w:highlight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84" w:type="dxa"/>
                  <w:noWrap w:val="0"/>
                  <w:vAlign w:val="center"/>
                </w:tcPr>
                <w:p>
                  <w:pPr>
                    <w:jc w:val="center"/>
                    <w:rPr>
                      <w:color w:val="auto"/>
                      <w:szCs w:val="22"/>
                      <w:highlight w:val="none"/>
                    </w:rPr>
                  </w:pPr>
                  <w:r>
                    <w:rPr>
                      <w:color w:val="auto"/>
                      <w:szCs w:val="22"/>
                      <w:highlight w:val="none"/>
                    </w:rPr>
                    <w:t>PM</w:t>
                  </w:r>
                  <w:r>
                    <w:rPr>
                      <w:color w:val="auto"/>
                      <w:szCs w:val="22"/>
                      <w:highlight w:val="none"/>
                      <w:vertAlign w:val="subscript"/>
                    </w:rPr>
                    <w:t>2.5</w:t>
                  </w:r>
                </w:p>
              </w:tc>
              <w:tc>
                <w:tcPr>
                  <w:tcW w:w="2394" w:type="dxa"/>
                  <w:noWrap w:val="0"/>
                  <w:vAlign w:val="center"/>
                </w:tcPr>
                <w:p>
                  <w:pPr>
                    <w:jc w:val="center"/>
                    <w:rPr>
                      <w:color w:val="auto"/>
                      <w:szCs w:val="22"/>
                      <w:highlight w:val="none"/>
                    </w:rPr>
                  </w:pPr>
                  <w:r>
                    <w:rPr>
                      <w:color w:val="auto"/>
                      <w:szCs w:val="22"/>
                      <w:highlight w:val="none"/>
                    </w:rPr>
                    <w:t>年平均质量浓度</w:t>
                  </w:r>
                </w:p>
              </w:tc>
              <w:tc>
                <w:tcPr>
                  <w:tcW w:w="1385" w:type="dxa"/>
                  <w:noWrap w:val="0"/>
                  <w:vAlign w:val="center"/>
                </w:tcPr>
                <w:p>
                  <w:pPr>
                    <w:jc w:val="center"/>
                    <w:rPr>
                      <w:color w:val="auto"/>
                      <w:szCs w:val="22"/>
                      <w:highlight w:val="none"/>
                    </w:rPr>
                  </w:pPr>
                  <w:r>
                    <w:rPr>
                      <w:rFonts w:hint="eastAsia"/>
                      <w:color w:val="auto"/>
                      <w:szCs w:val="22"/>
                      <w:highlight w:val="none"/>
                    </w:rPr>
                    <w:t>34</w:t>
                  </w:r>
                </w:p>
              </w:tc>
              <w:tc>
                <w:tcPr>
                  <w:tcW w:w="1523" w:type="dxa"/>
                  <w:noWrap w:val="0"/>
                  <w:vAlign w:val="center"/>
                </w:tcPr>
                <w:p>
                  <w:pPr>
                    <w:jc w:val="center"/>
                    <w:rPr>
                      <w:color w:val="auto"/>
                      <w:szCs w:val="22"/>
                      <w:highlight w:val="none"/>
                    </w:rPr>
                  </w:pPr>
                  <w:r>
                    <w:rPr>
                      <w:color w:val="auto"/>
                      <w:szCs w:val="22"/>
                      <w:highlight w:val="none"/>
                    </w:rPr>
                    <w:t>35</w:t>
                  </w:r>
                </w:p>
              </w:tc>
              <w:tc>
                <w:tcPr>
                  <w:tcW w:w="969" w:type="dxa"/>
                  <w:noWrap w:val="0"/>
                  <w:vAlign w:val="center"/>
                </w:tcPr>
                <w:p>
                  <w:pPr>
                    <w:widowControl/>
                    <w:jc w:val="center"/>
                    <w:textAlignment w:val="center"/>
                    <w:rPr>
                      <w:color w:val="auto"/>
                      <w:szCs w:val="22"/>
                      <w:highlight w:val="none"/>
                    </w:rPr>
                  </w:pPr>
                  <w:r>
                    <w:rPr>
                      <w:rFonts w:hint="eastAsia" w:ascii="宋体" w:hAnsi="宋体" w:cs="宋体"/>
                      <w:color w:val="auto"/>
                      <w:kern w:val="0"/>
                      <w:szCs w:val="21"/>
                      <w:highlight w:val="none"/>
                      <w:lang w:bidi="ar"/>
                    </w:rPr>
                    <w:t xml:space="preserve">97.14 </w:t>
                  </w:r>
                </w:p>
              </w:tc>
              <w:tc>
                <w:tcPr>
                  <w:tcW w:w="981" w:type="dxa"/>
                  <w:noWrap w:val="0"/>
                  <w:vAlign w:val="center"/>
                </w:tcPr>
                <w:p>
                  <w:pPr>
                    <w:jc w:val="center"/>
                    <w:rPr>
                      <w:rFonts w:hint="eastAsia"/>
                      <w:b/>
                      <w:bCs/>
                      <w:color w:val="auto"/>
                      <w:szCs w:val="22"/>
                      <w:highlight w:val="none"/>
                    </w:rPr>
                  </w:pPr>
                  <w:r>
                    <w:rPr>
                      <w:rFonts w:hint="eastAsia"/>
                      <w:color w:val="auto"/>
                      <w:szCs w:val="22"/>
                      <w:highlight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84" w:type="dxa"/>
                  <w:noWrap w:val="0"/>
                  <w:vAlign w:val="center"/>
                </w:tcPr>
                <w:p>
                  <w:pPr>
                    <w:jc w:val="center"/>
                    <w:rPr>
                      <w:color w:val="auto"/>
                      <w:szCs w:val="22"/>
                      <w:highlight w:val="none"/>
                    </w:rPr>
                  </w:pPr>
                  <w:r>
                    <w:rPr>
                      <w:color w:val="auto"/>
                      <w:szCs w:val="22"/>
                      <w:highlight w:val="none"/>
                    </w:rPr>
                    <w:t>PM</w:t>
                  </w:r>
                  <w:r>
                    <w:rPr>
                      <w:color w:val="auto"/>
                      <w:szCs w:val="22"/>
                      <w:highlight w:val="none"/>
                      <w:vertAlign w:val="subscript"/>
                    </w:rPr>
                    <w:t>10</w:t>
                  </w:r>
                </w:p>
              </w:tc>
              <w:tc>
                <w:tcPr>
                  <w:tcW w:w="2394" w:type="dxa"/>
                  <w:noWrap w:val="0"/>
                  <w:vAlign w:val="center"/>
                </w:tcPr>
                <w:p>
                  <w:pPr>
                    <w:jc w:val="center"/>
                    <w:rPr>
                      <w:color w:val="auto"/>
                      <w:szCs w:val="22"/>
                      <w:highlight w:val="none"/>
                    </w:rPr>
                  </w:pPr>
                  <w:r>
                    <w:rPr>
                      <w:color w:val="auto"/>
                      <w:szCs w:val="22"/>
                      <w:highlight w:val="none"/>
                    </w:rPr>
                    <w:t>年平均质量浓度</w:t>
                  </w:r>
                </w:p>
              </w:tc>
              <w:tc>
                <w:tcPr>
                  <w:tcW w:w="1385" w:type="dxa"/>
                  <w:noWrap w:val="0"/>
                  <w:vAlign w:val="center"/>
                </w:tcPr>
                <w:p>
                  <w:pPr>
                    <w:jc w:val="center"/>
                    <w:rPr>
                      <w:color w:val="auto"/>
                      <w:szCs w:val="22"/>
                      <w:highlight w:val="none"/>
                    </w:rPr>
                  </w:pPr>
                  <w:r>
                    <w:rPr>
                      <w:rFonts w:hint="eastAsia"/>
                      <w:color w:val="auto"/>
                      <w:szCs w:val="22"/>
                      <w:highlight w:val="none"/>
                    </w:rPr>
                    <w:t>55</w:t>
                  </w:r>
                </w:p>
              </w:tc>
              <w:tc>
                <w:tcPr>
                  <w:tcW w:w="1523" w:type="dxa"/>
                  <w:noWrap w:val="0"/>
                  <w:vAlign w:val="center"/>
                </w:tcPr>
                <w:p>
                  <w:pPr>
                    <w:jc w:val="center"/>
                    <w:rPr>
                      <w:color w:val="auto"/>
                      <w:szCs w:val="22"/>
                      <w:highlight w:val="none"/>
                    </w:rPr>
                  </w:pPr>
                  <w:r>
                    <w:rPr>
                      <w:color w:val="auto"/>
                      <w:szCs w:val="22"/>
                      <w:highlight w:val="none"/>
                    </w:rPr>
                    <w:t>70</w:t>
                  </w:r>
                </w:p>
              </w:tc>
              <w:tc>
                <w:tcPr>
                  <w:tcW w:w="969" w:type="dxa"/>
                  <w:noWrap w:val="0"/>
                  <w:vAlign w:val="center"/>
                </w:tcPr>
                <w:p>
                  <w:pPr>
                    <w:widowControl/>
                    <w:jc w:val="center"/>
                    <w:textAlignment w:val="center"/>
                    <w:rPr>
                      <w:color w:val="auto"/>
                      <w:szCs w:val="22"/>
                      <w:highlight w:val="none"/>
                    </w:rPr>
                  </w:pPr>
                  <w:r>
                    <w:rPr>
                      <w:rFonts w:hint="eastAsia" w:ascii="宋体" w:hAnsi="宋体" w:cs="宋体"/>
                      <w:color w:val="auto"/>
                      <w:kern w:val="0"/>
                      <w:szCs w:val="21"/>
                      <w:highlight w:val="none"/>
                      <w:lang w:bidi="ar"/>
                    </w:rPr>
                    <w:t xml:space="preserve">78.57 </w:t>
                  </w:r>
                </w:p>
              </w:tc>
              <w:tc>
                <w:tcPr>
                  <w:tcW w:w="981" w:type="dxa"/>
                  <w:noWrap w:val="0"/>
                  <w:vAlign w:val="center"/>
                </w:tcPr>
                <w:p>
                  <w:pPr>
                    <w:jc w:val="center"/>
                    <w:rPr>
                      <w:color w:val="auto"/>
                      <w:szCs w:val="22"/>
                      <w:highlight w:val="none"/>
                    </w:rPr>
                  </w:pPr>
                  <w:r>
                    <w:rPr>
                      <w:rFonts w:hint="eastAsia"/>
                      <w:color w:val="auto"/>
                      <w:szCs w:val="22"/>
                      <w:highlight w:val="none"/>
                    </w:rPr>
                    <w:t>达标</w:t>
                  </w:r>
                </w:p>
              </w:tc>
            </w:tr>
          </w:tbl>
          <w:p>
            <w:pPr>
              <w:pStyle w:val="14"/>
              <w:spacing w:before="120" w:beforeLines="50" w:line="360" w:lineRule="auto"/>
              <w:ind w:firstLine="480" w:firstLineChars="200"/>
              <w:jc w:val="both"/>
              <w:rPr>
                <w:rFonts w:hint="eastAsia" w:eastAsia="宋体"/>
                <w:color w:val="auto"/>
                <w:sz w:val="24"/>
                <w:highlight w:val="none"/>
              </w:rPr>
            </w:pPr>
            <w:r>
              <w:rPr>
                <w:rFonts w:hint="eastAsia" w:eastAsia="宋体"/>
                <w:color w:val="auto"/>
                <w:sz w:val="24"/>
                <w:highlight w:val="none"/>
              </w:rPr>
              <w:t>综上，乐山市空气质量均优于国家环境空气二级标准，其中细颗粒物为“十三五”以来首次达到国家环境空气二级标准。因此，本项目所在区域环境空气属于达标区。</w:t>
            </w:r>
          </w:p>
          <w:p>
            <w:pPr>
              <w:pStyle w:val="14"/>
              <w:spacing w:line="360" w:lineRule="auto"/>
              <w:ind w:firstLine="482" w:firstLineChars="200"/>
              <w:rPr>
                <w:rFonts w:hint="eastAsia" w:eastAsia="宋体"/>
                <w:b/>
                <w:bCs/>
                <w:color w:val="auto"/>
                <w:sz w:val="24"/>
                <w:highlight w:val="none"/>
              </w:rPr>
            </w:pPr>
            <w:r>
              <w:rPr>
                <w:rFonts w:hint="eastAsia" w:eastAsia="宋体"/>
                <w:b/>
                <w:bCs/>
                <w:color w:val="auto"/>
                <w:sz w:val="24"/>
                <w:highlight w:val="none"/>
              </w:rPr>
              <w:t>（2）大气特征污染物补充监测</w:t>
            </w:r>
          </w:p>
          <w:p>
            <w:pPr>
              <w:widowControl/>
              <w:spacing w:line="360" w:lineRule="auto"/>
              <w:ind w:firstLine="480"/>
              <w:rPr>
                <w:color w:val="auto"/>
                <w:sz w:val="24"/>
                <w:highlight w:val="none"/>
              </w:rPr>
            </w:pPr>
            <w:r>
              <w:rPr>
                <w:color w:val="auto"/>
                <w:sz w:val="24"/>
                <w:highlight w:val="none"/>
              </w:rPr>
              <w:t>本次环评委托</w:t>
            </w:r>
            <w:r>
              <w:rPr>
                <w:rFonts w:hint="eastAsia"/>
                <w:color w:val="auto"/>
                <w:sz w:val="24"/>
                <w:highlight w:val="none"/>
              </w:rPr>
              <w:t>四川清蓝检测科技有限公司</w:t>
            </w:r>
            <w:r>
              <w:rPr>
                <w:color w:val="auto"/>
                <w:sz w:val="24"/>
                <w:highlight w:val="none"/>
              </w:rPr>
              <w:t>对项目区大气特征污染物进行监测，监测时间为202</w:t>
            </w:r>
            <w:r>
              <w:rPr>
                <w:rFonts w:hint="eastAsia"/>
                <w:color w:val="auto"/>
                <w:sz w:val="24"/>
                <w:highlight w:val="none"/>
                <w:lang w:val="en-US" w:eastAsia="zh-CN"/>
              </w:rPr>
              <w:t>2</w:t>
            </w:r>
            <w:r>
              <w:rPr>
                <w:color w:val="auto"/>
                <w:sz w:val="24"/>
                <w:highlight w:val="none"/>
              </w:rPr>
              <w:t>年</w:t>
            </w:r>
            <w:r>
              <w:rPr>
                <w:rFonts w:hint="eastAsia"/>
                <w:color w:val="auto"/>
                <w:sz w:val="24"/>
                <w:highlight w:val="none"/>
                <w:lang w:val="en-US" w:eastAsia="zh-CN"/>
              </w:rPr>
              <w:t>1</w:t>
            </w:r>
            <w:r>
              <w:rPr>
                <w:color w:val="auto"/>
                <w:sz w:val="24"/>
                <w:highlight w:val="none"/>
              </w:rPr>
              <w:t>月</w:t>
            </w:r>
            <w:r>
              <w:rPr>
                <w:rFonts w:hint="eastAsia"/>
                <w:color w:val="auto"/>
                <w:sz w:val="24"/>
                <w:highlight w:val="none"/>
                <w:lang w:val="en-US" w:eastAsia="zh-CN"/>
              </w:rPr>
              <w:t>21日</w:t>
            </w:r>
            <w:r>
              <w:rPr>
                <w:color w:val="auto"/>
                <w:sz w:val="24"/>
                <w:highlight w:val="none"/>
              </w:rPr>
              <w:t>至20</w:t>
            </w:r>
            <w:r>
              <w:rPr>
                <w:rFonts w:hint="eastAsia"/>
                <w:color w:val="auto"/>
                <w:sz w:val="24"/>
                <w:highlight w:val="none"/>
                <w:lang w:val="en-US" w:eastAsia="zh-CN"/>
              </w:rPr>
              <w:t>22</w:t>
            </w:r>
            <w:r>
              <w:rPr>
                <w:color w:val="auto"/>
                <w:sz w:val="24"/>
                <w:highlight w:val="none"/>
              </w:rPr>
              <w:t>年</w:t>
            </w:r>
            <w:r>
              <w:rPr>
                <w:rFonts w:hint="eastAsia"/>
                <w:color w:val="auto"/>
                <w:sz w:val="24"/>
                <w:highlight w:val="none"/>
                <w:lang w:val="en-US" w:eastAsia="zh-CN"/>
              </w:rPr>
              <w:t>01</w:t>
            </w:r>
            <w:r>
              <w:rPr>
                <w:color w:val="auto"/>
                <w:sz w:val="24"/>
                <w:highlight w:val="none"/>
              </w:rPr>
              <w:t>月</w:t>
            </w:r>
            <w:r>
              <w:rPr>
                <w:rFonts w:hint="eastAsia"/>
                <w:color w:val="auto"/>
                <w:sz w:val="24"/>
                <w:highlight w:val="none"/>
                <w:lang w:val="en-US" w:eastAsia="zh-CN"/>
              </w:rPr>
              <w:t>28</w:t>
            </w:r>
            <w:r>
              <w:rPr>
                <w:color w:val="auto"/>
                <w:sz w:val="24"/>
                <w:highlight w:val="none"/>
              </w:rPr>
              <w:t>日。</w:t>
            </w:r>
            <w:r>
              <w:rPr>
                <w:rFonts w:hint="eastAsia"/>
                <w:color w:val="auto"/>
                <w:sz w:val="24"/>
                <w:highlight w:val="none"/>
              </w:rPr>
              <w:t>监测时期，项目为停运状态。</w:t>
            </w:r>
          </w:p>
          <w:p>
            <w:pPr>
              <w:widowControl/>
              <w:spacing w:line="360" w:lineRule="auto"/>
              <w:ind w:firstLine="480"/>
              <w:rPr>
                <w:color w:val="auto"/>
                <w:sz w:val="24"/>
                <w:highlight w:val="none"/>
              </w:rPr>
            </w:pPr>
            <w:r>
              <w:rPr>
                <w:color w:val="auto"/>
                <w:sz w:val="24"/>
                <w:highlight w:val="none"/>
              </w:rPr>
              <w:t>（1）监测点位</w:t>
            </w:r>
          </w:p>
          <w:p>
            <w:pPr>
              <w:widowControl/>
              <w:adjustRightInd w:val="0"/>
              <w:snapToGrid w:val="0"/>
              <w:spacing w:before="120" w:beforeLines="50"/>
              <w:jc w:val="center"/>
              <w:rPr>
                <w:b/>
                <w:bCs/>
                <w:color w:val="auto"/>
                <w:sz w:val="24"/>
                <w:highlight w:val="none"/>
              </w:rPr>
            </w:pPr>
            <w:r>
              <w:rPr>
                <w:b/>
                <w:bCs/>
                <w:color w:val="auto"/>
                <w:sz w:val="24"/>
                <w:highlight w:val="none"/>
              </w:rPr>
              <w:t>表3-</w:t>
            </w:r>
            <w:r>
              <w:rPr>
                <w:rFonts w:hint="eastAsia"/>
                <w:b/>
                <w:bCs/>
                <w:color w:val="auto"/>
                <w:sz w:val="24"/>
                <w:highlight w:val="none"/>
              </w:rPr>
              <w:t>3</w:t>
            </w:r>
            <w:r>
              <w:rPr>
                <w:b/>
                <w:bCs/>
                <w:color w:val="auto"/>
                <w:sz w:val="24"/>
                <w:highlight w:val="none"/>
              </w:rPr>
              <w:t xml:space="preserve">  环境空气监测点布设一览表</w:t>
            </w:r>
          </w:p>
          <w:tbl>
            <w:tblPr>
              <w:tblStyle w:val="39"/>
              <w:tblW w:w="0" w:type="auto"/>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79"/>
              <w:gridCol w:w="1619"/>
              <w:gridCol w:w="1122"/>
              <w:gridCol w:w="1124"/>
              <w:gridCol w:w="1691"/>
              <w:gridCol w:w="1698"/>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079" w:type="dxa"/>
                  <w:noWrap w:val="0"/>
                  <w:vAlign w:val="center"/>
                </w:tcPr>
                <w:p>
                  <w:pPr>
                    <w:pStyle w:val="69"/>
                    <w:spacing w:line="240" w:lineRule="auto"/>
                    <w:ind w:firstLine="0" w:firstLineChars="0"/>
                    <w:jc w:val="center"/>
                    <w:rPr>
                      <w:rFonts w:ascii="Times New Roman"/>
                      <w:b/>
                      <w:bCs/>
                      <w:color w:val="auto"/>
                      <w:sz w:val="21"/>
                      <w:szCs w:val="21"/>
                      <w:highlight w:val="none"/>
                    </w:rPr>
                  </w:pPr>
                  <w:r>
                    <w:rPr>
                      <w:rFonts w:ascii="Times New Roman"/>
                      <w:b/>
                      <w:bCs/>
                      <w:color w:val="auto"/>
                      <w:sz w:val="21"/>
                      <w:szCs w:val="21"/>
                      <w:highlight w:val="none"/>
                    </w:rPr>
                    <w:t>编号</w:t>
                  </w:r>
                </w:p>
              </w:tc>
              <w:tc>
                <w:tcPr>
                  <w:tcW w:w="1619" w:type="dxa"/>
                  <w:noWrap w:val="0"/>
                  <w:vAlign w:val="center"/>
                </w:tcPr>
                <w:p>
                  <w:pPr>
                    <w:pStyle w:val="69"/>
                    <w:spacing w:line="240" w:lineRule="auto"/>
                    <w:ind w:firstLine="0" w:firstLineChars="0"/>
                    <w:jc w:val="center"/>
                    <w:rPr>
                      <w:rFonts w:ascii="Times New Roman"/>
                      <w:b/>
                      <w:bCs/>
                      <w:color w:val="auto"/>
                      <w:sz w:val="21"/>
                      <w:szCs w:val="21"/>
                      <w:highlight w:val="none"/>
                    </w:rPr>
                  </w:pPr>
                  <w:r>
                    <w:rPr>
                      <w:rFonts w:ascii="Times New Roman"/>
                      <w:b/>
                      <w:bCs/>
                      <w:color w:val="auto"/>
                      <w:sz w:val="21"/>
                      <w:szCs w:val="21"/>
                      <w:highlight w:val="none"/>
                    </w:rPr>
                    <w:t>监测点位</w:t>
                  </w:r>
                </w:p>
              </w:tc>
              <w:tc>
                <w:tcPr>
                  <w:tcW w:w="1122" w:type="dxa"/>
                  <w:noWrap w:val="0"/>
                  <w:vAlign w:val="center"/>
                </w:tcPr>
                <w:p>
                  <w:pPr>
                    <w:pStyle w:val="69"/>
                    <w:spacing w:line="240" w:lineRule="auto"/>
                    <w:ind w:firstLine="0" w:firstLineChars="0"/>
                    <w:jc w:val="center"/>
                    <w:rPr>
                      <w:rFonts w:ascii="Times New Roman"/>
                      <w:b/>
                      <w:bCs/>
                      <w:color w:val="auto"/>
                      <w:sz w:val="21"/>
                      <w:szCs w:val="21"/>
                      <w:highlight w:val="none"/>
                    </w:rPr>
                  </w:pPr>
                  <w:r>
                    <w:rPr>
                      <w:rFonts w:ascii="Times New Roman"/>
                      <w:b/>
                      <w:bCs/>
                      <w:color w:val="auto"/>
                      <w:sz w:val="21"/>
                      <w:szCs w:val="21"/>
                      <w:highlight w:val="none"/>
                    </w:rPr>
                    <w:t>方位</w:t>
                  </w:r>
                </w:p>
              </w:tc>
              <w:tc>
                <w:tcPr>
                  <w:tcW w:w="1124" w:type="dxa"/>
                  <w:noWrap w:val="0"/>
                  <w:vAlign w:val="center"/>
                </w:tcPr>
                <w:p>
                  <w:pPr>
                    <w:pStyle w:val="69"/>
                    <w:spacing w:line="240" w:lineRule="auto"/>
                    <w:ind w:firstLine="0" w:firstLineChars="0"/>
                    <w:jc w:val="center"/>
                    <w:rPr>
                      <w:rFonts w:ascii="Times New Roman"/>
                      <w:b/>
                      <w:bCs/>
                      <w:color w:val="auto"/>
                      <w:sz w:val="21"/>
                      <w:szCs w:val="21"/>
                      <w:highlight w:val="none"/>
                    </w:rPr>
                  </w:pPr>
                  <w:r>
                    <w:rPr>
                      <w:rFonts w:ascii="Times New Roman"/>
                      <w:b/>
                      <w:bCs/>
                      <w:color w:val="auto"/>
                      <w:sz w:val="21"/>
                      <w:szCs w:val="21"/>
                      <w:highlight w:val="none"/>
                    </w:rPr>
                    <w:t>距离</w:t>
                  </w:r>
                </w:p>
              </w:tc>
              <w:tc>
                <w:tcPr>
                  <w:tcW w:w="1691" w:type="dxa"/>
                  <w:noWrap w:val="0"/>
                  <w:vAlign w:val="center"/>
                </w:tcPr>
                <w:p>
                  <w:pPr>
                    <w:pStyle w:val="69"/>
                    <w:spacing w:line="240" w:lineRule="auto"/>
                    <w:ind w:firstLine="0" w:firstLineChars="0"/>
                    <w:jc w:val="center"/>
                    <w:rPr>
                      <w:rFonts w:ascii="Times New Roman"/>
                      <w:b/>
                      <w:bCs/>
                      <w:color w:val="auto"/>
                      <w:sz w:val="21"/>
                      <w:szCs w:val="21"/>
                      <w:highlight w:val="none"/>
                    </w:rPr>
                  </w:pPr>
                  <w:r>
                    <w:rPr>
                      <w:rFonts w:ascii="Times New Roman"/>
                      <w:b/>
                      <w:bCs/>
                      <w:color w:val="auto"/>
                      <w:sz w:val="21"/>
                      <w:szCs w:val="21"/>
                      <w:highlight w:val="none"/>
                    </w:rPr>
                    <w:t>高程</w:t>
                  </w:r>
                </w:p>
              </w:tc>
              <w:tc>
                <w:tcPr>
                  <w:tcW w:w="1698" w:type="dxa"/>
                  <w:noWrap w:val="0"/>
                  <w:vAlign w:val="center"/>
                </w:tcPr>
                <w:p>
                  <w:pPr>
                    <w:pStyle w:val="69"/>
                    <w:spacing w:line="240" w:lineRule="auto"/>
                    <w:ind w:firstLine="0" w:firstLineChars="0"/>
                    <w:jc w:val="center"/>
                    <w:rPr>
                      <w:rFonts w:ascii="Times New Roman"/>
                      <w:b/>
                      <w:bCs/>
                      <w:color w:val="auto"/>
                      <w:sz w:val="21"/>
                      <w:szCs w:val="21"/>
                      <w:highlight w:val="none"/>
                    </w:rPr>
                  </w:pPr>
                  <w:r>
                    <w:rPr>
                      <w:rFonts w:ascii="Times New Roman"/>
                      <w:b/>
                      <w:bCs/>
                      <w:color w:val="auto"/>
                      <w:sz w:val="21"/>
                      <w:szCs w:val="21"/>
                      <w:highlight w:val="none"/>
                    </w:rPr>
                    <w:t>监测项目</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3" w:hRule="atLeast"/>
                <w:jc w:val="center"/>
              </w:trPr>
              <w:tc>
                <w:tcPr>
                  <w:tcW w:w="1079" w:type="dxa"/>
                  <w:noWrap w:val="0"/>
                  <w:vAlign w:val="center"/>
                </w:tcPr>
                <w:p>
                  <w:pPr>
                    <w:pStyle w:val="69"/>
                    <w:spacing w:line="240" w:lineRule="auto"/>
                    <w:ind w:firstLine="0" w:firstLineChars="0"/>
                    <w:jc w:val="center"/>
                    <w:rPr>
                      <w:rFonts w:ascii="Times New Roman"/>
                      <w:color w:val="auto"/>
                      <w:sz w:val="21"/>
                      <w:szCs w:val="21"/>
                      <w:highlight w:val="none"/>
                    </w:rPr>
                  </w:pPr>
                  <w:r>
                    <w:rPr>
                      <w:rFonts w:ascii="Times New Roman"/>
                      <w:color w:val="auto"/>
                      <w:sz w:val="21"/>
                      <w:szCs w:val="21"/>
                      <w:highlight w:val="none"/>
                    </w:rPr>
                    <w:t>1#</w:t>
                  </w:r>
                </w:p>
              </w:tc>
              <w:tc>
                <w:tcPr>
                  <w:tcW w:w="1619" w:type="dxa"/>
                  <w:noWrap w:val="0"/>
                  <w:vAlign w:val="center"/>
                </w:tcPr>
                <w:p>
                  <w:pPr>
                    <w:pStyle w:val="69"/>
                    <w:spacing w:line="240" w:lineRule="auto"/>
                    <w:ind w:firstLine="0" w:firstLineChars="0"/>
                    <w:jc w:val="center"/>
                    <w:rPr>
                      <w:rFonts w:ascii="Times New Roman"/>
                      <w:color w:val="auto"/>
                      <w:sz w:val="21"/>
                      <w:szCs w:val="21"/>
                      <w:highlight w:val="none"/>
                    </w:rPr>
                  </w:pPr>
                  <w:r>
                    <w:rPr>
                      <w:rFonts w:ascii="Times New Roman"/>
                      <w:color w:val="auto"/>
                      <w:sz w:val="21"/>
                      <w:szCs w:val="21"/>
                      <w:highlight w:val="none"/>
                    </w:rPr>
                    <w:t>项目区</w:t>
                  </w:r>
                </w:p>
              </w:tc>
              <w:tc>
                <w:tcPr>
                  <w:tcW w:w="2246" w:type="dxa"/>
                  <w:gridSpan w:val="2"/>
                  <w:noWrap w:val="0"/>
                  <w:vAlign w:val="center"/>
                </w:tcPr>
                <w:p>
                  <w:pPr>
                    <w:pStyle w:val="69"/>
                    <w:spacing w:line="240" w:lineRule="auto"/>
                    <w:ind w:firstLine="0" w:firstLineChars="0"/>
                    <w:jc w:val="center"/>
                    <w:rPr>
                      <w:rFonts w:ascii="Times New Roman"/>
                      <w:color w:val="auto"/>
                      <w:sz w:val="21"/>
                      <w:szCs w:val="21"/>
                      <w:highlight w:val="none"/>
                    </w:rPr>
                  </w:pPr>
                  <w:r>
                    <w:rPr>
                      <w:rFonts w:ascii="Times New Roman"/>
                      <w:color w:val="auto"/>
                      <w:sz w:val="21"/>
                      <w:szCs w:val="21"/>
                      <w:highlight w:val="none"/>
                    </w:rPr>
                    <w:t>项目所在地</w:t>
                  </w:r>
                </w:p>
              </w:tc>
              <w:tc>
                <w:tcPr>
                  <w:tcW w:w="1691" w:type="dxa"/>
                  <w:noWrap w:val="0"/>
                  <w:vAlign w:val="center"/>
                </w:tcPr>
                <w:p>
                  <w:pPr>
                    <w:pStyle w:val="69"/>
                    <w:spacing w:line="240" w:lineRule="auto"/>
                    <w:ind w:firstLine="0" w:firstLineChars="0"/>
                    <w:jc w:val="center"/>
                    <w:rPr>
                      <w:rFonts w:ascii="Times New Roman"/>
                      <w:color w:val="auto"/>
                      <w:sz w:val="21"/>
                      <w:szCs w:val="21"/>
                      <w:highlight w:val="none"/>
                    </w:rPr>
                  </w:pPr>
                  <w:r>
                    <w:rPr>
                      <w:rFonts w:ascii="Times New Roman"/>
                      <w:color w:val="auto"/>
                      <w:sz w:val="21"/>
                      <w:szCs w:val="21"/>
                      <w:highlight w:val="none"/>
                    </w:rPr>
                    <w:t>258m</w:t>
                  </w:r>
                </w:p>
              </w:tc>
              <w:tc>
                <w:tcPr>
                  <w:tcW w:w="1698" w:type="dxa"/>
                  <w:noWrap w:val="0"/>
                  <w:vAlign w:val="center"/>
                </w:tcPr>
                <w:p>
                  <w:pPr>
                    <w:pStyle w:val="69"/>
                    <w:spacing w:line="240" w:lineRule="auto"/>
                    <w:ind w:firstLine="0" w:firstLineChars="0"/>
                    <w:jc w:val="center"/>
                    <w:rPr>
                      <w:rFonts w:hint="default" w:ascii="Times New Roman" w:eastAsia="宋体"/>
                      <w:color w:val="auto"/>
                      <w:sz w:val="21"/>
                      <w:szCs w:val="21"/>
                      <w:highlight w:val="none"/>
                      <w:lang w:val="en-US" w:eastAsia="zh-CN"/>
                    </w:rPr>
                  </w:pPr>
                  <w:r>
                    <w:rPr>
                      <w:rFonts w:ascii="Times New Roman"/>
                      <w:color w:val="auto"/>
                      <w:sz w:val="21"/>
                      <w:szCs w:val="21"/>
                      <w:highlight w:val="none"/>
                    </w:rPr>
                    <w:t>TSP、</w:t>
                  </w:r>
                  <w:r>
                    <w:rPr>
                      <w:rFonts w:hint="eastAsia" w:ascii="Times New Roman"/>
                      <w:color w:val="auto"/>
                      <w:sz w:val="21"/>
                      <w:szCs w:val="21"/>
                      <w:highlight w:val="none"/>
                    </w:rPr>
                    <w:t>苯并芘</w:t>
                  </w:r>
                  <w:r>
                    <w:rPr>
                      <w:rFonts w:hint="eastAsia" w:ascii="Times New Roman"/>
                      <w:color w:val="auto"/>
                      <w:sz w:val="21"/>
                      <w:szCs w:val="21"/>
                      <w:highlight w:val="none"/>
                      <w:lang w:eastAsia="zh-CN"/>
                    </w:rPr>
                    <w:t>、</w:t>
                  </w:r>
                  <w:r>
                    <w:rPr>
                      <w:rFonts w:hint="eastAsia" w:ascii="Times New Roman"/>
                      <w:color w:val="auto"/>
                      <w:sz w:val="21"/>
                      <w:szCs w:val="21"/>
                      <w:highlight w:val="none"/>
                      <w:lang w:val="en-US" w:eastAsia="zh-CN"/>
                    </w:rPr>
                    <w:t>非甲烷总烃</w:t>
                  </w:r>
                </w:p>
              </w:tc>
            </w:tr>
          </w:tbl>
          <w:p>
            <w:pPr>
              <w:widowControl/>
              <w:spacing w:line="360" w:lineRule="auto"/>
              <w:ind w:firstLine="480"/>
              <w:rPr>
                <w:color w:val="auto"/>
                <w:sz w:val="24"/>
                <w:highlight w:val="none"/>
              </w:rPr>
            </w:pPr>
            <w:r>
              <w:rPr>
                <w:color w:val="auto"/>
                <w:sz w:val="24"/>
                <w:highlight w:val="none"/>
              </w:rPr>
              <w:t>（2）监测项目</w:t>
            </w:r>
          </w:p>
          <w:p>
            <w:pPr>
              <w:widowControl/>
              <w:spacing w:line="360" w:lineRule="auto"/>
              <w:ind w:firstLine="480"/>
              <w:rPr>
                <w:color w:val="auto"/>
                <w:sz w:val="24"/>
                <w:highlight w:val="none"/>
              </w:rPr>
            </w:pPr>
            <w:r>
              <w:rPr>
                <w:color w:val="auto"/>
                <w:sz w:val="24"/>
                <w:highlight w:val="none"/>
              </w:rPr>
              <w:t>总悬浮颗粒物、</w:t>
            </w:r>
            <w:r>
              <w:rPr>
                <w:rFonts w:hint="eastAsia"/>
                <w:color w:val="auto"/>
                <w:sz w:val="24"/>
                <w:highlight w:val="none"/>
              </w:rPr>
              <w:t>苯并芘</w:t>
            </w:r>
            <w:r>
              <w:rPr>
                <w:rFonts w:hint="eastAsia"/>
                <w:color w:val="auto"/>
                <w:sz w:val="24"/>
                <w:highlight w:val="none"/>
                <w:lang w:eastAsia="zh-CN"/>
              </w:rPr>
              <w:t>、</w:t>
            </w:r>
            <w:r>
              <w:rPr>
                <w:rFonts w:hint="eastAsia"/>
                <w:color w:val="auto"/>
                <w:sz w:val="24"/>
                <w:highlight w:val="none"/>
                <w:lang w:val="en-US" w:eastAsia="zh-CN"/>
              </w:rPr>
              <w:t>非甲烷总烃</w:t>
            </w:r>
            <w:r>
              <w:rPr>
                <w:color w:val="auto"/>
                <w:sz w:val="24"/>
                <w:highlight w:val="none"/>
              </w:rPr>
              <w:t>。</w:t>
            </w:r>
          </w:p>
          <w:p>
            <w:pPr>
              <w:widowControl/>
              <w:spacing w:line="360" w:lineRule="auto"/>
              <w:ind w:firstLine="480"/>
              <w:rPr>
                <w:color w:val="auto"/>
                <w:sz w:val="24"/>
                <w:highlight w:val="none"/>
              </w:rPr>
            </w:pPr>
            <w:r>
              <w:rPr>
                <w:color w:val="auto"/>
                <w:sz w:val="24"/>
                <w:highlight w:val="none"/>
              </w:rPr>
              <w:t>（3）监测频率及时间</w:t>
            </w:r>
          </w:p>
          <w:p>
            <w:pPr>
              <w:widowControl/>
              <w:spacing w:line="360" w:lineRule="auto"/>
              <w:ind w:firstLine="480"/>
              <w:rPr>
                <w:color w:val="auto"/>
                <w:sz w:val="24"/>
                <w:highlight w:val="none"/>
              </w:rPr>
            </w:pPr>
            <w:r>
              <w:rPr>
                <w:color w:val="auto"/>
                <w:sz w:val="24"/>
                <w:highlight w:val="none"/>
              </w:rPr>
              <w:t>连续监测</w:t>
            </w:r>
            <w:r>
              <w:rPr>
                <w:rFonts w:hint="eastAsia"/>
                <w:color w:val="auto"/>
                <w:sz w:val="24"/>
                <w:highlight w:val="none"/>
                <w:lang w:val="en-US" w:eastAsia="zh-CN"/>
              </w:rPr>
              <w:t>7</w:t>
            </w:r>
            <w:r>
              <w:rPr>
                <w:color w:val="auto"/>
                <w:sz w:val="24"/>
                <w:highlight w:val="none"/>
              </w:rPr>
              <w:t>天，TSP</w:t>
            </w:r>
            <w:r>
              <w:rPr>
                <w:rFonts w:hint="eastAsia"/>
                <w:color w:val="auto"/>
                <w:sz w:val="24"/>
                <w:highlight w:val="none"/>
              </w:rPr>
              <w:t>、苯并芘</w:t>
            </w:r>
            <w:r>
              <w:rPr>
                <w:color w:val="auto"/>
                <w:sz w:val="24"/>
                <w:highlight w:val="none"/>
              </w:rPr>
              <w:t>测日均值</w:t>
            </w:r>
            <w:r>
              <w:rPr>
                <w:rFonts w:hint="eastAsia"/>
                <w:color w:val="auto"/>
                <w:sz w:val="24"/>
                <w:highlight w:val="none"/>
                <w:lang w:eastAsia="zh-CN"/>
              </w:rPr>
              <w:t>，</w:t>
            </w:r>
            <w:r>
              <w:rPr>
                <w:rFonts w:hint="eastAsia"/>
                <w:color w:val="auto"/>
                <w:sz w:val="24"/>
                <w:highlight w:val="none"/>
                <w:lang w:val="en-US" w:eastAsia="zh-CN"/>
              </w:rPr>
              <w:t>非甲烷总烃测小时均值</w:t>
            </w:r>
            <w:r>
              <w:rPr>
                <w:color w:val="auto"/>
                <w:sz w:val="24"/>
                <w:highlight w:val="none"/>
              </w:rPr>
              <w:t xml:space="preserve">。 </w:t>
            </w:r>
          </w:p>
          <w:p>
            <w:pPr>
              <w:widowControl/>
              <w:spacing w:line="360" w:lineRule="auto"/>
              <w:ind w:firstLine="480"/>
              <w:rPr>
                <w:color w:val="auto"/>
                <w:sz w:val="24"/>
                <w:highlight w:val="none"/>
              </w:rPr>
            </w:pPr>
            <w:r>
              <w:rPr>
                <w:color w:val="auto"/>
                <w:sz w:val="24"/>
                <w:highlight w:val="none"/>
              </w:rPr>
              <w:t>（4）监测方法</w:t>
            </w:r>
          </w:p>
          <w:p>
            <w:pPr>
              <w:widowControl/>
              <w:spacing w:line="360" w:lineRule="auto"/>
              <w:ind w:firstLine="480"/>
              <w:rPr>
                <w:color w:val="auto"/>
                <w:sz w:val="24"/>
                <w:highlight w:val="none"/>
              </w:rPr>
            </w:pPr>
            <w:r>
              <w:rPr>
                <w:color w:val="auto"/>
                <w:sz w:val="24"/>
                <w:highlight w:val="none"/>
              </w:rPr>
              <w:t>污染物分析方法按国家相关规范要求进行。</w:t>
            </w:r>
          </w:p>
          <w:p>
            <w:pPr>
              <w:widowControl/>
              <w:spacing w:line="360" w:lineRule="auto"/>
              <w:ind w:firstLine="480"/>
              <w:rPr>
                <w:color w:val="auto"/>
                <w:sz w:val="24"/>
                <w:highlight w:val="none"/>
              </w:rPr>
            </w:pPr>
            <w:r>
              <w:rPr>
                <w:color w:val="auto"/>
                <w:sz w:val="24"/>
                <w:highlight w:val="none"/>
              </w:rPr>
              <w:t>（5）评价方法</w:t>
            </w:r>
          </w:p>
          <w:p>
            <w:pPr>
              <w:widowControl/>
              <w:spacing w:line="360" w:lineRule="auto"/>
              <w:ind w:firstLine="480"/>
              <w:rPr>
                <w:color w:val="auto"/>
                <w:sz w:val="24"/>
                <w:highlight w:val="none"/>
              </w:rPr>
            </w:pPr>
            <w:r>
              <w:rPr>
                <w:color w:val="auto"/>
                <w:sz w:val="24"/>
                <w:highlight w:val="none"/>
              </w:rPr>
              <w:t>采用单因子法，统计污染物日均浓度、小时浓度及瞬时浓度的超标率、超标倍数，评价区域内的环境空气污染状况，计算公式如下：</w:t>
            </w:r>
          </w:p>
          <w:p>
            <w:pPr>
              <w:widowControl/>
              <w:tabs>
                <w:tab w:val="left" w:leader="dot" w:pos="7770"/>
              </w:tabs>
              <w:adjustRightInd w:val="0"/>
              <w:snapToGrid w:val="0"/>
              <w:spacing w:line="360" w:lineRule="auto"/>
              <w:ind w:firstLine="480"/>
              <w:jc w:val="center"/>
              <w:rPr>
                <w:color w:val="auto"/>
                <w:sz w:val="24"/>
                <w:highlight w:val="none"/>
              </w:rPr>
            </w:pPr>
            <w:r>
              <w:rPr>
                <w:color w:val="auto"/>
                <w:sz w:val="24"/>
                <w:highlight w:val="none"/>
              </w:rPr>
              <w:object>
                <v:shape id="_x0000_i1036" o:spt="75" type="#_x0000_t75" style="height:37.35pt;width:40pt;" o:ole="t" filled="f" o:preferrelative="t" stroked="f" coordsize="21600,21600">
                  <v:path/>
                  <v:fill on="f" focussize="0,0"/>
                  <v:stroke on="f"/>
                  <v:imagedata r:id="rId11" o:title=""/>
                  <o:lock v:ext="edit" aspectratio="t"/>
                  <w10:wrap type="none"/>
                  <w10:anchorlock/>
                </v:shape>
                <o:OLEObject Type="Embed" ProgID="Equation.DSMT4" ShapeID="_x0000_i1036" DrawAspect="Content" ObjectID="_1468075725" r:id="rId10">
                  <o:LockedField>false</o:LockedField>
                </o:OLEObject>
              </w:object>
            </w:r>
          </w:p>
          <w:p>
            <w:pPr>
              <w:widowControl/>
              <w:spacing w:line="360" w:lineRule="auto"/>
              <w:ind w:firstLine="480"/>
              <w:rPr>
                <w:color w:val="auto"/>
                <w:sz w:val="24"/>
                <w:highlight w:val="none"/>
              </w:rPr>
            </w:pPr>
            <w:r>
              <w:rPr>
                <w:color w:val="auto"/>
                <w:sz w:val="24"/>
                <w:highlight w:val="none"/>
              </w:rPr>
              <w:t>式中：Ii——i种污染物的单项指数；</w:t>
            </w:r>
          </w:p>
          <w:p>
            <w:pPr>
              <w:widowControl/>
              <w:spacing w:line="360" w:lineRule="auto"/>
              <w:ind w:firstLine="1132" w:firstLineChars="472"/>
              <w:rPr>
                <w:color w:val="auto"/>
                <w:sz w:val="24"/>
                <w:highlight w:val="none"/>
              </w:rPr>
            </w:pPr>
            <w:r>
              <w:rPr>
                <w:color w:val="auto"/>
                <w:sz w:val="24"/>
                <w:highlight w:val="none"/>
              </w:rPr>
              <w:t>Ci——i种污染物的实测浓度，mg/Nm3；</w:t>
            </w:r>
          </w:p>
          <w:p>
            <w:pPr>
              <w:widowControl/>
              <w:adjustRightInd w:val="0"/>
              <w:snapToGrid w:val="0"/>
              <w:spacing w:line="360" w:lineRule="auto"/>
              <w:ind w:firstLine="480"/>
              <w:rPr>
                <w:color w:val="auto"/>
                <w:sz w:val="24"/>
                <w:highlight w:val="none"/>
              </w:rPr>
            </w:pPr>
            <w:r>
              <w:rPr>
                <w:color w:val="auto"/>
                <w:sz w:val="24"/>
                <w:highlight w:val="none"/>
              </w:rPr>
              <w:t>Si——i种污染物的评价标准，mg/Nm3。</w:t>
            </w:r>
          </w:p>
          <w:p>
            <w:pPr>
              <w:pStyle w:val="16"/>
              <w:numPr>
                <w:ilvl w:val="0"/>
                <w:numId w:val="5"/>
              </w:numPr>
              <w:spacing w:after="0" w:line="360" w:lineRule="auto"/>
              <w:ind w:firstLine="480"/>
              <w:rPr>
                <w:color w:val="auto"/>
                <w:sz w:val="24"/>
                <w:szCs w:val="24"/>
                <w:highlight w:val="none"/>
              </w:rPr>
            </w:pPr>
            <w:r>
              <w:rPr>
                <w:color w:val="auto"/>
                <w:sz w:val="24"/>
                <w:szCs w:val="24"/>
                <w:highlight w:val="none"/>
              </w:rPr>
              <w:t>评价结果</w:t>
            </w:r>
          </w:p>
          <w:p>
            <w:pPr>
              <w:pStyle w:val="186"/>
              <w:rPr>
                <w:rFonts w:ascii="Times New Roman" w:hAnsi="Times New Roman" w:eastAsia="宋体"/>
                <w:b/>
                <w:bCs/>
                <w:color w:val="auto"/>
                <w:highlight w:val="none"/>
              </w:rPr>
            </w:pPr>
          </w:p>
          <w:p>
            <w:pPr>
              <w:widowControl/>
              <w:adjustRightInd w:val="0"/>
              <w:snapToGrid w:val="0"/>
              <w:spacing w:before="120" w:beforeLines="50"/>
              <w:jc w:val="center"/>
              <w:rPr>
                <w:b/>
                <w:bCs/>
                <w:color w:val="auto"/>
                <w:szCs w:val="22"/>
                <w:highlight w:val="none"/>
              </w:rPr>
            </w:pPr>
            <w:r>
              <w:rPr>
                <w:b/>
                <w:bCs/>
                <w:color w:val="auto"/>
                <w:szCs w:val="22"/>
                <w:highlight w:val="none"/>
              </w:rPr>
              <w:t>表3-</w:t>
            </w:r>
            <w:r>
              <w:rPr>
                <w:rFonts w:hint="eastAsia"/>
                <w:b/>
                <w:bCs/>
                <w:color w:val="auto"/>
                <w:szCs w:val="22"/>
                <w:highlight w:val="none"/>
              </w:rPr>
              <w:t>4</w:t>
            </w:r>
            <w:r>
              <w:rPr>
                <w:b/>
                <w:bCs/>
                <w:color w:val="auto"/>
                <w:szCs w:val="22"/>
                <w:highlight w:val="none"/>
              </w:rPr>
              <w:t xml:space="preserve"> 大气监测结果</w:t>
            </w:r>
          </w:p>
          <w:tbl>
            <w:tblPr>
              <w:tblStyle w:val="39"/>
              <w:tblW w:w="8335"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1067"/>
              <w:gridCol w:w="1194"/>
              <w:gridCol w:w="852"/>
              <w:gridCol w:w="1400"/>
              <w:gridCol w:w="1134"/>
              <w:gridCol w:w="1149"/>
              <w:gridCol w:w="1539"/>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tblHeader/>
                <w:jc w:val="center"/>
              </w:trPr>
              <w:tc>
                <w:tcPr>
                  <w:tcW w:w="640" w:type="pct"/>
                  <w:vMerge w:val="restar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采样日期</w:t>
                  </w:r>
                </w:p>
              </w:tc>
              <w:tc>
                <w:tcPr>
                  <w:tcW w:w="1227" w:type="pct"/>
                  <w:gridSpan w:val="2"/>
                  <w:vMerge w:val="restar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检测项目</w:t>
                  </w:r>
                </w:p>
              </w:tc>
              <w:tc>
                <w:tcPr>
                  <w:tcW w:w="2209" w:type="pct"/>
                  <w:gridSpan w:val="3"/>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检测点及检测结果</w:t>
                  </w:r>
                </w:p>
              </w:tc>
              <w:tc>
                <w:tcPr>
                  <w:tcW w:w="923" w:type="pct"/>
                  <w:vMerge w:val="restart"/>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标准值</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640" w:type="pct"/>
                  <w:vMerge w:val="continue"/>
                  <w:tcBorders>
                    <w:tl2br w:val="nil"/>
                    <w:tr2bl w:val="nil"/>
                  </w:tcBorders>
                  <w:noWrap w:val="0"/>
                  <w:vAlign w:val="center"/>
                </w:tcPr>
                <w:p>
                  <w:pPr>
                    <w:jc w:val="center"/>
                    <w:rPr>
                      <w:rFonts w:hint="default" w:ascii="Times New Roman" w:hAnsi="Times New Roman" w:eastAsia="宋体" w:cs="Times New Roman"/>
                      <w:b/>
                      <w:bCs/>
                      <w:i w:val="0"/>
                      <w:iCs w:val="0"/>
                      <w:color w:val="auto"/>
                      <w:sz w:val="21"/>
                      <w:szCs w:val="21"/>
                      <w:highlight w:val="none"/>
                      <w:u w:val="none"/>
                    </w:rPr>
                  </w:pPr>
                </w:p>
              </w:tc>
              <w:tc>
                <w:tcPr>
                  <w:tcW w:w="1227" w:type="pct"/>
                  <w:gridSpan w:val="2"/>
                  <w:vMerge w:val="continue"/>
                  <w:tcBorders>
                    <w:tl2br w:val="nil"/>
                    <w:tr2bl w:val="nil"/>
                  </w:tcBorders>
                  <w:noWrap w:val="0"/>
                  <w:vAlign w:val="center"/>
                </w:tcPr>
                <w:p>
                  <w:pPr>
                    <w:jc w:val="center"/>
                    <w:rPr>
                      <w:rFonts w:hint="default" w:ascii="Times New Roman" w:hAnsi="Times New Roman" w:eastAsia="宋体" w:cs="Times New Roman"/>
                      <w:b/>
                      <w:bCs/>
                      <w:i w:val="0"/>
                      <w:iCs w:val="0"/>
                      <w:color w:val="auto"/>
                      <w:sz w:val="21"/>
                      <w:szCs w:val="21"/>
                      <w:highlight w:val="none"/>
                      <w:u w:val="none"/>
                    </w:rPr>
                  </w:pPr>
                </w:p>
              </w:tc>
              <w:tc>
                <w:tcPr>
                  <w:tcW w:w="2209" w:type="pct"/>
                  <w:gridSpan w:val="3"/>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G1</w:t>
                  </w:r>
                </w:p>
              </w:tc>
              <w:tc>
                <w:tcPr>
                  <w:tcW w:w="923" w:type="pct"/>
                  <w:vMerge w:val="continue"/>
                  <w:tcBorders>
                    <w:tl2br w:val="nil"/>
                    <w:tr2bl w:val="nil"/>
                  </w:tcBorders>
                  <w:noWrap/>
                  <w:vAlign w:val="center"/>
                </w:tcPr>
                <w:p>
                  <w:pPr>
                    <w:jc w:val="center"/>
                    <w:rPr>
                      <w:rFonts w:hint="default" w:ascii="Times New Roman" w:hAnsi="Times New Roman" w:eastAsia="宋体" w:cs="Times New Roman"/>
                      <w:i w:val="0"/>
                      <w:iCs w:val="0"/>
                      <w:color w:val="auto"/>
                      <w:sz w:val="21"/>
                      <w:szCs w:val="21"/>
                      <w:highlight w:val="none"/>
                      <w:u w:val="none"/>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640" w:type="pct"/>
                  <w:vMerge w:val="continue"/>
                  <w:tcBorders>
                    <w:tl2br w:val="nil"/>
                    <w:tr2bl w:val="nil"/>
                  </w:tcBorders>
                  <w:noWrap w:val="0"/>
                  <w:vAlign w:val="center"/>
                </w:tcPr>
                <w:p>
                  <w:pPr>
                    <w:jc w:val="center"/>
                    <w:rPr>
                      <w:rFonts w:hint="default" w:ascii="Times New Roman" w:hAnsi="Times New Roman" w:eastAsia="宋体" w:cs="Times New Roman"/>
                      <w:b/>
                      <w:bCs/>
                      <w:i w:val="0"/>
                      <w:iCs w:val="0"/>
                      <w:color w:val="auto"/>
                      <w:sz w:val="21"/>
                      <w:szCs w:val="21"/>
                      <w:highlight w:val="none"/>
                      <w:u w:val="none"/>
                    </w:rPr>
                  </w:pPr>
                </w:p>
              </w:tc>
              <w:tc>
                <w:tcPr>
                  <w:tcW w:w="1227" w:type="pct"/>
                  <w:gridSpan w:val="2"/>
                  <w:vMerge w:val="continue"/>
                  <w:tcBorders>
                    <w:tl2br w:val="nil"/>
                    <w:tr2bl w:val="nil"/>
                  </w:tcBorders>
                  <w:noWrap w:val="0"/>
                  <w:vAlign w:val="center"/>
                </w:tcPr>
                <w:p>
                  <w:pPr>
                    <w:jc w:val="center"/>
                    <w:rPr>
                      <w:rFonts w:hint="default" w:ascii="Times New Roman" w:hAnsi="Times New Roman" w:eastAsia="宋体" w:cs="Times New Roman"/>
                      <w:b/>
                      <w:bCs/>
                      <w:i w:val="0"/>
                      <w:iCs w:val="0"/>
                      <w:color w:val="auto"/>
                      <w:sz w:val="21"/>
                      <w:szCs w:val="21"/>
                      <w:highlight w:val="none"/>
                      <w:u w:val="none"/>
                    </w:rPr>
                  </w:pPr>
                </w:p>
              </w:tc>
              <w:tc>
                <w:tcPr>
                  <w:tcW w:w="839" w:type="pct"/>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监测结果</w:t>
                  </w:r>
                </w:p>
              </w:tc>
              <w:tc>
                <w:tcPr>
                  <w:tcW w:w="680" w:type="pct"/>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标准指标</w:t>
                  </w:r>
                </w:p>
              </w:tc>
              <w:tc>
                <w:tcPr>
                  <w:tcW w:w="689" w:type="pct"/>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评价结果</w:t>
                  </w:r>
                </w:p>
              </w:tc>
              <w:tc>
                <w:tcPr>
                  <w:tcW w:w="923" w:type="pct"/>
                  <w:vMerge w:val="continue"/>
                  <w:tcBorders>
                    <w:tl2br w:val="nil"/>
                    <w:tr2bl w:val="nil"/>
                  </w:tcBorders>
                  <w:noWrap/>
                  <w:vAlign w:val="center"/>
                </w:tcPr>
                <w:p>
                  <w:pPr>
                    <w:jc w:val="center"/>
                    <w:rPr>
                      <w:rFonts w:hint="default" w:ascii="Times New Roman" w:hAnsi="Times New Roman" w:eastAsia="宋体" w:cs="Times New Roman"/>
                      <w:i w:val="0"/>
                      <w:iCs w:val="0"/>
                      <w:color w:val="auto"/>
                      <w:sz w:val="21"/>
                      <w:szCs w:val="21"/>
                      <w:highlight w:val="none"/>
                      <w:u w:val="none"/>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640" w:type="pct"/>
                  <w:vMerge w:val="restar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2022/1/20</w:t>
                  </w:r>
                </w:p>
              </w:tc>
              <w:tc>
                <w:tcPr>
                  <w:tcW w:w="716"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总悬浮颗粒物（µg/m</w:t>
                  </w:r>
                  <w:r>
                    <w:rPr>
                      <w:rStyle w:val="188"/>
                      <w:rFonts w:hint="default" w:ascii="Times New Roman" w:hAnsi="Times New Roman" w:eastAsia="宋体" w:cs="Times New Roman"/>
                      <w:color w:val="auto"/>
                      <w:sz w:val="21"/>
                      <w:szCs w:val="21"/>
                      <w:highlight w:val="none"/>
                      <w:lang w:val="en-US" w:eastAsia="zh-CN" w:bidi="ar"/>
                    </w:rPr>
                    <w:t>3</w:t>
                  </w: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511"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24小时均值</w:t>
                  </w:r>
                </w:p>
              </w:tc>
              <w:tc>
                <w:tcPr>
                  <w:tcW w:w="839"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174</w:t>
                  </w:r>
                </w:p>
              </w:tc>
              <w:tc>
                <w:tcPr>
                  <w:tcW w:w="680" w:type="pct"/>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0.58</w:t>
                  </w:r>
                </w:p>
              </w:tc>
              <w:tc>
                <w:tcPr>
                  <w:tcW w:w="689" w:type="pct"/>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未超标</w:t>
                  </w:r>
                </w:p>
              </w:tc>
              <w:tc>
                <w:tcPr>
                  <w:tcW w:w="923" w:type="pct"/>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300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640" w:type="pct"/>
                  <w:vMerge w:val="continue"/>
                  <w:tcBorders>
                    <w:tl2br w:val="nil"/>
                    <w:tr2bl w:val="nil"/>
                  </w:tcBorders>
                  <w:noWrap w:val="0"/>
                  <w:vAlign w:val="center"/>
                </w:tcPr>
                <w:p>
                  <w:pPr>
                    <w:jc w:val="center"/>
                    <w:rPr>
                      <w:rFonts w:hint="default" w:ascii="Times New Roman" w:hAnsi="Times New Roman" w:eastAsia="宋体" w:cs="Times New Roman"/>
                      <w:i w:val="0"/>
                      <w:iCs w:val="0"/>
                      <w:color w:val="auto"/>
                      <w:sz w:val="21"/>
                      <w:szCs w:val="21"/>
                      <w:highlight w:val="none"/>
                      <w:u w:val="none"/>
                    </w:rPr>
                  </w:pPr>
                </w:p>
              </w:tc>
              <w:tc>
                <w:tcPr>
                  <w:tcW w:w="716"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非甲烷总烃（mg/m</w:t>
                  </w:r>
                  <w:r>
                    <w:rPr>
                      <w:rStyle w:val="188"/>
                      <w:rFonts w:hint="default" w:ascii="Times New Roman" w:hAnsi="Times New Roman" w:eastAsia="宋体" w:cs="Times New Roman"/>
                      <w:color w:val="auto"/>
                      <w:sz w:val="21"/>
                      <w:szCs w:val="21"/>
                      <w:highlight w:val="none"/>
                      <w:lang w:val="en-US" w:eastAsia="zh-CN" w:bidi="ar"/>
                    </w:rPr>
                    <w:t>3</w:t>
                  </w: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511"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小时均值</w:t>
                  </w:r>
                </w:p>
              </w:tc>
              <w:tc>
                <w:tcPr>
                  <w:tcW w:w="839"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0.25</w:t>
                  </w:r>
                </w:p>
              </w:tc>
              <w:tc>
                <w:tcPr>
                  <w:tcW w:w="680" w:type="pct"/>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0.125</w:t>
                  </w:r>
                </w:p>
              </w:tc>
              <w:tc>
                <w:tcPr>
                  <w:tcW w:w="689" w:type="pct"/>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未超标</w:t>
                  </w:r>
                </w:p>
              </w:tc>
              <w:tc>
                <w:tcPr>
                  <w:tcW w:w="923" w:type="pct"/>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640" w:type="pct"/>
                  <w:vMerge w:val="continue"/>
                  <w:tcBorders>
                    <w:tl2br w:val="nil"/>
                    <w:tr2bl w:val="nil"/>
                  </w:tcBorders>
                  <w:noWrap w:val="0"/>
                  <w:vAlign w:val="center"/>
                </w:tcPr>
                <w:p>
                  <w:pPr>
                    <w:jc w:val="center"/>
                    <w:rPr>
                      <w:rFonts w:hint="default" w:ascii="Times New Roman" w:hAnsi="Times New Roman" w:eastAsia="宋体" w:cs="Times New Roman"/>
                      <w:i w:val="0"/>
                      <w:iCs w:val="0"/>
                      <w:color w:val="auto"/>
                      <w:sz w:val="21"/>
                      <w:szCs w:val="21"/>
                      <w:highlight w:val="none"/>
                      <w:u w:val="none"/>
                    </w:rPr>
                  </w:pPr>
                </w:p>
              </w:tc>
              <w:tc>
                <w:tcPr>
                  <w:tcW w:w="716"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苯并[a]芘*（ng/m³）</w:t>
                  </w:r>
                </w:p>
              </w:tc>
              <w:tc>
                <w:tcPr>
                  <w:tcW w:w="511"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24小时均值</w:t>
                  </w:r>
                </w:p>
              </w:tc>
              <w:tc>
                <w:tcPr>
                  <w:tcW w:w="839"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未检出</w:t>
                  </w:r>
                </w:p>
              </w:tc>
              <w:tc>
                <w:tcPr>
                  <w:tcW w:w="680" w:type="pct"/>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689" w:type="pct"/>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未超标</w:t>
                  </w:r>
                </w:p>
              </w:tc>
              <w:tc>
                <w:tcPr>
                  <w:tcW w:w="923" w:type="pct"/>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640" w:type="pct"/>
                  <w:vMerge w:val="restar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2022/1/21</w:t>
                  </w:r>
                </w:p>
              </w:tc>
              <w:tc>
                <w:tcPr>
                  <w:tcW w:w="716"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总悬浮颗粒物（µg/m</w:t>
                  </w:r>
                  <w:r>
                    <w:rPr>
                      <w:rStyle w:val="188"/>
                      <w:rFonts w:hint="default" w:ascii="Times New Roman" w:hAnsi="Times New Roman" w:eastAsia="宋体" w:cs="Times New Roman"/>
                      <w:color w:val="auto"/>
                      <w:sz w:val="21"/>
                      <w:szCs w:val="21"/>
                      <w:highlight w:val="none"/>
                      <w:lang w:val="en-US" w:eastAsia="zh-CN" w:bidi="ar"/>
                    </w:rPr>
                    <w:t>3</w:t>
                  </w: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511"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24小时均值</w:t>
                  </w:r>
                </w:p>
              </w:tc>
              <w:tc>
                <w:tcPr>
                  <w:tcW w:w="839"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178</w:t>
                  </w:r>
                </w:p>
              </w:tc>
              <w:tc>
                <w:tcPr>
                  <w:tcW w:w="680" w:type="pct"/>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0.59</w:t>
                  </w:r>
                </w:p>
              </w:tc>
              <w:tc>
                <w:tcPr>
                  <w:tcW w:w="689" w:type="pct"/>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未超标</w:t>
                  </w:r>
                </w:p>
              </w:tc>
              <w:tc>
                <w:tcPr>
                  <w:tcW w:w="923" w:type="pct"/>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300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640" w:type="pct"/>
                  <w:vMerge w:val="continue"/>
                  <w:tcBorders>
                    <w:tl2br w:val="nil"/>
                    <w:tr2bl w:val="nil"/>
                  </w:tcBorders>
                  <w:noWrap w:val="0"/>
                  <w:vAlign w:val="center"/>
                </w:tcPr>
                <w:p>
                  <w:pPr>
                    <w:jc w:val="center"/>
                    <w:rPr>
                      <w:rFonts w:hint="default" w:ascii="Times New Roman" w:hAnsi="Times New Roman" w:eastAsia="宋体" w:cs="Times New Roman"/>
                      <w:i w:val="0"/>
                      <w:iCs w:val="0"/>
                      <w:color w:val="auto"/>
                      <w:sz w:val="21"/>
                      <w:szCs w:val="21"/>
                      <w:highlight w:val="none"/>
                      <w:u w:val="none"/>
                    </w:rPr>
                  </w:pPr>
                </w:p>
              </w:tc>
              <w:tc>
                <w:tcPr>
                  <w:tcW w:w="716"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非甲烷总烃（mg/m</w:t>
                  </w:r>
                  <w:r>
                    <w:rPr>
                      <w:rStyle w:val="188"/>
                      <w:rFonts w:hint="default" w:ascii="Times New Roman" w:hAnsi="Times New Roman" w:eastAsia="宋体" w:cs="Times New Roman"/>
                      <w:color w:val="auto"/>
                      <w:sz w:val="21"/>
                      <w:szCs w:val="21"/>
                      <w:highlight w:val="none"/>
                      <w:lang w:val="en-US" w:eastAsia="zh-CN" w:bidi="ar"/>
                    </w:rPr>
                    <w:t>3</w:t>
                  </w: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511"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小时均值</w:t>
                  </w:r>
                </w:p>
              </w:tc>
              <w:tc>
                <w:tcPr>
                  <w:tcW w:w="839"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0.4</w:t>
                  </w:r>
                </w:p>
              </w:tc>
              <w:tc>
                <w:tcPr>
                  <w:tcW w:w="680" w:type="pct"/>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0.2</w:t>
                  </w:r>
                </w:p>
              </w:tc>
              <w:tc>
                <w:tcPr>
                  <w:tcW w:w="689" w:type="pct"/>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未超标</w:t>
                  </w:r>
                </w:p>
              </w:tc>
              <w:tc>
                <w:tcPr>
                  <w:tcW w:w="923" w:type="pct"/>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640" w:type="pct"/>
                  <w:vMerge w:val="continue"/>
                  <w:tcBorders>
                    <w:tl2br w:val="nil"/>
                    <w:tr2bl w:val="nil"/>
                  </w:tcBorders>
                  <w:noWrap w:val="0"/>
                  <w:vAlign w:val="center"/>
                </w:tcPr>
                <w:p>
                  <w:pPr>
                    <w:jc w:val="center"/>
                    <w:rPr>
                      <w:rFonts w:hint="default" w:ascii="Times New Roman" w:hAnsi="Times New Roman" w:eastAsia="宋体" w:cs="Times New Roman"/>
                      <w:i w:val="0"/>
                      <w:iCs w:val="0"/>
                      <w:color w:val="auto"/>
                      <w:sz w:val="21"/>
                      <w:szCs w:val="21"/>
                      <w:highlight w:val="none"/>
                      <w:u w:val="none"/>
                    </w:rPr>
                  </w:pPr>
                </w:p>
              </w:tc>
              <w:tc>
                <w:tcPr>
                  <w:tcW w:w="716"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苯并[a]芘*（ng/m³）</w:t>
                  </w:r>
                </w:p>
              </w:tc>
              <w:tc>
                <w:tcPr>
                  <w:tcW w:w="511"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24小时均值</w:t>
                  </w:r>
                </w:p>
              </w:tc>
              <w:tc>
                <w:tcPr>
                  <w:tcW w:w="839"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未检出</w:t>
                  </w:r>
                </w:p>
              </w:tc>
              <w:tc>
                <w:tcPr>
                  <w:tcW w:w="680" w:type="pct"/>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689" w:type="pct"/>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未超标</w:t>
                  </w:r>
                </w:p>
              </w:tc>
              <w:tc>
                <w:tcPr>
                  <w:tcW w:w="923" w:type="pct"/>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640" w:type="pct"/>
                  <w:vMerge w:val="restar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2022/1/22</w:t>
                  </w:r>
                </w:p>
              </w:tc>
              <w:tc>
                <w:tcPr>
                  <w:tcW w:w="716"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总悬浮颗粒物（µg/m</w:t>
                  </w:r>
                  <w:r>
                    <w:rPr>
                      <w:rStyle w:val="188"/>
                      <w:rFonts w:hint="default" w:ascii="Times New Roman" w:hAnsi="Times New Roman" w:eastAsia="宋体" w:cs="Times New Roman"/>
                      <w:color w:val="auto"/>
                      <w:sz w:val="21"/>
                      <w:szCs w:val="21"/>
                      <w:highlight w:val="none"/>
                      <w:lang w:val="en-US" w:eastAsia="zh-CN" w:bidi="ar"/>
                    </w:rPr>
                    <w:t>3</w:t>
                  </w: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511"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24小时均值</w:t>
                  </w:r>
                </w:p>
              </w:tc>
              <w:tc>
                <w:tcPr>
                  <w:tcW w:w="839"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86</w:t>
                  </w:r>
                </w:p>
              </w:tc>
              <w:tc>
                <w:tcPr>
                  <w:tcW w:w="680" w:type="pct"/>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0.2</w:t>
                  </w:r>
                  <w:r>
                    <w:rPr>
                      <w:rFonts w:hint="eastAsia" w:ascii="Times New Roman" w:hAnsi="Times New Roman" w:eastAsia="宋体" w:cs="Times New Roman"/>
                      <w:i w:val="0"/>
                      <w:iCs w:val="0"/>
                      <w:color w:val="auto"/>
                      <w:kern w:val="0"/>
                      <w:sz w:val="21"/>
                      <w:szCs w:val="21"/>
                      <w:highlight w:val="none"/>
                      <w:u w:val="none"/>
                      <w:lang w:val="en-US" w:eastAsia="zh-CN" w:bidi="ar"/>
                    </w:rPr>
                    <w:t>9</w:t>
                  </w:r>
                </w:p>
              </w:tc>
              <w:tc>
                <w:tcPr>
                  <w:tcW w:w="689" w:type="pct"/>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未超标</w:t>
                  </w:r>
                </w:p>
              </w:tc>
              <w:tc>
                <w:tcPr>
                  <w:tcW w:w="923" w:type="pct"/>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300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640" w:type="pct"/>
                  <w:vMerge w:val="continue"/>
                  <w:tcBorders>
                    <w:tl2br w:val="nil"/>
                    <w:tr2bl w:val="nil"/>
                  </w:tcBorders>
                  <w:noWrap w:val="0"/>
                  <w:vAlign w:val="center"/>
                </w:tcPr>
                <w:p>
                  <w:pPr>
                    <w:jc w:val="center"/>
                    <w:rPr>
                      <w:rFonts w:hint="default" w:ascii="Times New Roman" w:hAnsi="Times New Roman" w:eastAsia="宋体" w:cs="Times New Roman"/>
                      <w:i w:val="0"/>
                      <w:iCs w:val="0"/>
                      <w:color w:val="auto"/>
                      <w:sz w:val="21"/>
                      <w:szCs w:val="21"/>
                      <w:highlight w:val="none"/>
                      <w:u w:val="none"/>
                    </w:rPr>
                  </w:pPr>
                </w:p>
              </w:tc>
              <w:tc>
                <w:tcPr>
                  <w:tcW w:w="716"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非甲烷总烃（mg/m</w:t>
                  </w:r>
                  <w:r>
                    <w:rPr>
                      <w:rStyle w:val="188"/>
                      <w:rFonts w:hint="default" w:ascii="Times New Roman" w:hAnsi="Times New Roman" w:eastAsia="宋体" w:cs="Times New Roman"/>
                      <w:color w:val="auto"/>
                      <w:sz w:val="21"/>
                      <w:szCs w:val="21"/>
                      <w:highlight w:val="none"/>
                      <w:lang w:val="en-US" w:eastAsia="zh-CN" w:bidi="ar"/>
                    </w:rPr>
                    <w:t>3</w:t>
                  </w: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511"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小时均值</w:t>
                  </w:r>
                </w:p>
              </w:tc>
              <w:tc>
                <w:tcPr>
                  <w:tcW w:w="839"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0.39</w:t>
                  </w:r>
                </w:p>
              </w:tc>
              <w:tc>
                <w:tcPr>
                  <w:tcW w:w="680" w:type="pct"/>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0.195</w:t>
                  </w:r>
                </w:p>
              </w:tc>
              <w:tc>
                <w:tcPr>
                  <w:tcW w:w="689" w:type="pct"/>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未超标</w:t>
                  </w:r>
                </w:p>
              </w:tc>
              <w:tc>
                <w:tcPr>
                  <w:tcW w:w="923" w:type="pct"/>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640" w:type="pct"/>
                  <w:vMerge w:val="continue"/>
                  <w:tcBorders>
                    <w:tl2br w:val="nil"/>
                    <w:tr2bl w:val="nil"/>
                  </w:tcBorders>
                  <w:noWrap w:val="0"/>
                  <w:vAlign w:val="center"/>
                </w:tcPr>
                <w:p>
                  <w:pPr>
                    <w:jc w:val="center"/>
                    <w:rPr>
                      <w:rFonts w:hint="default" w:ascii="Times New Roman" w:hAnsi="Times New Roman" w:eastAsia="宋体" w:cs="Times New Roman"/>
                      <w:i w:val="0"/>
                      <w:iCs w:val="0"/>
                      <w:color w:val="auto"/>
                      <w:sz w:val="21"/>
                      <w:szCs w:val="21"/>
                      <w:highlight w:val="none"/>
                      <w:u w:val="none"/>
                    </w:rPr>
                  </w:pPr>
                </w:p>
              </w:tc>
              <w:tc>
                <w:tcPr>
                  <w:tcW w:w="716"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苯并[a]芘*（ng/m³）</w:t>
                  </w:r>
                </w:p>
              </w:tc>
              <w:tc>
                <w:tcPr>
                  <w:tcW w:w="511"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24小时均值</w:t>
                  </w:r>
                </w:p>
              </w:tc>
              <w:tc>
                <w:tcPr>
                  <w:tcW w:w="839"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0.5</w:t>
                  </w:r>
                </w:p>
              </w:tc>
              <w:tc>
                <w:tcPr>
                  <w:tcW w:w="680" w:type="pct"/>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0.2</w:t>
                  </w:r>
                </w:p>
              </w:tc>
              <w:tc>
                <w:tcPr>
                  <w:tcW w:w="689" w:type="pct"/>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未超标</w:t>
                  </w:r>
                </w:p>
              </w:tc>
              <w:tc>
                <w:tcPr>
                  <w:tcW w:w="923" w:type="pct"/>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640" w:type="pct"/>
                  <w:vMerge w:val="restar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2022/1/23</w:t>
                  </w:r>
                </w:p>
              </w:tc>
              <w:tc>
                <w:tcPr>
                  <w:tcW w:w="716"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总悬浮颗粒物（µg/m</w:t>
                  </w:r>
                  <w:r>
                    <w:rPr>
                      <w:rStyle w:val="188"/>
                      <w:rFonts w:hint="default" w:ascii="Times New Roman" w:hAnsi="Times New Roman" w:eastAsia="宋体" w:cs="Times New Roman"/>
                      <w:color w:val="auto"/>
                      <w:sz w:val="21"/>
                      <w:szCs w:val="21"/>
                      <w:highlight w:val="none"/>
                      <w:lang w:val="en-US" w:eastAsia="zh-CN" w:bidi="ar"/>
                    </w:rPr>
                    <w:t>3</w:t>
                  </w: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511"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24小时均值</w:t>
                  </w:r>
                </w:p>
              </w:tc>
              <w:tc>
                <w:tcPr>
                  <w:tcW w:w="839"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53</w:t>
                  </w:r>
                </w:p>
              </w:tc>
              <w:tc>
                <w:tcPr>
                  <w:tcW w:w="680" w:type="pct"/>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0.1</w:t>
                  </w:r>
                  <w:r>
                    <w:rPr>
                      <w:rFonts w:hint="eastAsia" w:ascii="Times New Roman" w:hAnsi="Times New Roman" w:eastAsia="宋体" w:cs="Times New Roman"/>
                      <w:i w:val="0"/>
                      <w:iCs w:val="0"/>
                      <w:color w:val="auto"/>
                      <w:kern w:val="0"/>
                      <w:sz w:val="21"/>
                      <w:szCs w:val="21"/>
                      <w:highlight w:val="none"/>
                      <w:u w:val="none"/>
                      <w:lang w:val="en-US" w:eastAsia="zh-CN" w:bidi="ar"/>
                    </w:rPr>
                    <w:t>8</w:t>
                  </w:r>
                </w:p>
              </w:tc>
              <w:tc>
                <w:tcPr>
                  <w:tcW w:w="689" w:type="pct"/>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未超标</w:t>
                  </w:r>
                </w:p>
              </w:tc>
              <w:tc>
                <w:tcPr>
                  <w:tcW w:w="923" w:type="pct"/>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300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640" w:type="pct"/>
                  <w:vMerge w:val="continue"/>
                  <w:tcBorders>
                    <w:tl2br w:val="nil"/>
                    <w:tr2bl w:val="nil"/>
                  </w:tcBorders>
                  <w:noWrap w:val="0"/>
                  <w:vAlign w:val="center"/>
                </w:tcPr>
                <w:p>
                  <w:pPr>
                    <w:jc w:val="center"/>
                    <w:rPr>
                      <w:rFonts w:hint="default" w:ascii="Times New Roman" w:hAnsi="Times New Roman" w:eastAsia="宋体" w:cs="Times New Roman"/>
                      <w:i w:val="0"/>
                      <w:iCs w:val="0"/>
                      <w:color w:val="auto"/>
                      <w:sz w:val="21"/>
                      <w:szCs w:val="21"/>
                      <w:highlight w:val="none"/>
                      <w:u w:val="none"/>
                    </w:rPr>
                  </w:pPr>
                </w:p>
              </w:tc>
              <w:tc>
                <w:tcPr>
                  <w:tcW w:w="716"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非甲烷总烃（mg/m</w:t>
                  </w:r>
                  <w:r>
                    <w:rPr>
                      <w:rStyle w:val="188"/>
                      <w:rFonts w:hint="default" w:ascii="Times New Roman" w:hAnsi="Times New Roman" w:eastAsia="宋体" w:cs="Times New Roman"/>
                      <w:color w:val="auto"/>
                      <w:sz w:val="21"/>
                      <w:szCs w:val="21"/>
                      <w:highlight w:val="none"/>
                      <w:lang w:val="en-US" w:eastAsia="zh-CN" w:bidi="ar"/>
                    </w:rPr>
                    <w:t>3</w:t>
                  </w: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511"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小时均值</w:t>
                  </w:r>
                </w:p>
              </w:tc>
              <w:tc>
                <w:tcPr>
                  <w:tcW w:w="839"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0.24</w:t>
                  </w:r>
                </w:p>
              </w:tc>
              <w:tc>
                <w:tcPr>
                  <w:tcW w:w="680" w:type="pct"/>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0.12</w:t>
                  </w:r>
                </w:p>
              </w:tc>
              <w:tc>
                <w:tcPr>
                  <w:tcW w:w="689" w:type="pct"/>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未超标</w:t>
                  </w:r>
                </w:p>
              </w:tc>
              <w:tc>
                <w:tcPr>
                  <w:tcW w:w="923" w:type="pct"/>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640" w:type="pct"/>
                  <w:vMerge w:val="continue"/>
                  <w:tcBorders>
                    <w:tl2br w:val="nil"/>
                    <w:tr2bl w:val="nil"/>
                  </w:tcBorders>
                  <w:noWrap w:val="0"/>
                  <w:vAlign w:val="center"/>
                </w:tcPr>
                <w:p>
                  <w:pPr>
                    <w:jc w:val="center"/>
                    <w:rPr>
                      <w:rFonts w:hint="default" w:ascii="Times New Roman" w:hAnsi="Times New Roman" w:eastAsia="宋体" w:cs="Times New Roman"/>
                      <w:i w:val="0"/>
                      <w:iCs w:val="0"/>
                      <w:color w:val="auto"/>
                      <w:sz w:val="21"/>
                      <w:szCs w:val="21"/>
                      <w:highlight w:val="none"/>
                      <w:u w:val="none"/>
                    </w:rPr>
                  </w:pPr>
                </w:p>
              </w:tc>
              <w:tc>
                <w:tcPr>
                  <w:tcW w:w="716"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苯并[a]芘*（ng/m³）</w:t>
                  </w:r>
                </w:p>
              </w:tc>
              <w:tc>
                <w:tcPr>
                  <w:tcW w:w="511"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24小时均值</w:t>
                  </w:r>
                </w:p>
              </w:tc>
              <w:tc>
                <w:tcPr>
                  <w:tcW w:w="839"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未检出</w:t>
                  </w:r>
                </w:p>
              </w:tc>
              <w:tc>
                <w:tcPr>
                  <w:tcW w:w="680" w:type="pct"/>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689" w:type="pct"/>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未超标</w:t>
                  </w:r>
                </w:p>
              </w:tc>
              <w:tc>
                <w:tcPr>
                  <w:tcW w:w="923" w:type="pct"/>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640" w:type="pct"/>
                  <w:vMerge w:val="restar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2022/1/24</w:t>
                  </w:r>
                </w:p>
              </w:tc>
              <w:tc>
                <w:tcPr>
                  <w:tcW w:w="716"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总悬浮颗粒物（µg/m</w:t>
                  </w:r>
                  <w:r>
                    <w:rPr>
                      <w:rStyle w:val="188"/>
                      <w:rFonts w:hint="default" w:ascii="Times New Roman" w:hAnsi="Times New Roman" w:eastAsia="宋体" w:cs="Times New Roman"/>
                      <w:color w:val="auto"/>
                      <w:sz w:val="21"/>
                      <w:szCs w:val="21"/>
                      <w:highlight w:val="none"/>
                      <w:lang w:val="en-US" w:eastAsia="zh-CN" w:bidi="ar"/>
                    </w:rPr>
                    <w:t>3</w:t>
                  </w: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511"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24小时均值</w:t>
                  </w:r>
                </w:p>
              </w:tc>
              <w:tc>
                <w:tcPr>
                  <w:tcW w:w="839"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62</w:t>
                  </w:r>
                </w:p>
              </w:tc>
              <w:tc>
                <w:tcPr>
                  <w:tcW w:w="680" w:type="pct"/>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0.2</w:t>
                  </w:r>
                  <w:r>
                    <w:rPr>
                      <w:rFonts w:hint="eastAsia" w:ascii="Times New Roman" w:hAnsi="Times New Roman" w:eastAsia="宋体" w:cs="Times New Roman"/>
                      <w:i w:val="0"/>
                      <w:iCs w:val="0"/>
                      <w:color w:val="auto"/>
                      <w:kern w:val="0"/>
                      <w:sz w:val="21"/>
                      <w:szCs w:val="21"/>
                      <w:highlight w:val="none"/>
                      <w:u w:val="none"/>
                      <w:lang w:val="en-US" w:eastAsia="zh-CN" w:bidi="ar"/>
                    </w:rPr>
                    <w:t>1</w:t>
                  </w:r>
                </w:p>
              </w:tc>
              <w:tc>
                <w:tcPr>
                  <w:tcW w:w="689" w:type="pct"/>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未超标</w:t>
                  </w:r>
                </w:p>
              </w:tc>
              <w:tc>
                <w:tcPr>
                  <w:tcW w:w="923" w:type="pct"/>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300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640" w:type="pct"/>
                  <w:vMerge w:val="continue"/>
                  <w:tcBorders>
                    <w:tl2br w:val="nil"/>
                    <w:tr2bl w:val="nil"/>
                  </w:tcBorders>
                  <w:noWrap w:val="0"/>
                  <w:vAlign w:val="center"/>
                </w:tcPr>
                <w:p>
                  <w:pPr>
                    <w:jc w:val="center"/>
                    <w:rPr>
                      <w:rFonts w:hint="default" w:ascii="Times New Roman" w:hAnsi="Times New Roman" w:eastAsia="宋体" w:cs="Times New Roman"/>
                      <w:i w:val="0"/>
                      <w:iCs w:val="0"/>
                      <w:color w:val="auto"/>
                      <w:sz w:val="21"/>
                      <w:szCs w:val="21"/>
                      <w:highlight w:val="none"/>
                      <w:u w:val="none"/>
                    </w:rPr>
                  </w:pPr>
                </w:p>
              </w:tc>
              <w:tc>
                <w:tcPr>
                  <w:tcW w:w="716"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非甲烷总烃（mg/m</w:t>
                  </w:r>
                  <w:r>
                    <w:rPr>
                      <w:rStyle w:val="188"/>
                      <w:rFonts w:hint="default" w:ascii="Times New Roman" w:hAnsi="Times New Roman" w:eastAsia="宋体" w:cs="Times New Roman"/>
                      <w:color w:val="auto"/>
                      <w:sz w:val="21"/>
                      <w:szCs w:val="21"/>
                      <w:highlight w:val="none"/>
                      <w:lang w:val="en-US" w:eastAsia="zh-CN" w:bidi="ar"/>
                    </w:rPr>
                    <w:t>3</w:t>
                  </w: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511"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小时均值</w:t>
                  </w:r>
                </w:p>
              </w:tc>
              <w:tc>
                <w:tcPr>
                  <w:tcW w:w="839"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0.27</w:t>
                  </w:r>
                </w:p>
              </w:tc>
              <w:tc>
                <w:tcPr>
                  <w:tcW w:w="680" w:type="pct"/>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0.135</w:t>
                  </w:r>
                </w:p>
              </w:tc>
              <w:tc>
                <w:tcPr>
                  <w:tcW w:w="689" w:type="pct"/>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未超标</w:t>
                  </w:r>
                </w:p>
              </w:tc>
              <w:tc>
                <w:tcPr>
                  <w:tcW w:w="923" w:type="pct"/>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640" w:type="pct"/>
                  <w:vMerge w:val="continue"/>
                  <w:tcBorders>
                    <w:tl2br w:val="nil"/>
                    <w:tr2bl w:val="nil"/>
                  </w:tcBorders>
                  <w:noWrap w:val="0"/>
                  <w:vAlign w:val="center"/>
                </w:tcPr>
                <w:p>
                  <w:pPr>
                    <w:jc w:val="center"/>
                    <w:rPr>
                      <w:rFonts w:hint="default" w:ascii="Times New Roman" w:hAnsi="Times New Roman" w:eastAsia="宋体" w:cs="Times New Roman"/>
                      <w:i w:val="0"/>
                      <w:iCs w:val="0"/>
                      <w:color w:val="auto"/>
                      <w:sz w:val="21"/>
                      <w:szCs w:val="21"/>
                      <w:highlight w:val="none"/>
                      <w:u w:val="none"/>
                    </w:rPr>
                  </w:pPr>
                </w:p>
              </w:tc>
              <w:tc>
                <w:tcPr>
                  <w:tcW w:w="716"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苯并[a]芘*（ng/m³）</w:t>
                  </w:r>
                </w:p>
              </w:tc>
              <w:tc>
                <w:tcPr>
                  <w:tcW w:w="511"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24小时均值</w:t>
                  </w:r>
                </w:p>
              </w:tc>
              <w:tc>
                <w:tcPr>
                  <w:tcW w:w="839"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未检出</w:t>
                  </w:r>
                </w:p>
              </w:tc>
              <w:tc>
                <w:tcPr>
                  <w:tcW w:w="680" w:type="pct"/>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689" w:type="pct"/>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未超标</w:t>
                  </w:r>
                </w:p>
              </w:tc>
              <w:tc>
                <w:tcPr>
                  <w:tcW w:w="923" w:type="pct"/>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640" w:type="pct"/>
                  <w:vMerge w:val="restar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2022/1/25</w:t>
                  </w:r>
                </w:p>
              </w:tc>
              <w:tc>
                <w:tcPr>
                  <w:tcW w:w="716"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总悬浮颗粒物（µg/m</w:t>
                  </w:r>
                  <w:r>
                    <w:rPr>
                      <w:rStyle w:val="188"/>
                      <w:rFonts w:hint="default" w:ascii="Times New Roman" w:hAnsi="Times New Roman" w:eastAsia="宋体" w:cs="Times New Roman"/>
                      <w:color w:val="auto"/>
                      <w:sz w:val="21"/>
                      <w:szCs w:val="21"/>
                      <w:highlight w:val="none"/>
                      <w:lang w:val="en-US" w:eastAsia="zh-CN" w:bidi="ar"/>
                    </w:rPr>
                    <w:t>3</w:t>
                  </w: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511"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24小时均值</w:t>
                  </w:r>
                </w:p>
              </w:tc>
              <w:tc>
                <w:tcPr>
                  <w:tcW w:w="839"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69</w:t>
                  </w:r>
                </w:p>
              </w:tc>
              <w:tc>
                <w:tcPr>
                  <w:tcW w:w="680" w:type="pct"/>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0.23</w:t>
                  </w:r>
                </w:p>
              </w:tc>
              <w:tc>
                <w:tcPr>
                  <w:tcW w:w="689" w:type="pct"/>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未超标</w:t>
                  </w:r>
                </w:p>
              </w:tc>
              <w:tc>
                <w:tcPr>
                  <w:tcW w:w="923" w:type="pct"/>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300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640" w:type="pct"/>
                  <w:vMerge w:val="continue"/>
                  <w:tcBorders>
                    <w:tl2br w:val="nil"/>
                    <w:tr2bl w:val="nil"/>
                  </w:tcBorders>
                  <w:noWrap w:val="0"/>
                  <w:vAlign w:val="center"/>
                </w:tcPr>
                <w:p>
                  <w:pPr>
                    <w:jc w:val="center"/>
                    <w:rPr>
                      <w:rFonts w:hint="default" w:ascii="Times New Roman" w:hAnsi="Times New Roman" w:eastAsia="宋体" w:cs="Times New Roman"/>
                      <w:i w:val="0"/>
                      <w:iCs w:val="0"/>
                      <w:color w:val="auto"/>
                      <w:sz w:val="21"/>
                      <w:szCs w:val="21"/>
                      <w:highlight w:val="none"/>
                      <w:u w:val="none"/>
                    </w:rPr>
                  </w:pPr>
                </w:p>
              </w:tc>
              <w:tc>
                <w:tcPr>
                  <w:tcW w:w="716"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非甲烷总烃（mg/m</w:t>
                  </w:r>
                  <w:r>
                    <w:rPr>
                      <w:rStyle w:val="188"/>
                      <w:rFonts w:hint="default" w:ascii="Times New Roman" w:hAnsi="Times New Roman" w:eastAsia="宋体" w:cs="Times New Roman"/>
                      <w:color w:val="auto"/>
                      <w:sz w:val="21"/>
                      <w:szCs w:val="21"/>
                      <w:highlight w:val="none"/>
                      <w:lang w:val="en-US" w:eastAsia="zh-CN" w:bidi="ar"/>
                    </w:rPr>
                    <w:t>3</w:t>
                  </w: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511"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小时均值</w:t>
                  </w:r>
                </w:p>
              </w:tc>
              <w:tc>
                <w:tcPr>
                  <w:tcW w:w="839"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0.34</w:t>
                  </w:r>
                </w:p>
              </w:tc>
              <w:tc>
                <w:tcPr>
                  <w:tcW w:w="680" w:type="pct"/>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0.17</w:t>
                  </w:r>
                </w:p>
              </w:tc>
              <w:tc>
                <w:tcPr>
                  <w:tcW w:w="689" w:type="pct"/>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未超标</w:t>
                  </w:r>
                </w:p>
              </w:tc>
              <w:tc>
                <w:tcPr>
                  <w:tcW w:w="923" w:type="pct"/>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640" w:type="pct"/>
                  <w:vMerge w:val="continue"/>
                  <w:tcBorders>
                    <w:tl2br w:val="nil"/>
                    <w:tr2bl w:val="nil"/>
                  </w:tcBorders>
                  <w:noWrap w:val="0"/>
                  <w:vAlign w:val="center"/>
                </w:tcPr>
                <w:p>
                  <w:pPr>
                    <w:jc w:val="center"/>
                    <w:rPr>
                      <w:rFonts w:hint="default" w:ascii="Times New Roman" w:hAnsi="Times New Roman" w:eastAsia="宋体" w:cs="Times New Roman"/>
                      <w:i w:val="0"/>
                      <w:iCs w:val="0"/>
                      <w:color w:val="auto"/>
                      <w:sz w:val="21"/>
                      <w:szCs w:val="21"/>
                      <w:highlight w:val="none"/>
                      <w:u w:val="none"/>
                    </w:rPr>
                  </w:pPr>
                </w:p>
              </w:tc>
              <w:tc>
                <w:tcPr>
                  <w:tcW w:w="716"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苯并[a]芘*（ng/m³）</w:t>
                  </w:r>
                </w:p>
              </w:tc>
              <w:tc>
                <w:tcPr>
                  <w:tcW w:w="511"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24小时均值</w:t>
                  </w:r>
                </w:p>
              </w:tc>
              <w:tc>
                <w:tcPr>
                  <w:tcW w:w="839"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未检出</w:t>
                  </w:r>
                </w:p>
              </w:tc>
              <w:tc>
                <w:tcPr>
                  <w:tcW w:w="680" w:type="pct"/>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689" w:type="pct"/>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未超标</w:t>
                  </w:r>
                </w:p>
              </w:tc>
              <w:tc>
                <w:tcPr>
                  <w:tcW w:w="923" w:type="pct"/>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640" w:type="pct"/>
                  <w:vMerge w:val="restar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2022/1/26</w:t>
                  </w:r>
                </w:p>
              </w:tc>
              <w:tc>
                <w:tcPr>
                  <w:tcW w:w="716"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总悬浮颗粒物（µg/m</w:t>
                  </w:r>
                  <w:r>
                    <w:rPr>
                      <w:rStyle w:val="188"/>
                      <w:rFonts w:hint="default" w:ascii="Times New Roman" w:hAnsi="Times New Roman" w:eastAsia="宋体" w:cs="Times New Roman"/>
                      <w:color w:val="auto"/>
                      <w:sz w:val="21"/>
                      <w:szCs w:val="21"/>
                      <w:highlight w:val="none"/>
                      <w:lang w:val="en-US" w:eastAsia="zh-CN" w:bidi="ar"/>
                    </w:rPr>
                    <w:t>3</w:t>
                  </w: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511"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24小时均值</w:t>
                  </w:r>
                </w:p>
              </w:tc>
              <w:tc>
                <w:tcPr>
                  <w:tcW w:w="839"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47</w:t>
                  </w:r>
                </w:p>
              </w:tc>
              <w:tc>
                <w:tcPr>
                  <w:tcW w:w="680" w:type="pct"/>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0.15</w:t>
                  </w:r>
                  <w:r>
                    <w:rPr>
                      <w:rFonts w:hint="eastAsia" w:ascii="Times New Roman" w:hAnsi="Times New Roman" w:eastAsia="宋体" w:cs="Times New Roman"/>
                      <w:i w:val="0"/>
                      <w:iCs w:val="0"/>
                      <w:color w:val="auto"/>
                      <w:kern w:val="0"/>
                      <w:sz w:val="21"/>
                      <w:szCs w:val="21"/>
                      <w:highlight w:val="none"/>
                      <w:u w:val="none"/>
                      <w:lang w:val="en-US" w:eastAsia="zh-CN" w:bidi="ar"/>
                    </w:rPr>
                    <w:t>7</w:t>
                  </w:r>
                </w:p>
              </w:tc>
              <w:tc>
                <w:tcPr>
                  <w:tcW w:w="689" w:type="pct"/>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未超标</w:t>
                  </w:r>
                </w:p>
              </w:tc>
              <w:tc>
                <w:tcPr>
                  <w:tcW w:w="923" w:type="pct"/>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300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640" w:type="pct"/>
                  <w:vMerge w:val="continue"/>
                  <w:tcBorders>
                    <w:tl2br w:val="nil"/>
                    <w:tr2bl w:val="nil"/>
                  </w:tcBorders>
                  <w:noWrap w:val="0"/>
                  <w:vAlign w:val="center"/>
                </w:tcPr>
                <w:p>
                  <w:pPr>
                    <w:jc w:val="center"/>
                    <w:rPr>
                      <w:rFonts w:hint="default" w:ascii="Times New Roman" w:hAnsi="Times New Roman" w:eastAsia="宋体" w:cs="Times New Roman"/>
                      <w:i w:val="0"/>
                      <w:iCs w:val="0"/>
                      <w:color w:val="auto"/>
                      <w:sz w:val="21"/>
                      <w:szCs w:val="21"/>
                      <w:highlight w:val="none"/>
                      <w:u w:val="none"/>
                    </w:rPr>
                  </w:pPr>
                </w:p>
              </w:tc>
              <w:tc>
                <w:tcPr>
                  <w:tcW w:w="716"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非甲烷总烃（mg/m</w:t>
                  </w:r>
                  <w:r>
                    <w:rPr>
                      <w:rStyle w:val="188"/>
                      <w:rFonts w:hint="default" w:ascii="Times New Roman" w:hAnsi="Times New Roman" w:eastAsia="宋体" w:cs="Times New Roman"/>
                      <w:color w:val="auto"/>
                      <w:sz w:val="21"/>
                      <w:szCs w:val="21"/>
                      <w:highlight w:val="none"/>
                      <w:lang w:val="en-US" w:eastAsia="zh-CN" w:bidi="ar"/>
                    </w:rPr>
                    <w:t>3</w:t>
                  </w: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511"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小时均值</w:t>
                  </w:r>
                </w:p>
              </w:tc>
              <w:tc>
                <w:tcPr>
                  <w:tcW w:w="839"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0.26</w:t>
                  </w:r>
                </w:p>
              </w:tc>
              <w:tc>
                <w:tcPr>
                  <w:tcW w:w="680" w:type="pct"/>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0.13</w:t>
                  </w:r>
                </w:p>
              </w:tc>
              <w:tc>
                <w:tcPr>
                  <w:tcW w:w="689" w:type="pct"/>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未超标</w:t>
                  </w:r>
                </w:p>
              </w:tc>
              <w:tc>
                <w:tcPr>
                  <w:tcW w:w="923" w:type="pct"/>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640" w:type="pct"/>
                  <w:vMerge w:val="continue"/>
                  <w:tcBorders>
                    <w:tl2br w:val="nil"/>
                    <w:tr2bl w:val="nil"/>
                  </w:tcBorders>
                  <w:noWrap w:val="0"/>
                  <w:vAlign w:val="center"/>
                </w:tcPr>
                <w:p>
                  <w:pPr>
                    <w:jc w:val="center"/>
                    <w:rPr>
                      <w:rFonts w:hint="default" w:ascii="Times New Roman" w:hAnsi="Times New Roman" w:eastAsia="宋体" w:cs="Times New Roman"/>
                      <w:i w:val="0"/>
                      <w:iCs w:val="0"/>
                      <w:color w:val="auto"/>
                      <w:sz w:val="21"/>
                      <w:szCs w:val="21"/>
                      <w:highlight w:val="none"/>
                      <w:u w:val="none"/>
                    </w:rPr>
                  </w:pPr>
                </w:p>
              </w:tc>
              <w:tc>
                <w:tcPr>
                  <w:tcW w:w="716"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苯并[a]芘*（ng/m³）</w:t>
                  </w:r>
                </w:p>
              </w:tc>
              <w:tc>
                <w:tcPr>
                  <w:tcW w:w="511"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24小时均值</w:t>
                  </w:r>
                </w:p>
              </w:tc>
              <w:tc>
                <w:tcPr>
                  <w:tcW w:w="839"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未检出</w:t>
                  </w:r>
                </w:p>
              </w:tc>
              <w:tc>
                <w:tcPr>
                  <w:tcW w:w="680" w:type="pct"/>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689" w:type="pct"/>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未超标</w:t>
                  </w:r>
                </w:p>
              </w:tc>
              <w:tc>
                <w:tcPr>
                  <w:tcW w:w="923" w:type="pct"/>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2.5</w:t>
                  </w:r>
                </w:p>
              </w:tc>
            </w:tr>
          </w:tbl>
          <w:p>
            <w:pPr>
              <w:widowControl/>
              <w:spacing w:line="360" w:lineRule="auto"/>
              <w:ind w:firstLine="480"/>
              <w:rPr>
                <w:color w:val="auto"/>
                <w:sz w:val="24"/>
                <w:highlight w:val="none"/>
              </w:rPr>
            </w:pPr>
            <w:r>
              <w:rPr>
                <w:color w:val="auto"/>
                <w:sz w:val="24"/>
                <w:highlight w:val="none"/>
              </w:rPr>
              <w:t>从计算结果可以看出，项目区TSP、</w:t>
            </w:r>
            <w:r>
              <w:rPr>
                <w:rFonts w:hint="eastAsia"/>
                <w:color w:val="auto"/>
                <w:kern w:val="0"/>
                <w:sz w:val="24"/>
                <w:highlight w:val="none"/>
                <w:lang w:bidi="ar"/>
              </w:rPr>
              <w:t>苯并芘</w:t>
            </w:r>
            <w:r>
              <w:rPr>
                <w:color w:val="auto"/>
                <w:sz w:val="24"/>
                <w:highlight w:val="none"/>
              </w:rPr>
              <w:t>监测值满足《环境空气质量标准》（GB3095-2012）（2018年修改）中的二级标准</w:t>
            </w:r>
            <w:r>
              <w:rPr>
                <w:rFonts w:hint="eastAsia"/>
                <w:color w:val="auto"/>
                <w:sz w:val="24"/>
                <w:highlight w:val="none"/>
                <w:lang w:eastAsia="zh-CN"/>
              </w:rPr>
              <w:t>，</w:t>
            </w:r>
            <w:r>
              <w:rPr>
                <w:rFonts w:hint="eastAsia"/>
                <w:color w:val="auto"/>
                <w:sz w:val="24"/>
                <w:highlight w:val="none"/>
                <w:lang w:val="en-US" w:eastAsia="zh-CN"/>
              </w:rPr>
              <w:t>非甲烷总烃满足《大气污染物综合排放标准详解》中2mg/m</w:t>
            </w:r>
            <w:r>
              <w:rPr>
                <w:rFonts w:hint="eastAsia"/>
                <w:color w:val="auto"/>
                <w:sz w:val="24"/>
                <w:highlight w:val="none"/>
                <w:vertAlign w:val="superscript"/>
                <w:lang w:val="en-US" w:eastAsia="zh-CN"/>
              </w:rPr>
              <w:t>3</w:t>
            </w:r>
            <w:r>
              <w:rPr>
                <w:rFonts w:hint="eastAsia"/>
                <w:color w:val="auto"/>
                <w:sz w:val="24"/>
                <w:highlight w:val="none"/>
                <w:lang w:val="en-US" w:eastAsia="zh-CN"/>
              </w:rPr>
              <w:t>的标准限值</w:t>
            </w:r>
            <w:r>
              <w:rPr>
                <w:color w:val="auto"/>
                <w:sz w:val="24"/>
                <w:highlight w:val="none"/>
              </w:rPr>
              <w:t>。</w:t>
            </w:r>
          </w:p>
          <w:p>
            <w:pPr>
              <w:pStyle w:val="14"/>
              <w:spacing w:before="120" w:beforeLines="50" w:line="360" w:lineRule="auto"/>
              <w:rPr>
                <w:rFonts w:eastAsia="宋体"/>
                <w:b/>
                <w:bCs/>
                <w:color w:val="auto"/>
                <w:sz w:val="24"/>
                <w:highlight w:val="none"/>
              </w:rPr>
            </w:pPr>
            <w:r>
              <w:rPr>
                <w:rFonts w:hint="eastAsia" w:eastAsia="宋体"/>
                <w:b/>
                <w:bCs/>
                <w:color w:val="auto"/>
                <w:sz w:val="24"/>
                <w:highlight w:val="none"/>
              </w:rPr>
              <w:t>2、地表水环境质量现状</w:t>
            </w:r>
          </w:p>
          <w:p>
            <w:pPr>
              <w:pStyle w:val="14"/>
              <w:spacing w:line="360" w:lineRule="auto"/>
              <w:ind w:firstLine="480" w:firstLineChars="200"/>
              <w:rPr>
                <w:rFonts w:hint="eastAsia" w:eastAsia="宋体"/>
                <w:color w:val="auto"/>
                <w:sz w:val="24"/>
                <w:highlight w:val="none"/>
              </w:rPr>
            </w:pPr>
            <w:r>
              <w:rPr>
                <w:rFonts w:hint="eastAsia" w:eastAsia="宋体"/>
                <w:color w:val="auto"/>
                <w:sz w:val="24"/>
                <w:highlight w:val="none"/>
              </w:rPr>
              <w:t>根据乐山市生态环境局公布的《乐山市2019年环境质量公报》地表水环境质量信息，2020年水环境质量创“十三五”以来最好水平，岷江乐山段出境断面月波水质从“十二五”末Ⅴ类，于“十三五”末改善至Ⅱ类。全市4个国家考核断面李码头、姜公堰、马边河河口断面、出境断面月波水质均为Ⅱ类，水质优；2个省级考核断面龙溪河口水质为Ⅱ类，水质优，茫溪河茫溪大桥断面达到Ⅳ类水质目标考核要求。2020年，为了进一步完善地表水监测网络，乐山市设置了38个市控断面，主要集中在小支流。其中，岷江乐山段干流及其支流断面水质类别为Ⅱ～Ⅴ类；大渡河干流及其支流断面水质类别为Ⅱ～Ⅲ类；青衣江干流及支流断面水质类别为Ⅱ～Ⅲ类；马边河干流及其支流断面水质类别为Ⅱ～Ⅲ类；茫溪河干流及其支流断面水质类别为Ⅲ～劣Ⅴ类；龙溪河断面水质类别为Ⅱ类。同比，2020年，乐山市水环境取得明显成效，水环境质量大幅提升。</w:t>
            </w:r>
          </w:p>
          <w:p>
            <w:pPr>
              <w:pStyle w:val="14"/>
              <w:spacing w:line="360" w:lineRule="auto"/>
              <w:ind w:firstLine="480" w:firstLineChars="200"/>
              <w:rPr>
                <w:rFonts w:hint="eastAsia" w:eastAsia="宋体"/>
                <w:color w:val="auto"/>
                <w:sz w:val="24"/>
                <w:highlight w:val="none"/>
              </w:rPr>
            </w:pPr>
            <w:r>
              <w:rPr>
                <w:rFonts w:hint="eastAsia" w:eastAsia="宋体"/>
                <w:color w:val="auto"/>
                <w:sz w:val="24"/>
                <w:highlight w:val="none"/>
              </w:rPr>
              <w:t>因此，本项目周边地表水环境质量良好。</w:t>
            </w:r>
          </w:p>
          <w:p>
            <w:pPr>
              <w:pStyle w:val="14"/>
              <w:spacing w:line="360" w:lineRule="auto"/>
              <w:rPr>
                <w:rFonts w:eastAsia="宋体"/>
                <w:b/>
                <w:bCs/>
                <w:color w:val="auto"/>
                <w:sz w:val="24"/>
                <w:highlight w:val="none"/>
              </w:rPr>
            </w:pPr>
            <w:r>
              <w:rPr>
                <w:rFonts w:hint="eastAsia" w:eastAsia="宋体"/>
                <w:b/>
                <w:bCs/>
                <w:color w:val="auto"/>
                <w:sz w:val="24"/>
                <w:highlight w:val="none"/>
              </w:rPr>
              <w:t>3、声环境质量现状</w:t>
            </w:r>
          </w:p>
          <w:p>
            <w:pPr>
              <w:pStyle w:val="14"/>
              <w:spacing w:line="360" w:lineRule="auto"/>
              <w:ind w:firstLine="480" w:firstLineChars="200"/>
              <w:rPr>
                <w:rFonts w:hint="eastAsia" w:eastAsia="宋体"/>
                <w:color w:val="auto"/>
                <w:sz w:val="24"/>
                <w:highlight w:val="none"/>
              </w:rPr>
            </w:pPr>
            <w:r>
              <w:rPr>
                <w:rFonts w:hint="eastAsia" w:eastAsia="宋体"/>
                <w:color w:val="auto"/>
                <w:sz w:val="24"/>
                <w:highlight w:val="none"/>
              </w:rPr>
              <w:t>根据本项目环境评价的等级、范围、保护目标及周围环境功能区划，本次环评委托四川清蓝检测科技有限公司对本项目所在声环境质量现状进行现场监测。</w:t>
            </w:r>
          </w:p>
          <w:p>
            <w:pPr>
              <w:pStyle w:val="14"/>
              <w:spacing w:line="360" w:lineRule="auto"/>
              <w:ind w:firstLine="480" w:firstLineChars="200"/>
              <w:rPr>
                <w:rFonts w:hint="eastAsia" w:eastAsia="宋体"/>
                <w:color w:val="auto"/>
                <w:sz w:val="24"/>
                <w:highlight w:val="none"/>
              </w:rPr>
            </w:pPr>
            <w:r>
              <w:rPr>
                <w:rFonts w:hint="eastAsia" w:eastAsia="宋体"/>
                <w:color w:val="auto"/>
                <w:sz w:val="24"/>
                <w:highlight w:val="none"/>
              </w:rPr>
              <w:t>监测指标：等效连续A声级；</w:t>
            </w:r>
          </w:p>
          <w:p>
            <w:pPr>
              <w:pStyle w:val="14"/>
              <w:spacing w:line="360" w:lineRule="auto"/>
              <w:ind w:firstLine="480" w:firstLineChars="200"/>
              <w:rPr>
                <w:rFonts w:hint="eastAsia" w:eastAsia="宋体"/>
                <w:color w:val="auto"/>
                <w:sz w:val="24"/>
                <w:highlight w:val="none"/>
              </w:rPr>
            </w:pPr>
            <w:r>
              <w:rPr>
                <w:rFonts w:hint="eastAsia" w:eastAsia="宋体"/>
                <w:color w:val="auto"/>
                <w:sz w:val="24"/>
                <w:highlight w:val="none"/>
              </w:rPr>
              <w:t>监测时间及频率：连续监测2天，昼夜各一次；</w:t>
            </w:r>
          </w:p>
          <w:p>
            <w:pPr>
              <w:pStyle w:val="14"/>
              <w:spacing w:line="360" w:lineRule="auto"/>
              <w:ind w:firstLine="480" w:firstLineChars="200"/>
              <w:rPr>
                <w:rFonts w:hint="eastAsia" w:eastAsia="宋体"/>
                <w:color w:val="auto"/>
                <w:sz w:val="24"/>
                <w:highlight w:val="none"/>
              </w:rPr>
            </w:pPr>
            <w:r>
              <w:rPr>
                <w:rFonts w:hint="eastAsia" w:eastAsia="宋体"/>
                <w:color w:val="auto"/>
                <w:sz w:val="24"/>
                <w:highlight w:val="none"/>
              </w:rPr>
              <w:t>监测点位及监测结果：根据项目所在地情况，共布设6个声环境质量现状监测点位，监测点位如下表所示。</w:t>
            </w:r>
          </w:p>
          <w:p>
            <w:pPr>
              <w:jc w:val="center"/>
              <w:rPr>
                <w:rFonts w:hint="eastAsia"/>
                <w:color w:val="auto"/>
                <w:highlight w:val="none"/>
              </w:rPr>
            </w:pPr>
            <w:r>
              <w:rPr>
                <w:rFonts w:hint="eastAsia"/>
                <w:b/>
                <w:bCs/>
                <w:color w:val="auto"/>
                <w:sz w:val="24"/>
                <w:highlight w:val="none"/>
              </w:rPr>
              <w:t>表3-5 项目声环境质量现状监测布点</w:t>
            </w:r>
          </w:p>
          <w:tbl>
            <w:tblPr>
              <w:tblStyle w:val="39"/>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04"/>
              <w:gridCol w:w="1050"/>
              <w:gridCol w:w="1967"/>
              <w:gridCol w:w="1416"/>
              <w:gridCol w:w="1067"/>
              <w:gridCol w:w="1289"/>
              <w:gridCol w:w="74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804" w:type="dxa"/>
                  <w:noWrap w:val="0"/>
                  <w:vAlign w:val="center"/>
                </w:tcPr>
                <w:p>
                  <w:pPr>
                    <w:spacing w:line="220" w:lineRule="atLeast"/>
                    <w:jc w:val="center"/>
                    <w:rPr>
                      <w:b/>
                      <w:color w:val="auto"/>
                      <w:szCs w:val="21"/>
                      <w:highlight w:val="none"/>
                    </w:rPr>
                  </w:pPr>
                  <w:r>
                    <w:rPr>
                      <w:rFonts w:hint="eastAsia"/>
                      <w:b/>
                      <w:color w:val="auto"/>
                      <w:szCs w:val="21"/>
                      <w:highlight w:val="none"/>
                    </w:rPr>
                    <w:t>检</w:t>
                  </w:r>
                  <w:r>
                    <w:rPr>
                      <w:b/>
                      <w:color w:val="auto"/>
                      <w:szCs w:val="21"/>
                      <w:highlight w:val="none"/>
                    </w:rPr>
                    <w:t>测</w:t>
                  </w:r>
                </w:p>
                <w:p>
                  <w:pPr>
                    <w:spacing w:line="220" w:lineRule="atLeast"/>
                    <w:jc w:val="center"/>
                    <w:rPr>
                      <w:b/>
                      <w:color w:val="auto"/>
                      <w:szCs w:val="21"/>
                      <w:highlight w:val="none"/>
                    </w:rPr>
                  </w:pPr>
                  <w:r>
                    <w:rPr>
                      <w:b/>
                      <w:color w:val="auto"/>
                      <w:szCs w:val="21"/>
                      <w:highlight w:val="none"/>
                    </w:rPr>
                    <w:t>类别</w:t>
                  </w:r>
                </w:p>
              </w:tc>
              <w:tc>
                <w:tcPr>
                  <w:tcW w:w="1050" w:type="dxa"/>
                  <w:noWrap w:val="0"/>
                  <w:vAlign w:val="center"/>
                </w:tcPr>
                <w:p>
                  <w:pPr>
                    <w:spacing w:line="220" w:lineRule="atLeast"/>
                    <w:jc w:val="center"/>
                    <w:rPr>
                      <w:b/>
                      <w:color w:val="auto"/>
                      <w:szCs w:val="21"/>
                      <w:highlight w:val="none"/>
                    </w:rPr>
                  </w:pPr>
                  <w:r>
                    <w:rPr>
                      <w:b/>
                      <w:color w:val="auto"/>
                      <w:szCs w:val="21"/>
                      <w:highlight w:val="none"/>
                    </w:rPr>
                    <w:t>点位</w:t>
                  </w:r>
                </w:p>
                <w:p>
                  <w:pPr>
                    <w:spacing w:line="220" w:lineRule="atLeast"/>
                    <w:jc w:val="center"/>
                    <w:rPr>
                      <w:b/>
                      <w:color w:val="auto"/>
                      <w:szCs w:val="21"/>
                      <w:highlight w:val="none"/>
                    </w:rPr>
                  </w:pPr>
                  <w:r>
                    <w:rPr>
                      <w:b/>
                      <w:color w:val="auto"/>
                      <w:szCs w:val="21"/>
                      <w:highlight w:val="none"/>
                    </w:rPr>
                    <w:t>编号</w:t>
                  </w:r>
                </w:p>
              </w:tc>
              <w:tc>
                <w:tcPr>
                  <w:tcW w:w="1967" w:type="dxa"/>
                  <w:noWrap w:val="0"/>
                  <w:vAlign w:val="center"/>
                </w:tcPr>
                <w:p>
                  <w:pPr>
                    <w:spacing w:line="220" w:lineRule="atLeast"/>
                    <w:jc w:val="center"/>
                    <w:rPr>
                      <w:b/>
                      <w:color w:val="auto"/>
                      <w:szCs w:val="21"/>
                      <w:highlight w:val="none"/>
                    </w:rPr>
                  </w:pPr>
                  <w:r>
                    <w:rPr>
                      <w:b/>
                      <w:color w:val="auto"/>
                      <w:szCs w:val="21"/>
                      <w:highlight w:val="none"/>
                    </w:rPr>
                    <w:t>点位名称</w:t>
                  </w:r>
                </w:p>
              </w:tc>
              <w:tc>
                <w:tcPr>
                  <w:tcW w:w="1416" w:type="dxa"/>
                  <w:noWrap w:val="0"/>
                  <w:vAlign w:val="center"/>
                </w:tcPr>
                <w:p>
                  <w:pPr>
                    <w:spacing w:line="220" w:lineRule="atLeast"/>
                    <w:jc w:val="center"/>
                    <w:rPr>
                      <w:b/>
                      <w:color w:val="auto"/>
                      <w:szCs w:val="21"/>
                      <w:highlight w:val="none"/>
                    </w:rPr>
                  </w:pPr>
                  <w:r>
                    <w:rPr>
                      <w:rFonts w:hint="eastAsia"/>
                      <w:b/>
                      <w:color w:val="auto"/>
                      <w:szCs w:val="21"/>
                      <w:highlight w:val="none"/>
                    </w:rPr>
                    <w:t>检</w:t>
                  </w:r>
                  <w:r>
                    <w:rPr>
                      <w:b/>
                      <w:color w:val="auto"/>
                      <w:szCs w:val="21"/>
                      <w:highlight w:val="none"/>
                    </w:rPr>
                    <w:t>测项目</w:t>
                  </w:r>
                </w:p>
              </w:tc>
              <w:tc>
                <w:tcPr>
                  <w:tcW w:w="1067" w:type="dxa"/>
                  <w:noWrap w:val="0"/>
                  <w:vAlign w:val="center"/>
                </w:tcPr>
                <w:p>
                  <w:pPr>
                    <w:spacing w:line="220" w:lineRule="atLeast"/>
                    <w:jc w:val="center"/>
                    <w:rPr>
                      <w:b/>
                      <w:color w:val="auto"/>
                      <w:szCs w:val="21"/>
                      <w:highlight w:val="none"/>
                    </w:rPr>
                  </w:pPr>
                  <w:r>
                    <w:rPr>
                      <w:rFonts w:hint="eastAsia"/>
                      <w:b/>
                      <w:color w:val="auto"/>
                      <w:szCs w:val="21"/>
                      <w:highlight w:val="none"/>
                    </w:rPr>
                    <w:t>样品状态</w:t>
                  </w:r>
                </w:p>
              </w:tc>
              <w:tc>
                <w:tcPr>
                  <w:tcW w:w="1289" w:type="dxa"/>
                  <w:noWrap w:val="0"/>
                  <w:vAlign w:val="center"/>
                </w:tcPr>
                <w:p>
                  <w:pPr>
                    <w:spacing w:line="220" w:lineRule="atLeast"/>
                    <w:jc w:val="center"/>
                    <w:rPr>
                      <w:b/>
                      <w:color w:val="auto"/>
                      <w:szCs w:val="21"/>
                      <w:highlight w:val="none"/>
                    </w:rPr>
                  </w:pPr>
                  <w:r>
                    <w:rPr>
                      <w:b/>
                      <w:color w:val="auto"/>
                      <w:szCs w:val="21"/>
                      <w:highlight w:val="none"/>
                    </w:rPr>
                    <w:t>频次</w:t>
                  </w:r>
                </w:p>
              </w:tc>
              <w:tc>
                <w:tcPr>
                  <w:tcW w:w="743" w:type="dxa"/>
                  <w:noWrap w:val="0"/>
                  <w:vAlign w:val="center"/>
                </w:tcPr>
                <w:p>
                  <w:pPr>
                    <w:spacing w:line="220" w:lineRule="atLeast"/>
                    <w:jc w:val="center"/>
                    <w:rPr>
                      <w:b/>
                      <w:color w:val="auto"/>
                      <w:szCs w:val="21"/>
                      <w:highlight w:val="none"/>
                    </w:rPr>
                  </w:pPr>
                  <w:r>
                    <w:rPr>
                      <w:b/>
                      <w:color w:val="auto"/>
                      <w:szCs w:val="21"/>
                      <w:highlight w:val="none"/>
                    </w:rPr>
                    <w:t>周期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804" w:type="dxa"/>
                  <w:vMerge w:val="restart"/>
                  <w:noWrap w:val="0"/>
                  <w:vAlign w:val="center"/>
                </w:tcPr>
                <w:p>
                  <w:pPr>
                    <w:spacing w:line="220" w:lineRule="atLeast"/>
                    <w:jc w:val="center"/>
                    <w:rPr>
                      <w:rFonts w:hint="eastAsia"/>
                      <w:color w:val="auto"/>
                      <w:szCs w:val="21"/>
                      <w:highlight w:val="none"/>
                    </w:rPr>
                  </w:pPr>
                  <w:r>
                    <w:rPr>
                      <w:rFonts w:hint="eastAsia"/>
                      <w:color w:val="auto"/>
                      <w:szCs w:val="21"/>
                      <w:highlight w:val="none"/>
                    </w:rPr>
                    <w:t>噪声</w:t>
                  </w:r>
                </w:p>
              </w:tc>
              <w:tc>
                <w:tcPr>
                  <w:tcW w:w="1050" w:type="dxa"/>
                  <w:noWrap w:val="0"/>
                  <w:vAlign w:val="center"/>
                </w:tcPr>
                <w:p>
                  <w:pPr>
                    <w:spacing w:line="220" w:lineRule="atLeast"/>
                    <w:jc w:val="center"/>
                    <w:rPr>
                      <w:color w:val="auto"/>
                      <w:highlight w:val="none"/>
                    </w:rPr>
                  </w:pPr>
                  <w:r>
                    <w:rPr>
                      <w:rFonts w:hint="eastAsia"/>
                      <w:color w:val="auto"/>
                      <w:highlight w:val="none"/>
                    </w:rPr>
                    <w:t>N1</w:t>
                  </w:r>
                </w:p>
              </w:tc>
              <w:tc>
                <w:tcPr>
                  <w:tcW w:w="1967" w:type="dxa"/>
                  <w:noWrap w:val="0"/>
                  <w:vAlign w:val="center"/>
                </w:tcPr>
                <w:p>
                  <w:pPr>
                    <w:spacing w:line="220" w:lineRule="atLeast"/>
                    <w:jc w:val="center"/>
                    <w:rPr>
                      <w:color w:val="auto"/>
                      <w:szCs w:val="21"/>
                      <w:highlight w:val="none"/>
                    </w:rPr>
                  </w:pPr>
                  <w:r>
                    <w:rPr>
                      <w:rFonts w:hint="eastAsia"/>
                      <w:color w:val="auto"/>
                      <w:szCs w:val="21"/>
                      <w:highlight w:val="none"/>
                    </w:rPr>
                    <w:t>项目北侧散户</w:t>
                  </w:r>
                </w:p>
              </w:tc>
              <w:tc>
                <w:tcPr>
                  <w:tcW w:w="1416" w:type="dxa"/>
                  <w:vMerge w:val="restart"/>
                  <w:noWrap w:val="0"/>
                  <w:vAlign w:val="center"/>
                </w:tcPr>
                <w:p>
                  <w:pPr>
                    <w:spacing w:line="220" w:lineRule="atLeast"/>
                    <w:jc w:val="center"/>
                    <w:rPr>
                      <w:rFonts w:hint="eastAsia"/>
                      <w:color w:val="auto"/>
                      <w:szCs w:val="21"/>
                      <w:highlight w:val="none"/>
                    </w:rPr>
                  </w:pPr>
                  <w:r>
                    <w:rPr>
                      <w:rFonts w:hint="eastAsia" w:ascii="宋体" w:hAnsi="宋体"/>
                      <w:color w:val="auto"/>
                      <w:szCs w:val="21"/>
                      <w:highlight w:val="none"/>
                    </w:rPr>
                    <w:t>声环境噪声</w:t>
                  </w:r>
                </w:p>
              </w:tc>
              <w:tc>
                <w:tcPr>
                  <w:tcW w:w="1067" w:type="dxa"/>
                  <w:vMerge w:val="restart"/>
                  <w:noWrap w:val="0"/>
                  <w:vAlign w:val="center"/>
                </w:tcPr>
                <w:p>
                  <w:pPr>
                    <w:spacing w:line="220" w:lineRule="atLeast"/>
                    <w:jc w:val="center"/>
                    <w:rPr>
                      <w:rFonts w:hint="eastAsia"/>
                      <w:color w:val="auto"/>
                      <w:szCs w:val="21"/>
                      <w:highlight w:val="none"/>
                    </w:rPr>
                  </w:pPr>
                  <w:r>
                    <w:rPr>
                      <w:rFonts w:hint="eastAsia"/>
                      <w:color w:val="auto"/>
                      <w:szCs w:val="21"/>
                      <w:highlight w:val="none"/>
                    </w:rPr>
                    <w:t>/</w:t>
                  </w:r>
                </w:p>
              </w:tc>
              <w:tc>
                <w:tcPr>
                  <w:tcW w:w="1289" w:type="dxa"/>
                  <w:vMerge w:val="restart"/>
                  <w:noWrap w:val="0"/>
                  <w:vAlign w:val="center"/>
                </w:tcPr>
                <w:p>
                  <w:pPr>
                    <w:spacing w:line="220" w:lineRule="atLeast"/>
                    <w:jc w:val="center"/>
                    <w:rPr>
                      <w:rFonts w:hint="eastAsia"/>
                      <w:color w:val="auto"/>
                      <w:szCs w:val="21"/>
                      <w:highlight w:val="none"/>
                    </w:rPr>
                  </w:pPr>
                  <w:r>
                    <w:rPr>
                      <w:rFonts w:hint="eastAsia"/>
                      <w:color w:val="auto"/>
                      <w:szCs w:val="21"/>
                      <w:highlight w:val="none"/>
                    </w:rPr>
                    <w:t>昼间1次</w:t>
                  </w:r>
                </w:p>
                <w:p>
                  <w:pPr>
                    <w:spacing w:line="220" w:lineRule="atLeast"/>
                    <w:jc w:val="center"/>
                    <w:rPr>
                      <w:color w:val="auto"/>
                      <w:szCs w:val="21"/>
                      <w:highlight w:val="none"/>
                    </w:rPr>
                  </w:pPr>
                  <w:r>
                    <w:rPr>
                      <w:rFonts w:hint="eastAsia"/>
                      <w:color w:val="auto"/>
                      <w:szCs w:val="21"/>
                      <w:highlight w:val="none"/>
                    </w:rPr>
                    <w:t>夜间1次</w:t>
                  </w:r>
                </w:p>
              </w:tc>
              <w:tc>
                <w:tcPr>
                  <w:tcW w:w="743" w:type="dxa"/>
                  <w:vMerge w:val="restart"/>
                  <w:noWrap w:val="0"/>
                  <w:vAlign w:val="center"/>
                </w:tcPr>
                <w:p>
                  <w:pPr>
                    <w:spacing w:line="220" w:lineRule="atLeast"/>
                    <w:jc w:val="center"/>
                    <w:rPr>
                      <w:bCs/>
                      <w:color w:val="auto"/>
                      <w:szCs w:val="21"/>
                      <w:highlight w:val="none"/>
                    </w:rPr>
                  </w:pPr>
                  <w:r>
                    <w:rPr>
                      <w:rFonts w:hint="eastAsia"/>
                      <w:bCs/>
                      <w:color w:val="auto"/>
                      <w:szCs w:val="21"/>
                      <w:highlight w:val="none"/>
                    </w:rPr>
                    <w:t>连续2天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804" w:type="dxa"/>
                  <w:vMerge w:val="continue"/>
                  <w:noWrap w:val="0"/>
                  <w:vAlign w:val="top"/>
                </w:tcPr>
                <w:p>
                  <w:pPr>
                    <w:spacing w:line="220" w:lineRule="atLeast"/>
                    <w:jc w:val="center"/>
                    <w:rPr>
                      <w:rFonts w:hint="eastAsia"/>
                      <w:color w:val="auto"/>
                      <w:szCs w:val="21"/>
                      <w:highlight w:val="none"/>
                    </w:rPr>
                  </w:pPr>
                </w:p>
              </w:tc>
              <w:tc>
                <w:tcPr>
                  <w:tcW w:w="1050" w:type="dxa"/>
                  <w:noWrap w:val="0"/>
                  <w:vAlign w:val="center"/>
                </w:tcPr>
                <w:p>
                  <w:pPr>
                    <w:spacing w:line="220" w:lineRule="atLeast"/>
                    <w:jc w:val="center"/>
                    <w:rPr>
                      <w:color w:val="auto"/>
                      <w:szCs w:val="21"/>
                      <w:highlight w:val="none"/>
                    </w:rPr>
                  </w:pPr>
                  <w:r>
                    <w:rPr>
                      <w:rFonts w:hint="eastAsia"/>
                      <w:color w:val="auto"/>
                      <w:szCs w:val="21"/>
                      <w:highlight w:val="none"/>
                    </w:rPr>
                    <w:t>N2</w:t>
                  </w:r>
                </w:p>
              </w:tc>
              <w:tc>
                <w:tcPr>
                  <w:tcW w:w="1967" w:type="dxa"/>
                  <w:noWrap w:val="0"/>
                  <w:vAlign w:val="center"/>
                </w:tcPr>
                <w:p>
                  <w:pPr>
                    <w:spacing w:line="220" w:lineRule="atLeast"/>
                    <w:jc w:val="center"/>
                    <w:rPr>
                      <w:color w:val="auto"/>
                      <w:szCs w:val="21"/>
                      <w:highlight w:val="none"/>
                    </w:rPr>
                  </w:pPr>
                  <w:r>
                    <w:rPr>
                      <w:rFonts w:hint="eastAsia"/>
                      <w:color w:val="auto"/>
                      <w:szCs w:val="21"/>
                      <w:highlight w:val="none"/>
                    </w:rPr>
                    <w:t>项目西侧服务区</w:t>
                  </w:r>
                </w:p>
              </w:tc>
              <w:tc>
                <w:tcPr>
                  <w:tcW w:w="1416" w:type="dxa"/>
                  <w:vMerge w:val="continue"/>
                  <w:noWrap w:val="0"/>
                  <w:vAlign w:val="top"/>
                </w:tcPr>
                <w:p>
                  <w:pPr>
                    <w:spacing w:line="220" w:lineRule="atLeast"/>
                    <w:jc w:val="center"/>
                    <w:rPr>
                      <w:rFonts w:hint="eastAsia"/>
                      <w:color w:val="auto"/>
                      <w:szCs w:val="21"/>
                      <w:highlight w:val="none"/>
                    </w:rPr>
                  </w:pPr>
                </w:p>
              </w:tc>
              <w:tc>
                <w:tcPr>
                  <w:tcW w:w="1067" w:type="dxa"/>
                  <w:vMerge w:val="continue"/>
                  <w:noWrap w:val="0"/>
                  <w:vAlign w:val="top"/>
                </w:tcPr>
                <w:p>
                  <w:pPr>
                    <w:jc w:val="center"/>
                    <w:rPr>
                      <w:rFonts w:hint="eastAsia"/>
                      <w:color w:val="auto"/>
                      <w:szCs w:val="21"/>
                      <w:highlight w:val="none"/>
                    </w:rPr>
                  </w:pPr>
                </w:p>
              </w:tc>
              <w:tc>
                <w:tcPr>
                  <w:tcW w:w="1289" w:type="dxa"/>
                  <w:vMerge w:val="continue"/>
                  <w:noWrap w:val="0"/>
                  <w:vAlign w:val="top"/>
                </w:tcPr>
                <w:p>
                  <w:pPr>
                    <w:spacing w:line="220" w:lineRule="atLeast"/>
                    <w:jc w:val="center"/>
                    <w:rPr>
                      <w:rFonts w:hint="eastAsia"/>
                      <w:color w:val="auto"/>
                      <w:szCs w:val="21"/>
                      <w:highlight w:val="none"/>
                    </w:rPr>
                  </w:pPr>
                </w:p>
              </w:tc>
              <w:tc>
                <w:tcPr>
                  <w:tcW w:w="743" w:type="dxa"/>
                  <w:vMerge w:val="continue"/>
                  <w:noWrap w:val="0"/>
                  <w:vAlign w:val="top"/>
                </w:tcPr>
                <w:p>
                  <w:pPr>
                    <w:spacing w:line="220" w:lineRule="atLeast"/>
                    <w:jc w:val="center"/>
                    <w:rPr>
                      <w:b/>
                      <w:color w:val="auto"/>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804" w:type="dxa"/>
                  <w:vMerge w:val="continue"/>
                  <w:noWrap w:val="0"/>
                  <w:vAlign w:val="top"/>
                </w:tcPr>
                <w:p>
                  <w:pPr>
                    <w:spacing w:line="220" w:lineRule="atLeast"/>
                    <w:jc w:val="center"/>
                    <w:rPr>
                      <w:rFonts w:hint="eastAsia"/>
                      <w:color w:val="auto"/>
                      <w:szCs w:val="21"/>
                      <w:highlight w:val="none"/>
                    </w:rPr>
                  </w:pPr>
                </w:p>
              </w:tc>
              <w:tc>
                <w:tcPr>
                  <w:tcW w:w="1050" w:type="dxa"/>
                  <w:noWrap w:val="0"/>
                  <w:vAlign w:val="center"/>
                </w:tcPr>
                <w:p>
                  <w:pPr>
                    <w:spacing w:line="220" w:lineRule="atLeast"/>
                    <w:jc w:val="center"/>
                    <w:rPr>
                      <w:rFonts w:hint="eastAsia"/>
                      <w:color w:val="auto"/>
                      <w:szCs w:val="21"/>
                      <w:highlight w:val="none"/>
                    </w:rPr>
                  </w:pPr>
                  <w:r>
                    <w:rPr>
                      <w:rFonts w:hint="eastAsia"/>
                      <w:color w:val="auto"/>
                      <w:szCs w:val="21"/>
                      <w:highlight w:val="none"/>
                    </w:rPr>
                    <w:t>N3</w:t>
                  </w:r>
                </w:p>
              </w:tc>
              <w:tc>
                <w:tcPr>
                  <w:tcW w:w="1967" w:type="dxa"/>
                  <w:noWrap w:val="0"/>
                  <w:vAlign w:val="center"/>
                </w:tcPr>
                <w:p>
                  <w:pPr>
                    <w:spacing w:line="220" w:lineRule="atLeast"/>
                    <w:jc w:val="center"/>
                    <w:rPr>
                      <w:color w:val="auto"/>
                      <w:szCs w:val="21"/>
                      <w:highlight w:val="none"/>
                    </w:rPr>
                  </w:pPr>
                  <w:r>
                    <w:rPr>
                      <w:color w:val="auto"/>
                      <w:szCs w:val="21"/>
                      <w:highlight w:val="none"/>
                    </w:rPr>
                    <w:t>项目区东侧厂界</w:t>
                  </w:r>
                </w:p>
              </w:tc>
              <w:tc>
                <w:tcPr>
                  <w:tcW w:w="1416" w:type="dxa"/>
                  <w:vMerge w:val="continue"/>
                  <w:noWrap w:val="0"/>
                  <w:vAlign w:val="top"/>
                </w:tcPr>
                <w:p>
                  <w:pPr>
                    <w:spacing w:line="220" w:lineRule="atLeast"/>
                    <w:jc w:val="center"/>
                    <w:rPr>
                      <w:rFonts w:hint="eastAsia"/>
                      <w:color w:val="auto"/>
                      <w:szCs w:val="21"/>
                      <w:highlight w:val="none"/>
                    </w:rPr>
                  </w:pPr>
                </w:p>
              </w:tc>
              <w:tc>
                <w:tcPr>
                  <w:tcW w:w="1067" w:type="dxa"/>
                  <w:vMerge w:val="continue"/>
                  <w:noWrap w:val="0"/>
                  <w:vAlign w:val="top"/>
                </w:tcPr>
                <w:p>
                  <w:pPr>
                    <w:jc w:val="center"/>
                    <w:rPr>
                      <w:rFonts w:hint="eastAsia"/>
                      <w:color w:val="auto"/>
                      <w:szCs w:val="21"/>
                      <w:highlight w:val="none"/>
                    </w:rPr>
                  </w:pPr>
                </w:p>
              </w:tc>
              <w:tc>
                <w:tcPr>
                  <w:tcW w:w="1289" w:type="dxa"/>
                  <w:vMerge w:val="continue"/>
                  <w:noWrap w:val="0"/>
                  <w:vAlign w:val="top"/>
                </w:tcPr>
                <w:p>
                  <w:pPr>
                    <w:spacing w:line="220" w:lineRule="atLeast"/>
                    <w:jc w:val="center"/>
                    <w:rPr>
                      <w:rFonts w:hint="eastAsia"/>
                      <w:color w:val="auto"/>
                      <w:szCs w:val="21"/>
                      <w:highlight w:val="none"/>
                    </w:rPr>
                  </w:pPr>
                </w:p>
              </w:tc>
              <w:tc>
                <w:tcPr>
                  <w:tcW w:w="743" w:type="dxa"/>
                  <w:vMerge w:val="continue"/>
                  <w:noWrap w:val="0"/>
                  <w:vAlign w:val="top"/>
                </w:tcPr>
                <w:p>
                  <w:pPr>
                    <w:spacing w:line="220" w:lineRule="atLeast"/>
                    <w:jc w:val="center"/>
                    <w:rPr>
                      <w:b/>
                      <w:color w:val="auto"/>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804" w:type="dxa"/>
                  <w:vMerge w:val="continue"/>
                  <w:noWrap w:val="0"/>
                  <w:vAlign w:val="top"/>
                </w:tcPr>
                <w:p>
                  <w:pPr>
                    <w:spacing w:line="220" w:lineRule="atLeast"/>
                    <w:jc w:val="center"/>
                    <w:rPr>
                      <w:rFonts w:hint="eastAsia"/>
                      <w:color w:val="auto"/>
                      <w:szCs w:val="21"/>
                      <w:highlight w:val="none"/>
                    </w:rPr>
                  </w:pPr>
                </w:p>
              </w:tc>
              <w:tc>
                <w:tcPr>
                  <w:tcW w:w="1050" w:type="dxa"/>
                  <w:noWrap w:val="0"/>
                  <w:vAlign w:val="center"/>
                </w:tcPr>
                <w:p>
                  <w:pPr>
                    <w:spacing w:line="220" w:lineRule="atLeast"/>
                    <w:jc w:val="center"/>
                    <w:rPr>
                      <w:rFonts w:hint="eastAsia" w:ascii="Tahoma" w:hAnsi="Tahoma"/>
                      <w:color w:val="auto"/>
                      <w:sz w:val="24"/>
                      <w:szCs w:val="22"/>
                      <w:highlight w:val="none"/>
                    </w:rPr>
                  </w:pPr>
                  <w:r>
                    <w:rPr>
                      <w:rFonts w:hint="eastAsia"/>
                      <w:color w:val="auto"/>
                      <w:szCs w:val="21"/>
                      <w:highlight w:val="none"/>
                    </w:rPr>
                    <w:t>N4</w:t>
                  </w:r>
                </w:p>
              </w:tc>
              <w:tc>
                <w:tcPr>
                  <w:tcW w:w="1967" w:type="dxa"/>
                  <w:noWrap w:val="0"/>
                  <w:vAlign w:val="center"/>
                </w:tcPr>
                <w:p>
                  <w:pPr>
                    <w:spacing w:line="220" w:lineRule="atLeast"/>
                    <w:jc w:val="center"/>
                    <w:rPr>
                      <w:color w:val="auto"/>
                      <w:szCs w:val="21"/>
                      <w:highlight w:val="none"/>
                    </w:rPr>
                  </w:pPr>
                  <w:r>
                    <w:rPr>
                      <w:color w:val="auto"/>
                      <w:szCs w:val="21"/>
                      <w:highlight w:val="none"/>
                    </w:rPr>
                    <w:t>项目区</w:t>
                  </w:r>
                  <w:r>
                    <w:rPr>
                      <w:rFonts w:hint="eastAsia"/>
                      <w:color w:val="auto"/>
                      <w:szCs w:val="21"/>
                      <w:highlight w:val="none"/>
                    </w:rPr>
                    <w:t>南</w:t>
                  </w:r>
                  <w:r>
                    <w:rPr>
                      <w:color w:val="auto"/>
                      <w:szCs w:val="21"/>
                      <w:highlight w:val="none"/>
                    </w:rPr>
                    <w:t>侧厂界</w:t>
                  </w:r>
                </w:p>
              </w:tc>
              <w:tc>
                <w:tcPr>
                  <w:tcW w:w="1416" w:type="dxa"/>
                  <w:vMerge w:val="continue"/>
                  <w:noWrap w:val="0"/>
                  <w:vAlign w:val="top"/>
                </w:tcPr>
                <w:p>
                  <w:pPr>
                    <w:spacing w:line="220" w:lineRule="atLeast"/>
                    <w:jc w:val="center"/>
                    <w:rPr>
                      <w:rFonts w:hint="eastAsia"/>
                      <w:color w:val="auto"/>
                      <w:szCs w:val="21"/>
                      <w:highlight w:val="none"/>
                    </w:rPr>
                  </w:pPr>
                </w:p>
              </w:tc>
              <w:tc>
                <w:tcPr>
                  <w:tcW w:w="1067" w:type="dxa"/>
                  <w:vMerge w:val="continue"/>
                  <w:noWrap w:val="0"/>
                  <w:vAlign w:val="top"/>
                </w:tcPr>
                <w:p>
                  <w:pPr>
                    <w:jc w:val="center"/>
                    <w:rPr>
                      <w:rFonts w:hint="eastAsia"/>
                      <w:color w:val="auto"/>
                      <w:szCs w:val="21"/>
                      <w:highlight w:val="none"/>
                    </w:rPr>
                  </w:pPr>
                </w:p>
              </w:tc>
              <w:tc>
                <w:tcPr>
                  <w:tcW w:w="1289" w:type="dxa"/>
                  <w:vMerge w:val="continue"/>
                  <w:noWrap w:val="0"/>
                  <w:vAlign w:val="top"/>
                </w:tcPr>
                <w:p>
                  <w:pPr>
                    <w:spacing w:line="220" w:lineRule="atLeast"/>
                    <w:jc w:val="center"/>
                    <w:rPr>
                      <w:rFonts w:hint="eastAsia"/>
                      <w:color w:val="auto"/>
                      <w:szCs w:val="21"/>
                      <w:highlight w:val="none"/>
                    </w:rPr>
                  </w:pPr>
                </w:p>
              </w:tc>
              <w:tc>
                <w:tcPr>
                  <w:tcW w:w="743" w:type="dxa"/>
                  <w:vMerge w:val="continue"/>
                  <w:noWrap w:val="0"/>
                  <w:vAlign w:val="top"/>
                </w:tcPr>
                <w:p>
                  <w:pPr>
                    <w:spacing w:line="220" w:lineRule="atLeast"/>
                    <w:jc w:val="center"/>
                    <w:rPr>
                      <w:b/>
                      <w:color w:val="auto"/>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804" w:type="dxa"/>
                  <w:vMerge w:val="continue"/>
                  <w:noWrap w:val="0"/>
                  <w:vAlign w:val="top"/>
                </w:tcPr>
                <w:p>
                  <w:pPr>
                    <w:spacing w:line="220" w:lineRule="atLeast"/>
                    <w:jc w:val="center"/>
                    <w:rPr>
                      <w:rFonts w:hint="eastAsia"/>
                      <w:color w:val="auto"/>
                      <w:szCs w:val="21"/>
                      <w:highlight w:val="none"/>
                    </w:rPr>
                  </w:pPr>
                </w:p>
              </w:tc>
              <w:tc>
                <w:tcPr>
                  <w:tcW w:w="1050" w:type="dxa"/>
                  <w:noWrap w:val="0"/>
                  <w:vAlign w:val="center"/>
                </w:tcPr>
                <w:p>
                  <w:pPr>
                    <w:spacing w:line="220" w:lineRule="atLeast"/>
                    <w:jc w:val="center"/>
                    <w:rPr>
                      <w:rFonts w:hint="eastAsia"/>
                      <w:color w:val="auto"/>
                      <w:szCs w:val="21"/>
                      <w:highlight w:val="none"/>
                    </w:rPr>
                  </w:pPr>
                  <w:r>
                    <w:rPr>
                      <w:rFonts w:hint="eastAsia"/>
                      <w:color w:val="auto"/>
                      <w:szCs w:val="21"/>
                      <w:highlight w:val="none"/>
                    </w:rPr>
                    <w:t>N5</w:t>
                  </w:r>
                </w:p>
              </w:tc>
              <w:tc>
                <w:tcPr>
                  <w:tcW w:w="1967" w:type="dxa"/>
                  <w:noWrap w:val="0"/>
                  <w:vAlign w:val="center"/>
                </w:tcPr>
                <w:p>
                  <w:pPr>
                    <w:spacing w:line="220" w:lineRule="atLeast"/>
                    <w:jc w:val="center"/>
                    <w:rPr>
                      <w:color w:val="auto"/>
                      <w:szCs w:val="21"/>
                      <w:highlight w:val="none"/>
                    </w:rPr>
                  </w:pPr>
                  <w:r>
                    <w:rPr>
                      <w:color w:val="auto"/>
                      <w:szCs w:val="21"/>
                      <w:highlight w:val="none"/>
                    </w:rPr>
                    <w:t>项目区</w:t>
                  </w:r>
                  <w:r>
                    <w:rPr>
                      <w:rFonts w:hint="eastAsia"/>
                      <w:color w:val="auto"/>
                      <w:szCs w:val="21"/>
                      <w:highlight w:val="none"/>
                    </w:rPr>
                    <w:t>西</w:t>
                  </w:r>
                  <w:r>
                    <w:rPr>
                      <w:color w:val="auto"/>
                      <w:szCs w:val="21"/>
                      <w:highlight w:val="none"/>
                    </w:rPr>
                    <w:t>侧厂界</w:t>
                  </w:r>
                </w:p>
              </w:tc>
              <w:tc>
                <w:tcPr>
                  <w:tcW w:w="1416" w:type="dxa"/>
                  <w:vMerge w:val="continue"/>
                  <w:noWrap w:val="0"/>
                  <w:vAlign w:val="top"/>
                </w:tcPr>
                <w:p>
                  <w:pPr>
                    <w:spacing w:line="220" w:lineRule="atLeast"/>
                    <w:jc w:val="center"/>
                    <w:rPr>
                      <w:rFonts w:hint="eastAsia"/>
                      <w:color w:val="auto"/>
                      <w:szCs w:val="21"/>
                      <w:highlight w:val="none"/>
                    </w:rPr>
                  </w:pPr>
                </w:p>
              </w:tc>
              <w:tc>
                <w:tcPr>
                  <w:tcW w:w="1067" w:type="dxa"/>
                  <w:vMerge w:val="continue"/>
                  <w:noWrap w:val="0"/>
                  <w:vAlign w:val="top"/>
                </w:tcPr>
                <w:p>
                  <w:pPr>
                    <w:jc w:val="center"/>
                    <w:rPr>
                      <w:rFonts w:hint="eastAsia"/>
                      <w:color w:val="auto"/>
                      <w:szCs w:val="21"/>
                      <w:highlight w:val="none"/>
                    </w:rPr>
                  </w:pPr>
                </w:p>
              </w:tc>
              <w:tc>
                <w:tcPr>
                  <w:tcW w:w="1289" w:type="dxa"/>
                  <w:vMerge w:val="continue"/>
                  <w:noWrap w:val="0"/>
                  <w:vAlign w:val="top"/>
                </w:tcPr>
                <w:p>
                  <w:pPr>
                    <w:spacing w:line="220" w:lineRule="atLeast"/>
                    <w:jc w:val="center"/>
                    <w:rPr>
                      <w:rFonts w:hint="eastAsia"/>
                      <w:color w:val="auto"/>
                      <w:szCs w:val="21"/>
                      <w:highlight w:val="none"/>
                    </w:rPr>
                  </w:pPr>
                </w:p>
              </w:tc>
              <w:tc>
                <w:tcPr>
                  <w:tcW w:w="743" w:type="dxa"/>
                  <w:vMerge w:val="continue"/>
                  <w:noWrap w:val="0"/>
                  <w:vAlign w:val="top"/>
                </w:tcPr>
                <w:p>
                  <w:pPr>
                    <w:spacing w:line="220" w:lineRule="atLeast"/>
                    <w:jc w:val="center"/>
                    <w:rPr>
                      <w:b/>
                      <w:color w:val="auto"/>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804" w:type="dxa"/>
                  <w:vMerge w:val="continue"/>
                  <w:noWrap w:val="0"/>
                  <w:vAlign w:val="top"/>
                </w:tcPr>
                <w:p>
                  <w:pPr>
                    <w:spacing w:line="220" w:lineRule="atLeast"/>
                    <w:jc w:val="center"/>
                    <w:rPr>
                      <w:rFonts w:hint="eastAsia"/>
                      <w:color w:val="auto"/>
                      <w:szCs w:val="21"/>
                      <w:highlight w:val="none"/>
                    </w:rPr>
                  </w:pPr>
                </w:p>
              </w:tc>
              <w:tc>
                <w:tcPr>
                  <w:tcW w:w="1050" w:type="dxa"/>
                  <w:noWrap w:val="0"/>
                  <w:vAlign w:val="center"/>
                </w:tcPr>
                <w:p>
                  <w:pPr>
                    <w:spacing w:line="220" w:lineRule="atLeast"/>
                    <w:jc w:val="center"/>
                    <w:rPr>
                      <w:rFonts w:hint="eastAsia"/>
                      <w:color w:val="auto"/>
                      <w:szCs w:val="21"/>
                      <w:highlight w:val="none"/>
                    </w:rPr>
                  </w:pPr>
                  <w:r>
                    <w:rPr>
                      <w:rFonts w:hint="eastAsia"/>
                      <w:color w:val="auto"/>
                      <w:szCs w:val="21"/>
                      <w:highlight w:val="none"/>
                    </w:rPr>
                    <w:t>N6</w:t>
                  </w:r>
                </w:p>
              </w:tc>
              <w:tc>
                <w:tcPr>
                  <w:tcW w:w="1967" w:type="dxa"/>
                  <w:noWrap w:val="0"/>
                  <w:vAlign w:val="center"/>
                </w:tcPr>
                <w:p>
                  <w:pPr>
                    <w:spacing w:line="220" w:lineRule="atLeast"/>
                    <w:jc w:val="center"/>
                    <w:rPr>
                      <w:color w:val="auto"/>
                      <w:szCs w:val="21"/>
                      <w:highlight w:val="none"/>
                    </w:rPr>
                  </w:pPr>
                  <w:r>
                    <w:rPr>
                      <w:color w:val="auto"/>
                      <w:szCs w:val="21"/>
                      <w:highlight w:val="none"/>
                    </w:rPr>
                    <w:t>项目区</w:t>
                  </w:r>
                  <w:r>
                    <w:rPr>
                      <w:rFonts w:hint="eastAsia"/>
                      <w:color w:val="auto"/>
                      <w:szCs w:val="21"/>
                      <w:highlight w:val="none"/>
                    </w:rPr>
                    <w:t>北</w:t>
                  </w:r>
                  <w:r>
                    <w:rPr>
                      <w:color w:val="auto"/>
                      <w:szCs w:val="21"/>
                      <w:highlight w:val="none"/>
                    </w:rPr>
                    <w:t>侧厂界</w:t>
                  </w:r>
                </w:p>
              </w:tc>
              <w:tc>
                <w:tcPr>
                  <w:tcW w:w="1416" w:type="dxa"/>
                  <w:vMerge w:val="continue"/>
                  <w:noWrap w:val="0"/>
                  <w:vAlign w:val="top"/>
                </w:tcPr>
                <w:p>
                  <w:pPr>
                    <w:spacing w:line="220" w:lineRule="atLeast"/>
                    <w:jc w:val="center"/>
                    <w:rPr>
                      <w:rFonts w:hint="eastAsia"/>
                      <w:color w:val="auto"/>
                      <w:szCs w:val="21"/>
                      <w:highlight w:val="none"/>
                    </w:rPr>
                  </w:pPr>
                </w:p>
              </w:tc>
              <w:tc>
                <w:tcPr>
                  <w:tcW w:w="1067" w:type="dxa"/>
                  <w:vMerge w:val="continue"/>
                  <w:noWrap w:val="0"/>
                  <w:vAlign w:val="top"/>
                </w:tcPr>
                <w:p>
                  <w:pPr>
                    <w:jc w:val="center"/>
                    <w:rPr>
                      <w:rFonts w:hint="eastAsia"/>
                      <w:color w:val="auto"/>
                      <w:szCs w:val="21"/>
                      <w:highlight w:val="none"/>
                    </w:rPr>
                  </w:pPr>
                </w:p>
              </w:tc>
              <w:tc>
                <w:tcPr>
                  <w:tcW w:w="1289" w:type="dxa"/>
                  <w:vMerge w:val="continue"/>
                  <w:noWrap w:val="0"/>
                  <w:vAlign w:val="top"/>
                </w:tcPr>
                <w:p>
                  <w:pPr>
                    <w:spacing w:line="220" w:lineRule="atLeast"/>
                    <w:jc w:val="center"/>
                    <w:rPr>
                      <w:rFonts w:hint="eastAsia"/>
                      <w:color w:val="auto"/>
                      <w:szCs w:val="21"/>
                      <w:highlight w:val="none"/>
                    </w:rPr>
                  </w:pPr>
                </w:p>
              </w:tc>
              <w:tc>
                <w:tcPr>
                  <w:tcW w:w="743" w:type="dxa"/>
                  <w:vMerge w:val="continue"/>
                  <w:noWrap w:val="0"/>
                  <w:vAlign w:val="top"/>
                </w:tcPr>
                <w:p>
                  <w:pPr>
                    <w:spacing w:line="220" w:lineRule="atLeast"/>
                    <w:jc w:val="center"/>
                    <w:rPr>
                      <w:b/>
                      <w:color w:val="auto"/>
                      <w:szCs w:val="21"/>
                      <w:highlight w:val="none"/>
                    </w:rPr>
                  </w:pPr>
                </w:p>
              </w:tc>
            </w:tr>
          </w:tbl>
          <w:p>
            <w:pPr>
              <w:pStyle w:val="14"/>
              <w:spacing w:line="360" w:lineRule="auto"/>
              <w:ind w:firstLine="480" w:firstLineChars="200"/>
              <w:rPr>
                <w:rFonts w:eastAsia="宋体"/>
                <w:color w:val="auto"/>
                <w:sz w:val="24"/>
                <w:highlight w:val="none"/>
              </w:rPr>
            </w:pPr>
            <w:r>
              <w:rPr>
                <w:rFonts w:hint="eastAsia" w:eastAsia="宋体"/>
                <w:color w:val="auto"/>
                <w:sz w:val="24"/>
                <w:highlight w:val="none"/>
              </w:rPr>
              <w:t>监测结构如下表所示：</w:t>
            </w:r>
          </w:p>
          <w:p>
            <w:pPr>
              <w:pStyle w:val="14"/>
              <w:spacing w:line="360" w:lineRule="auto"/>
              <w:jc w:val="center"/>
              <w:rPr>
                <w:rFonts w:eastAsia="宋体"/>
                <w:b/>
                <w:bCs/>
                <w:color w:val="auto"/>
                <w:sz w:val="24"/>
                <w:highlight w:val="none"/>
              </w:rPr>
            </w:pPr>
            <w:r>
              <w:rPr>
                <w:rFonts w:hint="eastAsia" w:eastAsia="宋体"/>
                <w:b/>
                <w:bCs/>
                <w:color w:val="auto"/>
                <w:sz w:val="24"/>
                <w:highlight w:val="none"/>
              </w:rPr>
              <w:t>表3-6 项目声环境质量现状监测布点及监测结果一览表</w:t>
            </w:r>
          </w:p>
          <w:tbl>
            <w:tblPr>
              <w:tblStyle w:val="39"/>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421"/>
              <w:gridCol w:w="805"/>
              <w:gridCol w:w="160"/>
              <w:gridCol w:w="850"/>
              <w:gridCol w:w="578"/>
              <w:gridCol w:w="579"/>
              <w:gridCol w:w="77"/>
              <w:gridCol w:w="606"/>
              <w:gridCol w:w="629"/>
              <w:gridCol w:w="55"/>
              <w:gridCol w:w="683"/>
              <w:gridCol w:w="499"/>
              <w:gridCol w:w="185"/>
              <w:gridCol w:w="526"/>
              <w:gridCol w:w="52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421" w:type="dxa"/>
                  <w:vMerge w:val="restart"/>
                  <w:noWrap w:val="0"/>
                  <w:vAlign w:val="center"/>
                </w:tcPr>
                <w:p>
                  <w:pPr>
                    <w:autoSpaceDE w:val="0"/>
                    <w:autoSpaceDN w:val="0"/>
                    <w:jc w:val="center"/>
                    <w:rPr>
                      <w:b/>
                      <w:bCs/>
                      <w:color w:val="auto"/>
                      <w:szCs w:val="21"/>
                      <w:highlight w:val="none"/>
                    </w:rPr>
                  </w:pPr>
                  <w:r>
                    <w:rPr>
                      <w:rFonts w:hint="eastAsia"/>
                      <w:b/>
                      <w:bCs/>
                      <w:color w:val="auto"/>
                      <w:szCs w:val="21"/>
                      <w:highlight w:val="none"/>
                    </w:rPr>
                    <w:t>检测日期</w:t>
                  </w:r>
                </w:p>
              </w:tc>
              <w:tc>
                <w:tcPr>
                  <w:tcW w:w="1815" w:type="dxa"/>
                  <w:gridSpan w:val="3"/>
                  <w:vMerge w:val="restart"/>
                  <w:noWrap w:val="0"/>
                  <w:vAlign w:val="center"/>
                </w:tcPr>
                <w:p>
                  <w:pPr>
                    <w:autoSpaceDE w:val="0"/>
                    <w:autoSpaceDN w:val="0"/>
                    <w:jc w:val="center"/>
                    <w:rPr>
                      <w:b/>
                      <w:bCs/>
                      <w:color w:val="auto"/>
                      <w:szCs w:val="21"/>
                      <w:highlight w:val="none"/>
                    </w:rPr>
                  </w:pPr>
                  <w:r>
                    <w:rPr>
                      <w:b/>
                      <w:bCs/>
                      <w:color w:val="auto"/>
                      <w:szCs w:val="21"/>
                      <w:highlight w:val="none"/>
                    </w:rPr>
                    <w:t>检测时段</w:t>
                  </w:r>
                </w:p>
              </w:tc>
              <w:tc>
                <w:tcPr>
                  <w:tcW w:w="4943" w:type="dxa"/>
                  <w:gridSpan w:val="11"/>
                  <w:noWrap w:val="0"/>
                  <w:vAlign w:val="center"/>
                </w:tcPr>
                <w:p>
                  <w:pPr>
                    <w:autoSpaceDE w:val="0"/>
                    <w:autoSpaceDN w:val="0"/>
                    <w:jc w:val="center"/>
                    <w:rPr>
                      <w:b/>
                      <w:bCs/>
                      <w:color w:val="auto"/>
                      <w:szCs w:val="21"/>
                      <w:highlight w:val="none"/>
                    </w:rPr>
                  </w:pPr>
                  <w:r>
                    <w:rPr>
                      <w:b/>
                      <w:bCs/>
                      <w:color w:val="auto"/>
                      <w:szCs w:val="21"/>
                      <w:highlight w:val="none"/>
                    </w:rPr>
                    <w:t>检测</w:t>
                  </w:r>
                  <w:r>
                    <w:rPr>
                      <w:rFonts w:hint="eastAsia"/>
                      <w:b/>
                      <w:bCs/>
                      <w:color w:val="auto"/>
                      <w:szCs w:val="21"/>
                      <w:highlight w:val="none"/>
                    </w:rPr>
                    <w:t>点</w:t>
                  </w:r>
                  <w:r>
                    <w:rPr>
                      <w:b/>
                      <w:bCs/>
                      <w:color w:val="auto"/>
                      <w:szCs w:val="21"/>
                      <w:highlight w:val="none"/>
                    </w:rPr>
                    <w:t>及检测结果</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421" w:type="dxa"/>
                  <w:vMerge w:val="continue"/>
                  <w:noWrap w:val="0"/>
                  <w:vAlign w:val="center"/>
                </w:tcPr>
                <w:p>
                  <w:pPr>
                    <w:autoSpaceDE w:val="0"/>
                    <w:autoSpaceDN w:val="0"/>
                    <w:jc w:val="center"/>
                    <w:rPr>
                      <w:bCs/>
                      <w:color w:val="auto"/>
                      <w:szCs w:val="21"/>
                      <w:highlight w:val="none"/>
                    </w:rPr>
                  </w:pPr>
                </w:p>
              </w:tc>
              <w:tc>
                <w:tcPr>
                  <w:tcW w:w="1815" w:type="dxa"/>
                  <w:gridSpan w:val="3"/>
                  <w:vMerge w:val="continue"/>
                  <w:noWrap w:val="0"/>
                  <w:vAlign w:val="center"/>
                </w:tcPr>
                <w:p>
                  <w:pPr>
                    <w:jc w:val="center"/>
                    <w:rPr>
                      <w:bCs/>
                      <w:color w:val="auto"/>
                      <w:szCs w:val="21"/>
                      <w:highlight w:val="none"/>
                    </w:rPr>
                  </w:pPr>
                </w:p>
              </w:tc>
              <w:tc>
                <w:tcPr>
                  <w:tcW w:w="1234" w:type="dxa"/>
                  <w:gridSpan w:val="3"/>
                  <w:noWrap w:val="0"/>
                  <w:vAlign w:val="center"/>
                </w:tcPr>
                <w:p>
                  <w:pPr>
                    <w:jc w:val="center"/>
                    <w:rPr>
                      <w:bCs/>
                      <w:color w:val="auto"/>
                      <w:szCs w:val="21"/>
                      <w:highlight w:val="none"/>
                    </w:rPr>
                  </w:pPr>
                  <w:r>
                    <w:rPr>
                      <w:rFonts w:hint="eastAsia"/>
                      <w:bCs/>
                      <w:color w:val="auto"/>
                      <w:szCs w:val="21"/>
                      <w:highlight w:val="none"/>
                    </w:rPr>
                    <w:t>N1</w:t>
                  </w:r>
                </w:p>
              </w:tc>
              <w:tc>
                <w:tcPr>
                  <w:tcW w:w="1235" w:type="dxa"/>
                  <w:gridSpan w:val="2"/>
                  <w:noWrap w:val="0"/>
                  <w:vAlign w:val="center"/>
                </w:tcPr>
                <w:p>
                  <w:pPr>
                    <w:jc w:val="center"/>
                    <w:rPr>
                      <w:bCs/>
                      <w:color w:val="auto"/>
                      <w:szCs w:val="21"/>
                      <w:highlight w:val="none"/>
                    </w:rPr>
                  </w:pPr>
                  <w:r>
                    <w:rPr>
                      <w:rFonts w:hint="eastAsia"/>
                      <w:bCs/>
                      <w:color w:val="auto"/>
                      <w:szCs w:val="21"/>
                      <w:highlight w:val="none"/>
                    </w:rPr>
                    <w:t>评价结果</w:t>
                  </w:r>
                </w:p>
              </w:tc>
              <w:tc>
                <w:tcPr>
                  <w:tcW w:w="1237" w:type="dxa"/>
                  <w:gridSpan w:val="3"/>
                  <w:noWrap w:val="0"/>
                  <w:vAlign w:val="center"/>
                </w:tcPr>
                <w:p>
                  <w:pPr>
                    <w:jc w:val="center"/>
                    <w:rPr>
                      <w:bCs/>
                      <w:color w:val="auto"/>
                      <w:szCs w:val="21"/>
                      <w:highlight w:val="none"/>
                    </w:rPr>
                  </w:pPr>
                  <w:r>
                    <w:rPr>
                      <w:rFonts w:hint="eastAsia"/>
                      <w:bCs/>
                      <w:color w:val="auto"/>
                      <w:szCs w:val="21"/>
                      <w:highlight w:val="none"/>
                    </w:rPr>
                    <w:t>N2</w:t>
                  </w:r>
                </w:p>
              </w:tc>
              <w:tc>
                <w:tcPr>
                  <w:tcW w:w="1237" w:type="dxa"/>
                  <w:gridSpan w:val="3"/>
                  <w:noWrap w:val="0"/>
                  <w:vAlign w:val="center"/>
                </w:tcPr>
                <w:p>
                  <w:pPr>
                    <w:jc w:val="center"/>
                    <w:rPr>
                      <w:bCs/>
                      <w:color w:val="auto"/>
                      <w:szCs w:val="21"/>
                      <w:highlight w:val="none"/>
                    </w:rPr>
                  </w:pPr>
                  <w:r>
                    <w:rPr>
                      <w:rFonts w:hint="eastAsia"/>
                      <w:bCs/>
                      <w:color w:val="auto"/>
                      <w:szCs w:val="21"/>
                      <w:highlight w:val="none"/>
                    </w:rPr>
                    <w:t>评价结果</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421" w:type="dxa"/>
                  <w:vMerge w:val="restart"/>
                  <w:noWrap w:val="0"/>
                  <w:vAlign w:val="center"/>
                </w:tcPr>
                <w:p>
                  <w:pPr>
                    <w:jc w:val="center"/>
                    <w:rPr>
                      <w:color w:val="auto"/>
                      <w:szCs w:val="21"/>
                      <w:highlight w:val="none"/>
                    </w:rPr>
                  </w:pPr>
                  <w:r>
                    <w:rPr>
                      <w:rFonts w:hint="eastAsia"/>
                      <w:color w:val="auto"/>
                      <w:szCs w:val="21"/>
                      <w:highlight w:val="none"/>
                    </w:rPr>
                    <w:t>2021-12-01</w:t>
                  </w:r>
                </w:p>
              </w:tc>
              <w:tc>
                <w:tcPr>
                  <w:tcW w:w="965" w:type="dxa"/>
                  <w:gridSpan w:val="2"/>
                  <w:noWrap w:val="0"/>
                  <w:vAlign w:val="center"/>
                </w:tcPr>
                <w:p>
                  <w:pPr>
                    <w:jc w:val="center"/>
                    <w:rPr>
                      <w:bCs/>
                      <w:color w:val="auto"/>
                      <w:szCs w:val="21"/>
                      <w:highlight w:val="none"/>
                    </w:rPr>
                  </w:pPr>
                  <w:r>
                    <w:rPr>
                      <w:rFonts w:hint="eastAsia"/>
                      <w:bCs/>
                      <w:color w:val="auto"/>
                      <w:szCs w:val="21"/>
                      <w:highlight w:val="none"/>
                    </w:rPr>
                    <w:t>昼间</w:t>
                  </w:r>
                </w:p>
              </w:tc>
              <w:tc>
                <w:tcPr>
                  <w:tcW w:w="850" w:type="dxa"/>
                  <w:noWrap w:val="0"/>
                  <w:vAlign w:val="center"/>
                </w:tcPr>
                <w:p>
                  <w:pPr>
                    <w:jc w:val="center"/>
                    <w:rPr>
                      <w:bCs/>
                      <w:color w:val="auto"/>
                      <w:szCs w:val="21"/>
                      <w:highlight w:val="none"/>
                      <w:vertAlign w:val="subscript"/>
                    </w:rPr>
                  </w:pPr>
                  <w:r>
                    <w:rPr>
                      <w:rFonts w:hint="eastAsia"/>
                      <w:bCs/>
                      <w:color w:val="auto"/>
                      <w:szCs w:val="21"/>
                      <w:highlight w:val="none"/>
                    </w:rPr>
                    <w:t>L</w:t>
                  </w:r>
                  <w:r>
                    <w:rPr>
                      <w:rFonts w:hint="eastAsia"/>
                      <w:bCs/>
                      <w:color w:val="auto"/>
                      <w:szCs w:val="21"/>
                      <w:highlight w:val="none"/>
                      <w:vertAlign w:val="subscript"/>
                    </w:rPr>
                    <w:t>eq</w:t>
                  </w:r>
                </w:p>
              </w:tc>
              <w:tc>
                <w:tcPr>
                  <w:tcW w:w="1234" w:type="dxa"/>
                  <w:gridSpan w:val="3"/>
                  <w:noWrap w:val="0"/>
                  <w:vAlign w:val="center"/>
                </w:tcPr>
                <w:p>
                  <w:pPr>
                    <w:jc w:val="center"/>
                    <w:rPr>
                      <w:bCs/>
                      <w:color w:val="auto"/>
                      <w:szCs w:val="21"/>
                      <w:highlight w:val="none"/>
                    </w:rPr>
                  </w:pPr>
                  <w:r>
                    <w:rPr>
                      <w:rFonts w:hint="eastAsia"/>
                      <w:bCs/>
                      <w:color w:val="auto"/>
                      <w:szCs w:val="21"/>
                      <w:highlight w:val="none"/>
                    </w:rPr>
                    <w:t>54</w:t>
                  </w:r>
                </w:p>
              </w:tc>
              <w:tc>
                <w:tcPr>
                  <w:tcW w:w="1235" w:type="dxa"/>
                  <w:gridSpan w:val="2"/>
                  <w:noWrap w:val="0"/>
                  <w:vAlign w:val="center"/>
                </w:tcPr>
                <w:p>
                  <w:pPr>
                    <w:jc w:val="center"/>
                    <w:rPr>
                      <w:bCs/>
                      <w:color w:val="auto"/>
                      <w:szCs w:val="21"/>
                      <w:highlight w:val="none"/>
                    </w:rPr>
                  </w:pPr>
                  <w:r>
                    <w:rPr>
                      <w:rFonts w:hint="eastAsia"/>
                      <w:bCs/>
                      <w:color w:val="auto"/>
                      <w:szCs w:val="21"/>
                      <w:highlight w:val="none"/>
                    </w:rPr>
                    <w:t>达标</w:t>
                  </w:r>
                </w:p>
              </w:tc>
              <w:tc>
                <w:tcPr>
                  <w:tcW w:w="1237" w:type="dxa"/>
                  <w:gridSpan w:val="3"/>
                  <w:noWrap w:val="0"/>
                  <w:vAlign w:val="center"/>
                </w:tcPr>
                <w:p>
                  <w:pPr>
                    <w:jc w:val="center"/>
                    <w:rPr>
                      <w:bCs/>
                      <w:color w:val="auto"/>
                      <w:szCs w:val="21"/>
                      <w:highlight w:val="none"/>
                    </w:rPr>
                  </w:pPr>
                  <w:r>
                    <w:rPr>
                      <w:rFonts w:hint="eastAsia"/>
                      <w:bCs/>
                      <w:color w:val="auto"/>
                      <w:szCs w:val="21"/>
                      <w:highlight w:val="none"/>
                    </w:rPr>
                    <w:t>55</w:t>
                  </w:r>
                </w:p>
              </w:tc>
              <w:tc>
                <w:tcPr>
                  <w:tcW w:w="1237" w:type="dxa"/>
                  <w:gridSpan w:val="3"/>
                  <w:noWrap w:val="0"/>
                  <w:vAlign w:val="center"/>
                </w:tcPr>
                <w:p>
                  <w:pPr>
                    <w:jc w:val="center"/>
                    <w:rPr>
                      <w:rFonts w:hint="eastAsia"/>
                      <w:bCs/>
                      <w:color w:val="auto"/>
                      <w:szCs w:val="21"/>
                      <w:highlight w:val="none"/>
                    </w:rPr>
                  </w:pPr>
                  <w:r>
                    <w:rPr>
                      <w:rFonts w:hint="eastAsia"/>
                      <w:bCs/>
                      <w:color w:val="auto"/>
                      <w:szCs w:val="21"/>
                      <w:highlight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421" w:type="dxa"/>
                  <w:vMerge w:val="continue"/>
                  <w:noWrap w:val="0"/>
                  <w:vAlign w:val="center"/>
                </w:tcPr>
                <w:p>
                  <w:pPr>
                    <w:tabs>
                      <w:tab w:val="left" w:pos="382"/>
                    </w:tabs>
                    <w:jc w:val="center"/>
                    <w:rPr>
                      <w:rFonts w:hint="eastAsia"/>
                      <w:bCs/>
                      <w:color w:val="auto"/>
                      <w:szCs w:val="21"/>
                      <w:highlight w:val="none"/>
                    </w:rPr>
                  </w:pPr>
                  <w:r>
                    <w:rPr>
                      <w:rFonts w:hint="eastAsia"/>
                      <w:bCs/>
                      <w:color w:val="auto"/>
                      <w:szCs w:val="21"/>
                      <w:highlight w:val="none"/>
                    </w:rPr>
                    <w:t>5</w:t>
                  </w:r>
                </w:p>
              </w:tc>
              <w:tc>
                <w:tcPr>
                  <w:tcW w:w="965" w:type="dxa"/>
                  <w:gridSpan w:val="2"/>
                  <w:noWrap w:val="0"/>
                  <w:vAlign w:val="center"/>
                </w:tcPr>
                <w:p>
                  <w:pPr>
                    <w:jc w:val="center"/>
                    <w:rPr>
                      <w:bCs/>
                      <w:color w:val="auto"/>
                      <w:szCs w:val="21"/>
                      <w:highlight w:val="none"/>
                    </w:rPr>
                  </w:pPr>
                  <w:r>
                    <w:rPr>
                      <w:bCs/>
                      <w:color w:val="auto"/>
                      <w:szCs w:val="21"/>
                      <w:highlight w:val="none"/>
                    </w:rPr>
                    <w:t>夜间</w:t>
                  </w:r>
                </w:p>
              </w:tc>
              <w:tc>
                <w:tcPr>
                  <w:tcW w:w="850" w:type="dxa"/>
                  <w:noWrap w:val="0"/>
                  <w:vAlign w:val="center"/>
                </w:tcPr>
                <w:p>
                  <w:pPr>
                    <w:jc w:val="center"/>
                    <w:rPr>
                      <w:bCs/>
                      <w:color w:val="auto"/>
                      <w:szCs w:val="21"/>
                      <w:highlight w:val="none"/>
                      <w:vertAlign w:val="subscript"/>
                    </w:rPr>
                  </w:pPr>
                  <w:r>
                    <w:rPr>
                      <w:rFonts w:hint="eastAsia"/>
                      <w:bCs/>
                      <w:color w:val="auto"/>
                      <w:szCs w:val="21"/>
                      <w:highlight w:val="none"/>
                    </w:rPr>
                    <w:t>L</w:t>
                  </w:r>
                  <w:r>
                    <w:rPr>
                      <w:rFonts w:hint="eastAsia"/>
                      <w:bCs/>
                      <w:color w:val="auto"/>
                      <w:szCs w:val="21"/>
                      <w:highlight w:val="none"/>
                      <w:vertAlign w:val="subscript"/>
                    </w:rPr>
                    <w:t>eq</w:t>
                  </w:r>
                </w:p>
              </w:tc>
              <w:tc>
                <w:tcPr>
                  <w:tcW w:w="1234" w:type="dxa"/>
                  <w:gridSpan w:val="3"/>
                  <w:noWrap w:val="0"/>
                  <w:vAlign w:val="center"/>
                </w:tcPr>
                <w:p>
                  <w:pPr>
                    <w:jc w:val="center"/>
                    <w:rPr>
                      <w:bCs/>
                      <w:color w:val="auto"/>
                      <w:szCs w:val="21"/>
                      <w:highlight w:val="none"/>
                    </w:rPr>
                  </w:pPr>
                  <w:r>
                    <w:rPr>
                      <w:rFonts w:hint="eastAsia"/>
                      <w:bCs/>
                      <w:color w:val="auto"/>
                      <w:szCs w:val="21"/>
                      <w:highlight w:val="none"/>
                    </w:rPr>
                    <w:t>47</w:t>
                  </w:r>
                </w:p>
              </w:tc>
              <w:tc>
                <w:tcPr>
                  <w:tcW w:w="1235" w:type="dxa"/>
                  <w:gridSpan w:val="2"/>
                  <w:noWrap w:val="0"/>
                  <w:vAlign w:val="center"/>
                </w:tcPr>
                <w:p>
                  <w:pPr>
                    <w:jc w:val="center"/>
                    <w:rPr>
                      <w:rFonts w:hint="eastAsia"/>
                      <w:bCs/>
                      <w:color w:val="auto"/>
                      <w:szCs w:val="21"/>
                      <w:highlight w:val="none"/>
                    </w:rPr>
                  </w:pPr>
                  <w:r>
                    <w:rPr>
                      <w:rFonts w:hint="eastAsia"/>
                      <w:bCs/>
                      <w:color w:val="auto"/>
                      <w:szCs w:val="21"/>
                      <w:highlight w:val="none"/>
                    </w:rPr>
                    <w:t>达标</w:t>
                  </w:r>
                </w:p>
              </w:tc>
              <w:tc>
                <w:tcPr>
                  <w:tcW w:w="1237" w:type="dxa"/>
                  <w:gridSpan w:val="3"/>
                  <w:noWrap w:val="0"/>
                  <w:vAlign w:val="center"/>
                </w:tcPr>
                <w:p>
                  <w:pPr>
                    <w:jc w:val="center"/>
                    <w:rPr>
                      <w:bCs/>
                      <w:color w:val="auto"/>
                      <w:szCs w:val="21"/>
                      <w:highlight w:val="none"/>
                    </w:rPr>
                  </w:pPr>
                  <w:r>
                    <w:rPr>
                      <w:rFonts w:hint="eastAsia"/>
                      <w:bCs/>
                      <w:color w:val="auto"/>
                      <w:szCs w:val="21"/>
                      <w:highlight w:val="none"/>
                    </w:rPr>
                    <w:t>47</w:t>
                  </w:r>
                </w:p>
              </w:tc>
              <w:tc>
                <w:tcPr>
                  <w:tcW w:w="1237" w:type="dxa"/>
                  <w:gridSpan w:val="3"/>
                  <w:noWrap w:val="0"/>
                  <w:vAlign w:val="center"/>
                </w:tcPr>
                <w:p>
                  <w:pPr>
                    <w:jc w:val="center"/>
                    <w:rPr>
                      <w:rFonts w:hint="eastAsia"/>
                      <w:bCs/>
                      <w:color w:val="auto"/>
                      <w:szCs w:val="21"/>
                      <w:highlight w:val="none"/>
                    </w:rPr>
                  </w:pPr>
                  <w:r>
                    <w:rPr>
                      <w:rFonts w:hint="eastAsia"/>
                      <w:bCs/>
                      <w:color w:val="auto"/>
                      <w:szCs w:val="21"/>
                      <w:highlight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421" w:type="dxa"/>
                  <w:vMerge w:val="restart"/>
                  <w:noWrap w:val="0"/>
                  <w:vAlign w:val="center"/>
                </w:tcPr>
                <w:p>
                  <w:pPr>
                    <w:widowControl/>
                    <w:adjustRightInd w:val="0"/>
                    <w:snapToGrid w:val="0"/>
                    <w:jc w:val="center"/>
                    <w:rPr>
                      <w:color w:val="auto"/>
                      <w:szCs w:val="21"/>
                      <w:highlight w:val="none"/>
                    </w:rPr>
                  </w:pPr>
                  <w:r>
                    <w:rPr>
                      <w:rFonts w:hint="eastAsia"/>
                      <w:color w:val="auto"/>
                      <w:szCs w:val="21"/>
                      <w:highlight w:val="none"/>
                    </w:rPr>
                    <w:t>2021-12-02</w:t>
                  </w:r>
                </w:p>
              </w:tc>
              <w:tc>
                <w:tcPr>
                  <w:tcW w:w="965" w:type="dxa"/>
                  <w:gridSpan w:val="2"/>
                  <w:noWrap w:val="0"/>
                  <w:vAlign w:val="center"/>
                </w:tcPr>
                <w:p>
                  <w:pPr>
                    <w:jc w:val="center"/>
                    <w:rPr>
                      <w:bCs/>
                      <w:color w:val="auto"/>
                      <w:szCs w:val="21"/>
                      <w:highlight w:val="none"/>
                    </w:rPr>
                  </w:pPr>
                  <w:r>
                    <w:rPr>
                      <w:rFonts w:hint="eastAsia"/>
                      <w:bCs/>
                      <w:color w:val="auto"/>
                      <w:szCs w:val="21"/>
                      <w:highlight w:val="none"/>
                    </w:rPr>
                    <w:t>昼间</w:t>
                  </w:r>
                </w:p>
              </w:tc>
              <w:tc>
                <w:tcPr>
                  <w:tcW w:w="850" w:type="dxa"/>
                  <w:noWrap w:val="0"/>
                  <w:vAlign w:val="center"/>
                </w:tcPr>
                <w:p>
                  <w:pPr>
                    <w:jc w:val="center"/>
                    <w:rPr>
                      <w:bCs/>
                      <w:color w:val="auto"/>
                      <w:szCs w:val="21"/>
                      <w:highlight w:val="none"/>
                      <w:vertAlign w:val="subscript"/>
                    </w:rPr>
                  </w:pPr>
                  <w:r>
                    <w:rPr>
                      <w:rFonts w:hint="eastAsia"/>
                      <w:bCs/>
                      <w:color w:val="auto"/>
                      <w:szCs w:val="21"/>
                      <w:highlight w:val="none"/>
                    </w:rPr>
                    <w:t>L</w:t>
                  </w:r>
                  <w:r>
                    <w:rPr>
                      <w:rFonts w:hint="eastAsia"/>
                      <w:bCs/>
                      <w:color w:val="auto"/>
                      <w:szCs w:val="21"/>
                      <w:highlight w:val="none"/>
                      <w:vertAlign w:val="subscript"/>
                    </w:rPr>
                    <w:t>eq</w:t>
                  </w:r>
                </w:p>
              </w:tc>
              <w:tc>
                <w:tcPr>
                  <w:tcW w:w="1234" w:type="dxa"/>
                  <w:gridSpan w:val="3"/>
                  <w:noWrap w:val="0"/>
                  <w:vAlign w:val="center"/>
                </w:tcPr>
                <w:p>
                  <w:pPr>
                    <w:jc w:val="center"/>
                    <w:rPr>
                      <w:bCs/>
                      <w:color w:val="auto"/>
                      <w:szCs w:val="21"/>
                      <w:highlight w:val="none"/>
                    </w:rPr>
                  </w:pPr>
                  <w:r>
                    <w:rPr>
                      <w:rFonts w:hint="eastAsia"/>
                      <w:bCs/>
                      <w:color w:val="auto"/>
                      <w:szCs w:val="21"/>
                      <w:highlight w:val="none"/>
                    </w:rPr>
                    <w:t>55</w:t>
                  </w:r>
                </w:p>
              </w:tc>
              <w:tc>
                <w:tcPr>
                  <w:tcW w:w="1235" w:type="dxa"/>
                  <w:gridSpan w:val="2"/>
                  <w:noWrap w:val="0"/>
                  <w:vAlign w:val="center"/>
                </w:tcPr>
                <w:p>
                  <w:pPr>
                    <w:jc w:val="center"/>
                    <w:rPr>
                      <w:rFonts w:hint="eastAsia"/>
                      <w:bCs/>
                      <w:color w:val="auto"/>
                      <w:szCs w:val="21"/>
                      <w:highlight w:val="none"/>
                    </w:rPr>
                  </w:pPr>
                  <w:r>
                    <w:rPr>
                      <w:rFonts w:hint="eastAsia"/>
                      <w:bCs/>
                      <w:color w:val="auto"/>
                      <w:szCs w:val="21"/>
                      <w:highlight w:val="none"/>
                    </w:rPr>
                    <w:t>达标</w:t>
                  </w:r>
                </w:p>
              </w:tc>
              <w:tc>
                <w:tcPr>
                  <w:tcW w:w="1237" w:type="dxa"/>
                  <w:gridSpan w:val="3"/>
                  <w:noWrap w:val="0"/>
                  <w:vAlign w:val="center"/>
                </w:tcPr>
                <w:p>
                  <w:pPr>
                    <w:jc w:val="center"/>
                    <w:rPr>
                      <w:bCs/>
                      <w:color w:val="auto"/>
                      <w:szCs w:val="21"/>
                      <w:highlight w:val="none"/>
                    </w:rPr>
                  </w:pPr>
                  <w:r>
                    <w:rPr>
                      <w:rFonts w:hint="eastAsia"/>
                      <w:bCs/>
                      <w:color w:val="auto"/>
                      <w:szCs w:val="21"/>
                      <w:highlight w:val="none"/>
                    </w:rPr>
                    <w:t>56</w:t>
                  </w:r>
                </w:p>
              </w:tc>
              <w:tc>
                <w:tcPr>
                  <w:tcW w:w="1237" w:type="dxa"/>
                  <w:gridSpan w:val="3"/>
                  <w:noWrap w:val="0"/>
                  <w:vAlign w:val="center"/>
                </w:tcPr>
                <w:p>
                  <w:pPr>
                    <w:jc w:val="center"/>
                    <w:rPr>
                      <w:rFonts w:hint="eastAsia"/>
                      <w:bCs/>
                      <w:color w:val="auto"/>
                      <w:szCs w:val="21"/>
                      <w:highlight w:val="none"/>
                    </w:rPr>
                  </w:pPr>
                  <w:r>
                    <w:rPr>
                      <w:rFonts w:hint="eastAsia"/>
                      <w:bCs/>
                      <w:color w:val="auto"/>
                      <w:szCs w:val="21"/>
                      <w:highlight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421" w:type="dxa"/>
                  <w:vMerge w:val="continue"/>
                  <w:noWrap w:val="0"/>
                  <w:vAlign w:val="center"/>
                </w:tcPr>
                <w:p>
                  <w:pPr>
                    <w:tabs>
                      <w:tab w:val="left" w:pos="382"/>
                    </w:tabs>
                    <w:jc w:val="center"/>
                    <w:rPr>
                      <w:rFonts w:hint="eastAsia"/>
                      <w:bCs/>
                      <w:color w:val="auto"/>
                      <w:szCs w:val="21"/>
                      <w:highlight w:val="none"/>
                    </w:rPr>
                  </w:pPr>
                  <w:r>
                    <w:rPr>
                      <w:rFonts w:hint="eastAsia"/>
                      <w:bCs/>
                      <w:color w:val="auto"/>
                      <w:szCs w:val="21"/>
                      <w:highlight w:val="none"/>
                    </w:rPr>
                    <w:t>465</w:t>
                  </w:r>
                </w:p>
              </w:tc>
              <w:tc>
                <w:tcPr>
                  <w:tcW w:w="965" w:type="dxa"/>
                  <w:gridSpan w:val="2"/>
                  <w:noWrap w:val="0"/>
                  <w:vAlign w:val="center"/>
                </w:tcPr>
                <w:p>
                  <w:pPr>
                    <w:jc w:val="center"/>
                    <w:rPr>
                      <w:bCs/>
                      <w:color w:val="auto"/>
                      <w:szCs w:val="21"/>
                      <w:highlight w:val="none"/>
                    </w:rPr>
                  </w:pPr>
                  <w:r>
                    <w:rPr>
                      <w:bCs/>
                      <w:color w:val="auto"/>
                      <w:szCs w:val="21"/>
                      <w:highlight w:val="none"/>
                    </w:rPr>
                    <w:t>夜间</w:t>
                  </w:r>
                </w:p>
              </w:tc>
              <w:tc>
                <w:tcPr>
                  <w:tcW w:w="850" w:type="dxa"/>
                  <w:noWrap w:val="0"/>
                  <w:vAlign w:val="center"/>
                </w:tcPr>
                <w:p>
                  <w:pPr>
                    <w:jc w:val="center"/>
                    <w:rPr>
                      <w:bCs/>
                      <w:color w:val="auto"/>
                      <w:szCs w:val="21"/>
                      <w:highlight w:val="none"/>
                      <w:vertAlign w:val="subscript"/>
                    </w:rPr>
                  </w:pPr>
                  <w:r>
                    <w:rPr>
                      <w:rFonts w:hint="eastAsia"/>
                      <w:bCs/>
                      <w:color w:val="auto"/>
                      <w:szCs w:val="21"/>
                      <w:highlight w:val="none"/>
                    </w:rPr>
                    <w:t>L</w:t>
                  </w:r>
                  <w:r>
                    <w:rPr>
                      <w:rFonts w:hint="eastAsia"/>
                      <w:bCs/>
                      <w:color w:val="auto"/>
                      <w:szCs w:val="21"/>
                      <w:highlight w:val="none"/>
                      <w:vertAlign w:val="subscript"/>
                    </w:rPr>
                    <w:t>eq</w:t>
                  </w:r>
                </w:p>
              </w:tc>
              <w:tc>
                <w:tcPr>
                  <w:tcW w:w="1234" w:type="dxa"/>
                  <w:gridSpan w:val="3"/>
                  <w:noWrap w:val="0"/>
                  <w:vAlign w:val="center"/>
                </w:tcPr>
                <w:p>
                  <w:pPr>
                    <w:jc w:val="center"/>
                    <w:rPr>
                      <w:bCs/>
                      <w:color w:val="auto"/>
                      <w:szCs w:val="21"/>
                      <w:highlight w:val="none"/>
                    </w:rPr>
                  </w:pPr>
                  <w:r>
                    <w:rPr>
                      <w:rFonts w:hint="eastAsia"/>
                      <w:bCs/>
                      <w:color w:val="auto"/>
                      <w:szCs w:val="21"/>
                      <w:highlight w:val="none"/>
                    </w:rPr>
                    <w:t>46</w:t>
                  </w:r>
                </w:p>
              </w:tc>
              <w:tc>
                <w:tcPr>
                  <w:tcW w:w="1235" w:type="dxa"/>
                  <w:gridSpan w:val="2"/>
                  <w:noWrap w:val="0"/>
                  <w:vAlign w:val="center"/>
                </w:tcPr>
                <w:p>
                  <w:pPr>
                    <w:jc w:val="center"/>
                    <w:rPr>
                      <w:rFonts w:hint="eastAsia"/>
                      <w:bCs/>
                      <w:color w:val="auto"/>
                      <w:szCs w:val="21"/>
                      <w:highlight w:val="none"/>
                    </w:rPr>
                  </w:pPr>
                  <w:r>
                    <w:rPr>
                      <w:rFonts w:hint="eastAsia"/>
                      <w:bCs/>
                      <w:color w:val="auto"/>
                      <w:szCs w:val="21"/>
                      <w:highlight w:val="none"/>
                    </w:rPr>
                    <w:t>达标</w:t>
                  </w:r>
                </w:p>
              </w:tc>
              <w:tc>
                <w:tcPr>
                  <w:tcW w:w="1237" w:type="dxa"/>
                  <w:gridSpan w:val="3"/>
                  <w:noWrap w:val="0"/>
                  <w:vAlign w:val="center"/>
                </w:tcPr>
                <w:p>
                  <w:pPr>
                    <w:jc w:val="center"/>
                    <w:rPr>
                      <w:bCs/>
                      <w:color w:val="auto"/>
                      <w:szCs w:val="21"/>
                      <w:highlight w:val="none"/>
                    </w:rPr>
                  </w:pPr>
                  <w:r>
                    <w:rPr>
                      <w:rFonts w:hint="eastAsia"/>
                      <w:bCs/>
                      <w:color w:val="auto"/>
                      <w:szCs w:val="21"/>
                      <w:highlight w:val="none"/>
                    </w:rPr>
                    <w:t>46</w:t>
                  </w:r>
                </w:p>
              </w:tc>
              <w:tc>
                <w:tcPr>
                  <w:tcW w:w="1237" w:type="dxa"/>
                  <w:gridSpan w:val="3"/>
                  <w:noWrap w:val="0"/>
                  <w:vAlign w:val="center"/>
                </w:tcPr>
                <w:p>
                  <w:pPr>
                    <w:jc w:val="center"/>
                    <w:rPr>
                      <w:rFonts w:hint="eastAsia"/>
                      <w:bCs/>
                      <w:color w:val="auto"/>
                      <w:szCs w:val="21"/>
                      <w:highlight w:val="none"/>
                    </w:rPr>
                  </w:pPr>
                  <w:r>
                    <w:rPr>
                      <w:rFonts w:hint="eastAsia"/>
                      <w:bCs/>
                      <w:color w:val="auto"/>
                      <w:szCs w:val="21"/>
                      <w:highlight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421" w:type="dxa"/>
                  <w:vMerge w:val="restart"/>
                  <w:noWrap w:val="0"/>
                  <w:vAlign w:val="center"/>
                </w:tcPr>
                <w:p>
                  <w:pPr>
                    <w:autoSpaceDE w:val="0"/>
                    <w:autoSpaceDN w:val="0"/>
                    <w:jc w:val="center"/>
                    <w:rPr>
                      <w:b/>
                      <w:bCs/>
                      <w:color w:val="auto"/>
                      <w:szCs w:val="21"/>
                      <w:highlight w:val="none"/>
                    </w:rPr>
                  </w:pPr>
                  <w:r>
                    <w:rPr>
                      <w:rFonts w:hint="eastAsia"/>
                      <w:b/>
                      <w:bCs/>
                      <w:color w:val="auto"/>
                      <w:szCs w:val="21"/>
                      <w:highlight w:val="none"/>
                    </w:rPr>
                    <w:t>检测日期</w:t>
                  </w:r>
                </w:p>
              </w:tc>
              <w:tc>
                <w:tcPr>
                  <w:tcW w:w="1815" w:type="dxa"/>
                  <w:gridSpan w:val="3"/>
                  <w:vMerge w:val="restart"/>
                  <w:noWrap w:val="0"/>
                  <w:vAlign w:val="center"/>
                </w:tcPr>
                <w:p>
                  <w:pPr>
                    <w:autoSpaceDE w:val="0"/>
                    <w:autoSpaceDN w:val="0"/>
                    <w:jc w:val="center"/>
                    <w:rPr>
                      <w:b/>
                      <w:bCs/>
                      <w:color w:val="auto"/>
                      <w:szCs w:val="21"/>
                      <w:highlight w:val="none"/>
                    </w:rPr>
                  </w:pPr>
                  <w:r>
                    <w:rPr>
                      <w:b/>
                      <w:bCs/>
                      <w:color w:val="auto"/>
                      <w:szCs w:val="21"/>
                      <w:highlight w:val="none"/>
                    </w:rPr>
                    <w:t>检测时段</w:t>
                  </w:r>
                </w:p>
              </w:tc>
              <w:tc>
                <w:tcPr>
                  <w:tcW w:w="4943" w:type="dxa"/>
                  <w:gridSpan w:val="11"/>
                  <w:noWrap w:val="0"/>
                  <w:vAlign w:val="center"/>
                </w:tcPr>
                <w:p>
                  <w:pPr>
                    <w:autoSpaceDE w:val="0"/>
                    <w:autoSpaceDN w:val="0"/>
                    <w:jc w:val="center"/>
                    <w:rPr>
                      <w:b/>
                      <w:bCs/>
                      <w:color w:val="auto"/>
                      <w:szCs w:val="21"/>
                      <w:highlight w:val="none"/>
                    </w:rPr>
                  </w:pPr>
                  <w:r>
                    <w:rPr>
                      <w:b/>
                      <w:bCs/>
                      <w:color w:val="auto"/>
                      <w:szCs w:val="21"/>
                      <w:highlight w:val="none"/>
                    </w:rPr>
                    <w:t>检测点及检测结果</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421" w:type="dxa"/>
                  <w:vMerge w:val="continue"/>
                  <w:noWrap w:val="0"/>
                  <w:vAlign w:val="center"/>
                </w:tcPr>
                <w:p>
                  <w:pPr>
                    <w:autoSpaceDE w:val="0"/>
                    <w:autoSpaceDN w:val="0"/>
                    <w:jc w:val="center"/>
                    <w:rPr>
                      <w:bCs/>
                      <w:color w:val="auto"/>
                      <w:szCs w:val="21"/>
                      <w:highlight w:val="none"/>
                    </w:rPr>
                  </w:pPr>
                </w:p>
              </w:tc>
              <w:tc>
                <w:tcPr>
                  <w:tcW w:w="1815" w:type="dxa"/>
                  <w:gridSpan w:val="3"/>
                  <w:vMerge w:val="continue"/>
                  <w:noWrap w:val="0"/>
                  <w:vAlign w:val="center"/>
                </w:tcPr>
                <w:p>
                  <w:pPr>
                    <w:jc w:val="center"/>
                    <w:rPr>
                      <w:bCs/>
                      <w:color w:val="auto"/>
                      <w:szCs w:val="21"/>
                      <w:highlight w:val="none"/>
                    </w:rPr>
                  </w:pPr>
                </w:p>
              </w:tc>
              <w:tc>
                <w:tcPr>
                  <w:tcW w:w="578" w:type="dxa"/>
                  <w:noWrap w:val="0"/>
                  <w:vAlign w:val="center"/>
                </w:tcPr>
                <w:p>
                  <w:pPr>
                    <w:jc w:val="center"/>
                    <w:rPr>
                      <w:rFonts w:hint="eastAsia"/>
                      <w:bCs/>
                      <w:color w:val="auto"/>
                      <w:szCs w:val="21"/>
                      <w:highlight w:val="none"/>
                    </w:rPr>
                  </w:pPr>
                  <w:r>
                    <w:rPr>
                      <w:bCs/>
                      <w:color w:val="auto"/>
                      <w:szCs w:val="21"/>
                      <w:highlight w:val="none"/>
                    </w:rPr>
                    <w:t>N</w:t>
                  </w:r>
                  <w:r>
                    <w:rPr>
                      <w:rFonts w:hint="eastAsia"/>
                      <w:bCs/>
                      <w:color w:val="auto"/>
                      <w:szCs w:val="21"/>
                      <w:highlight w:val="none"/>
                    </w:rPr>
                    <w:t>3</w:t>
                  </w:r>
                </w:p>
              </w:tc>
              <w:tc>
                <w:tcPr>
                  <w:tcW w:w="579" w:type="dxa"/>
                  <w:noWrap w:val="0"/>
                  <w:vAlign w:val="center"/>
                </w:tcPr>
                <w:p>
                  <w:pPr>
                    <w:jc w:val="center"/>
                    <w:rPr>
                      <w:bCs/>
                      <w:color w:val="auto"/>
                      <w:szCs w:val="21"/>
                      <w:highlight w:val="none"/>
                    </w:rPr>
                  </w:pPr>
                  <w:r>
                    <w:rPr>
                      <w:rFonts w:hint="eastAsia"/>
                      <w:bCs/>
                      <w:color w:val="auto"/>
                      <w:szCs w:val="21"/>
                      <w:highlight w:val="none"/>
                    </w:rPr>
                    <w:t>评价结果</w:t>
                  </w:r>
                </w:p>
              </w:tc>
              <w:tc>
                <w:tcPr>
                  <w:tcW w:w="683" w:type="dxa"/>
                  <w:gridSpan w:val="2"/>
                  <w:noWrap w:val="0"/>
                  <w:vAlign w:val="center"/>
                </w:tcPr>
                <w:p>
                  <w:pPr>
                    <w:jc w:val="center"/>
                    <w:rPr>
                      <w:rFonts w:hint="eastAsia"/>
                      <w:bCs/>
                      <w:color w:val="auto"/>
                      <w:szCs w:val="21"/>
                      <w:highlight w:val="none"/>
                    </w:rPr>
                  </w:pPr>
                  <w:r>
                    <w:rPr>
                      <w:bCs/>
                      <w:color w:val="auto"/>
                      <w:szCs w:val="21"/>
                      <w:highlight w:val="none"/>
                    </w:rPr>
                    <w:t>N</w:t>
                  </w:r>
                  <w:r>
                    <w:rPr>
                      <w:rFonts w:hint="eastAsia"/>
                      <w:bCs/>
                      <w:color w:val="auto"/>
                      <w:szCs w:val="21"/>
                      <w:highlight w:val="none"/>
                    </w:rPr>
                    <w:t>4</w:t>
                  </w:r>
                </w:p>
              </w:tc>
              <w:tc>
                <w:tcPr>
                  <w:tcW w:w="684" w:type="dxa"/>
                  <w:gridSpan w:val="2"/>
                  <w:noWrap w:val="0"/>
                  <w:vAlign w:val="center"/>
                </w:tcPr>
                <w:p>
                  <w:pPr>
                    <w:jc w:val="center"/>
                    <w:rPr>
                      <w:bCs/>
                      <w:color w:val="auto"/>
                      <w:szCs w:val="21"/>
                      <w:highlight w:val="none"/>
                    </w:rPr>
                  </w:pPr>
                  <w:r>
                    <w:rPr>
                      <w:rFonts w:hint="eastAsia"/>
                      <w:bCs/>
                      <w:color w:val="auto"/>
                      <w:szCs w:val="21"/>
                      <w:highlight w:val="none"/>
                    </w:rPr>
                    <w:t>评价结果</w:t>
                  </w:r>
                </w:p>
              </w:tc>
              <w:tc>
                <w:tcPr>
                  <w:tcW w:w="683" w:type="dxa"/>
                  <w:noWrap w:val="0"/>
                  <w:vAlign w:val="center"/>
                </w:tcPr>
                <w:p>
                  <w:pPr>
                    <w:jc w:val="center"/>
                    <w:rPr>
                      <w:rFonts w:hint="eastAsia"/>
                      <w:bCs/>
                      <w:color w:val="auto"/>
                      <w:szCs w:val="21"/>
                      <w:highlight w:val="none"/>
                    </w:rPr>
                  </w:pPr>
                  <w:r>
                    <w:rPr>
                      <w:bCs/>
                      <w:color w:val="auto"/>
                      <w:szCs w:val="21"/>
                      <w:highlight w:val="none"/>
                    </w:rPr>
                    <w:t>N</w:t>
                  </w:r>
                  <w:r>
                    <w:rPr>
                      <w:rFonts w:hint="eastAsia"/>
                      <w:bCs/>
                      <w:color w:val="auto"/>
                      <w:szCs w:val="21"/>
                      <w:highlight w:val="none"/>
                    </w:rPr>
                    <w:t>5</w:t>
                  </w:r>
                </w:p>
              </w:tc>
              <w:tc>
                <w:tcPr>
                  <w:tcW w:w="684" w:type="dxa"/>
                  <w:gridSpan w:val="2"/>
                  <w:noWrap w:val="0"/>
                  <w:vAlign w:val="center"/>
                </w:tcPr>
                <w:p>
                  <w:pPr>
                    <w:jc w:val="center"/>
                    <w:rPr>
                      <w:bCs/>
                      <w:color w:val="auto"/>
                      <w:szCs w:val="21"/>
                      <w:highlight w:val="none"/>
                    </w:rPr>
                  </w:pPr>
                  <w:r>
                    <w:rPr>
                      <w:rFonts w:hint="eastAsia"/>
                      <w:bCs/>
                      <w:color w:val="auto"/>
                      <w:szCs w:val="21"/>
                      <w:highlight w:val="none"/>
                    </w:rPr>
                    <w:t>评价结果</w:t>
                  </w:r>
                </w:p>
              </w:tc>
              <w:tc>
                <w:tcPr>
                  <w:tcW w:w="526" w:type="dxa"/>
                  <w:noWrap w:val="0"/>
                  <w:vAlign w:val="center"/>
                </w:tcPr>
                <w:p>
                  <w:pPr>
                    <w:jc w:val="center"/>
                    <w:rPr>
                      <w:rFonts w:hint="eastAsia"/>
                      <w:bCs/>
                      <w:color w:val="auto"/>
                      <w:szCs w:val="21"/>
                      <w:highlight w:val="none"/>
                    </w:rPr>
                  </w:pPr>
                  <w:r>
                    <w:rPr>
                      <w:bCs/>
                      <w:color w:val="auto"/>
                      <w:szCs w:val="21"/>
                      <w:highlight w:val="none"/>
                    </w:rPr>
                    <w:t>N</w:t>
                  </w:r>
                  <w:r>
                    <w:rPr>
                      <w:rFonts w:hint="eastAsia"/>
                      <w:bCs/>
                      <w:color w:val="auto"/>
                      <w:szCs w:val="21"/>
                      <w:highlight w:val="none"/>
                    </w:rPr>
                    <w:t>6</w:t>
                  </w:r>
                </w:p>
              </w:tc>
              <w:tc>
                <w:tcPr>
                  <w:tcW w:w="526" w:type="dxa"/>
                  <w:noWrap w:val="0"/>
                  <w:vAlign w:val="center"/>
                </w:tcPr>
                <w:p>
                  <w:pPr>
                    <w:jc w:val="center"/>
                    <w:rPr>
                      <w:bCs/>
                      <w:color w:val="auto"/>
                      <w:szCs w:val="21"/>
                      <w:highlight w:val="none"/>
                    </w:rPr>
                  </w:pPr>
                  <w:r>
                    <w:rPr>
                      <w:rFonts w:hint="eastAsia"/>
                      <w:bCs/>
                      <w:color w:val="auto"/>
                      <w:szCs w:val="21"/>
                      <w:highlight w:val="none"/>
                    </w:rPr>
                    <w:t>评价结果</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421" w:type="dxa"/>
                  <w:vMerge w:val="restart"/>
                  <w:noWrap w:val="0"/>
                  <w:vAlign w:val="center"/>
                </w:tcPr>
                <w:p>
                  <w:pPr>
                    <w:spacing w:line="220" w:lineRule="atLeast"/>
                    <w:jc w:val="center"/>
                    <w:rPr>
                      <w:color w:val="auto"/>
                      <w:szCs w:val="21"/>
                      <w:highlight w:val="none"/>
                    </w:rPr>
                  </w:pPr>
                  <w:r>
                    <w:rPr>
                      <w:rFonts w:hint="eastAsia"/>
                      <w:color w:val="auto"/>
                      <w:szCs w:val="21"/>
                      <w:highlight w:val="none"/>
                    </w:rPr>
                    <w:t>2021-12-24</w:t>
                  </w:r>
                </w:p>
              </w:tc>
              <w:tc>
                <w:tcPr>
                  <w:tcW w:w="805" w:type="dxa"/>
                  <w:noWrap w:val="0"/>
                  <w:vAlign w:val="center"/>
                </w:tcPr>
                <w:p>
                  <w:pPr>
                    <w:jc w:val="center"/>
                    <w:rPr>
                      <w:bCs/>
                      <w:color w:val="auto"/>
                      <w:szCs w:val="21"/>
                      <w:highlight w:val="none"/>
                    </w:rPr>
                  </w:pPr>
                  <w:r>
                    <w:rPr>
                      <w:rFonts w:hint="eastAsia"/>
                      <w:bCs/>
                      <w:color w:val="auto"/>
                      <w:szCs w:val="21"/>
                      <w:highlight w:val="none"/>
                    </w:rPr>
                    <w:t>昼间</w:t>
                  </w:r>
                </w:p>
              </w:tc>
              <w:tc>
                <w:tcPr>
                  <w:tcW w:w="1010" w:type="dxa"/>
                  <w:gridSpan w:val="2"/>
                  <w:noWrap w:val="0"/>
                  <w:vAlign w:val="center"/>
                </w:tcPr>
                <w:p>
                  <w:pPr>
                    <w:jc w:val="center"/>
                    <w:rPr>
                      <w:bCs/>
                      <w:color w:val="auto"/>
                      <w:szCs w:val="21"/>
                      <w:highlight w:val="none"/>
                    </w:rPr>
                  </w:pPr>
                  <w:r>
                    <w:rPr>
                      <w:rFonts w:hint="eastAsia"/>
                      <w:bCs/>
                      <w:color w:val="auto"/>
                      <w:szCs w:val="21"/>
                      <w:highlight w:val="none"/>
                    </w:rPr>
                    <w:t>L</w:t>
                  </w:r>
                  <w:r>
                    <w:rPr>
                      <w:rFonts w:hint="eastAsia"/>
                      <w:bCs/>
                      <w:color w:val="auto"/>
                      <w:szCs w:val="21"/>
                      <w:highlight w:val="none"/>
                      <w:vertAlign w:val="subscript"/>
                    </w:rPr>
                    <w:t>eq</w:t>
                  </w:r>
                </w:p>
              </w:tc>
              <w:tc>
                <w:tcPr>
                  <w:tcW w:w="578" w:type="dxa"/>
                  <w:noWrap w:val="0"/>
                  <w:vAlign w:val="center"/>
                </w:tcPr>
                <w:p>
                  <w:pPr>
                    <w:jc w:val="center"/>
                    <w:rPr>
                      <w:bCs/>
                      <w:color w:val="auto"/>
                      <w:szCs w:val="21"/>
                      <w:highlight w:val="none"/>
                    </w:rPr>
                  </w:pPr>
                  <w:r>
                    <w:rPr>
                      <w:rFonts w:hint="eastAsia"/>
                      <w:bCs/>
                      <w:color w:val="auto"/>
                      <w:szCs w:val="21"/>
                      <w:highlight w:val="none"/>
                    </w:rPr>
                    <w:t>53</w:t>
                  </w:r>
                </w:p>
              </w:tc>
              <w:tc>
                <w:tcPr>
                  <w:tcW w:w="579" w:type="dxa"/>
                  <w:noWrap w:val="0"/>
                  <w:vAlign w:val="center"/>
                </w:tcPr>
                <w:p>
                  <w:pPr>
                    <w:jc w:val="center"/>
                    <w:rPr>
                      <w:rFonts w:hint="eastAsia"/>
                      <w:bCs/>
                      <w:color w:val="auto"/>
                      <w:szCs w:val="21"/>
                      <w:highlight w:val="none"/>
                    </w:rPr>
                  </w:pPr>
                  <w:r>
                    <w:rPr>
                      <w:rFonts w:hint="eastAsia"/>
                      <w:bCs/>
                      <w:color w:val="auto"/>
                      <w:szCs w:val="21"/>
                      <w:highlight w:val="none"/>
                    </w:rPr>
                    <w:t>达标</w:t>
                  </w:r>
                </w:p>
              </w:tc>
              <w:tc>
                <w:tcPr>
                  <w:tcW w:w="683" w:type="dxa"/>
                  <w:gridSpan w:val="2"/>
                  <w:noWrap w:val="0"/>
                  <w:vAlign w:val="center"/>
                </w:tcPr>
                <w:p>
                  <w:pPr>
                    <w:jc w:val="center"/>
                    <w:rPr>
                      <w:bCs/>
                      <w:color w:val="auto"/>
                      <w:szCs w:val="21"/>
                      <w:highlight w:val="none"/>
                    </w:rPr>
                  </w:pPr>
                  <w:r>
                    <w:rPr>
                      <w:rFonts w:hint="eastAsia"/>
                      <w:bCs/>
                      <w:color w:val="auto"/>
                      <w:szCs w:val="21"/>
                      <w:highlight w:val="none"/>
                    </w:rPr>
                    <w:t>51</w:t>
                  </w:r>
                </w:p>
              </w:tc>
              <w:tc>
                <w:tcPr>
                  <w:tcW w:w="684" w:type="dxa"/>
                  <w:gridSpan w:val="2"/>
                  <w:noWrap w:val="0"/>
                  <w:vAlign w:val="center"/>
                </w:tcPr>
                <w:p>
                  <w:pPr>
                    <w:jc w:val="center"/>
                    <w:rPr>
                      <w:rFonts w:hint="eastAsia"/>
                      <w:bCs/>
                      <w:color w:val="auto"/>
                      <w:szCs w:val="21"/>
                      <w:highlight w:val="none"/>
                    </w:rPr>
                  </w:pPr>
                  <w:r>
                    <w:rPr>
                      <w:rFonts w:hint="eastAsia"/>
                      <w:bCs/>
                      <w:color w:val="auto"/>
                      <w:szCs w:val="21"/>
                      <w:highlight w:val="none"/>
                    </w:rPr>
                    <w:t>达标</w:t>
                  </w:r>
                </w:p>
              </w:tc>
              <w:tc>
                <w:tcPr>
                  <w:tcW w:w="683" w:type="dxa"/>
                  <w:noWrap w:val="0"/>
                  <w:vAlign w:val="center"/>
                </w:tcPr>
                <w:p>
                  <w:pPr>
                    <w:jc w:val="center"/>
                    <w:rPr>
                      <w:bCs/>
                      <w:color w:val="auto"/>
                      <w:szCs w:val="21"/>
                      <w:highlight w:val="none"/>
                    </w:rPr>
                  </w:pPr>
                  <w:r>
                    <w:rPr>
                      <w:rFonts w:hint="eastAsia"/>
                      <w:bCs/>
                      <w:color w:val="auto"/>
                      <w:szCs w:val="21"/>
                      <w:highlight w:val="none"/>
                    </w:rPr>
                    <w:t>51</w:t>
                  </w:r>
                </w:p>
              </w:tc>
              <w:tc>
                <w:tcPr>
                  <w:tcW w:w="684" w:type="dxa"/>
                  <w:gridSpan w:val="2"/>
                  <w:noWrap w:val="0"/>
                  <w:vAlign w:val="center"/>
                </w:tcPr>
                <w:p>
                  <w:pPr>
                    <w:jc w:val="center"/>
                    <w:rPr>
                      <w:rFonts w:hint="eastAsia"/>
                      <w:bCs/>
                      <w:color w:val="auto"/>
                      <w:szCs w:val="21"/>
                      <w:highlight w:val="none"/>
                    </w:rPr>
                  </w:pPr>
                  <w:r>
                    <w:rPr>
                      <w:rFonts w:hint="eastAsia"/>
                      <w:bCs/>
                      <w:color w:val="auto"/>
                      <w:szCs w:val="21"/>
                      <w:highlight w:val="none"/>
                    </w:rPr>
                    <w:t>达标</w:t>
                  </w:r>
                </w:p>
              </w:tc>
              <w:tc>
                <w:tcPr>
                  <w:tcW w:w="526" w:type="dxa"/>
                  <w:noWrap w:val="0"/>
                  <w:vAlign w:val="center"/>
                </w:tcPr>
                <w:p>
                  <w:pPr>
                    <w:jc w:val="center"/>
                    <w:rPr>
                      <w:bCs/>
                      <w:color w:val="auto"/>
                      <w:szCs w:val="21"/>
                      <w:highlight w:val="none"/>
                    </w:rPr>
                  </w:pPr>
                  <w:r>
                    <w:rPr>
                      <w:rFonts w:hint="eastAsia"/>
                      <w:bCs/>
                      <w:color w:val="auto"/>
                      <w:szCs w:val="21"/>
                      <w:highlight w:val="none"/>
                    </w:rPr>
                    <w:t>50</w:t>
                  </w:r>
                </w:p>
              </w:tc>
              <w:tc>
                <w:tcPr>
                  <w:tcW w:w="526" w:type="dxa"/>
                  <w:noWrap w:val="0"/>
                  <w:vAlign w:val="center"/>
                </w:tcPr>
                <w:p>
                  <w:pPr>
                    <w:jc w:val="center"/>
                    <w:rPr>
                      <w:rFonts w:hint="eastAsia"/>
                      <w:bCs/>
                      <w:color w:val="auto"/>
                      <w:szCs w:val="21"/>
                      <w:highlight w:val="none"/>
                    </w:rPr>
                  </w:pPr>
                  <w:r>
                    <w:rPr>
                      <w:rFonts w:hint="eastAsia"/>
                      <w:bCs/>
                      <w:color w:val="auto"/>
                      <w:szCs w:val="21"/>
                      <w:highlight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421" w:type="dxa"/>
                  <w:vMerge w:val="continue"/>
                  <w:noWrap w:val="0"/>
                  <w:vAlign w:val="center"/>
                </w:tcPr>
                <w:p>
                  <w:pPr>
                    <w:spacing w:line="220" w:lineRule="atLeast"/>
                    <w:jc w:val="center"/>
                    <w:rPr>
                      <w:color w:val="auto"/>
                      <w:szCs w:val="21"/>
                      <w:highlight w:val="none"/>
                    </w:rPr>
                  </w:pPr>
                </w:p>
              </w:tc>
              <w:tc>
                <w:tcPr>
                  <w:tcW w:w="805" w:type="dxa"/>
                  <w:noWrap w:val="0"/>
                  <w:vAlign w:val="center"/>
                </w:tcPr>
                <w:p>
                  <w:pPr>
                    <w:jc w:val="center"/>
                    <w:rPr>
                      <w:rFonts w:hint="eastAsia"/>
                      <w:bCs/>
                      <w:color w:val="auto"/>
                      <w:szCs w:val="21"/>
                      <w:highlight w:val="none"/>
                    </w:rPr>
                  </w:pPr>
                  <w:r>
                    <w:rPr>
                      <w:rFonts w:hint="eastAsia"/>
                      <w:bCs/>
                      <w:color w:val="auto"/>
                      <w:szCs w:val="21"/>
                      <w:highlight w:val="none"/>
                    </w:rPr>
                    <w:t>夜间</w:t>
                  </w:r>
                </w:p>
              </w:tc>
              <w:tc>
                <w:tcPr>
                  <w:tcW w:w="1010" w:type="dxa"/>
                  <w:gridSpan w:val="2"/>
                  <w:noWrap w:val="0"/>
                  <w:vAlign w:val="center"/>
                </w:tcPr>
                <w:p>
                  <w:pPr>
                    <w:jc w:val="center"/>
                    <w:rPr>
                      <w:bCs/>
                      <w:color w:val="auto"/>
                      <w:szCs w:val="21"/>
                      <w:highlight w:val="none"/>
                    </w:rPr>
                  </w:pPr>
                  <w:r>
                    <w:rPr>
                      <w:rFonts w:hint="eastAsia"/>
                      <w:bCs/>
                      <w:color w:val="auto"/>
                      <w:szCs w:val="21"/>
                      <w:highlight w:val="none"/>
                    </w:rPr>
                    <w:t>L</w:t>
                  </w:r>
                  <w:r>
                    <w:rPr>
                      <w:rFonts w:hint="eastAsia"/>
                      <w:bCs/>
                      <w:color w:val="auto"/>
                      <w:szCs w:val="21"/>
                      <w:highlight w:val="none"/>
                      <w:vertAlign w:val="subscript"/>
                    </w:rPr>
                    <w:t>eq</w:t>
                  </w:r>
                </w:p>
              </w:tc>
              <w:tc>
                <w:tcPr>
                  <w:tcW w:w="578" w:type="dxa"/>
                  <w:noWrap w:val="0"/>
                  <w:vAlign w:val="center"/>
                </w:tcPr>
                <w:p>
                  <w:pPr>
                    <w:jc w:val="center"/>
                    <w:rPr>
                      <w:bCs/>
                      <w:color w:val="auto"/>
                      <w:szCs w:val="21"/>
                      <w:highlight w:val="none"/>
                    </w:rPr>
                  </w:pPr>
                  <w:r>
                    <w:rPr>
                      <w:rFonts w:hint="eastAsia"/>
                      <w:bCs/>
                      <w:color w:val="auto"/>
                      <w:szCs w:val="21"/>
                      <w:highlight w:val="none"/>
                    </w:rPr>
                    <w:t>42</w:t>
                  </w:r>
                </w:p>
              </w:tc>
              <w:tc>
                <w:tcPr>
                  <w:tcW w:w="579" w:type="dxa"/>
                  <w:noWrap w:val="0"/>
                  <w:vAlign w:val="center"/>
                </w:tcPr>
                <w:p>
                  <w:pPr>
                    <w:jc w:val="center"/>
                    <w:rPr>
                      <w:rFonts w:hint="eastAsia"/>
                      <w:bCs/>
                      <w:color w:val="auto"/>
                      <w:szCs w:val="21"/>
                      <w:highlight w:val="none"/>
                    </w:rPr>
                  </w:pPr>
                  <w:r>
                    <w:rPr>
                      <w:rFonts w:hint="eastAsia"/>
                      <w:bCs/>
                      <w:color w:val="auto"/>
                      <w:szCs w:val="21"/>
                      <w:highlight w:val="none"/>
                    </w:rPr>
                    <w:t>达标</w:t>
                  </w:r>
                </w:p>
              </w:tc>
              <w:tc>
                <w:tcPr>
                  <w:tcW w:w="683" w:type="dxa"/>
                  <w:gridSpan w:val="2"/>
                  <w:noWrap w:val="0"/>
                  <w:vAlign w:val="center"/>
                </w:tcPr>
                <w:p>
                  <w:pPr>
                    <w:jc w:val="center"/>
                    <w:rPr>
                      <w:bCs/>
                      <w:color w:val="auto"/>
                      <w:szCs w:val="21"/>
                      <w:highlight w:val="none"/>
                    </w:rPr>
                  </w:pPr>
                  <w:r>
                    <w:rPr>
                      <w:rFonts w:hint="eastAsia"/>
                      <w:bCs/>
                      <w:color w:val="auto"/>
                      <w:szCs w:val="21"/>
                      <w:highlight w:val="none"/>
                    </w:rPr>
                    <w:t>42</w:t>
                  </w:r>
                </w:p>
              </w:tc>
              <w:tc>
                <w:tcPr>
                  <w:tcW w:w="684" w:type="dxa"/>
                  <w:gridSpan w:val="2"/>
                  <w:noWrap w:val="0"/>
                  <w:vAlign w:val="center"/>
                </w:tcPr>
                <w:p>
                  <w:pPr>
                    <w:jc w:val="center"/>
                    <w:rPr>
                      <w:rFonts w:hint="eastAsia"/>
                      <w:bCs/>
                      <w:color w:val="auto"/>
                      <w:szCs w:val="21"/>
                      <w:highlight w:val="none"/>
                    </w:rPr>
                  </w:pPr>
                  <w:r>
                    <w:rPr>
                      <w:rFonts w:hint="eastAsia"/>
                      <w:bCs/>
                      <w:color w:val="auto"/>
                      <w:szCs w:val="21"/>
                      <w:highlight w:val="none"/>
                    </w:rPr>
                    <w:t>达标</w:t>
                  </w:r>
                </w:p>
              </w:tc>
              <w:tc>
                <w:tcPr>
                  <w:tcW w:w="683" w:type="dxa"/>
                  <w:noWrap w:val="0"/>
                  <w:vAlign w:val="center"/>
                </w:tcPr>
                <w:p>
                  <w:pPr>
                    <w:jc w:val="center"/>
                    <w:rPr>
                      <w:bCs/>
                      <w:color w:val="auto"/>
                      <w:szCs w:val="21"/>
                      <w:highlight w:val="none"/>
                    </w:rPr>
                  </w:pPr>
                  <w:r>
                    <w:rPr>
                      <w:rFonts w:hint="eastAsia"/>
                      <w:bCs/>
                      <w:color w:val="auto"/>
                      <w:szCs w:val="21"/>
                      <w:highlight w:val="none"/>
                    </w:rPr>
                    <w:t>41</w:t>
                  </w:r>
                </w:p>
              </w:tc>
              <w:tc>
                <w:tcPr>
                  <w:tcW w:w="684" w:type="dxa"/>
                  <w:gridSpan w:val="2"/>
                  <w:noWrap w:val="0"/>
                  <w:vAlign w:val="center"/>
                </w:tcPr>
                <w:p>
                  <w:pPr>
                    <w:jc w:val="center"/>
                    <w:rPr>
                      <w:rFonts w:hint="eastAsia"/>
                      <w:bCs/>
                      <w:color w:val="auto"/>
                      <w:szCs w:val="21"/>
                      <w:highlight w:val="none"/>
                    </w:rPr>
                  </w:pPr>
                  <w:r>
                    <w:rPr>
                      <w:rFonts w:hint="eastAsia"/>
                      <w:bCs/>
                      <w:color w:val="auto"/>
                      <w:szCs w:val="21"/>
                      <w:highlight w:val="none"/>
                    </w:rPr>
                    <w:t>达标</w:t>
                  </w:r>
                </w:p>
              </w:tc>
              <w:tc>
                <w:tcPr>
                  <w:tcW w:w="526" w:type="dxa"/>
                  <w:noWrap w:val="0"/>
                  <w:vAlign w:val="center"/>
                </w:tcPr>
                <w:p>
                  <w:pPr>
                    <w:jc w:val="center"/>
                    <w:rPr>
                      <w:bCs/>
                      <w:color w:val="auto"/>
                      <w:szCs w:val="21"/>
                      <w:highlight w:val="none"/>
                    </w:rPr>
                  </w:pPr>
                  <w:r>
                    <w:rPr>
                      <w:rFonts w:hint="eastAsia"/>
                      <w:bCs/>
                      <w:color w:val="auto"/>
                      <w:szCs w:val="21"/>
                      <w:highlight w:val="none"/>
                    </w:rPr>
                    <w:t>41</w:t>
                  </w:r>
                </w:p>
              </w:tc>
              <w:tc>
                <w:tcPr>
                  <w:tcW w:w="526" w:type="dxa"/>
                  <w:noWrap w:val="0"/>
                  <w:vAlign w:val="center"/>
                </w:tcPr>
                <w:p>
                  <w:pPr>
                    <w:jc w:val="center"/>
                    <w:rPr>
                      <w:rFonts w:hint="eastAsia"/>
                      <w:bCs/>
                      <w:color w:val="auto"/>
                      <w:szCs w:val="21"/>
                      <w:highlight w:val="none"/>
                    </w:rPr>
                  </w:pPr>
                  <w:r>
                    <w:rPr>
                      <w:rFonts w:hint="eastAsia"/>
                      <w:bCs/>
                      <w:color w:val="auto"/>
                      <w:szCs w:val="21"/>
                      <w:highlight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421" w:type="dxa"/>
                  <w:vMerge w:val="restart"/>
                  <w:noWrap w:val="0"/>
                  <w:vAlign w:val="center"/>
                </w:tcPr>
                <w:p>
                  <w:pPr>
                    <w:spacing w:line="220" w:lineRule="atLeast"/>
                    <w:jc w:val="center"/>
                    <w:rPr>
                      <w:color w:val="auto"/>
                      <w:szCs w:val="21"/>
                      <w:highlight w:val="none"/>
                    </w:rPr>
                  </w:pPr>
                  <w:r>
                    <w:rPr>
                      <w:rFonts w:hint="eastAsia"/>
                      <w:color w:val="auto"/>
                      <w:szCs w:val="21"/>
                      <w:highlight w:val="none"/>
                    </w:rPr>
                    <w:t>2021-12-25</w:t>
                  </w:r>
                </w:p>
              </w:tc>
              <w:tc>
                <w:tcPr>
                  <w:tcW w:w="805" w:type="dxa"/>
                  <w:noWrap w:val="0"/>
                  <w:vAlign w:val="center"/>
                </w:tcPr>
                <w:p>
                  <w:pPr>
                    <w:jc w:val="center"/>
                    <w:rPr>
                      <w:bCs/>
                      <w:color w:val="auto"/>
                      <w:szCs w:val="21"/>
                      <w:highlight w:val="none"/>
                    </w:rPr>
                  </w:pPr>
                  <w:r>
                    <w:rPr>
                      <w:rFonts w:hint="eastAsia"/>
                      <w:bCs/>
                      <w:color w:val="auto"/>
                      <w:szCs w:val="21"/>
                      <w:highlight w:val="none"/>
                    </w:rPr>
                    <w:t>昼间</w:t>
                  </w:r>
                </w:p>
              </w:tc>
              <w:tc>
                <w:tcPr>
                  <w:tcW w:w="1010" w:type="dxa"/>
                  <w:gridSpan w:val="2"/>
                  <w:noWrap w:val="0"/>
                  <w:vAlign w:val="center"/>
                </w:tcPr>
                <w:p>
                  <w:pPr>
                    <w:jc w:val="center"/>
                    <w:rPr>
                      <w:bCs/>
                      <w:color w:val="auto"/>
                      <w:szCs w:val="21"/>
                      <w:highlight w:val="none"/>
                    </w:rPr>
                  </w:pPr>
                  <w:r>
                    <w:rPr>
                      <w:rFonts w:hint="eastAsia"/>
                      <w:bCs/>
                      <w:color w:val="auto"/>
                      <w:szCs w:val="21"/>
                      <w:highlight w:val="none"/>
                    </w:rPr>
                    <w:t>L</w:t>
                  </w:r>
                  <w:r>
                    <w:rPr>
                      <w:rFonts w:hint="eastAsia"/>
                      <w:bCs/>
                      <w:color w:val="auto"/>
                      <w:szCs w:val="21"/>
                      <w:highlight w:val="none"/>
                      <w:vertAlign w:val="subscript"/>
                    </w:rPr>
                    <w:t>eq</w:t>
                  </w:r>
                </w:p>
              </w:tc>
              <w:tc>
                <w:tcPr>
                  <w:tcW w:w="578" w:type="dxa"/>
                  <w:noWrap w:val="0"/>
                  <w:vAlign w:val="center"/>
                </w:tcPr>
                <w:p>
                  <w:pPr>
                    <w:jc w:val="center"/>
                    <w:rPr>
                      <w:bCs/>
                      <w:color w:val="auto"/>
                      <w:szCs w:val="21"/>
                      <w:highlight w:val="none"/>
                    </w:rPr>
                  </w:pPr>
                  <w:r>
                    <w:rPr>
                      <w:rFonts w:hint="eastAsia"/>
                      <w:bCs/>
                      <w:color w:val="auto"/>
                      <w:szCs w:val="21"/>
                      <w:highlight w:val="none"/>
                    </w:rPr>
                    <w:t>51</w:t>
                  </w:r>
                </w:p>
              </w:tc>
              <w:tc>
                <w:tcPr>
                  <w:tcW w:w="579" w:type="dxa"/>
                  <w:noWrap w:val="0"/>
                  <w:vAlign w:val="center"/>
                </w:tcPr>
                <w:p>
                  <w:pPr>
                    <w:jc w:val="center"/>
                    <w:rPr>
                      <w:rFonts w:hint="eastAsia"/>
                      <w:bCs/>
                      <w:color w:val="auto"/>
                      <w:szCs w:val="21"/>
                      <w:highlight w:val="none"/>
                    </w:rPr>
                  </w:pPr>
                  <w:r>
                    <w:rPr>
                      <w:rFonts w:hint="eastAsia"/>
                      <w:bCs/>
                      <w:color w:val="auto"/>
                      <w:szCs w:val="21"/>
                      <w:highlight w:val="none"/>
                    </w:rPr>
                    <w:t>达标</w:t>
                  </w:r>
                </w:p>
              </w:tc>
              <w:tc>
                <w:tcPr>
                  <w:tcW w:w="683" w:type="dxa"/>
                  <w:gridSpan w:val="2"/>
                  <w:noWrap w:val="0"/>
                  <w:vAlign w:val="center"/>
                </w:tcPr>
                <w:p>
                  <w:pPr>
                    <w:jc w:val="center"/>
                    <w:rPr>
                      <w:bCs/>
                      <w:color w:val="auto"/>
                      <w:szCs w:val="21"/>
                      <w:highlight w:val="none"/>
                    </w:rPr>
                  </w:pPr>
                  <w:r>
                    <w:rPr>
                      <w:rFonts w:hint="eastAsia"/>
                      <w:bCs/>
                      <w:color w:val="auto"/>
                      <w:szCs w:val="21"/>
                      <w:highlight w:val="none"/>
                    </w:rPr>
                    <w:t>51</w:t>
                  </w:r>
                </w:p>
              </w:tc>
              <w:tc>
                <w:tcPr>
                  <w:tcW w:w="684" w:type="dxa"/>
                  <w:gridSpan w:val="2"/>
                  <w:noWrap w:val="0"/>
                  <w:vAlign w:val="center"/>
                </w:tcPr>
                <w:p>
                  <w:pPr>
                    <w:jc w:val="center"/>
                    <w:rPr>
                      <w:rFonts w:hint="eastAsia"/>
                      <w:bCs/>
                      <w:color w:val="auto"/>
                      <w:szCs w:val="21"/>
                      <w:highlight w:val="none"/>
                    </w:rPr>
                  </w:pPr>
                  <w:r>
                    <w:rPr>
                      <w:rFonts w:hint="eastAsia"/>
                      <w:bCs/>
                      <w:color w:val="auto"/>
                      <w:szCs w:val="21"/>
                      <w:highlight w:val="none"/>
                    </w:rPr>
                    <w:t>达标</w:t>
                  </w:r>
                </w:p>
              </w:tc>
              <w:tc>
                <w:tcPr>
                  <w:tcW w:w="683" w:type="dxa"/>
                  <w:noWrap w:val="0"/>
                  <w:vAlign w:val="center"/>
                </w:tcPr>
                <w:p>
                  <w:pPr>
                    <w:jc w:val="center"/>
                    <w:rPr>
                      <w:bCs/>
                      <w:color w:val="auto"/>
                      <w:szCs w:val="21"/>
                      <w:highlight w:val="none"/>
                    </w:rPr>
                  </w:pPr>
                  <w:r>
                    <w:rPr>
                      <w:rFonts w:hint="eastAsia"/>
                      <w:bCs/>
                      <w:color w:val="auto"/>
                      <w:szCs w:val="21"/>
                      <w:highlight w:val="none"/>
                    </w:rPr>
                    <w:t>51</w:t>
                  </w:r>
                </w:p>
              </w:tc>
              <w:tc>
                <w:tcPr>
                  <w:tcW w:w="684" w:type="dxa"/>
                  <w:gridSpan w:val="2"/>
                  <w:noWrap w:val="0"/>
                  <w:vAlign w:val="center"/>
                </w:tcPr>
                <w:p>
                  <w:pPr>
                    <w:jc w:val="center"/>
                    <w:rPr>
                      <w:rFonts w:hint="eastAsia"/>
                      <w:bCs/>
                      <w:color w:val="auto"/>
                      <w:szCs w:val="21"/>
                      <w:highlight w:val="none"/>
                    </w:rPr>
                  </w:pPr>
                  <w:r>
                    <w:rPr>
                      <w:rFonts w:hint="eastAsia"/>
                      <w:bCs/>
                      <w:color w:val="auto"/>
                      <w:szCs w:val="21"/>
                      <w:highlight w:val="none"/>
                    </w:rPr>
                    <w:t>达标</w:t>
                  </w:r>
                </w:p>
              </w:tc>
              <w:tc>
                <w:tcPr>
                  <w:tcW w:w="526" w:type="dxa"/>
                  <w:noWrap w:val="0"/>
                  <w:vAlign w:val="center"/>
                </w:tcPr>
                <w:p>
                  <w:pPr>
                    <w:jc w:val="center"/>
                    <w:rPr>
                      <w:bCs/>
                      <w:color w:val="auto"/>
                      <w:szCs w:val="21"/>
                      <w:highlight w:val="none"/>
                    </w:rPr>
                  </w:pPr>
                  <w:r>
                    <w:rPr>
                      <w:rFonts w:hint="eastAsia"/>
                      <w:bCs/>
                      <w:color w:val="auto"/>
                      <w:szCs w:val="21"/>
                      <w:highlight w:val="none"/>
                    </w:rPr>
                    <w:t>51</w:t>
                  </w:r>
                </w:p>
              </w:tc>
              <w:tc>
                <w:tcPr>
                  <w:tcW w:w="526" w:type="dxa"/>
                  <w:noWrap w:val="0"/>
                  <w:vAlign w:val="center"/>
                </w:tcPr>
                <w:p>
                  <w:pPr>
                    <w:jc w:val="center"/>
                    <w:rPr>
                      <w:rFonts w:hint="eastAsia"/>
                      <w:bCs/>
                      <w:color w:val="auto"/>
                      <w:szCs w:val="21"/>
                      <w:highlight w:val="none"/>
                    </w:rPr>
                  </w:pPr>
                  <w:r>
                    <w:rPr>
                      <w:rFonts w:hint="eastAsia"/>
                      <w:bCs/>
                      <w:color w:val="auto"/>
                      <w:szCs w:val="21"/>
                      <w:highlight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421" w:type="dxa"/>
                  <w:vMerge w:val="continue"/>
                  <w:noWrap w:val="0"/>
                  <w:vAlign w:val="center"/>
                </w:tcPr>
                <w:p>
                  <w:pPr>
                    <w:spacing w:line="220" w:lineRule="atLeast"/>
                    <w:jc w:val="center"/>
                    <w:rPr>
                      <w:color w:val="auto"/>
                      <w:szCs w:val="21"/>
                      <w:highlight w:val="none"/>
                    </w:rPr>
                  </w:pPr>
                </w:p>
              </w:tc>
              <w:tc>
                <w:tcPr>
                  <w:tcW w:w="805" w:type="dxa"/>
                  <w:noWrap w:val="0"/>
                  <w:vAlign w:val="center"/>
                </w:tcPr>
                <w:p>
                  <w:pPr>
                    <w:jc w:val="center"/>
                    <w:rPr>
                      <w:rFonts w:hint="eastAsia"/>
                      <w:bCs/>
                      <w:color w:val="auto"/>
                      <w:szCs w:val="21"/>
                      <w:highlight w:val="none"/>
                    </w:rPr>
                  </w:pPr>
                  <w:r>
                    <w:rPr>
                      <w:rFonts w:hint="eastAsia"/>
                      <w:bCs/>
                      <w:color w:val="auto"/>
                      <w:szCs w:val="21"/>
                      <w:highlight w:val="none"/>
                    </w:rPr>
                    <w:t>夜间</w:t>
                  </w:r>
                </w:p>
              </w:tc>
              <w:tc>
                <w:tcPr>
                  <w:tcW w:w="1010" w:type="dxa"/>
                  <w:gridSpan w:val="2"/>
                  <w:noWrap w:val="0"/>
                  <w:vAlign w:val="center"/>
                </w:tcPr>
                <w:p>
                  <w:pPr>
                    <w:jc w:val="center"/>
                    <w:rPr>
                      <w:bCs/>
                      <w:color w:val="auto"/>
                      <w:szCs w:val="21"/>
                      <w:highlight w:val="none"/>
                    </w:rPr>
                  </w:pPr>
                  <w:r>
                    <w:rPr>
                      <w:rFonts w:hint="eastAsia"/>
                      <w:bCs/>
                      <w:color w:val="auto"/>
                      <w:szCs w:val="21"/>
                      <w:highlight w:val="none"/>
                    </w:rPr>
                    <w:t>L</w:t>
                  </w:r>
                  <w:r>
                    <w:rPr>
                      <w:rFonts w:hint="eastAsia"/>
                      <w:bCs/>
                      <w:color w:val="auto"/>
                      <w:szCs w:val="21"/>
                      <w:highlight w:val="none"/>
                      <w:vertAlign w:val="subscript"/>
                    </w:rPr>
                    <w:t>eq</w:t>
                  </w:r>
                </w:p>
              </w:tc>
              <w:tc>
                <w:tcPr>
                  <w:tcW w:w="578" w:type="dxa"/>
                  <w:noWrap w:val="0"/>
                  <w:vAlign w:val="center"/>
                </w:tcPr>
                <w:p>
                  <w:pPr>
                    <w:jc w:val="center"/>
                    <w:rPr>
                      <w:bCs/>
                      <w:color w:val="auto"/>
                      <w:szCs w:val="21"/>
                      <w:highlight w:val="none"/>
                    </w:rPr>
                  </w:pPr>
                  <w:r>
                    <w:rPr>
                      <w:rFonts w:hint="eastAsia"/>
                      <w:bCs/>
                      <w:color w:val="auto"/>
                      <w:szCs w:val="21"/>
                      <w:highlight w:val="none"/>
                    </w:rPr>
                    <w:t>41</w:t>
                  </w:r>
                </w:p>
              </w:tc>
              <w:tc>
                <w:tcPr>
                  <w:tcW w:w="579" w:type="dxa"/>
                  <w:noWrap w:val="0"/>
                  <w:vAlign w:val="center"/>
                </w:tcPr>
                <w:p>
                  <w:pPr>
                    <w:jc w:val="center"/>
                    <w:rPr>
                      <w:rFonts w:hint="eastAsia"/>
                      <w:bCs/>
                      <w:color w:val="auto"/>
                      <w:szCs w:val="21"/>
                      <w:highlight w:val="none"/>
                    </w:rPr>
                  </w:pPr>
                  <w:r>
                    <w:rPr>
                      <w:rFonts w:hint="eastAsia"/>
                      <w:bCs/>
                      <w:color w:val="auto"/>
                      <w:szCs w:val="21"/>
                      <w:highlight w:val="none"/>
                    </w:rPr>
                    <w:t>达标</w:t>
                  </w:r>
                </w:p>
              </w:tc>
              <w:tc>
                <w:tcPr>
                  <w:tcW w:w="683" w:type="dxa"/>
                  <w:gridSpan w:val="2"/>
                  <w:noWrap w:val="0"/>
                  <w:vAlign w:val="center"/>
                </w:tcPr>
                <w:p>
                  <w:pPr>
                    <w:jc w:val="center"/>
                    <w:rPr>
                      <w:bCs/>
                      <w:color w:val="auto"/>
                      <w:szCs w:val="21"/>
                      <w:highlight w:val="none"/>
                    </w:rPr>
                  </w:pPr>
                  <w:r>
                    <w:rPr>
                      <w:rFonts w:hint="eastAsia"/>
                      <w:bCs/>
                      <w:color w:val="auto"/>
                      <w:szCs w:val="21"/>
                      <w:highlight w:val="none"/>
                    </w:rPr>
                    <w:t>41</w:t>
                  </w:r>
                </w:p>
              </w:tc>
              <w:tc>
                <w:tcPr>
                  <w:tcW w:w="684" w:type="dxa"/>
                  <w:gridSpan w:val="2"/>
                  <w:noWrap w:val="0"/>
                  <w:vAlign w:val="center"/>
                </w:tcPr>
                <w:p>
                  <w:pPr>
                    <w:jc w:val="center"/>
                    <w:rPr>
                      <w:rFonts w:hint="eastAsia"/>
                      <w:bCs/>
                      <w:color w:val="auto"/>
                      <w:szCs w:val="21"/>
                      <w:highlight w:val="none"/>
                    </w:rPr>
                  </w:pPr>
                  <w:r>
                    <w:rPr>
                      <w:rFonts w:hint="eastAsia"/>
                      <w:bCs/>
                      <w:color w:val="auto"/>
                      <w:szCs w:val="21"/>
                      <w:highlight w:val="none"/>
                    </w:rPr>
                    <w:t>达标</w:t>
                  </w:r>
                </w:p>
              </w:tc>
              <w:tc>
                <w:tcPr>
                  <w:tcW w:w="683" w:type="dxa"/>
                  <w:noWrap w:val="0"/>
                  <w:vAlign w:val="center"/>
                </w:tcPr>
                <w:p>
                  <w:pPr>
                    <w:jc w:val="center"/>
                    <w:rPr>
                      <w:bCs/>
                      <w:color w:val="auto"/>
                      <w:szCs w:val="21"/>
                      <w:highlight w:val="none"/>
                    </w:rPr>
                  </w:pPr>
                  <w:r>
                    <w:rPr>
                      <w:rFonts w:hint="eastAsia"/>
                      <w:bCs/>
                      <w:color w:val="auto"/>
                      <w:szCs w:val="21"/>
                      <w:highlight w:val="none"/>
                    </w:rPr>
                    <w:t>41</w:t>
                  </w:r>
                </w:p>
              </w:tc>
              <w:tc>
                <w:tcPr>
                  <w:tcW w:w="684" w:type="dxa"/>
                  <w:gridSpan w:val="2"/>
                  <w:noWrap w:val="0"/>
                  <w:vAlign w:val="center"/>
                </w:tcPr>
                <w:p>
                  <w:pPr>
                    <w:jc w:val="center"/>
                    <w:rPr>
                      <w:rFonts w:hint="eastAsia"/>
                      <w:bCs/>
                      <w:color w:val="auto"/>
                      <w:szCs w:val="21"/>
                      <w:highlight w:val="none"/>
                    </w:rPr>
                  </w:pPr>
                  <w:r>
                    <w:rPr>
                      <w:rFonts w:hint="eastAsia"/>
                      <w:bCs/>
                      <w:color w:val="auto"/>
                      <w:szCs w:val="21"/>
                      <w:highlight w:val="none"/>
                    </w:rPr>
                    <w:t>达标</w:t>
                  </w:r>
                </w:p>
              </w:tc>
              <w:tc>
                <w:tcPr>
                  <w:tcW w:w="526" w:type="dxa"/>
                  <w:noWrap w:val="0"/>
                  <w:vAlign w:val="center"/>
                </w:tcPr>
                <w:p>
                  <w:pPr>
                    <w:jc w:val="center"/>
                    <w:rPr>
                      <w:bCs/>
                      <w:color w:val="auto"/>
                      <w:szCs w:val="21"/>
                      <w:highlight w:val="none"/>
                    </w:rPr>
                  </w:pPr>
                  <w:r>
                    <w:rPr>
                      <w:rFonts w:hint="eastAsia"/>
                      <w:bCs/>
                      <w:color w:val="auto"/>
                      <w:szCs w:val="21"/>
                      <w:highlight w:val="none"/>
                    </w:rPr>
                    <w:t>41</w:t>
                  </w:r>
                </w:p>
              </w:tc>
              <w:tc>
                <w:tcPr>
                  <w:tcW w:w="526" w:type="dxa"/>
                  <w:noWrap w:val="0"/>
                  <w:vAlign w:val="center"/>
                </w:tcPr>
                <w:p>
                  <w:pPr>
                    <w:jc w:val="center"/>
                    <w:rPr>
                      <w:rFonts w:hint="eastAsia"/>
                      <w:bCs/>
                      <w:color w:val="auto"/>
                      <w:szCs w:val="21"/>
                      <w:highlight w:val="none"/>
                    </w:rPr>
                  </w:pPr>
                  <w:r>
                    <w:rPr>
                      <w:rFonts w:hint="eastAsia"/>
                      <w:bCs/>
                      <w:color w:val="auto"/>
                      <w:szCs w:val="21"/>
                      <w:highlight w:val="none"/>
                    </w:rPr>
                    <w:t>达标</w:t>
                  </w:r>
                </w:p>
              </w:tc>
            </w:tr>
          </w:tbl>
          <w:p>
            <w:pPr>
              <w:pStyle w:val="14"/>
              <w:spacing w:line="360" w:lineRule="auto"/>
              <w:ind w:firstLine="480" w:firstLineChars="200"/>
              <w:rPr>
                <w:rFonts w:hint="eastAsia" w:eastAsia="宋体"/>
                <w:color w:val="auto"/>
                <w:sz w:val="24"/>
                <w:highlight w:val="none"/>
              </w:rPr>
            </w:pPr>
            <w:r>
              <w:rPr>
                <w:rFonts w:hint="eastAsia" w:eastAsia="宋体"/>
                <w:color w:val="auto"/>
                <w:sz w:val="24"/>
                <w:highlight w:val="none"/>
              </w:rPr>
              <w:t>由噪声监测及评价结果可知，本项目所在区域的声环境质量可以满足《声环境质量标准》（GB3096-2008）中的2类标准，区域声环境质量较好。</w:t>
            </w:r>
          </w:p>
          <w:p>
            <w:pPr>
              <w:pStyle w:val="14"/>
              <w:spacing w:line="360" w:lineRule="auto"/>
              <w:ind w:firstLine="241" w:firstLineChars="100"/>
              <w:rPr>
                <w:rFonts w:eastAsia="宋体"/>
                <w:b/>
                <w:bCs/>
                <w:color w:val="auto"/>
                <w:sz w:val="24"/>
                <w:highlight w:val="none"/>
              </w:rPr>
            </w:pPr>
            <w:r>
              <w:rPr>
                <w:rFonts w:hint="eastAsia" w:eastAsia="宋体"/>
                <w:b/>
                <w:bCs/>
                <w:color w:val="auto"/>
                <w:sz w:val="24"/>
                <w:highlight w:val="none"/>
              </w:rPr>
              <w:t>4.</w:t>
            </w:r>
            <w:r>
              <w:rPr>
                <w:rFonts w:eastAsia="宋体"/>
                <w:b/>
                <w:bCs/>
                <w:color w:val="auto"/>
                <w:sz w:val="24"/>
                <w:highlight w:val="none"/>
              </w:rPr>
              <w:t>土壤环境质量现状</w:t>
            </w:r>
          </w:p>
          <w:p>
            <w:pPr>
              <w:spacing w:line="360" w:lineRule="auto"/>
              <w:ind w:firstLine="480"/>
              <w:jc w:val="left"/>
              <w:rPr>
                <w:color w:val="auto"/>
                <w:sz w:val="24"/>
                <w:highlight w:val="none"/>
              </w:rPr>
            </w:pPr>
            <w:r>
              <w:rPr>
                <w:color w:val="auto"/>
                <w:sz w:val="24"/>
                <w:highlight w:val="none"/>
              </w:rPr>
              <w:t>（1）监测点位</w:t>
            </w:r>
          </w:p>
          <w:p>
            <w:pPr>
              <w:spacing w:line="360" w:lineRule="auto"/>
              <w:ind w:firstLine="480"/>
              <w:jc w:val="left"/>
              <w:rPr>
                <w:color w:val="auto"/>
                <w:sz w:val="24"/>
                <w:highlight w:val="none"/>
              </w:rPr>
            </w:pPr>
            <w:r>
              <w:rPr>
                <w:color w:val="auto"/>
                <w:sz w:val="24"/>
                <w:highlight w:val="none"/>
              </w:rPr>
              <w:t>在项目区内布设3个土壤监测点。表层样在0~0.2 m取样。分布情况见表</w:t>
            </w:r>
            <w:r>
              <w:rPr>
                <w:rFonts w:hint="eastAsia"/>
                <w:color w:val="auto"/>
                <w:sz w:val="24"/>
                <w:highlight w:val="none"/>
              </w:rPr>
              <w:t>3-8</w:t>
            </w:r>
            <w:r>
              <w:rPr>
                <w:color w:val="auto"/>
                <w:sz w:val="24"/>
                <w:highlight w:val="none"/>
              </w:rPr>
              <w:t>。</w:t>
            </w:r>
          </w:p>
          <w:p>
            <w:pPr>
              <w:spacing w:line="360" w:lineRule="auto"/>
              <w:ind w:firstLine="480"/>
              <w:jc w:val="left"/>
              <w:rPr>
                <w:color w:val="auto"/>
                <w:sz w:val="24"/>
                <w:highlight w:val="none"/>
              </w:rPr>
            </w:pPr>
            <w:r>
              <w:rPr>
                <w:color w:val="auto"/>
                <w:sz w:val="24"/>
                <w:highlight w:val="none"/>
              </w:rPr>
              <w:t>（2）监测时间和频次</w:t>
            </w:r>
          </w:p>
          <w:p>
            <w:pPr>
              <w:spacing w:line="360" w:lineRule="auto"/>
              <w:ind w:firstLine="480"/>
              <w:jc w:val="left"/>
              <w:rPr>
                <w:color w:val="auto"/>
                <w:sz w:val="24"/>
                <w:highlight w:val="none"/>
              </w:rPr>
            </w:pPr>
            <w:r>
              <w:rPr>
                <w:color w:val="auto"/>
                <w:sz w:val="24"/>
                <w:highlight w:val="none"/>
              </w:rPr>
              <w:t>每点采样一个，监测1次。</w:t>
            </w:r>
          </w:p>
          <w:p>
            <w:pPr>
              <w:pStyle w:val="14"/>
              <w:spacing w:line="360" w:lineRule="auto"/>
              <w:jc w:val="center"/>
              <w:rPr>
                <w:rFonts w:eastAsia="宋体"/>
                <w:b/>
                <w:bCs/>
                <w:color w:val="auto"/>
                <w:sz w:val="24"/>
                <w:highlight w:val="none"/>
              </w:rPr>
            </w:pPr>
            <w:r>
              <w:rPr>
                <w:rFonts w:eastAsia="宋体"/>
                <w:b/>
                <w:bCs/>
                <w:color w:val="auto"/>
                <w:sz w:val="24"/>
                <w:highlight w:val="none"/>
              </w:rPr>
              <w:t>表3-</w:t>
            </w:r>
            <w:r>
              <w:rPr>
                <w:rFonts w:hint="eastAsia" w:eastAsia="宋体"/>
                <w:b/>
                <w:bCs/>
                <w:color w:val="auto"/>
                <w:sz w:val="24"/>
                <w:highlight w:val="none"/>
              </w:rPr>
              <w:t>7</w:t>
            </w:r>
            <w:r>
              <w:rPr>
                <w:rFonts w:eastAsia="宋体"/>
                <w:b/>
                <w:bCs/>
                <w:color w:val="auto"/>
                <w:sz w:val="24"/>
                <w:highlight w:val="none"/>
              </w:rPr>
              <w:t xml:space="preserve"> 土壤及底泥监测点位及监测项目</w:t>
            </w:r>
          </w:p>
          <w:tbl>
            <w:tblPr>
              <w:tblStyle w:val="39"/>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65"/>
              <w:gridCol w:w="760"/>
              <w:gridCol w:w="1418"/>
              <w:gridCol w:w="1557"/>
              <w:gridCol w:w="935"/>
              <w:gridCol w:w="319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65" w:type="dxa"/>
                  <w:noWrap w:val="0"/>
                  <w:vAlign w:val="center"/>
                </w:tcPr>
                <w:p>
                  <w:pPr>
                    <w:jc w:val="center"/>
                    <w:rPr>
                      <w:b/>
                      <w:color w:val="auto"/>
                      <w:szCs w:val="21"/>
                      <w:highlight w:val="none"/>
                    </w:rPr>
                  </w:pPr>
                  <w:r>
                    <w:rPr>
                      <w:b/>
                      <w:color w:val="auto"/>
                      <w:szCs w:val="21"/>
                      <w:highlight w:val="none"/>
                    </w:rPr>
                    <w:t>类型</w:t>
                  </w:r>
                </w:p>
              </w:tc>
              <w:tc>
                <w:tcPr>
                  <w:tcW w:w="760" w:type="dxa"/>
                  <w:noWrap w:val="0"/>
                  <w:vAlign w:val="center"/>
                </w:tcPr>
                <w:p>
                  <w:pPr>
                    <w:jc w:val="center"/>
                    <w:rPr>
                      <w:b/>
                      <w:color w:val="auto"/>
                      <w:szCs w:val="21"/>
                      <w:highlight w:val="none"/>
                    </w:rPr>
                  </w:pPr>
                  <w:r>
                    <w:rPr>
                      <w:b/>
                      <w:color w:val="auto"/>
                      <w:szCs w:val="21"/>
                      <w:highlight w:val="none"/>
                    </w:rPr>
                    <w:t>编号</w:t>
                  </w:r>
                </w:p>
              </w:tc>
              <w:tc>
                <w:tcPr>
                  <w:tcW w:w="1418" w:type="dxa"/>
                  <w:noWrap w:val="0"/>
                  <w:vAlign w:val="center"/>
                </w:tcPr>
                <w:p>
                  <w:pPr>
                    <w:jc w:val="center"/>
                    <w:rPr>
                      <w:b/>
                      <w:color w:val="auto"/>
                      <w:szCs w:val="21"/>
                      <w:highlight w:val="none"/>
                    </w:rPr>
                  </w:pPr>
                  <w:r>
                    <w:rPr>
                      <w:b/>
                      <w:color w:val="auto"/>
                      <w:szCs w:val="21"/>
                      <w:highlight w:val="none"/>
                    </w:rPr>
                    <w:t>监测点位名称</w:t>
                  </w:r>
                </w:p>
              </w:tc>
              <w:tc>
                <w:tcPr>
                  <w:tcW w:w="1557" w:type="dxa"/>
                  <w:noWrap w:val="0"/>
                  <w:vAlign w:val="center"/>
                </w:tcPr>
                <w:p>
                  <w:pPr>
                    <w:jc w:val="center"/>
                    <w:rPr>
                      <w:b/>
                      <w:color w:val="auto"/>
                      <w:szCs w:val="21"/>
                      <w:highlight w:val="none"/>
                    </w:rPr>
                  </w:pPr>
                  <w:r>
                    <w:rPr>
                      <w:b/>
                      <w:color w:val="auto"/>
                      <w:szCs w:val="21"/>
                      <w:highlight w:val="none"/>
                    </w:rPr>
                    <w:t>方位</w:t>
                  </w:r>
                </w:p>
              </w:tc>
              <w:tc>
                <w:tcPr>
                  <w:tcW w:w="935" w:type="dxa"/>
                  <w:noWrap w:val="0"/>
                  <w:vAlign w:val="center"/>
                </w:tcPr>
                <w:p>
                  <w:pPr>
                    <w:jc w:val="center"/>
                    <w:rPr>
                      <w:b/>
                      <w:color w:val="auto"/>
                      <w:szCs w:val="21"/>
                      <w:highlight w:val="none"/>
                    </w:rPr>
                  </w:pPr>
                  <w:r>
                    <w:rPr>
                      <w:b/>
                      <w:color w:val="auto"/>
                      <w:szCs w:val="21"/>
                      <w:highlight w:val="none"/>
                    </w:rPr>
                    <w:t>取样类型</w:t>
                  </w:r>
                </w:p>
              </w:tc>
              <w:tc>
                <w:tcPr>
                  <w:tcW w:w="3194" w:type="dxa"/>
                  <w:noWrap w:val="0"/>
                  <w:vAlign w:val="center"/>
                </w:tcPr>
                <w:p>
                  <w:pPr>
                    <w:jc w:val="center"/>
                    <w:rPr>
                      <w:b/>
                      <w:color w:val="auto"/>
                      <w:szCs w:val="21"/>
                      <w:highlight w:val="none"/>
                    </w:rPr>
                  </w:pPr>
                  <w:r>
                    <w:rPr>
                      <w:b/>
                      <w:color w:val="auto"/>
                      <w:szCs w:val="21"/>
                      <w:highlight w:val="none"/>
                    </w:rPr>
                    <w:t>本次监测项目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65" w:type="dxa"/>
                  <w:vMerge w:val="restart"/>
                  <w:noWrap w:val="0"/>
                  <w:vAlign w:val="center"/>
                </w:tcPr>
                <w:p>
                  <w:pPr>
                    <w:jc w:val="center"/>
                    <w:rPr>
                      <w:color w:val="auto"/>
                      <w:szCs w:val="21"/>
                      <w:highlight w:val="none"/>
                    </w:rPr>
                  </w:pPr>
                  <w:r>
                    <w:rPr>
                      <w:color w:val="auto"/>
                      <w:szCs w:val="21"/>
                      <w:highlight w:val="none"/>
                    </w:rPr>
                    <w:t>土壤</w:t>
                  </w:r>
                </w:p>
              </w:tc>
              <w:tc>
                <w:tcPr>
                  <w:tcW w:w="760" w:type="dxa"/>
                  <w:noWrap w:val="0"/>
                  <w:vAlign w:val="center"/>
                </w:tcPr>
                <w:p>
                  <w:pPr>
                    <w:jc w:val="center"/>
                    <w:rPr>
                      <w:color w:val="auto"/>
                      <w:szCs w:val="21"/>
                      <w:highlight w:val="none"/>
                    </w:rPr>
                  </w:pPr>
                  <w:r>
                    <w:rPr>
                      <w:rFonts w:hint="eastAsia"/>
                      <w:color w:val="auto"/>
                      <w:szCs w:val="21"/>
                      <w:highlight w:val="none"/>
                    </w:rPr>
                    <w:t>T1</w:t>
                  </w:r>
                </w:p>
              </w:tc>
              <w:tc>
                <w:tcPr>
                  <w:tcW w:w="1418" w:type="dxa"/>
                  <w:noWrap w:val="0"/>
                  <w:vAlign w:val="center"/>
                </w:tcPr>
                <w:p>
                  <w:pPr>
                    <w:jc w:val="center"/>
                    <w:rPr>
                      <w:color w:val="auto"/>
                      <w:szCs w:val="21"/>
                      <w:highlight w:val="none"/>
                    </w:rPr>
                  </w:pPr>
                  <w:r>
                    <w:rPr>
                      <w:color w:val="auto"/>
                      <w:szCs w:val="21"/>
                      <w:highlight w:val="none"/>
                    </w:rPr>
                    <w:t>本项目厂区内西侧</w:t>
                  </w:r>
                </w:p>
              </w:tc>
              <w:tc>
                <w:tcPr>
                  <w:tcW w:w="1557" w:type="dxa"/>
                  <w:noWrap w:val="0"/>
                  <w:vAlign w:val="center"/>
                </w:tcPr>
                <w:p>
                  <w:pPr>
                    <w:jc w:val="center"/>
                    <w:rPr>
                      <w:color w:val="auto"/>
                      <w:szCs w:val="21"/>
                      <w:highlight w:val="none"/>
                    </w:rPr>
                  </w:pPr>
                  <w:r>
                    <w:rPr>
                      <w:color w:val="auto"/>
                      <w:szCs w:val="21"/>
                      <w:highlight w:val="none"/>
                    </w:rPr>
                    <w:t>项目占地内</w:t>
                  </w:r>
                </w:p>
              </w:tc>
              <w:tc>
                <w:tcPr>
                  <w:tcW w:w="935" w:type="dxa"/>
                  <w:noWrap w:val="0"/>
                  <w:vAlign w:val="center"/>
                </w:tcPr>
                <w:p>
                  <w:pPr>
                    <w:jc w:val="center"/>
                    <w:rPr>
                      <w:color w:val="auto"/>
                      <w:szCs w:val="21"/>
                      <w:highlight w:val="none"/>
                    </w:rPr>
                  </w:pPr>
                  <w:r>
                    <w:rPr>
                      <w:color w:val="auto"/>
                      <w:szCs w:val="21"/>
                      <w:highlight w:val="none"/>
                    </w:rPr>
                    <w:t>表层样</w:t>
                  </w:r>
                </w:p>
              </w:tc>
              <w:tc>
                <w:tcPr>
                  <w:tcW w:w="3194" w:type="dxa"/>
                  <w:vMerge w:val="restart"/>
                  <w:noWrap w:val="0"/>
                  <w:vAlign w:val="center"/>
                </w:tcPr>
                <w:p>
                  <w:pPr>
                    <w:jc w:val="center"/>
                    <w:rPr>
                      <w:color w:val="auto"/>
                      <w:szCs w:val="21"/>
                      <w:highlight w:val="none"/>
                    </w:rPr>
                  </w:pPr>
                  <w:r>
                    <w:rPr>
                      <w:color w:val="auto"/>
                      <w:szCs w:val="21"/>
                      <w:highlight w:val="none"/>
                    </w:rPr>
                    <w:t>镉、汞、砷、铜、铅、铬（六价）、镍、四氯化碳、氯仿、氯甲烷、1,1-二氯乙烷、1,2-二氯乙烷、1,1-二氯乙烯、顺-1,2-二氯乙烯、反-1,2-二氯乙烯、二氯甲烷、1,2-二氯丙烷、1,1,1,2-四氯乙烷、1,1,2,2-四氯乙烷、四氯乙烯、1,1,1-三氯乙烷、1,1,2-三氯乙烷、三氯乙烯、1,2,3-三氯丙烷、氯乙烯、苯、氯苯、1,2-二氯苯、1,4-二氯苯、乙苯、苯乙烯、甲苯、间二甲苯+对二甲苯、邻二甲苯、硝基苯、苯胺、2-氯酚、苯并[a]蒽、苯并[a]芘、苯并[b]荧蒽、苯并[k]荧蒽、䓛、二苯并[a,h]蒽、茚并[1,2,3-cd]芘、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65" w:type="dxa"/>
                  <w:vMerge w:val="continue"/>
                  <w:noWrap w:val="0"/>
                  <w:vAlign w:val="center"/>
                </w:tcPr>
                <w:p>
                  <w:pPr>
                    <w:jc w:val="center"/>
                    <w:rPr>
                      <w:color w:val="auto"/>
                      <w:szCs w:val="21"/>
                      <w:highlight w:val="none"/>
                    </w:rPr>
                  </w:pPr>
                </w:p>
              </w:tc>
              <w:tc>
                <w:tcPr>
                  <w:tcW w:w="760" w:type="dxa"/>
                  <w:noWrap w:val="0"/>
                  <w:vAlign w:val="center"/>
                </w:tcPr>
                <w:p>
                  <w:pPr>
                    <w:jc w:val="center"/>
                    <w:rPr>
                      <w:color w:val="auto"/>
                      <w:szCs w:val="21"/>
                      <w:highlight w:val="none"/>
                    </w:rPr>
                  </w:pPr>
                  <w:r>
                    <w:rPr>
                      <w:color w:val="auto"/>
                      <w:szCs w:val="21"/>
                      <w:highlight w:val="none"/>
                    </w:rPr>
                    <w:t>2#</w:t>
                  </w:r>
                </w:p>
              </w:tc>
              <w:tc>
                <w:tcPr>
                  <w:tcW w:w="1418" w:type="dxa"/>
                  <w:noWrap w:val="0"/>
                  <w:vAlign w:val="center"/>
                </w:tcPr>
                <w:p>
                  <w:pPr>
                    <w:jc w:val="center"/>
                    <w:rPr>
                      <w:color w:val="auto"/>
                      <w:szCs w:val="21"/>
                      <w:highlight w:val="none"/>
                    </w:rPr>
                  </w:pPr>
                  <w:r>
                    <w:rPr>
                      <w:color w:val="auto"/>
                      <w:szCs w:val="21"/>
                      <w:highlight w:val="none"/>
                    </w:rPr>
                    <w:t>本项目厂区内东侧</w:t>
                  </w:r>
                </w:p>
              </w:tc>
              <w:tc>
                <w:tcPr>
                  <w:tcW w:w="1557" w:type="dxa"/>
                  <w:noWrap w:val="0"/>
                  <w:vAlign w:val="center"/>
                </w:tcPr>
                <w:p>
                  <w:pPr>
                    <w:jc w:val="center"/>
                    <w:rPr>
                      <w:color w:val="auto"/>
                      <w:szCs w:val="21"/>
                      <w:highlight w:val="none"/>
                    </w:rPr>
                  </w:pPr>
                  <w:r>
                    <w:rPr>
                      <w:color w:val="auto"/>
                      <w:szCs w:val="21"/>
                      <w:highlight w:val="none"/>
                    </w:rPr>
                    <w:t>项目占地内</w:t>
                  </w:r>
                </w:p>
              </w:tc>
              <w:tc>
                <w:tcPr>
                  <w:tcW w:w="935" w:type="dxa"/>
                  <w:noWrap w:val="0"/>
                  <w:vAlign w:val="center"/>
                </w:tcPr>
                <w:p>
                  <w:pPr>
                    <w:jc w:val="center"/>
                    <w:rPr>
                      <w:color w:val="auto"/>
                      <w:szCs w:val="21"/>
                      <w:highlight w:val="none"/>
                    </w:rPr>
                  </w:pPr>
                  <w:r>
                    <w:rPr>
                      <w:color w:val="auto"/>
                      <w:szCs w:val="21"/>
                      <w:highlight w:val="none"/>
                    </w:rPr>
                    <w:t>表层样</w:t>
                  </w:r>
                </w:p>
              </w:tc>
              <w:tc>
                <w:tcPr>
                  <w:tcW w:w="3194" w:type="dxa"/>
                  <w:vMerge w:val="continue"/>
                  <w:noWrap w:val="0"/>
                  <w:vAlign w:val="center"/>
                </w:tcPr>
                <w:p>
                  <w:pPr>
                    <w:jc w:val="center"/>
                    <w:rPr>
                      <w:color w:val="auto"/>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65" w:type="dxa"/>
                  <w:vMerge w:val="continue"/>
                  <w:noWrap w:val="0"/>
                  <w:vAlign w:val="center"/>
                </w:tcPr>
                <w:p>
                  <w:pPr>
                    <w:jc w:val="center"/>
                    <w:rPr>
                      <w:color w:val="auto"/>
                      <w:szCs w:val="21"/>
                      <w:highlight w:val="none"/>
                    </w:rPr>
                  </w:pPr>
                </w:p>
              </w:tc>
              <w:tc>
                <w:tcPr>
                  <w:tcW w:w="760" w:type="dxa"/>
                  <w:noWrap w:val="0"/>
                  <w:vAlign w:val="center"/>
                </w:tcPr>
                <w:p>
                  <w:pPr>
                    <w:jc w:val="center"/>
                    <w:rPr>
                      <w:color w:val="auto"/>
                      <w:szCs w:val="21"/>
                      <w:highlight w:val="none"/>
                    </w:rPr>
                  </w:pPr>
                  <w:r>
                    <w:rPr>
                      <w:color w:val="auto"/>
                      <w:szCs w:val="21"/>
                      <w:highlight w:val="none"/>
                    </w:rPr>
                    <w:t>3#</w:t>
                  </w:r>
                </w:p>
              </w:tc>
              <w:tc>
                <w:tcPr>
                  <w:tcW w:w="1418" w:type="dxa"/>
                  <w:noWrap w:val="0"/>
                  <w:vAlign w:val="center"/>
                </w:tcPr>
                <w:p>
                  <w:pPr>
                    <w:jc w:val="center"/>
                    <w:rPr>
                      <w:color w:val="auto"/>
                      <w:szCs w:val="21"/>
                      <w:highlight w:val="none"/>
                    </w:rPr>
                  </w:pPr>
                  <w:r>
                    <w:rPr>
                      <w:color w:val="auto"/>
                      <w:szCs w:val="21"/>
                      <w:highlight w:val="none"/>
                    </w:rPr>
                    <w:t>本项目厂区</w:t>
                  </w:r>
                  <w:r>
                    <w:rPr>
                      <w:rFonts w:hint="eastAsia"/>
                      <w:color w:val="auto"/>
                      <w:szCs w:val="21"/>
                      <w:highlight w:val="none"/>
                    </w:rPr>
                    <w:t>北</w:t>
                  </w:r>
                  <w:r>
                    <w:rPr>
                      <w:color w:val="auto"/>
                      <w:szCs w:val="21"/>
                      <w:highlight w:val="none"/>
                    </w:rPr>
                    <w:t>侧</w:t>
                  </w:r>
                </w:p>
              </w:tc>
              <w:tc>
                <w:tcPr>
                  <w:tcW w:w="1557" w:type="dxa"/>
                  <w:noWrap w:val="0"/>
                  <w:vAlign w:val="center"/>
                </w:tcPr>
                <w:p>
                  <w:pPr>
                    <w:jc w:val="center"/>
                    <w:rPr>
                      <w:color w:val="auto"/>
                      <w:szCs w:val="21"/>
                      <w:highlight w:val="none"/>
                    </w:rPr>
                  </w:pPr>
                  <w:r>
                    <w:rPr>
                      <w:color w:val="auto"/>
                      <w:szCs w:val="21"/>
                      <w:highlight w:val="none"/>
                    </w:rPr>
                    <w:t>项目占地内</w:t>
                  </w:r>
                </w:p>
              </w:tc>
              <w:tc>
                <w:tcPr>
                  <w:tcW w:w="935" w:type="dxa"/>
                  <w:noWrap w:val="0"/>
                  <w:vAlign w:val="center"/>
                </w:tcPr>
                <w:p>
                  <w:pPr>
                    <w:jc w:val="center"/>
                    <w:rPr>
                      <w:color w:val="auto"/>
                      <w:szCs w:val="21"/>
                      <w:highlight w:val="none"/>
                    </w:rPr>
                  </w:pPr>
                  <w:r>
                    <w:rPr>
                      <w:color w:val="auto"/>
                      <w:szCs w:val="21"/>
                      <w:highlight w:val="none"/>
                    </w:rPr>
                    <w:t>表层样</w:t>
                  </w:r>
                </w:p>
              </w:tc>
              <w:tc>
                <w:tcPr>
                  <w:tcW w:w="3194" w:type="dxa"/>
                  <w:vMerge w:val="continue"/>
                  <w:noWrap w:val="0"/>
                  <w:vAlign w:val="center"/>
                </w:tcPr>
                <w:p>
                  <w:pPr>
                    <w:jc w:val="center"/>
                    <w:rPr>
                      <w:color w:val="auto"/>
                      <w:szCs w:val="21"/>
                      <w:highlight w:val="none"/>
                    </w:rPr>
                  </w:pPr>
                </w:p>
              </w:tc>
            </w:tr>
          </w:tbl>
          <w:p>
            <w:pPr>
              <w:pStyle w:val="16"/>
              <w:numPr>
                <w:ilvl w:val="0"/>
                <w:numId w:val="6"/>
              </w:numPr>
              <w:snapToGrid/>
              <w:spacing w:after="0" w:line="360" w:lineRule="auto"/>
              <w:ind w:firstLine="480"/>
              <w:rPr>
                <w:color w:val="auto"/>
                <w:sz w:val="24"/>
                <w:szCs w:val="24"/>
                <w:highlight w:val="none"/>
              </w:rPr>
            </w:pPr>
            <w:r>
              <w:rPr>
                <w:color w:val="auto"/>
                <w:sz w:val="24"/>
                <w:szCs w:val="24"/>
                <w:highlight w:val="none"/>
              </w:rPr>
              <w:t>评价方法</w:t>
            </w:r>
          </w:p>
          <w:p>
            <w:pPr>
              <w:widowControl/>
              <w:spacing w:line="360" w:lineRule="auto"/>
              <w:ind w:firstLine="480"/>
              <w:rPr>
                <w:color w:val="auto"/>
                <w:sz w:val="24"/>
                <w:highlight w:val="none"/>
              </w:rPr>
            </w:pPr>
            <w:r>
              <w:rPr>
                <w:color w:val="auto"/>
                <w:sz w:val="24"/>
                <w:highlight w:val="none"/>
              </w:rPr>
              <w:t>评价采用单项标准指数法。</w:t>
            </w:r>
          </w:p>
          <w:p>
            <w:pPr>
              <w:widowControl/>
              <w:spacing w:line="360" w:lineRule="auto"/>
              <w:ind w:firstLine="494" w:firstLineChars="206"/>
              <w:jc w:val="center"/>
              <w:rPr>
                <w:color w:val="auto"/>
                <w:sz w:val="24"/>
                <w:highlight w:val="none"/>
              </w:rPr>
            </w:pPr>
            <w:r>
              <w:rPr>
                <w:color w:val="auto"/>
                <w:sz w:val="24"/>
                <w:highlight w:val="none"/>
              </w:rPr>
              <w:object>
                <v:shape id="_x0000_i1037" o:spt="75" type="#_x0000_t75" style="height:32pt;width:60pt;" o:ole="t" filled="f" o:preferrelative="t" stroked="f" coordsize="21600,21600">
                  <v:path/>
                  <v:fill on="f" focussize="0,0"/>
                  <v:stroke on="f"/>
                  <v:imagedata r:id="rId13" o:title=""/>
                  <o:lock v:ext="edit" aspectratio="t"/>
                  <w10:wrap type="none"/>
                  <w10:anchorlock/>
                </v:shape>
                <o:OLEObject Type="Embed" ProgID="Equation.3" ShapeID="_x0000_i1037" DrawAspect="Content" ObjectID="_1468075726" r:id="rId12">
                  <o:LockedField>false</o:LockedField>
                </o:OLEObject>
              </w:object>
            </w:r>
          </w:p>
          <w:p>
            <w:pPr>
              <w:widowControl/>
              <w:spacing w:line="360" w:lineRule="auto"/>
              <w:ind w:firstLine="494" w:firstLineChars="206"/>
              <w:rPr>
                <w:color w:val="auto"/>
                <w:sz w:val="24"/>
                <w:highlight w:val="none"/>
              </w:rPr>
            </w:pPr>
            <w:r>
              <w:rPr>
                <w:color w:val="auto"/>
                <w:sz w:val="24"/>
                <w:highlight w:val="none"/>
              </w:rPr>
              <w:t>式中：Si，j－污染物i在j点的污染指数；</w:t>
            </w:r>
          </w:p>
          <w:p>
            <w:pPr>
              <w:pStyle w:val="50"/>
              <w:widowControl/>
              <w:adjustRightInd/>
              <w:ind w:firstLine="1200" w:firstLineChars="500"/>
              <w:rPr>
                <w:rFonts w:ascii="Times New Roman" w:hAnsi="Times New Roman"/>
                <w:color w:val="auto"/>
                <w:szCs w:val="24"/>
                <w:highlight w:val="none"/>
              </w:rPr>
            </w:pPr>
            <w:r>
              <w:rPr>
                <w:rFonts w:ascii="Times New Roman" w:hAnsi="Times New Roman"/>
                <w:color w:val="auto"/>
                <w:szCs w:val="24"/>
                <w:highlight w:val="none"/>
              </w:rPr>
              <w:t>Ci，j－污染物i在j点的实测浓度平均值（mg/L）；</w:t>
            </w:r>
          </w:p>
          <w:p>
            <w:pPr>
              <w:widowControl/>
              <w:spacing w:line="360" w:lineRule="auto"/>
              <w:ind w:firstLine="1214" w:firstLineChars="506"/>
              <w:rPr>
                <w:color w:val="auto"/>
                <w:sz w:val="24"/>
                <w:highlight w:val="none"/>
              </w:rPr>
            </w:pPr>
            <w:r>
              <w:rPr>
                <w:color w:val="auto"/>
                <w:sz w:val="24"/>
                <w:highlight w:val="none"/>
              </w:rPr>
              <w:t>CSi－污染物i的评价标准（mg/L）。</w:t>
            </w:r>
          </w:p>
          <w:p>
            <w:pPr>
              <w:pStyle w:val="16"/>
              <w:numPr>
                <w:ilvl w:val="0"/>
                <w:numId w:val="6"/>
              </w:numPr>
              <w:snapToGrid/>
              <w:spacing w:after="0" w:line="360" w:lineRule="auto"/>
              <w:ind w:firstLine="480"/>
              <w:rPr>
                <w:color w:val="auto"/>
                <w:sz w:val="24"/>
                <w:szCs w:val="24"/>
                <w:highlight w:val="none"/>
              </w:rPr>
            </w:pPr>
            <w:r>
              <w:rPr>
                <w:color w:val="auto"/>
                <w:sz w:val="24"/>
                <w:szCs w:val="24"/>
                <w:highlight w:val="none"/>
              </w:rPr>
              <w:t>评价结果</w:t>
            </w:r>
          </w:p>
          <w:p>
            <w:pPr>
              <w:pStyle w:val="14"/>
              <w:spacing w:line="360" w:lineRule="auto"/>
              <w:jc w:val="center"/>
              <w:rPr>
                <w:rFonts w:eastAsia="宋体"/>
                <w:b/>
                <w:bCs/>
                <w:color w:val="auto"/>
                <w:sz w:val="24"/>
                <w:highlight w:val="none"/>
              </w:rPr>
            </w:pPr>
            <w:r>
              <w:rPr>
                <w:rFonts w:eastAsia="宋体"/>
                <w:b/>
                <w:bCs/>
                <w:color w:val="auto"/>
                <w:sz w:val="24"/>
                <w:highlight w:val="none"/>
              </w:rPr>
              <w:t>表3-</w:t>
            </w:r>
            <w:r>
              <w:rPr>
                <w:rFonts w:hint="eastAsia" w:eastAsia="宋体"/>
                <w:b/>
                <w:bCs/>
                <w:color w:val="auto"/>
                <w:sz w:val="24"/>
                <w:highlight w:val="none"/>
              </w:rPr>
              <w:t>8</w:t>
            </w:r>
            <w:r>
              <w:rPr>
                <w:rFonts w:eastAsia="宋体"/>
                <w:b/>
                <w:bCs/>
                <w:color w:val="auto"/>
                <w:sz w:val="24"/>
                <w:highlight w:val="none"/>
              </w:rPr>
              <w:t xml:space="preserve">  土壤现状监测及评价结果</w:t>
            </w:r>
          </w:p>
          <w:tbl>
            <w:tblPr>
              <w:tblStyle w:val="39"/>
              <w:tblW w:w="8333"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792"/>
              <w:gridCol w:w="689"/>
              <w:gridCol w:w="741"/>
              <w:gridCol w:w="787"/>
              <w:gridCol w:w="591"/>
              <w:gridCol w:w="697"/>
              <w:gridCol w:w="689"/>
              <w:gridCol w:w="689"/>
              <w:gridCol w:w="699"/>
              <w:gridCol w:w="74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4" w:hRule="atLeast"/>
                <w:tblHeader/>
              </w:trPr>
              <w:tc>
                <w:tcPr>
                  <w:tcW w:w="1217" w:type="dxa"/>
                  <w:vMerge w:val="restart"/>
                  <w:noWrap w:val="0"/>
                  <w:vAlign w:val="center"/>
                </w:tcPr>
                <w:p>
                  <w:pPr>
                    <w:spacing w:line="220" w:lineRule="atLeast"/>
                    <w:jc w:val="center"/>
                    <w:rPr>
                      <w:b/>
                      <w:color w:val="auto"/>
                      <w:szCs w:val="21"/>
                      <w:highlight w:val="none"/>
                    </w:rPr>
                  </w:pPr>
                  <w:r>
                    <w:rPr>
                      <w:b/>
                      <w:color w:val="auto"/>
                      <w:szCs w:val="21"/>
                      <w:highlight w:val="none"/>
                    </w:rPr>
                    <w:t>检测项目</w:t>
                  </w:r>
                </w:p>
              </w:tc>
              <w:tc>
                <w:tcPr>
                  <w:tcW w:w="6374" w:type="dxa"/>
                  <w:gridSpan w:val="9"/>
                  <w:noWrap w:val="0"/>
                  <w:vAlign w:val="center"/>
                </w:tcPr>
                <w:p>
                  <w:pPr>
                    <w:spacing w:line="220" w:lineRule="atLeast"/>
                    <w:jc w:val="center"/>
                    <w:rPr>
                      <w:b/>
                      <w:color w:val="auto"/>
                      <w:szCs w:val="21"/>
                      <w:highlight w:val="none"/>
                    </w:rPr>
                  </w:pPr>
                  <w:r>
                    <w:rPr>
                      <w:b/>
                      <w:color w:val="auto"/>
                      <w:szCs w:val="21"/>
                      <w:highlight w:val="none"/>
                    </w:rPr>
                    <w:t>检测点及检测结果</w:t>
                  </w:r>
                </w:p>
              </w:tc>
              <w:tc>
                <w:tcPr>
                  <w:tcW w:w="742" w:type="dxa"/>
                  <w:vMerge w:val="restart"/>
                  <w:noWrap w:val="0"/>
                  <w:vAlign w:val="center"/>
                </w:tcPr>
                <w:p>
                  <w:pPr>
                    <w:spacing w:line="220" w:lineRule="atLeast"/>
                    <w:jc w:val="center"/>
                    <w:rPr>
                      <w:b/>
                      <w:color w:val="auto"/>
                      <w:szCs w:val="21"/>
                      <w:highlight w:val="none"/>
                    </w:rPr>
                  </w:pPr>
                  <w:r>
                    <w:rPr>
                      <w:b/>
                      <w:color w:val="auto"/>
                      <w:szCs w:val="21"/>
                      <w:highlight w:val="none"/>
                    </w:rPr>
                    <w:t>标准值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6" w:hRule="atLeast"/>
              </w:trPr>
              <w:tc>
                <w:tcPr>
                  <w:tcW w:w="1217" w:type="dxa"/>
                  <w:vMerge w:val="continue"/>
                  <w:noWrap w:val="0"/>
                  <w:vAlign w:val="center"/>
                </w:tcPr>
                <w:p>
                  <w:pPr>
                    <w:spacing w:line="220" w:lineRule="atLeast"/>
                    <w:jc w:val="center"/>
                    <w:rPr>
                      <w:b/>
                      <w:color w:val="auto"/>
                      <w:szCs w:val="21"/>
                      <w:highlight w:val="none"/>
                    </w:rPr>
                  </w:pPr>
                </w:p>
              </w:tc>
              <w:tc>
                <w:tcPr>
                  <w:tcW w:w="792" w:type="dxa"/>
                  <w:noWrap w:val="0"/>
                  <w:vAlign w:val="center"/>
                </w:tcPr>
                <w:p>
                  <w:pPr>
                    <w:spacing w:line="220" w:lineRule="atLeast"/>
                    <w:jc w:val="center"/>
                    <w:rPr>
                      <w:b/>
                      <w:color w:val="auto"/>
                      <w:szCs w:val="21"/>
                      <w:highlight w:val="none"/>
                    </w:rPr>
                  </w:pPr>
                  <w:r>
                    <w:rPr>
                      <w:b/>
                      <w:color w:val="auto"/>
                      <w:szCs w:val="21"/>
                      <w:highlight w:val="none"/>
                    </w:rPr>
                    <w:t>S1</w:t>
                  </w:r>
                </w:p>
              </w:tc>
              <w:tc>
                <w:tcPr>
                  <w:tcW w:w="689" w:type="dxa"/>
                  <w:noWrap w:val="0"/>
                  <w:vAlign w:val="center"/>
                </w:tcPr>
                <w:p>
                  <w:pPr>
                    <w:spacing w:line="220" w:lineRule="atLeast"/>
                    <w:jc w:val="center"/>
                    <w:rPr>
                      <w:b/>
                      <w:color w:val="auto"/>
                      <w:szCs w:val="21"/>
                      <w:highlight w:val="none"/>
                    </w:rPr>
                  </w:pPr>
                  <w:r>
                    <w:rPr>
                      <w:b/>
                      <w:color w:val="auto"/>
                      <w:szCs w:val="21"/>
                      <w:highlight w:val="none"/>
                    </w:rPr>
                    <w:t>Si</w:t>
                  </w:r>
                </w:p>
              </w:tc>
              <w:tc>
                <w:tcPr>
                  <w:tcW w:w="741" w:type="dxa"/>
                  <w:noWrap w:val="0"/>
                  <w:vAlign w:val="center"/>
                </w:tcPr>
                <w:p>
                  <w:pPr>
                    <w:spacing w:line="220" w:lineRule="atLeast"/>
                    <w:jc w:val="center"/>
                    <w:rPr>
                      <w:b/>
                      <w:color w:val="auto"/>
                      <w:szCs w:val="21"/>
                      <w:highlight w:val="none"/>
                    </w:rPr>
                  </w:pPr>
                  <w:r>
                    <w:rPr>
                      <w:b/>
                      <w:color w:val="auto"/>
                      <w:szCs w:val="21"/>
                      <w:highlight w:val="none"/>
                    </w:rPr>
                    <w:t>达标判断</w:t>
                  </w:r>
                </w:p>
              </w:tc>
              <w:tc>
                <w:tcPr>
                  <w:tcW w:w="787" w:type="dxa"/>
                  <w:noWrap w:val="0"/>
                  <w:vAlign w:val="center"/>
                </w:tcPr>
                <w:p>
                  <w:pPr>
                    <w:spacing w:line="220" w:lineRule="atLeast"/>
                    <w:jc w:val="center"/>
                    <w:rPr>
                      <w:b/>
                      <w:color w:val="auto"/>
                      <w:szCs w:val="21"/>
                      <w:highlight w:val="none"/>
                    </w:rPr>
                  </w:pPr>
                  <w:r>
                    <w:rPr>
                      <w:b/>
                      <w:color w:val="auto"/>
                      <w:szCs w:val="21"/>
                      <w:highlight w:val="none"/>
                    </w:rPr>
                    <w:t>S2</w:t>
                  </w:r>
                </w:p>
              </w:tc>
              <w:tc>
                <w:tcPr>
                  <w:tcW w:w="591" w:type="dxa"/>
                  <w:noWrap w:val="0"/>
                  <w:vAlign w:val="center"/>
                </w:tcPr>
                <w:p>
                  <w:pPr>
                    <w:spacing w:line="220" w:lineRule="atLeast"/>
                    <w:jc w:val="center"/>
                    <w:rPr>
                      <w:b/>
                      <w:color w:val="auto"/>
                      <w:szCs w:val="21"/>
                      <w:highlight w:val="none"/>
                    </w:rPr>
                  </w:pPr>
                  <w:r>
                    <w:rPr>
                      <w:b/>
                      <w:color w:val="auto"/>
                      <w:szCs w:val="21"/>
                      <w:highlight w:val="none"/>
                    </w:rPr>
                    <w:t>Si</w:t>
                  </w:r>
                </w:p>
              </w:tc>
              <w:tc>
                <w:tcPr>
                  <w:tcW w:w="697" w:type="dxa"/>
                  <w:noWrap w:val="0"/>
                  <w:vAlign w:val="center"/>
                </w:tcPr>
                <w:p>
                  <w:pPr>
                    <w:spacing w:line="220" w:lineRule="atLeast"/>
                    <w:jc w:val="center"/>
                    <w:rPr>
                      <w:b/>
                      <w:color w:val="auto"/>
                      <w:szCs w:val="21"/>
                      <w:highlight w:val="none"/>
                    </w:rPr>
                  </w:pPr>
                  <w:r>
                    <w:rPr>
                      <w:b/>
                      <w:color w:val="auto"/>
                      <w:szCs w:val="21"/>
                      <w:highlight w:val="none"/>
                    </w:rPr>
                    <w:t>达标判断</w:t>
                  </w:r>
                </w:p>
              </w:tc>
              <w:tc>
                <w:tcPr>
                  <w:tcW w:w="689" w:type="dxa"/>
                  <w:noWrap w:val="0"/>
                  <w:vAlign w:val="center"/>
                </w:tcPr>
                <w:p>
                  <w:pPr>
                    <w:spacing w:line="220" w:lineRule="atLeast"/>
                    <w:jc w:val="center"/>
                    <w:rPr>
                      <w:b/>
                      <w:color w:val="auto"/>
                      <w:szCs w:val="21"/>
                      <w:highlight w:val="none"/>
                    </w:rPr>
                  </w:pPr>
                  <w:r>
                    <w:rPr>
                      <w:b/>
                      <w:color w:val="auto"/>
                      <w:szCs w:val="21"/>
                      <w:highlight w:val="none"/>
                    </w:rPr>
                    <w:t>S3</w:t>
                  </w:r>
                </w:p>
              </w:tc>
              <w:tc>
                <w:tcPr>
                  <w:tcW w:w="689" w:type="dxa"/>
                  <w:noWrap w:val="0"/>
                  <w:vAlign w:val="center"/>
                </w:tcPr>
                <w:p>
                  <w:pPr>
                    <w:spacing w:line="220" w:lineRule="atLeast"/>
                    <w:jc w:val="center"/>
                    <w:rPr>
                      <w:b/>
                      <w:color w:val="auto"/>
                      <w:szCs w:val="21"/>
                      <w:highlight w:val="none"/>
                    </w:rPr>
                  </w:pPr>
                  <w:r>
                    <w:rPr>
                      <w:b/>
                      <w:color w:val="auto"/>
                      <w:szCs w:val="21"/>
                      <w:highlight w:val="none"/>
                    </w:rPr>
                    <w:t>Si</w:t>
                  </w:r>
                </w:p>
              </w:tc>
              <w:tc>
                <w:tcPr>
                  <w:tcW w:w="699" w:type="dxa"/>
                  <w:noWrap w:val="0"/>
                  <w:vAlign w:val="center"/>
                </w:tcPr>
                <w:p>
                  <w:pPr>
                    <w:spacing w:line="220" w:lineRule="atLeast"/>
                    <w:jc w:val="center"/>
                    <w:rPr>
                      <w:b/>
                      <w:color w:val="auto"/>
                      <w:szCs w:val="21"/>
                      <w:highlight w:val="none"/>
                    </w:rPr>
                  </w:pPr>
                  <w:r>
                    <w:rPr>
                      <w:b/>
                      <w:color w:val="auto"/>
                      <w:szCs w:val="21"/>
                      <w:highlight w:val="none"/>
                    </w:rPr>
                    <w:t>达标判断</w:t>
                  </w:r>
                </w:p>
              </w:tc>
              <w:tc>
                <w:tcPr>
                  <w:tcW w:w="742" w:type="dxa"/>
                  <w:vMerge w:val="continue"/>
                  <w:noWrap w:val="0"/>
                  <w:vAlign w:val="center"/>
                </w:tcPr>
                <w:p>
                  <w:pPr>
                    <w:spacing w:line="220" w:lineRule="atLeast"/>
                    <w:jc w:val="center"/>
                    <w:rPr>
                      <w:color w:val="auto"/>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1217" w:type="dxa"/>
                  <w:noWrap w:val="0"/>
                  <w:vAlign w:val="center"/>
                </w:tcPr>
                <w:p>
                  <w:pPr>
                    <w:spacing w:line="220" w:lineRule="atLeast"/>
                    <w:jc w:val="center"/>
                    <w:rPr>
                      <w:color w:val="auto"/>
                      <w:szCs w:val="21"/>
                      <w:highlight w:val="none"/>
                    </w:rPr>
                  </w:pPr>
                  <w:r>
                    <w:rPr>
                      <w:color w:val="auto"/>
                      <w:szCs w:val="21"/>
                      <w:highlight w:val="none"/>
                    </w:rPr>
                    <w:t>pH值（无量纲）</w:t>
                  </w:r>
                </w:p>
              </w:tc>
              <w:tc>
                <w:tcPr>
                  <w:tcW w:w="792" w:type="dxa"/>
                  <w:noWrap w:val="0"/>
                  <w:vAlign w:val="center"/>
                </w:tcPr>
                <w:p>
                  <w:pPr>
                    <w:widowControl/>
                    <w:jc w:val="center"/>
                    <w:textAlignment w:val="center"/>
                    <w:rPr>
                      <w:color w:val="auto"/>
                      <w:szCs w:val="21"/>
                      <w:highlight w:val="none"/>
                    </w:rPr>
                  </w:pPr>
                  <w:r>
                    <w:rPr>
                      <w:color w:val="auto"/>
                      <w:kern w:val="0"/>
                      <w:szCs w:val="21"/>
                      <w:highlight w:val="none"/>
                      <w:lang w:bidi="ar"/>
                    </w:rPr>
                    <w:t>7.63</w:t>
                  </w:r>
                </w:p>
              </w:tc>
              <w:tc>
                <w:tcPr>
                  <w:tcW w:w="689" w:type="dxa"/>
                  <w:noWrap w:val="0"/>
                  <w:vAlign w:val="center"/>
                </w:tcPr>
                <w:p>
                  <w:pPr>
                    <w:widowControl/>
                    <w:jc w:val="center"/>
                    <w:textAlignment w:val="center"/>
                    <w:rPr>
                      <w:color w:val="auto"/>
                      <w:szCs w:val="21"/>
                      <w:highlight w:val="none"/>
                    </w:rPr>
                  </w:pPr>
                  <w:r>
                    <w:rPr>
                      <w:color w:val="auto"/>
                      <w:kern w:val="0"/>
                      <w:szCs w:val="21"/>
                      <w:highlight w:val="none"/>
                      <w:lang w:bidi="ar"/>
                    </w:rPr>
                    <w:t>/</w:t>
                  </w:r>
                </w:p>
              </w:tc>
              <w:tc>
                <w:tcPr>
                  <w:tcW w:w="741" w:type="dxa"/>
                  <w:noWrap w:val="0"/>
                  <w:vAlign w:val="center"/>
                </w:tcPr>
                <w:p>
                  <w:pPr>
                    <w:widowControl/>
                    <w:jc w:val="center"/>
                    <w:textAlignment w:val="center"/>
                    <w:rPr>
                      <w:color w:val="auto"/>
                      <w:szCs w:val="21"/>
                      <w:highlight w:val="none"/>
                    </w:rPr>
                  </w:pPr>
                  <w:r>
                    <w:rPr>
                      <w:color w:val="auto"/>
                      <w:kern w:val="0"/>
                      <w:szCs w:val="21"/>
                      <w:highlight w:val="none"/>
                      <w:lang w:bidi="ar"/>
                    </w:rPr>
                    <w:t>/</w:t>
                  </w:r>
                </w:p>
              </w:tc>
              <w:tc>
                <w:tcPr>
                  <w:tcW w:w="787" w:type="dxa"/>
                  <w:noWrap w:val="0"/>
                  <w:vAlign w:val="center"/>
                </w:tcPr>
                <w:p>
                  <w:pPr>
                    <w:widowControl/>
                    <w:jc w:val="center"/>
                    <w:textAlignment w:val="center"/>
                    <w:rPr>
                      <w:color w:val="auto"/>
                      <w:szCs w:val="21"/>
                      <w:highlight w:val="none"/>
                    </w:rPr>
                  </w:pPr>
                  <w:r>
                    <w:rPr>
                      <w:color w:val="auto"/>
                      <w:kern w:val="0"/>
                      <w:szCs w:val="21"/>
                      <w:highlight w:val="none"/>
                      <w:lang w:bidi="ar"/>
                    </w:rPr>
                    <w:t>7.87</w:t>
                  </w:r>
                </w:p>
              </w:tc>
              <w:tc>
                <w:tcPr>
                  <w:tcW w:w="591" w:type="dxa"/>
                  <w:noWrap w:val="0"/>
                  <w:vAlign w:val="center"/>
                </w:tcPr>
                <w:p>
                  <w:pPr>
                    <w:widowControl/>
                    <w:jc w:val="center"/>
                    <w:textAlignment w:val="center"/>
                    <w:rPr>
                      <w:color w:val="auto"/>
                      <w:szCs w:val="21"/>
                      <w:highlight w:val="none"/>
                    </w:rPr>
                  </w:pPr>
                  <w:r>
                    <w:rPr>
                      <w:color w:val="auto"/>
                      <w:kern w:val="0"/>
                      <w:szCs w:val="21"/>
                      <w:highlight w:val="none"/>
                      <w:lang w:bidi="ar"/>
                    </w:rPr>
                    <w:t>/</w:t>
                  </w:r>
                </w:p>
              </w:tc>
              <w:tc>
                <w:tcPr>
                  <w:tcW w:w="697" w:type="dxa"/>
                  <w:noWrap w:val="0"/>
                  <w:vAlign w:val="center"/>
                </w:tcPr>
                <w:p>
                  <w:pPr>
                    <w:widowControl/>
                    <w:jc w:val="center"/>
                    <w:textAlignment w:val="center"/>
                    <w:rPr>
                      <w:color w:val="auto"/>
                      <w:szCs w:val="21"/>
                      <w:highlight w:val="none"/>
                    </w:rPr>
                  </w:pPr>
                  <w:r>
                    <w:rPr>
                      <w:color w:val="auto"/>
                      <w:kern w:val="0"/>
                      <w:szCs w:val="21"/>
                      <w:highlight w:val="none"/>
                      <w:lang w:bidi="ar"/>
                    </w:rPr>
                    <w:t>/</w:t>
                  </w:r>
                </w:p>
              </w:tc>
              <w:tc>
                <w:tcPr>
                  <w:tcW w:w="689" w:type="dxa"/>
                  <w:noWrap w:val="0"/>
                  <w:vAlign w:val="center"/>
                </w:tcPr>
                <w:p>
                  <w:pPr>
                    <w:widowControl/>
                    <w:jc w:val="center"/>
                    <w:textAlignment w:val="center"/>
                    <w:rPr>
                      <w:color w:val="auto"/>
                      <w:szCs w:val="21"/>
                      <w:highlight w:val="none"/>
                    </w:rPr>
                  </w:pPr>
                  <w:r>
                    <w:rPr>
                      <w:color w:val="auto"/>
                      <w:kern w:val="0"/>
                      <w:szCs w:val="21"/>
                      <w:highlight w:val="none"/>
                      <w:lang w:bidi="ar"/>
                    </w:rPr>
                    <w:t>9.2</w:t>
                  </w:r>
                </w:p>
              </w:tc>
              <w:tc>
                <w:tcPr>
                  <w:tcW w:w="689" w:type="dxa"/>
                  <w:noWrap w:val="0"/>
                  <w:vAlign w:val="center"/>
                </w:tcPr>
                <w:p>
                  <w:pPr>
                    <w:widowControl/>
                    <w:jc w:val="center"/>
                    <w:textAlignment w:val="center"/>
                    <w:rPr>
                      <w:color w:val="auto"/>
                      <w:szCs w:val="21"/>
                      <w:highlight w:val="none"/>
                    </w:rPr>
                  </w:pPr>
                  <w:r>
                    <w:rPr>
                      <w:color w:val="auto"/>
                      <w:kern w:val="0"/>
                      <w:szCs w:val="21"/>
                      <w:highlight w:val="none"/>
                      <w:lang w:bidi="ar"/>
                    </w:rPr>
                    <w:t>/</w:t>
                  </w:r>
                </w:p>
              </w:tc>
              <w:tc>
                <w:tcPr>
                  <w:tcW w:w="699" w:type="dxa"/>
                  <w:noWrap w:val="0"/>
                  <w:vAlign w:val="center"/>
                </w:tcPr>
                <w:p>
                  <w:pPr>
                    <w:widowControl/>
                    <w:jc w:val="center"/>
                    <w:textAlignment w:val="center"/>
                    <w:rPr>
                      <w:color w:val="auto"/>
                      <w:szCs w:val="21"/>
                      <w:highlight w:val="none"/>
                    </w:rPr>
                  </w:pPr>
                  <w:r>
                    <w:rPr>
                      <w:color w:val="auto"/>
                      <w:kern w:val="0"/>
                      <w:szCs w:val="21"/>
                      <w:highlight w:val="none"/>
                      <w:lang w:bidi="ar"/>
                    </w:rPr>
                    <w:t>/</w:t>
                  </w:r>
                </w:p>
              </w:tc>
              <w:tc>
                <w:tcPr>
                  <w:tcW w:w="742" w:type="dxa"/>
                  <w:noWrap w:val="0"/>
                  <w:vAlign w:val="center"/>
                </w:tcPr>
                <w:p>
                  <w:pPr>
                    <w:widowControl/>
                    <w:jc w:val="center"/>
                    <w:textAlignment w:val="center"/>
                    <w:rPr>
                      <w:color w:val="auto"/>
                      <w:szCs w:val="21"/>
                      <w:highlight w:val="none"/>
                    </w:rPr>
                  </w:pPr>
                  <w:r>
                    <w:rPr>
                      <w:color w:val="auto"/>
                      <w:kern w:val="0"/>
                      <w:szCs w:val="21"/>
                      <w:highlight w:val="none"/>
                      <w:lang w:bidi="ar"/>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1217" w:type="dxa"/>
                  <w:noWrap w:val="0"/>
                  <w:vAlign w:val="center"/>
                </w:tcPr>
                <w:p>
                  <w:pPr>
                    <w:spacing w:line="220" w:lineRule="atLeast"/>
                    <w:jc w:val="center"/>
                    <w:rPr>
                      <w:color w:val="auto"/>
                      <w:szCs w:val="21"/>
                      <w:highlight w:val="none"/>
                    </w:rPr>
                  </w:pPr>
                  <w:r>
                    <w:rPr>
                      <w:color w:val="auto"/>
                      <w:szCs w:val="21"/>
                      <w:highlight w:val="none"/>
                    </w:rPr>
                    <w:t>总汞（mg/kg）</w:t>
                  </w:r>
                </w:p>
              </w:tc>
              <w:tc>
                <w:tcPr>
                  <w:tcW w:w="792" w:type="dxa"/>
                  <w:noWrap w:val="0"/>
                  <w:vAlign w:val="center"/>
                </w:tcPr>
                <w:p>
                  <w:pPr>
                    <w:widowControl/>
                    <w:jc w:val="center"/>
                    <w:textAlignment w:val="center"/>
                    <w:rPr>
                      <w:color w:val="auto"/>
                      <w:szCs w:val="21"/>
                      <w:highlight w:val="none"/>
                    </w:rPr>
                  </w:pPr>
                  <w:r>
                    <w:rPr>
                      <w:color w:val="auto"/>
                      <w:kern w:val="0"/>
                      <w:szCs w:val="21"/>
                      <w:highlight w:val="none"/>
                      <w:lang w:bidi="ar"/>
                    </w:rPr>
                    <w:t>0.032</w:t>
                  </w:r>
                </w:p>
              </w:tc>
              <w:tc>
                <w:tcPr>
                  <w:tcW w:w="689" w:type="dxa"/>
                  <w:noWrap w:val="0"/>
                  <w:vAlign w:val="center"/>
                </w:tcPr>
                <w:p>
                  <w:pPr>
                    <w:widowControl/>
                    <w:jc w:val="center"/>
                    <w:textAlignment w:val="center"/>
                    <w:rPr>
                      <w:color w:val="auto"/>
                      <w:szCs w:val="21"/>
                      <w:highlight w:val="none"/>
                    </w:rPr>
                  </w:pPr>
                  <w:r>
                    <w:rPr>
                      <w:color w:val="auto"/>
                      <w:kern w:val="0"/>
                      <w:szCs w:val="21"/>
                      <w:highlight w:val="none"/>
                      <w:lang w:bidi="ar"/>
                    </w:rPr>
                    <w:t xml:space="preserve">0.001 </w:t>
                  </w:r>
                </w:p>
              </w:tc>
              <w:tc>
                <w:tcPr>
                  <w:tcW w:w="741" w:type="dxa"/>
                  <w:noWrap w:val="0"/>
                  <w:vAlign w:val="center"/>
                </w:tcPr>
                <w:p>
                  <w:pPr>
                    <w:widowControl/>
                    <w:jc w:val="center"/>
                    <w:textAlignment w:val="center"/>
                    <w:rPr>
                      <w:color w:val="auto"/>
                      <w:szCs w:val="21"/>
                      <w:highlight w:val="none"/>
                    </w:rPr>
                  </w:pPr>
                  <w:r>
                    <w:rPr>
                      <w:color w:val="auto"/>
                      <w:kern w:val="0"/>
                      <w:szCs w:val="21"/>
                      <w:highlight w:val="none"/>
                      <w:lang w:bidi="ar"/>
                    </w:rPr>
                    <w:t>达标</w:t>
                  </w:r>
                </w:p>
              </w:tc>
              <w:tc>
                <w:tcPr>
                  <w:tcW w:w="787" w:type="dxa"/>
                  <w:noWrap w:val="0"/>
                  <w:vAlign w:val="center"/>
                </w:tcPr>
                <w:p>
                  <w:pPr>
                    <w:widowControl/>
                    <w:jc w:val="center"/>
                    <w:textAlignment w:val="center"/>
                    <w:rPr>
                      <w:color w:val="auto"/>
                      <w:szCs w:val="21"/>
                      <w:highlight w:val="none"/>
                    </w:rPr>
                  </w:pPr>
                  <w:r>
                    <w:rPr>
                      <w:color w:val="auto"/>
                      <w:kern w:val="0"/>
                      <w:szCs w:val="21"/>
                      <w:highlight w:val="none"/>
                      <w:lang w:bidi="ar"/>
                    </w:rPr>
                    <w:t>0.026</w:t>
                  </w:r>
                </w:p>
              </w:tc>
              <w:tc>
                <w:tcPr>
                  <w:tcW w:w="591" w:type="dxa"/>
                  <w:noWrap w:val="0"/>
                  <w:vAlign w:val="center"/>
                </w:tcPr>
                <w:p>
                  <w:pPr>
                    <w:widowControl/>
                    <w:jc w:val="center"/>
                    <w:textAlignment w:val="center"/>
                    <w:rPr>
                      <w:color w:val="auto"/>
                      <w:szCs w:val="21"/>
                      <w:highlight w:val="none"/>
                    </w:rPr>
                  </w:pPr>
                  <w:r>
                    <w:rPr>
                      <w:color w:val="auto"/>
                      <w:kern w:val="0"/>
                      <w:szCs w:val="21"/>
                      <w:highlight w:val="none"/>
                      <w:lang w:bidi="ar"/>
                    </w:rPr>
                    <w:t xml:space="preserve">0.001 </w:t>
                  </w:r>
                </w:p>
              </w:tc>
              <w:tc>
                <w:tcPr>
                  <w:tcW w:w="697" w:type="dxa"/>
                  <w:noWrap w:val="0"/>
                  <w:vAlign w:val="center"/>
                </w:tcPr>
                <w:p>
                  <w:pPr>
                    <w:widowControl/>
                    <w:jc w:val="center"/>
                    <w:textAlignment w:val="center"/>
                    <w:rPr>
                      <w:color w:val="auto"/>
                      <w:szCs w:val="21"/>
                      <w:highlight w:val="none"/>
                    </w:rPr>
                  </w:pPr>
                  <w:r>
                    <w:rPr>
                      <w:color w:val="auto"/>
                      <w:kern w:val="0"/>
                      <w:szCs w:val="21"/>
                      <w:highlight w:val="none"/>
                      <w:lang w:bidi="ar"/>
                    </w:rPr>
                    <w:t>达标</w:t>
                  </w:r>
                </w:p>
              </w:tc>
              <w:tc>
                <w:tcPr>
                  <w:tcW w:w="689" w:type="dxa"/>
                  <w:noWrap w:val="0"/>
                  <w:vAlign w:val="center"/>
                </w:tcPr>
                <w:p>
                  <w:pPr>
                    <w:widowControl/>
                    <w:jc w:val="center"/>
                    <w:textAlignment w:val="center"/>
                    <w:rPr>
                      <w:color w:val="auto"/>
                      <w:szCs w:val="21"/>
                      <w:highlight w:val="none"/>
                    </w:rPr>
                  </w:pPr>
                  <w:r>
                    <w:rPr>
                      <w:color w:val="auto"/>
                      <w:kern w:val="0"/>
                      <w:szCs w:val="21"/>
                      <w:highlight w:val="none"/>
                      <w:lang w:bidi="ar"/>
                    </w:rPr>
                    <w:t>0.037</w:t>
                  </w:r>
                </w:p>
              </w:tc>
              <w:tc>
                <w:tcPr>
                  <w:tcW w:w="689" w:type="dxa"/>
                  <w:noWrap w:val="0"/>
                  <w:vAlign w:val="center"/>
                </w:tcPr>
                <w:p>
                  <w:pPr>
                    <w:widowControl/>
                    <w:jc w:val="center"/>
                    <w:textAlignment w:val="center"/>
                    <w:rPr>
                      <w:color w:val="auto"/>
                      <w:szCs w:val="21"/>
                      <w:highlight w:val="none"/>
                    </w:rPr>
                  </w:pPr>
                  <w:r>
                    <w:rPr>
                      <w:color w:val="auto"/>
                      <w:kern w:val="0"/>
                      <w:szCs w:val="21"/>
                      <w:highlight w:val="none"/>
                      <w:lang w:bidi="ar"/>
                    </w:rPr>
                    <w:t xml:space="preserve">0.001 </w:t>
                  </w:r>
                </w:p>
              </w:tc>
              <w:tc>
                <w:tcPr>
                  <w:tcW w:w="699" w:type="dxa"/>
                  <w:noWrap w:val="0"/>
                  <w:vAlign w:val="center"/>
                </w:tcPr>
                <w:p>
                  <w:pPr>
                    <w:widowControl/>
                    <w:jc w:val="center"/>
                    <w:textAlignment w:val="center"/>
                    <w:rPr>
                      <w:color w:val="auto"/>
                      <w:szCs w:val="21"/>
                      <w:highlight w:val="none"/>
                    </w:rPr>
                  </w:pPr>
                  <w:r>
                    <w:rPr>
                      <w:color w:val="auto"/>
                      <w:kern w:val="0"/>
                      <w:szCs w:val="21"/>
                      <w:highlight w:val="none"/>
                      <w:lang w:bidi="ar"/>
                    </w:rPr>
                    <w:t>达标</w:t>
                  </w:r>
                </w:p>
              </w:tc>
              <w:tc>
                <w:tcPr>
                  <w:tcW w:w="742" w:type="dxa"/>
                  <w:noWrap w:val="0"/>
                  <w:vAlign w:val="center"/>
                </w:tcPr>
                <w:p>
                  <w:pPr>
                    <w:widowControl/>
                    <w:jc w:val="center"/>
                    <w:textAlignment w:val="center"/>
                    <w:rPr>
                      <w:color w:val="auto"/>
                      <w:szCs w:val="21"/>
                      <w:highlight w:val="none"/>
                    </w:rPr>
                  </w:pPr>
                  <w:r>
                    <w:rPr>
                      <w:color w:val="auto"/>
                      <w:kern w:val="0"/>
                      <w:szCs w:val="21"/>
                      <w:highlight w:val="none"/>
                      <w:lang w:bidi="ar"/>
                    </w:rPr>
                    <w:t>38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1217" w:type="dxa"/>
                  <w:noWrap w:val="0"/>
                  <w:vAlign w:val="center"/>
                </w:tcPr>
                <w:p>
                  <w:pPr>
                    <w:spacing w:line="220" w:lineRule="atLeast"/>
                    <w:jc w:val="center"/>
                    <w:rPr>
                      <w:color w:val="auto"/>
                      <w:szCs w:val="21"/>
                      <w:highlight w:val="none"/>
                    </w:rPr>
                  </w:pPr>
                  <w:r>
                    <w:rPr>
                      <w:color w:val="auto"/>
                      <w:szCs w:val="21"/>
                      <w:highlight w:val="none"/>
                    </w:rPr>
                    <w:t>总砷（mg/kg）</w:t>
                  </w:r>
                </w:p>
              </w:tc>
              <w:tc>
                <w:tcPr>
                  <w:tcW w:w="792" w:type="dxa"/>
                  <w:noWrap w:val="0"/>
                  <w:vAlign w:val="center"/>
                </w:tcPr>
                <w:p>
                  <w:pPr>
                    <w:widowControl/>
                    <w:jc w:val="center"/>
                    <w:textAlignment w:val="center"/>
                    <w:rPr>
                      <w:color w:val="auto"/>
                      <w:szCs w:val="21"/>
                      <w:highlight w:val="none"/>
                    </w:rPr>
                  </w:pPr>
                  <w:r>
                    <w:rPr>
                      <w:color w:val="auto"/>
                      <w:kern w:val="0"/>
                      <w:szCs w:val="21"/>
                      <w:highlight w:val="none"/>
                      <w:lang w:bidi="ar"/>
                    </w:rPr>
                    <w:t>13</w:t>
                  </w:r>
                </w:p>
              </w:tc>
              <w:tc>
                <w:tcPr>
                  <w:tcW w:w="689" w:type="dxa"/>
                  <w:noWrap w:val="0"/>
                  <w:vAlign w:val="center"/>
                </w:tcPr>
                <w:p>
                  <w:pPr>
                    <w:widowControl/>
                    <w:jc w:val="center"/>
                    <w:textAlignment w:val="center"/>
                    <w:rPr>
                      <w:color w:val="auto"/>
                      <w:szCs w:val="21"/>
                      <w:highlight w:val="none"/>
                    </w:rPr>
                  </w:pPr>
                  <w:r>
                    <w:rPr>
                      <w:color w:val="auto"/>
                      <w:kern w:val="0"/>
                      <w:szCs w:val="21"/>
                      <w:highlight w:val="none"/>
                      <w:lang w:bidi="ar"/>
                    </w:rPr>
                    <w:t xml:space="preserve">0.217 </w:t>
                  </w:r>
                </w:p>
              </w:tc>
              <w:tc>
                <w:tcPr>
                  <w:tcW w:w="741" w:type="dxa"/>
                  <w:noWrap w:val="0"/>
                  <w:vAlign w:val="center"/>
                </w:tcPr>
                <w:p>
                  <w:pPr>
                    <w:widowControl/>
                    <w:jc w:val="center"/>
                    <w:textAlignment w:val="center"/>
                    <w:rPr>
                      <w:color w:val="auto"/>
                      <w:szCs w:val="21"/>
                      <w:highlight w:val="none"/>
                    </w:rPr>
                  </w:pPr>
                  <w:r>
                    <w:rPr>
                      <w:color w:val="auto"/>
                      <w:kern w:val="0"/>
                      <w:szCs w:val="21"/>
                      <w:highlight w:val="none"/>
                      <w:lang w:bidi="ar"/>
                    </w:rPr>
                    <w:t>达标</w:t>
                  </w:r>
                </w:p>
              </w:tc>
              <w:tc>
                <w:tcPr>
                  <w:tcW w:w="787" w:type="dxa"/>
                  <w:noWrap w:val="0"/>
                  <w:vAlign w:val="center"/>
                </w:tcPr>
                <w:p>
                  <w:pPr>
                    <w:widowControl/>
                    <w:jc w:val="center"/>
                    <w:textAlignment w:val="center"/>
                    <w:rPr>
                      <w:color w:val="auto"/>
                      <w:szCs w:val="21"/>
                      <w:highlight w:val="none"/>
                    </w:rPr>
                  </w:pPr>
                  <w:r>
                    <w:rPr>
                      <w:color w:val="auto"/>
                      <w:kern w:val="0"/>
                      <w:szCs w:val="21"/>
                      <w:highlight w:val="none"/>
                      <w:lang w:bidi="ar"/>
                    </w:rPr>
                    <w:t>3.98</w:t>
                  </w:r>
                </w:p>
              </w:tc>
              <w:tc>
                <w:tcPr>
                  <w:tcW w:w="591" w:type="dxa"/>
                  <w:noWrap w:val="0"/>
                  <w:vAlign w:val="center"/>
                </w:tcPr>
                <w:p>
                  <w:pPr>
                    <w:widowControl/>
                    <w:jc w:val="center"/>
                    <w:textAlignment w:val="center"/>
                    <w:rPr>
                      <w:color w:val="auto"/>
                      <w:szCs w:val="21"/>
                      <w:highlight w:val="none"/>
                    </w:rPr>
                  </w:pPr>
                  <w:r>
                    <w:rPr>
                      <w:color w:val="auto"/>
                      <w:kern w:val="0"/>
                      <w:szCs w:val="21"/>
                      <w:highlight w:val="none"/>
                      <w:lang w:bidi="ar"/>
                    </w:rPr>
                    <w:t xml:space="preserve">0.066 </w:t>
                  </w:r>
                </w:p>
              </w:tc>
              <w:tc>
                <w:tcPr>
                  <w:tcW w:w="697" w:type="dxa"/>
                  <w:noWrap w:val="0"/>
                  <w:vAlign w:val="center"/>
                </w:tcPr>
                <w:p>
                  <w:pPr>
                    <w:widowControl/>
                    <w:jc w:val="center"/>
                    <w:textAlignment w:val="center"/>
                    <w:rPr>
                      <w:color w:val="auto"/>
                      <w:szCs w:val="21"/>
                      <w:highlight w:val="none"/>
                    </w:rPr>
                  </w:pPr>
                  <w:r>
                    <w:rPr>
                      <w:color w:val="auto"/>
                      <w:kern w:val="0"/>
                      <w:szCs w:val="21"/>
                      <w:highlight w:val="none"/>
                      <w:lang w:bidi="ar"/>
                    </w:rPr>
                    <w:t>达标</w:t>
                  </w:r>
                </w:p>
              </w:tc>
              <w:tc>
                <w:tcPr>
                  <w:tcW w:w="689" w:type="dxa"/>
                  <w:noWrap w:val="0"/>
                  <w:vAlign w:val="center"/>
                </w:tcPr>
                <w:p>
                  <w:pPr>
                    <w:widowControl/>
                    <w:jc w:val="center"/>
                    <w:textAlignment w:val="center"/>
                    <w:rPr>
                      <w:color w:val="auto"/>
                      <w:szCs w:val="21"/>
                      <w:highlight w:val="none"/>
                    </w:rPr>
                  </w:pPr>
                  <w:r>
                    <w:rPr>
                      <w:color w:val="auto"/>
                      <w:kern w:val="0"/>
                      <w:szCs w:val="21"/>
                      <w:highlight w:val="none"/>
                      <w:lang w:bidi="ar"/>
                    </w:rPr>
                    <w:t>6.93</w:t>
                  </w:r>
                </w:p>
              </w:tc>
              <w:tc>
                <w:tcPr>
                  <w:tcW w:w="689" w:type="dxa"/>
                  <w:noWrap w:val="0"/>
                  <w:vAlign w:val="center"/>
                </w:tcPr>
                <w:p>
                  <w:pPr>
                    <w:widowControl/>
                    <w:jc w:val="center"/>
                    <w:textAlignment w:val="center"/>
                    <w:rPr>
                      <w:color w:val="auto"/>
                      <w:szCs w:val="21"/>
                      <w:highlight w:val="none"/>
                    </w:rPr>
                  </w:pPr>
                  <w:r>
                    <w:rPr>
                      <w:color w:val="auto"/>
                      <w:kern w:val="0"/>
                      <w:szCs w:val="21"/>
                      <w:highlight w:val="none"/>
                      <w:lang w:bidi="ar"/>
                    </w:rPr>
                    <w:t xml:space="preserve">0.116 </w:t>
                  </w:r>
                </w:p>
              </w:tc>
              <w:tc>
                <w:tcPr>
                  <w:tcW w:w="699" w:type="dxa"/>
                  <w:noWrap w:val="0"/>
                  <w:vAlign w:val="center"/>
                </w:tcPr>
                <w:p>
                  <w:pPr>
                    <w:widowControl/>
                    <w:jc w:val="center"/>
                    <w:textAlignment w:val="center"/>
                    <w:rPr>
                      <w:color w:val="auto"/>
                      <w:szCs w:val="21"/>
                      <w:highlight w:val="none"/>
                    </w:rPr>
                  </w:pPr>
                  <w:r>
                    <w:rPr>
                      <w:color w:val="auto"/>
                      <w:kern w:val="0"/>
                      <w:szCs w:val="21"/>
                      <w:highlight w:val="none"/>
                      <w:lang w:bidi="ar"/>
                    </w:rPr>
                    <w:t>达标</w:t>
                  </w:r>
                </w:p>
              </w:tc>
              <w:tc>
                <w:tcPr>
                  <w:tcW w:w="742" w:type="dxa"/>
                  <w:noWrap w:val="0"/>
                  <w:vAlign w:val="center"/>
                </w:tcPr>
                <w:p>
                  <w:pPr>
                    <w:widowControl/>
                    <w:jc w:val="center"/>
                    <w:textAlignment w:val="center"/>
                    <w:rPr>
                      <w:color w:val="auto"/>
                      <w:szCs w:val="21"/>
                      <w:highlight w:val="none"/>
                    </w:rPr>
                  </w:pPr>
                  <w:r>
                    <w:rPr>
                      <w:color w:val="auto"/>
                      <w:kern w:val="0"/>
                      <w:szCs w:val="21"/>
                      <w:highlight w:val="none"/>
                      <w:lang w:bidi="ar"/>
                    </w:rPr>
                    <w:t>60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1217" w:type="dxa"/>
                  <w:noWrap w:val="0"/>
                  <w:vAlign w:val="center"/>
                </w:tcPr>
                <w:p>
                  <w:pPr>
                    <w:spacing w:line="220" w:lineRule="atLeast"/>
                    <w:jc w:val="center"/>
                    <w:rPr>
                      <w:color w:val="auto"/>
                      <w:szCs w:val="21"/>
                      <w:highlight w:val="none"/>
                    </w:rPr>
                  </w:pPr>
                  <w:r>
                    <w:rPr>
                      <w:color w:val="auto"/>
                      <w:szCs w:val="21"/>
                      <w:highlight w:val="none"/>
                    </w:rPr>
                    <w:t>铅（mg/kg）</w:t>
                  </w:r>
                </w:p>
              </w:tc>
              <w:tc>
                <w:tcPr>
                  <w:tcW w:w="792" w:type="dxa"/>
                  <w:noWrap w:val="0"/>
                  <w:vAlign w:val="center"/>
                </w:tcPr>
                <w:p>
                  <w:pPr>
                    <w:widowControl/>
                    <w:jc w:val="center"/>
                    <w:textAlignment w:val="center"/>
                    <w:rPr>
                      <w:color w:val="auto"/>
                      <w:szCs w:val="21"/>
                      <w:highlight w:val="none"/>
                    </w:rPr>
                  </w:pPr>
                  <w:r>
                    <w:rPr>
                      <w:color w:val="auto"/>
                      <w:kern w:val="0"/>
                      <w:szCs w:val="21"/>
                      <w:highlight w:val="none"/>
                      <w:lang w:bidi="ar"/>
                    </w:rPr>
                    <w:t>45.2</w:t>
                  </w:r>
                </w:p>
              </w:tc>
              <w:tc>
                <w:tcPr>
                  <w:tcW w:w="689" w:type="dxa"/>
                  <w:noWrap w:val="0"/>
                  <w:vAlign w:val="center"/>
                </w:tcPr>
                <w:p>
                  <w:pPr>
                    <w:widowControl/>
                    <w:jc w:val="center"/>
                    <w:textAlignment w:val="center"/>
                    <w:rPr>
                      <w:color w:val="auto"/>
                      <w:szCs w:val="21"/>
                      <w:highlight w:val="none"/>
                    </w:rPr>
                  </w:pPr>
                  <w:r>
                    <w:rPr>
                      <w:color w:val="auto"/>
                      <w:kern w:val="0"/>
                      <w:szCs w:val="21"/>
                      <w:highlight w:val="none"/>
                      <w:lang w:bidi="ar"/>
                    </w:rPr>
                    <w:t xml:space="preserve">0.113 </w:t>
                  </w:r>
                </w:p>
              </w:tc>
              <w:tc>
                <w:tcPr>
                  <w:tcW w:w="741" w:type="dxa"/>
                  <w:noWrap w:val="0"/>
                  <w:vAlign w:val="center"/>
                </w:tcPr>
                <w:p>
                  <w:pPr>
                    <w:widowControl/>
                    <w:jc w:val="center"/>
                    <w:textAlignment w:val="center"/>
                    <w:rPr>
                      <w:color w:val="auto"/>
                      <w:szCs w:val="21"/>
                      <w:highlight w:val="none"/>
                    </w:rPr>
                  </w:pPr>
                  <w:r>
                    <w:rPr>
                      <w:color w:val="auto"/>
                      <w:kern w:val="0"/>
                      <w:szCs w:val="21"/>
                      <w:highlight w:val="none"/>
                      <w:lang w:bidi="ar"/>
                    </w:rPr>
                    <w:t>达标</w:t>
                  </w:r>
                </w:p>
              </w:tc>
              <w:tc>
                <w:tcPr>
                  <w:tcW w:w="787" w:type="dxa"/>
                  <w:noWrap w:val="0"/>
                  <w:vAlign w:val="center"/>
                </w:tcPr>
                <w:p>
                  <w:pPr>
                    <w:widowControl/>
                    <w:jc w:val="center"/>
                    <w:textAlignment w:val="center"/>
                    <w:rPr>
                      <w:color w:val="auto"/>
                      <w:szCs w:val="21"/>
                      <w:highlight w:val="none"/>
                    </w:rPr>
                  </w:pPr>
                  <w:r>
                    <w:rPr>
                      <w:color w:val="auto"/>
                      <w:kern w:val="0"/>
                      <w:szCs w:val="21"/>
                      <w:highlight w:val="none"/>
                      <w:lang w:bidi="ar"/>
                    </w:rPr>
                    <w:t>34.5</w:t>
                  </w:r>
                </w:p>
              </w:tc>
              <w:tc>
                <w:tcPr>
                  <w:tcW w:w="591" w:type="dxa"/>
                  <w:noWrap w:val="0"/>
                  <w:vAlign w:val="center"/>
                </w:tcPr>
                <w:p>
                  <w:pPr>
                    <w:widowControl/>
                    <w:jc w:val="center"/>
                    <w:textAlignment w:val="center"/>
                    <w:rPr>
                      <w:color w:val="auto"/>
                      <w:szCs w:val="21"/>
                      <w:highlight w:val="none"/>
                    </w:rPr>
                  </w:pPr>
                  <w:r>
                    <w:rPr>
                      <w:color w:val="auto"/>
                      <w:kern w:val="0"/>
                      <w:szCs w:val="21"/>
                      <w:highlight w:val="none"/>
                      <w:lang w:bidi="ar"/>
                    </w:rPr>
                    <w:t xml:space="preserve">0.086 </w:t>
                  </w:r>
                </w:p>
              </w:tc>
              <w:tc>
                <w:tcPr>
                  <w:tcW w:w="697" w:type="dxa"/>
                  <w:noWrap w:val="0"/>
                  <w:vAlign w:val="center"/>
                </w:tcPr>
                <w:p>
                  <w:pPr>
                    <w:widowControl/>
                    <w:jc w:val="center"/>
                    <w:textAlignment w:val="center"/>
                    <w:rPr>
                      <w:color w:val="auto"/>
                      <w:szCs w:val="21"/>
                      <w:highlight w:val="none"/>
                    </w:rPr>
                  </w:pPr>
                  <w:r>
                    <w:rPr>
                      <w:color w:val="auto"/>
                      <w:kern w:val="0"/>
                      <w:szCs w:val="21"/>
                      <w:highlight w:val="none"/>
                      <w:lang w:bidi="ar"/>
                    </w:rPr>
                    <w:t>达标</w:t>
                  </w:r>
                </w:p>
              </w:tc>
              <w:tc>
                <w:tcPr>
                  <w:tcW w:w="689" w:type="dxa"/>
                  <w:noWrap w:val="0"/>
                  <w:vAlign w:val="center"/>
                </w:tcPr>
                <w:p>
                  <w:pPr>
                    <w:widowControl/>
                    <w:jc w:val="center"/>
                    <w:textAlignment w:val="center"/>
                    <w:rPr>
                      <w:color w:val="auto"/>
                      <w:szCs w:val="21"/>
                      <w:highlight w:val="none"/>
                    </w:rPr>
                  </w:pPr>
                  <w:r>
                    <w:rPr>
                      <w:color w:val="auto"/>
                      <w:kern w:val="0"/>
                      <w:szCs w:val="21"/>
                      <w:highlight w:val="none"/>
                      <w:lang w:bidi="ar"/>
                    </w:rPr>
                    <w:t>37.9</w:t>
                  </w:r>
                </w:p>
              </w:tc>
              <w:tc>
                <w:tcPr>
                  <w:tcW w:w="689" w:type="dxa"/>
                  <w:noWrap w:val="0"/>
                  <w:vAlign w:val="center"/>
                </w:tcPr>
                <w:p>
                  <w:pPr>
                    <w:widowControl/>
                    <w:jc w:val="center"/>
                    <w:textAlignment w:val="center"/>
                    <w:rPr>
                      <w:color w:val="auto"/>
                      <w:szCs w:val="21"/>
                      <w:highlight w:val="none"/>
                    </w:rPr>
                  </w:pPr>
                  <w:r>
                    <w:rPr>
                      <w:color w:val="auto"/>
                      <w:kern w:val="0"/>
                      <w:szCs w:val="21"/>
                      <w:highlight w:val="none"/>
                      <w:lang w:bidi="ar"/>
                    </w:rPr>
                    <w:t xml:space="preserve">0.095 </w:t>
                  </w:r>
                </w:p>
              </w:tc>
              <w:tc>
                <w:tcPr>
                  <w:tcW w:w="699" w:type="dxa"/>
                  <w:noWrap w:val="0"/>
                  <w:vAlign w:val="center"/>
                </w:tcPr>
                <w:p>
                  <w:pPr>
                    <w:widowControl/>
                    <w:jc w:val="center"/>
                    <w:textAlignment w:val="center"/>
                    <w:rPr>
                      <w:color w:val="auto"/>
                      <w:szCs w:val="21"/>
                      <w:highlight w:val="none"/>
                    </w:rPr>
                  </w:pPr>
                  <w:r>
                    <w:rPr>
                      <w:color w:val="auto"/>
                      <w:kern w:val="0"/>
                      <w:szCs w:val="21"/>
                      <w:highlight w:val="none"/>
                      <w:lang w:bidi="ar"/>
                    </w:rPr>
                    <w:t>达标</w:t>
                  </w:r>
                </w:p>
              </w:tc>
              <w:tc>
                <w:tcPr>
                  <w:tcW w:w="742" w:type="dxa"/>
                  <w:noWrap w:val="0"/>
                  <w:vAlign w:val="center"/>
                </w:tcPr>
                <w:p>
                  <w:pPr>
                    <w:widowControl/>
                    <w:jc w:val="center"/>
                    <w:textAlignment w:val="center"/>
                    <w:rPr>
                      <w:color w:val="auto"/>
                      <w:szCs w:val="21"/>
                      <w:highlight w:val="none"/>
                    </w:rPr>
                  </w:pPr>
                  <w:r>
                    <w:rPr>
                      <w:color w:val="auto"/>
                      <w:kern w:val="0"/>
                      <w:szCs w:val="21"/>
                      <w:highlight w:val="none"/>
                      <w:lang w:bidi="ar"/>
                    </w:rPr>
                    <w:t>400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1217" w:type="dxa"/>
                  <w:noWrap w:val="0"/>
                  <w:vAlign w:val="center"/>
                </w:tcPr>
                <w:p>
                  <w:pPr>
                    <w:spacing w:line="220" w:lineRule="atLeast"/>
                    <w:jc w:val="center"/>
                    <w:rPr>
                      <w:color w:val="auto"/>
                      <w:szCs w:val="21"/>
                      <w:highlight w:val="none"/>
                    </w:rPr>
                  </w:pPr>
                  <w:r>
                    <w:rPr>
                      <w:color w:val="auto"/>
                      <w:szCs w:val="21"/>
                      <w:highlight w:val="none"/>
                    </w:rPr>
                    <w:t>镉（mg/kg）</w:t>
                  </w:r>
                </w:p>
              </w:tc>
              <w:tc>
                <w:tcPr>
                  <w:tcW w:w="792" w:type="dxa"/>
                  <w:noWrap w:val="0"/>
                  <w:vAlign w:val="center"/>
                </w:tcPr>
                <w:p>
                  <w:pPr>
                    <w:widowControl/>
                    <w:jc w:val="center"/>
                    <w:textAlignment w:val="center"/>
                    <w:rPr>
                      <w:color w:val="auto"/>
                      <w:szCs w:val="21"/>
                      <w:highlight w:val="none"/>
                    </w:rPr>
                  </w:pPr>
                  <w:r>
                    <w:rPr>
                      <w:color w:val="auto"/>
                      <w:kern w:val="0"/>
                      <w:szCs w:val="21"/>
                      <w:highlight w:val="none"/>
                      <w:lang w:bidi="ar"/>
                    </w:rPr>
                    <w:t>0.14</w:t>
                  </w:r>
                </w:p>
              </w:tc>
              <w:tc>
                <w:tcPr>
                  <w:tcW w:w="689" w:type="dxa"/>
                  <w:noWrap w:val="0"/>
                  <w:vAlign w:val="center"/>
                </w:tcPr>
                <w:p>
                  <w:pPr>
                    <w:widowControl/>
                    <w:jc w:val="center"/>
                    <w:textAlignment w:val="center"/>
                    <w:rPr>
                      <w:color w:val="auto"/>
                      <w:szCs w:val="21"/>
                      <w:highlight w:val="none"/>
                    </w:rPr>
                  </w:pPr>
                  <w:r>
                    <w:rPr>
                      <w:color w:val="auto"/>
                      <w:kern w:val="0"/>
                      <w:szCs w:val="21"/>
                      <w:highlight w:val="none"/>
                      <w:lang w:bidi="ar"/>
                    </w:rPr>
                    <w:t xml:space="preserve">0.002 </w:t>
                  </w:r>
                </w:p>
              </w:tc>
              <w:tc>
                <w:tcPr>
                  <w:tcW w:w="741" w:type="dxa"/>
                  <w:noWrap w:val="0"/>
                  <w:vAlign w:val="center"/>
                </w:tcPr>
                <w:p>
                  <w:pPr>
                    <w:widowControl/>
                    <w:jc w:val="center"/>
                    <w:textAlignment w:val="center"/>
                    <w:rPr>
                      <w:color w:val="auto"/>
                      <w:szCs w:val="21"/>
                      <w:highlight w:val="none"/>
                    </w:rPr>
                  </w:pPr>
                  <w:r>
                    <w:rPr>
                      <w:color w:val="auto"/>
                      <w:kern w:val="0"/>
                      <w:szCs w:val="21"/>
                      <w:highlight w:val="none"/>
                      <w:lang w:bidi="ar"/>
                    </w:rPr>
                    <w:t>达标</w:t>
                  </w:r>
                </w:p>
              </w:tc>
              <w:tc>
                <w:tcPr>
                  <w:tcW w:w="787" w:type="dxa"/>
                  <w:noWrap w:val="0"/>
                  <w:vAlign w:val="center"/>
                </w:tcPr>
                <w:p>
                  <w:pPr>
                    <w:widowControl/>
                    <w:jc w:val="center"/>
                    <w:textAlignment w:val="center"/>
                    <w:rPr>
                      <w:color w:val="auto"/>
                      <w:szCs w:val="21"/>
                      <w:highlight w:val="none"/>
                    </w:rPr>
                  </w:pPr>
                  <w:r>
                    <w:rPr>
                      <w:color w:val="auto"/>
                      <w:kern w:val="0"/>
                      <w:szCs w:val="21"/>
                      <w:highlight w:val="none"/>
                      <w:lang w:bidi="ar"/>
                    </w:rPr>
                    <w:t>0.14</w:t>
                  </w:r>
                </w:p>
              </w:tc>
              <w:tc>
                <w:tcPr>
                  <w:tcW w:w="591" w:type="dxa"/>
                  <w:noWrap w:val="0"/>
                  <w:vAlign w:val="center"/>
                </w:tcPr>
                <w:p>
                  <w:pPr>
                    <w:widowControl/>
                    <w:jc w:val="center"/>
                    <w:textAlignment w:val="center"/>
                    <w:rPr>
                      <w:color w:val="auto"/>
                      <w:szCs w:val="21"/>
                      <w:highlight w:val="none"/>
                    </w:rPr>
                  </w:pPr>
                  <w:r>
                    <w:rPr>
                      <w:color w:val="auto"/>
                      <w:kern w:val="0"/>
                      <w:szCs w:val="21"/>
                      <w:highlight w:val="none"/>
                      <w:lang w:bidi="ar"/>
                    </w:rPr>
                    <w:t xml:space="preserve">0.002 </w:t>
                  </w:r>
                </w:p>
              </w:tc>
              <w:tc>
                <w:tcPr>
                  <w:tcW w:w="697" w:type="dxa"/>
                  <w:noWrap w:val="0"/>
                  <w:vAlign w:val="center"/>
                </w:tcPr>
                <w:p>
                  <w:pPr>
                    <w:widowControl/>
                    <w:jc w:val="center"/>
                    <w:textAlignment w:val="center"/>
                    <w:rPr>
                      <w:color w:val="auto"/>
                      <w:szCs w:val="21"/>
                      <w:highlight w:val="none"/>
                    </w:rPr>
                  </w:pPr>
                  <w:r>
                    <w:rPr>
                      <w:color w:val="auto"/>
                      <w:kern w:val="0"/>
                      <w:szCs w:val="21"/>
                      <w:highlight w:val="none"/>
                      <w:lang w:bidi="ar"/>
                    </w:rPr>
                    <w:t>达标</w:t>
                  </w:r>
                </w:p>
              </w:tc>
              <w:tc>
                <w:tcPr>
                  <w:tcW w:w="689" w:type="dxa"/>
                  <w:noWrap w:val="0"/>
                  <w:vAlign w:val="center"/>
                </w:tcPr>
                <w:p>
                  <w:pPr>
                    <w:widowControl/>
                    <w:jc w:val="center"/>
                    <w:textAlignment w:val="center"/>
                    <w:rPr>
                      <w:color w:val="auto"/>
                      <w:szCs w:val="21"/>
                      <w:highlight w:val="none"/>
                    </w:rPr>
                  </w:pPr>
                  <w:r>
                    <w:rPr>
                      <w:color w:val="auto"/>
                      <w:kern w:val="0"/>
                      <w:szCs w:val="21"/>
                      <w:highlight w:val="none"/>
                      <w:lang w:bidi="ar"/>
                    </w:rPr>
                    <w:t>0.11</w:t>
                  </w:r>
                </w:p>
              </w:tc>
              <w:tc>
                <w:tcPr>
                  <w:tcW w:w="689" w:type="dxa"/>
                  <w:noWrap w:val="0"/>
                  <w:vAlign w:val="center"/>
                </w:tcPr>
                <w:p>
                  <w:pPr>
                    <w:widowControl/>
                    <w:jc w:val="center"/>
                    <w:textAlignment w:val="center"/>
                    <w:rPr>
                      <w:color w:val="auto"/>
                      <w:szCs w:val="21"/>
                      <w:highlight w:val="none"/>
                    </w:rPr>
                  </w:pPr>
                  <w:r>
                    <w:rPr>
                      <w:color w:val="auto"/>
                      <w:kern w:val="0"/>
                      <w:szCs w:val="21"/>
                      <w:highlight w:val="none"/>
                      <w:lang w:bidi="ar"/>
                    </w:rPr>
                    <w:t xml:space="preserve">0.002 </w:t>
                  </w:r>
                </w:p>
              </w:tc>
              <w:tc>
                <w:tcPr>
                  <w:tcW w:w="699" w:type="dxa"/>
                  <w:noWrap w:val="0"/>
                  <w:vAlign w:val="center"/>
                </w:tcPr>
                <w:p>
                  <w:pPr>
                    <w:widowControl/>
                    <w:jc w:val="center"/>
                    <w:textAlignment w:val="center"/>
                    <w:rPr>
                      <w:color w:val="auto"/>
                      <w:szCs w:val="21"/>
                      <w:highlight w:val="none"/>
                    </w:rPr>
                  </w:pPr>
                  <w:r>
                    <w:rPr>
                      <w:color w:val="auto"/>
                      <w:kern w:val="0"/>
                      <w:szCs w:val="21"/>
                      <w:highlight w:val="none"/>
                      <w:lang w:bidi="ar"/>
                    </w:rPr>
                    <w:t>达标</w:t>
                  </w:r>
                </w:p>
              </w:tc>
              <w:tc>
                <w:tcPr>
                  <w:tcW w:w="742" w:type="dxa"/>
                  <w:noWrap w:val="0"/>
                  <w:vAlign w:val="center"/>
                </w:tcPr>
                <w:p>
                  <w:pPr>
                    <w:widowControl/>
                    <w:jc w:val="center"/>
                    <w:textAlignment w:val="center"/>
                    <w:rPr>
                      <w:color w:val="auto"/>
                      <w:szCs w:val="21"/>
                      <w:highlight w:val="none"/>
                    </w:rPr>
                  </w:pPr>
                  <w:r>
                    <w:rPr>
                      <w:color w:val="auto"/>
                      <w:kern w:val="0"/>
                      <w:szCs w:val="21"/>
                      <w:highlight w:val="none"/>
                      <w:lang w:bidi="ar"/>
                    </w:rPr>
                    <w:t>65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1217" w:type="dxa"/>
                  <w:noWrap w:val="0"/>
                  <w:vAlign w:val="center"/>
                </w:tcPr>
                <w:p>
                  <w:pPr>
                    <w:spacing w:line="220" w:lineRule="atLeast"/>
                    <w:jc w:val="center"/>
                    <w:rPr>
                      <w:color w:val="auto"/>
                      <w:szCs w:val="21"/>
                      <w:highlight w:val="none"/>
                    </w:rPr>
                  </w:pPr>
                  <w:r>
                    <w:rPr>
                      <w:color w:val="auto"/>
                      <w:szCs w:val="21"/>
                      <w:highlight w:val="none"/>
                    </w:rPr>
                    <w:t>铜（mg/kg）</w:t>
                  </w:r>
                </w:p>
              </w:tc>
              <w:tc>
                <w:tcPr>
                  <w:tcW w:w="792" w:type="dxa"/>
                  <w:noWrap w:val="0"/>
                  <w:vAlign w:val="center"/>
                </w:tcPr>
                <w:p>
                  <w:pPr>
                    <w:widowControl/>
                    <w:jc w:val="center"/>
                    <w:textAlignment w:val="center"/>
                    <w:rPr>
                      <w:color w:val="auto"/>
                      <w:szCs w:val="21"/>
                      <w:highlight w:val="none"/>
                    </w:rPr>
                  </w:pPr>
                  <w:r>
                    <w:rPr>
                      <w:color w:val="auto"/>
                      <w:kern w:val="0"/>
                      <w:szCs w:val="21"/>
                      <w:highlight w:val="none"/>
                      <w:lang w:bidi="ar"/>
                    </w:rPr>
                    <w:t>21</w:t>
                  </w:r>
                </w:p>
              </w:tc>
              <w:tc>
                <w:tcPr>
                  <w:tcW w:w="689" w:type="dxa"/>
                  <w:noWrap w:val="0"/>
                  <w:vAlign w:val="center"/>
                </w:tcPr>
                <w:p>
                  <w:pPr>
                    <w:widowControl/>
                    <w:jc w:val="center"/>
                    <w:textAlignment w:val="center"/>
                    <w:rPr>
                      <w:color w:val="auto"/>
                      <w:szCs w:val="21"/>
                      <w:highlight w:val="none"/>
                    </w:rPr>
                  </w:pPr>
                  <w:r>
                    <w:rPr>
                      <w:color w:val="auto"/>
                      <w:kern w:val="0"/>
                      <w:szCs w:val="21"/>
                      <w:highlight w:val="none"/>
                      <w:lang w:bidi="ar"/>
                    </w:rPr>
                    <w:t xml:space="preserve">0.001 </w:t>
                  </w:r>
                </w:p>
              </w:tc>
              <w:tc>
                <w:tcPr>
                  <w:tcW w:w="741" w:type="dxa"/>
                  <w:noWrap w:val="0"/>
                  <w:vAlign w:val="center"/>
                </w:tcPr>
                <w:p>
                  <w:pPr>
                    <w:widowControl/>
                    <w:jc w:val="center"/>
                    <w:textAlignment w:val="center"/>
                    <w:rPr>
                      <w:color w:val="auto"/>
                      <w:szCs w:val="21"/>
                      <w:highlight w:val="none"/>
                    </w:rPr>
                  </w:pPr>
                  <w:r>
                    <w:rPr>
                      <w:color w:val="auto"/>
                      <w:kern w:val="0"/>
                      <w:szCs w:val="21"/>
                      <w:highlight w:val="none"/>
                      <w:lang w:bidi="ar"/>
                    </w:rPr>
                    <w:t>达标</w:t>
                  </w:r>
                </w:p>
              </w:tc>
              <w:tc>
                <w:tcPr>
                  <w:tcW w:w="787" w:type="dxa"/>
                  <w:noWrap w:val="0"/>
                  <w:vAlign w:val="center"/>
                </w:tcPr>
                <w:p>
                  <w:pPr>
                    <w:widowControl/>
                    <w:jc w:val="center"/>
                    <w:textAlignment w:val="center"/>
                    <w:rPr>
                      <w:color w:val="auto"/>
                      <w:szCs w:val="21"/>
                      <w:highlight w:val="none"/>
                    </w:rPr>
                  </w:pPr>
                  <w:r>
                    <w:rPr>
                      <w:color w:val="auto"/>
                      <w:kern w:val="0"/>
                      <w:szCs w:val="21"/>
                      <w:highlight w:val="none"/>
                      <w:lang w:bidi="ar"/>
                    </w:rPr>
                    <w:t>21</w:t>
                  </w:r>
                </w:p>
              </w:tc>
              <w:tc>
                <w:tcPr>
                  <w:tcW w:w="591" w:type="dxa"/>
                  <w:noWrap w:val="0"/>
                  <w:vAlign w:val="center"/>
                </w:tcPr>
                <w:p>
                  <w:pPr>
                    <w:widowControl/>
                    <w:jc w:val="center"/>
                    <w:textAlignment w:val="center"/>
                    <w:rPr>
                      <w:color w:val="auto"/>
                      <w:szCs w:val="21"/>
                      <w:highlight w:val="none"/>
                    </w:rPr>
                  </w:pPr>
                  <w:r>
                    <w:rPr>
                      <w:color w:val="auto"/>
                      <w:kern w:val="0"/>
                      <w:szCs w:val="21"/>
                      <w:highlight w:val="none"/>
                      <w:lang w:bidi="ar"/>
                    </w:rPr>
                    <w:t xml:space="preserve">0.001 </w:t>
                  </w:r>
                </w:p>
              </w:tc>
              <w:tc>
                <w:tcPr>
                  <w:tcW w:w="697" w:type="dxa"/>
                  <w:noWrap w:val="0"/>
                  <w:vAlign w:val="center"/>
                </w:tcPr>
                <w:p>
                  <w:pPr>
                    <w:widowControl/>
                    <w:jc w:val="center"/>
                    <w:textAlignment w:val="center"/>
                    <w:rPr>
                      <w:color w:val="auto"/>
                      <w:szCs w:val="21"/>
                      <w:highlight w:val="none"/>
                    </w:rPr>
                  </w:pPr>
                  <w:r>
                    <w:rPr>
                      <w:color w:val="auto"/>
                      <w:kern w:val="0"/>
                      <w:szCs w:val="21"/>
                      <w:highlight w:val="none"/>
                      <w:lang w:bidi="ar"/>
                    </w:rPr>
                    <w:t>达标</w:t>
                  </w:r>
                </w:p>
              </w:tc>
              <w:tc>
                <w:tcPr>
                  <w:tcW w:w="689" w:type="dxa"/>
                  <w:noWrap w:val="0"/>
                  <w:vAlign w:val="center"/>
                </w:tcPr>
                <w:p>
                  <w:pPr>
                    <w:widowControl/>
                    <w:jc w:val="center"/>
                    <w:textAlignment w:val="center"/>
                    <w:rPr>
                      <w:color w:val="auto"/>
                      <w:szCs w:val="21"/>
                      <w:highlight w:val="none"/>
                    </w:rPr>
                  </w:pPr>
                  <w:r>
                    <w:rPr>
                      <w:color w:val="auto"/>
                      <w:kern w:val="0"/>
                      <w:szCs w:val="21"/>
                      <w:highlight w:val="none"/>
                      <w:lang w:bidi="ar"/>
                    </w:rPr>
                    <w:t>20</w:t>
                  </w:r>
                </w:p>
              </w:tc>
              <w:tc>
                <w:tcPr>
                  <w:tcW w:w="689" w:type="dxa"/>
                  <w:noWrap w:val="0"/>
                  <w:vAlign w:val="center"/>
                </w:tcPr>
                <w:p>
                  <w:pPr>
                    <w:widowControl/>
                    <w:jc w:val="center"/>
                    <w:textAlignment w:val="center"/>
                    <w:rPr>
                      <w:color w:val="auto"/>
                      <w:szCs w:val="21"/>
                      <w:highlight w:val="none"/>
                    </w:rPr>
                  </w:pPr>
                  <w:r>
                    <w:rPr>
                      <w:color w:val="auto"/>
                      <w:kern w:val="0"/>
                      <w:szCs w:val="21"/>
                      <w:highlight w:val="none"/>
                      <w:lang w:bidi="ar"/>
                    </w:rPr>
                    <w:t xml:space="preserve">0.001 </w:t>
                  </w:r>
                </w:p>
              </w:tc>
              <w:tc>
                <w:tcPr>
                  <w:tcW w:w="699" w:type="dxa"/>
                  <w:noWrap w:val="0"/>
                  <w:vAlign w:val="center"/>
                </w:tcPr>
                <w:p>
                  <w:pPr>
                    <w:widowControl/>
                    <w:jc w:val="center"/>
                    <w:textAlignment w:val="center"/>
                    <w:rPr>
                      <w:color w:val="auto"/>
                      <w:szCs w:val="21"/>
                      <w:highlight w:val="none"/>
                    </w:rPr>
                  </w:pPr>
                  <w:r>
                    <w:rPr>
                      <w:color w:val="auto"/>
                      <w:kern w:val="0"/>
                      <w:szCs w:val="21"/>
                      <w:highlight w:val="none"/>
                      <w:lang w:bidi="ar"/>
                    </w:rPr>
                    <w:t>达标</w:t>
                  </w:r>
                </w:p>
              </w:tc>
              <w:tc>
                <w:tcPr>
                  <w:tcW w:w="742" w:type="dxa"/>
                  <w:noWrap w:val="0"/>
                  <w:vAlign w:val="center"/>
                </w:tcPr>
                <w:p>
                  <w:pPr>
                    <w:widowControl/>
                    <w:jc w:val="center"/>
                    <w:textAlignment w:val="center"/>
                    <w:rPr>
                      <w:color w:val="auto"/>
                      <w:szCs w:val="21"/>
                      <w:highlight w:val="none"/>
                    </w:rPr>
                  </w:pPr>
                  <w:r>
                    <w:rPr>
                      <w:color w:val="auto"/>
                      <w:kern w:val="0"/>
                      <w:szCs w:val="21"/>
                      <w:highlight w:val="none"/>
                      <w:lang w:bidi="ar"/>
                    </w:rPr>
                    <w:t>18000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1217" w:type="dxa"/>
                  <w:noWrap w:val="0"/>
                  <w:vAlign w:val="center"/>
                </w:tcPr>
                <w:p>
                  <w:pPr>
                    <w:spacing w:line="220" w:lineRule="atLeast"/>
                    <w:jc w:val="center"/>
                    <w:rPr>
                      <w:color w:val="auto"/>
                      <w:szCs w:val="21"/>
                      <w:highlight w:val="none"/>
                    </w:rPr>
                  </w:pPr>
                  <w:r>
                    <w:rPr>
                      <w:color w:val="auto"/>
                      <w:szCs w:val="21"/>
                      <w:highlight w:val="none"/>
                    </w:rPr>
                    <w:t>镍（mg/kg）</w:t>
                  </w:r>
                </w:p>
              </w:tc>
              <w:tc>
                <w:tcPr>
                  <w:tcW w:w="792" w:type="dxa"/>
                  <w:noWrap w:val="0"/>
                  <w:vAlign w:val="center"/>
                </w:tcPr>
                <w:p>
                  <w:pPr>
                    <w:widowControl/>
                    <w:jc w:val="center"/>
                    <w:textAlignment w:val="center"/>
                    <w:rPr>
                      <w:color w:val="auto"/>
                      <w:szCs w:val="21"/>
                      <w:highlight w:val="none"/>
                    </w:rPr>
                  </w:pPr>
                  <w:r>
                    <w:rPr>
                      <w:color w:val="auto"/>
                      <w:kern w:val="0"/>
                      <w:szCs w:val="21"/>
                      <w:highlight w:val="none"/>
                      <w:lang w:bidi="ar"/>
                    </w:rPr>
                    <w:t>19</w:t>
                  </w:r>
                </w:p>
              </w:tc>
              <w:tc>
                <w:tcPr>
                  <w:tcW w:w="689" w:type="dxa"/>
                  <w:noWrap w:val="0"/>
                  <w:vAlign w:val="center"/>
                </w:tcPr>
                <w:p>
                  <w:pPr>
                    <w:widowControl/>
                    <w:jc w:val="center"/>
                    <w:textAlignment w:val="center"/>
                    <w:rPr>
                      <w:color w:val="auto"/>
                      <w:szCs w:val="21"/>
                      <w:highlight w:val="none"/>
                    </w:rPr>
                  </w:pPr>
                  <w:r>
                    <w:rPr>
                      <w:color w:val="auto"/>
                      <w:kern w:val="0"/>
                      <w:szCs w:val="21"/>
                      <w:highlight w:val="none"/>
                      <w:lang w:bidi="ar"/>
                    </w:rPr>
                    <w:t xml:space="preserve">0.021 </w:t>
                  </w:r>
                </w:p>
              </w:tc>
              <w:tc>
                <w:tcPr>
                  <w:tcW w:w="741" w:type="dxa"/>
                  <w:noWrap w:val="0"/>
                  <w:vAlign w:val="center"/>
                </w:tcPr>
                <w:p>
                  <w:pPr>
                    <w:widowControl/>
                    <w:jc w:val="center"/>
                    <w:textAlignment w:val="center"/>
                    <w:rPr>
                      <w:color w:val="auto"/>
                      <w:szCs w:val="21"/>
                      <w:highlight w:val="none"/>
                    </w:rPr>
                  </w:pPr>
                  <w:r>
                    <w:rPr>
                      <w:color w:val="auto"/>
                      <w:kern w:val="0"/>
                      <w:szCs w:val="21"/>
                      <w:highlight w:val="none"/>
                      <w:lang w:bidi="ar"/>
                    </w:rPr>
                    <w:t>达标</w:t>
                  </w:r>
                </w:p>
              </w:tc>
              <w:tc>
                <w:tcPr>
                  <w:tcW w:w="787" w:type="dxa"/>
                  <w:noWrap w:val="0"/>
                  <w:vAlign w:val="center"/>
                </w:tcPr>
                <w:p>
                  <w:pPr>
                    <w:widowControl/>
                    <w:jc w:val="center"/>
                    <w:textAlignment w:val="center"/>
                    <w:rPr>
                      <w:color w:val="auto"/>
                      <w:szCs w:val="21"/>
                      <w:highlight w:val="none"/>
                    </w:rPr>
                  </w:pPr>
                  <w:r>
                    <w:rPr>
                      <w:color w:val="auto"/>
                      <w:kern w:val="0"/>
                      <w:szCs w:val="21"/>
                      <w:highlight w:val="none"/>
                      <w:lang w:bidi="ar"/>
                    </w:rPr>
                    <w:t>20</w:t>
                  </w:r>
                </w:p>
              </w:tc>
              <w:tc>
                <w:tcPr>
                  <w:tcW w:w="591" w:type="dxa"/>
                  <w:noWrap w:val="0"/>
                  <w:vAlign w:val="center"/>
                </w:tcPr>
                <w:p>
                  <w:pPr>
                    <w:widowControl/>
                    <w:jc w:val="center"/>
                    <w:textAlignment w:val="center"/>
                    <w:rPr>
                      <w:color w:val="auto"/>
                      <w:szCs w:val="21"/>
                      <w:highlight w:val="none"/>
                    </w:rPr>
                  </w:pPr>
                  <w:r>
                    <w:rPr>
                      <w:color w:val="auto"/>
                      <w:kern w:val="0"/>
                      <w:szCs w:val="21"/>
                      <w:highlight w:val="none"/>
                      <w:lang w:bidi="ar"/>
                    </w:rPr>
                    <w:t xml:space="preserve">0.022 </w:t>
                  </w:r>
                </w:p>
              </w:tc>
              <w:tc>
                <w:tcPr>
                  <w:tcW w:w="697" w:type="dxa"/>
                  <w:noWrap w:val="0"/>
                  <w:vAlign w:val="center"/>
                </w:tcPr>
                <w:p>
                  <w:pPr>
                    <w:widowControl/>
                    <w:jc w:val="center"/>
                    <w:textAlignment w:val="center"/>
                    <w:rPr>
                      <w:color w:val="auto"/>
                      <w:szCs w:val="21"/>
                      <w:highlight w:val="none"/>
                    </w:rPr>
                  </w:pPr>
                  <w:r>
                    <w:rPr>
                      <w:color w:val="auto"/>
                      <w:kern w:val="0"/>
                      <w:szCs w:val="21"/>
                      <w:highlight w:val="none"/>
                      <w:lang w:bidi="ar"/>
                    </w:rPr>
                    <w:t>达标</w:t>
                  </w:r>
                </w:p>
              </w:tc>
              <w:tc>
                <w:tcPr>
                  <w:tcW w:w="689" w:type="dxa"/>
                  <w:noWrap w:val="0"/>
                  <w:vAlign w:val="center"/>
                </w:tcPr>
                <w:p>
                  <w:pPr>
                    <w:widowControl/>
                    <w:jc w:val="center"/>
                    <w:textAlignment w:val="center"/>
                    <w:rPr>
                      <w:color w:val="auto"/>
                      <w:szCs w:val="21"/>
                      <w:highlight w:val="none"/>
                    </w:rPr>
                  </w:pPr>
                  <w:r>
                    <w:rPr>
                      <w:color w:val="auto"/>
                      <w:kern w:val="0"/>
                      <w:szCs w:val="21"/>
                      <w:highlight w:val="none"/>
                      <w:lang w:bidi="ar"/>
                    </w:rPr>
                    <w:t>43</w:t>
                  </w:r>
                </w:p>
              </w:tc>
              <w:tc>
                <w:tcPr>
                  <w:tcW w:w="689" w:type="dxa"/>
                  <w:noWrap w:val="0"/>
                  <w:vAlign w:val="center"/>
                </w:tcPr>
                <w:p>
                  <w:pPr>
                    <w:widowControl/>
                    <w:jc w:val="center"/>
                    <w:textAlignment w:val="center"/>
                    <w:rPr>
                      <w:color w:val="auto"/>
                      <w:szCs w:val="21"/>
                      <w:highlight w:val="none"/>
                    </w:rPr>
                  </w:pPr>
                  <w:r>
                    <w:rPr>
                      <w:color w:val="auto"/>
                      <w:kern w:val="0"/>
                      <w:szCs w:val="21"/>
                      <w:highlight w:val="none"/>
                      <w:lang w:bidi="ar"/>
                    </w:rPr>
                    <w:t xml:space="preserve">0.048 </w:t>
                  </w:r>
                </w:p>
              </w:tc>
              <w:tc>
                <w:tcPr>
                  <w:tcW w:w="699" w:type="dxa"/>
                  <w:noWrap w:val="0"/>
                  <w:vAlign w:val="center"/>
                </w:tcPr>
                <w:p>
                  <w:pPr>
                    <w:widowControl/>
                    <w:jc w:val="center"/>
                    <w:textAlignment w:val="center"/>
                    <w:rPr>
                      <w:color w:val="auto"/>
                      <w:szCs w:val="21"/>
                      <w:highlight w:val="none"/>
                    </w:rPr>
                  </w:pPr>
                  <w:r>
                    <w:rPr>
                      <w:color w:val="auto"/>
                      <w:kern w:val="0"/>
                      <w:szCs w:val="21"/>
                      <w:highlight w:val="none"/>
                      <w:lang w:bidi="ar"/>
                    </w:rPr>
                    <w:t>达标</w:t>
                  </w:r>
                </w:p>
              </w:tc>
              <w:tc>
                <w:tcPr>
                  <w:tcW w:w="742" w:type="dxa"/>
                  <w:noWrap w:val="0"/>
                  <w:vAlign w:val="center"/>
                </w:tcPr>
                <w:p>
                  <w:pPr>
                    <w:widowControl/>
                    <w:jc w:val="center"/>
                    <w:textAlignment w:val="center"/>
                    <w:rPr>
                      <w:color w:val="auto"/>
                      <w:szCs w:val="21"/>
                      <w:highlight w:val="none"/>
                    </w:rPr>
                  </w:pPr>
                  <w:r>
                    <w:rPr>
                      <w:color w:val="auto"/>
                      <w:kern w:val="0"/>
                      <w:szCs w:val="21"/>
                      <w:highlight w:val="none"/>
                      <w:lang w:bidi="ar"/>
                    </w:rPr>
                    <w:t>900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1217" w:type="dxa"/>
                  <w:noWrap w:val="0"/>
                  <w:vAlign w:val="center"/>
                </w:tcPr>
                <w:p>
                  <w:pPr>
                    <w:spacing w:line="220" w:lineRule="atLeast"/>
                    <w:jc w:val="center"/>
                    <w:rPr>
                      <w:color w:val="auto"/>
                      <w:szCs w:val="21"/>
                      <w:highlight w:val="none"/>
                    </w:rPr>
                  </w:pPr>
                  <w:r>
                    <w:rPr>
                      <w:color w:val="auto"/>
                      <w:szCs w:val="21"/>
                      <w:highlight w:val="none"/>
                    </w:rPr>
                    <w:t>铬（六价）*（mg/kg）</w:t>
                  </w:r>
                </w:p>
              </w:tc>
              <w:tc>
                <w:tcPr>
                  <w:tcW w:w="792" w:type="dxa"/>
                  <w:noWrap w:val="0"/>
                  <w:vAlign w:val="center"/>
                </w:tcPr>
                <w:p>
                  <w:pPr>
                    <w:widowControl/>
                    <w:jc w:val="center"/>
                    <w:textAlignment w:val="center"/>
                    <w:rPr>
                      <w:color w:val="auto"/>
                      <w:szCs w:val="21"/>
                      <w:highlight w:val="none"/>
                    </w:rPr>
                  </w:pPr>
                  <w:r>
                    <w:rPr>
                      <w:color w:val="auto"/>
                      <w:kern w:val="0"/>
                      <w:szCs w:val="21"/>
                      <w:highlight w:val="none"/>
                      <w:lang w:bidi="ar"/>
                    </w:rPr>
                    <w:t>未检出</w:t>
                  </w:r>
                </w:p>
              </w:tc>
              <w:tc>
                <w:tcPr>
                  <w:tcW w:w="689" w:type="dxa"/>
                  <w:noWrap w:val="0"/>
                  <w:vAlign w:val="center"/>
                </w:tcPr>
                <w:p>
                  <w:pPr>
                    <w:widowControl/>
                    <w:jc w:val="center"/>
                    <w:textAlignment w:val="center"/>
                    <w:rPr>
                      <w:color w:val="auto"/>
                      <w:szCs w:val="21"/>
                      <w:highlight w:val="none"/>
                    </w:rPr>
                  </w:pPr>
                  <w:r>
                    <w:rPr>
                      <w:color w:val="auto"/>
                      <w:kern w:val="0"/>
                      <w:szCs w:val="21"/>
                      <w:highlight w:val="none"/>
                      <w:lang w:bidi="ar"/>
                    </w:rPr>
                    <w:t>/</w:t>
                  </w:r>
                </w:p>
              </w:tc>
              <w:tc>
                <w:tcPr>
                  <w:tcW w:w="741" w:type="dxa"/>
                  <w:noWrap w:val="0"/>
                  <w:vAlign w:val="center"/>
                </w:tcPr>
                <w:p>
                  <w:pPr>
                    <w:widowControl/>
                    <w:jc w:val="center"/>
                    <w:textAlignment w:val="center"/>
                    <w:rPr>
                      <w:color w:val="auto"/>
                      <w:szCs w:val="21"/>
                      <w:highlight w:val="none"/>
                    </w:rPr>
                  </w:pPr>
                  <w:r>
                    <w:rPr>
                      <w:color w:val="auto"/>
                      <w:kern w:val="0"/>
                      <w:szCs w:val="21"/>
                      <w:highlight w:val="none"/>
                      <w:lang w:bidi="ar"/>
                    </w:rPr>
                    <w:t>达标</w:t>
                  </w:r>
                </w:p>
              </w:tc>
              <w:tc>
                <w:tcPr>
                  <w:tcW w:w="787" w:type="dxa"/>
                  <w:noWrap w:val="0"/>
                  <w:vAlign w:val="center"/>
                </w:tcPr>
                <w:p>
                  <w:pPr>
                    <w:widowControl/>
                    <w:jc w:val="center"/>
                    <w:textAlignment w:val="center"/>
                    <w:rPr>
                      <w:color w:val="auto"/>
                      <w:szCs w:val="21"/>
                      <w:highlight w:val="none"/>
                    </w:rPr>
                  </w:pPr>
                  <w:r>
                    <w:rPr>
                      <w:color w:val="auto"/>
                      <w:kern w:val="0"/>
                      <w:szCs w:val="21"/>
                      <w:highlight w:val="none"/>
                      <w:lang w:bidi="ar"/>
                    </w:rPr>
                    <w:t>未检出</w:t>
                  </w:r>
                </w:p>
              </w:tc>
              <w:tc>
                <w:tcPr>
                  <w:tcW w:w="591" w:type="dxa"/>
                  <w:noWrap w:val="0"/>
                  <w:vAlign w:val="center"/>
                </w:tcPr>
                <w:p>
                  <w:pPr>
                    <w:widowControl/>
                    <w:jc w:val="center"/>
                    <w:textAlignment w:val="center"/>
                    <w:rPr>
                      <w:color w:val="auto"/>
                      <w:szCs w:val="21"/>
                      <w:highlight w:val="none"/>
                    </w:rPr>
                  </w:pPr>
                  <w:r>
                    <w:rPr>
                      <w:color w:val="auto"/>
                      <w:kern w:val="0"/>
                      <w:szCs w:val="21"/>
                      <w:highlight w:val="none"/>
                      <w:lang w:bidi="ar"/>
                    </w:rPr>
                    <w:t>/</w:t>
                  </w:r>
                </w:p>
              </w:tc>
              <w:tc>
                <w:tcPr>
                  <w:tcW w:w="697" w:type="dxa"/>
                  <w:noWrap w:val="0"/>
                  <w:vAlign w:val="center"/>
                </w:tcPr>
                <w:p>
                  <w:pPr>
                    <w:widowControl/>
                    <w:jc w:val="center"/>
                    <w:textAlignment w:val="center"/>
                    <w:rPr>
                      <w:color w:val="auto"/>
                      <w:szCs w:val="21"/>
                      <w:highlight w:val="none"/>
                    </w:rPr>
                  </w:pPr>
                  <w:r>
                    <w:rPr>
                      <w:color w:val="auto"/>
                      <w:kern w:val="0"/>
                      <w:szCs w:val="21"/>
                      <w:highlight w:val="none"/>
                      <w:lang w:bidi="ar"/>
                    </w:rPr>
                    <w:t>达标</w:t>
                  </w:r>
                </w:p>
              </w:tc>
              <w:tc>
                <w:tcPr>
                  <w:tcW w:w="689" w:type="dxa"/>
                  <w:noWrap w:val="0"/>
                  <w:vAlign w:val="center"/>
                </w:tcPr>
                <w:p>
                  <w:pPr>
                    <w:widowControl/>
                    <w:jc w:val="center"/>
                    <w:textAlignment w:val="center"/>
                    <w:rPr>
                      <w:color w:val="auto"/>
                      <w:szCs w:val="21"/>
                      <w:highlight w:val="none"/>
                    </w:rPr>
                  </w:pPr>
                  <w:r>
                    <w:rPr>
                      <w:color w:val="auto"/>
                      <w:kern w:val="0"/>
                      <w:szCs w:val="21"/>
                      <w:highlight w:val="none"/>
                      <w:lang w:bidi="ar"/>
                    </w:rPr>
                    <w:t>未检出</w:t>
                  </w:r>
                </w:p>
              </w:tc>
              <w:tc>
                <w:tcPr>
                  <w:tcW w:w="689" w:type="dxa"/>
                  <w:noWrap w:val="0"/>
                  <w:vAlign w:val="center"/>
                </w:tcPr>
                <w:p>
                  <w:pPr>
                    <w:widowControl/>
                    <w:jc w:val="center"/>
                    <w:textAlignment w:val="center"/>
                    <w:rPr>
                      <w:color w:val="auto"/>
                      <w:szCs w:val="21"/>
                      <w:highlight w:val="none"/>
                    </w:rPr>
                  </w:pPr>
                  <w:r>
                    <w:rPr>
                      <w:color w:val="auto"/>
                      <w:kern w:val="0"/>
                      <w:szCs w:val="21"/>
                      <w:highlight w:val="none"/>
                      <w:lang w:bidi="ar"/>
                    </w:rPr>
                    <w:t>/</w:t>
                  </w:r>
                </w:p>
              </w:tc>
              <w:tc>
                <w:tcPr>
                  <w:tcW w:w="699" w:type="dxa"/>
                  <w:noWrap w:val="0"/>
                  <w:vAlign w:val="center"/>
                </w:tcPr>
                <w:p>
                  <w:pPr>
                    <w:widowControl/>
                    <w:jc w:val="center"/>
                    <w:textAlignment w:val="center"/>
                    <w:rPr>
                      <w:color w:val="auto"/>
                      <w:szCs w:val="21"/>
                      <w:highlight w:val="none"/>
                    </w:rPr>
                  </w:pPr>
                  <w:r>
                    <w:rPr>
                      <w:color w:val="auto"/>
                      <w:kern w:val="0"/>
                      <w:szCs w:val="21"/>
                      <w:highlight w:val="none"/>
                      <w:lang w:bidi="ar"/>
                    </w:rPr>
                    <w:t>达标</w:t>
                  </w:r>
                </w:p>
              </w:tc>
              <w:tc>
                <w:tcPr>
                  <w:tcW w:w="742" w:type="dxa"/>
                  <w:noWrap w:val="0"/>
                  <w:vAlign w:val="center"/>
                </w:tcPr>
                <w:p>
                  <w:pPr>
                    <w:widowControl/>
                    <w:jc w:val="center"/>
                    <w:textAlignment w:val="center"/>
                    <w:rPr>
                      <w:color w:val="auto"/>
                      <w:szCs w:val="21"/>
                      <w:highlight w:val="none"/>
                    </w:rPr>
                  </w:pPr>
                  <w:r>
                    <w:rPr>
                      <w:color w:val="auto"/>
                      <w:kern w:val="0"/>
                      <w:szCs w:val="21"/>
                      <w:highlight w:val="none"/>
                      <w:lang w:bidi="ar"/>
                    </w:rPr>
                    <w:t>5.7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1217" w:type="dxa"/>
                  <w:noWrap w:val="0"/>
                  <w:vAlign w:val="center"/>
                </w:tcPr>
                <w:p>
                  <w:pPr>
                    <w:spacing w:line="220" w:lineRule="atLeast"/>
                    <w:jc w:val="center"/>
                    <w:rPr>
                      <w:color w:val="auto"/>
                      <w:szCs w:val="21"/>
                      <w:highlight w:val="none"/>
                    </w:rPr>
                  </w:pPr>
                  <w:r>
                    <w:rPr>
                      <w:color w:val="auto"/>
                      <w:szCs w:val="21"/>
                      <w:highlight w:val="none"/>
                    </w:rPr>
                    <w:t>氯甲烷*（μg/kg）</w:t>
                  </w:r>
                </w:p>
              </w:tc>
              <w:tc>
                <w:tcPr>
                  <w:tcW w:w="792" w:type="dxa"/>
                  <w:noWrap w:val="0"/>
                  <w:vAlign w:val="center"/>
                </w:tcPr>
                <w:p>
                  <w:pPr>
                    <w:widowControl/>
                    <w:jc w:val="center"/>
                    <w:textAlignment w:val="center"/>
                    <w:rPr>
                      <w:color w:val="auto"/>
                      <w:szCs w:val="21"/>
                      <w:highlight w:val="none"/>
                    </w:rPr>
                  </w:pPr>
                  <w:r>
                    <w:rPr>
                      <w:color w:val="auto"/>
                      <w:kern w:val="0"/>
                      <w:szCs w:val="21"/>
                      <w:highlight w:val="none"/>
                      <w:lang w:bidi="ar"/>
                    </w:rPr>
                    <w:t>未检出</w:t>
                  </w:r>
                </w:p>
              </w:tc>
              <w:tc>
                <w:tcPr>
                  <w:tcW w:w="689" w:type="dxa"/>
                  <w:noWrap w:val="0"/>
                  <w:vAlign w:val="center"/>
                </w:tcPr>
                <w:p>
                  <w:pPr>
                    <w:widowControl/>
                    <w:jc w:val="center"/>
                    <w:textAlignment w:val="center"/>
                    <w:rPr>
                      <w:color w:val="auto"/>
                      <w:szCs w:val="21"/>
                      <w:highlight w:val="none"/>
                    </w:rPr>
                  </w:pPr>
                  <w:r>
                    <w:rPr>
                      <w:color w:val="auto"/>
                      <w:kern w:val="0"/>
                      <w:szCs w:val="21"/>
                      <w:highlight w:val="none"/>
                      <w:lang w:bidi="ar"/>
                    </w:rPr>
                    <w:t>/</w:t>
                  </w:r>
                </w:p>
              </w:tc>
              <w:tc>
                <w:tcPr>
                  <w:tcW w:w="741" w:type="dxa"/>
                  <w:noWrap w:val="0"/>
                  <w:vAlign w:val="center"/>
                </w:tcPr>
                <w:p>
                  <w:pPr>
                    <w:widowControl/>
                    <w:jc w:val="center"/>
                    <w:textAlignment w:val="center"/>
                    <w:rPr>
                      <w:color w:val="auto"/>
                      <w:szCs w:val="21"/>
                      <w:highlight w:val="none"/>
                    </w:rPr>
                  </w:pPr>
                  <w:r>
                    <w:rPr>
                      <w:color w:val="auto"/>
                      <w:kern w:val="0"/>
                      <w:szCs w:val="21"/>
                      <w:highlight w:val="none"/>
                      <w:lang w:bidi="ar"/>
                    </w:rPr>
                    <w:t>达标</w:t>
                  </w:r>
                </w:p>
              </w:tc>
              <w:tc>
                <w:tcPr>
                  <w:tcW w:w="787" w:type="dxa"/>
                  <w:noWrap w:val="0"/>
                  <w:vAlign w:val="center"/>
                </w:tcPr>
                <w:p>
                  <w:pPr>
                    <w:widowControl/>
                    <w:jc w:val="center"/>
                    <w:textAlignment w:val="center"/>
                    <w:rPr>
                      <w:color w:val="auto"/>
                      <w:szCs w:val="21"/>
                      <w:highlight w:val="none"/>
                    </w:rPr>
                  </w:pPr>
                  <w:r>
                    <w:rPr>
                      <w:color w:val="auto"/>
                      <w:kern w:val="0"/>
                      <w:szCs w:val="21"/>
                      <w:highlight w:val="none"/>
                      <w:lang w:bidi="ar"/>
                    </w:rPr>
                    <w:t>未检出</w:t>
                  </w:r>
                </w:p>
              </w:tc>
              <w:tc>
                <w:tcPr>
                  <w:tcW w:w="591" w:type="dxa"/>
                  <w:noWrap w:val="0"/>
                  <w:vAlign w:val="center"/>
                </w:tcPr>
                <w:p>
                  <w:pPr>
                    <w:widowControl/>
                    <w:jc w:val="center"/>
                    <w:textAlignment w:val="center"/>
                    <w:rPr>
                      <w:color w:val="auto"/>
                      <w:szCs w:val="21"/>
                      <w:highlight w:val="none"/>
                    </w:rPr>
                  </w:pPr>
                  <w:r>
                    <w:rPr>
                      <w:color w:val="auto"/>
                      <w:kern w:val="0"/>
                      <w:szCs w:val="21"/>
                      <w:highlight w:val="none"/>
                      <w:lang w:bidi="ar"/>
                    </w:rPr>
                    <w:t>/</w:t>
                  </w:r>
                </w:p>
              </w:tc>
              <w:tc>
                <w:tcPr>
                  <w:tcW w:w="697" w:type="dxa"/>
                  <w:noWrap w:val="0"/>
                  <w:vAlign w:val="center"/>
                </w:tcPr>
                <w:p>
                  <w:pPr>
                    <w:widowControl/>
                    <w:jc w:val="center"/>
                    <w:textAlignment w:val="center"/>
                    <w:rPr>
                      <w:color w:val="auto"/>
                      <w:szCs w:val="21"/>
                      <w:highlight w:val="none"/>
                    </w:rPr>
                  </w:pPr>
                  <w:r>
                    <w:rPr>
                      <w:color w:val="auto"/>
                      <w:kern w:val="0"/>
                      <w:szCs w:val="21"/>
                      <w:highlight w:val="none"/>
                      <w:lang w:bidi="ar"/>
                    </w:rPr>
                    <w:t>达标</w:t>
                  </w:r>
                </w:p>
              </w:tc>
              <w:tc>
                <w:tcPr>
                  <w:tcW w:w="689" w:type="dxa"/>
                  <w:noWrap w:val="0"/>
                  <w:vAlign w:val="center"/>
                </w:tcPr>
                <w:p>
                  <w:pPr>
                    <w:widowControl/>
                    <w:jc w:val="center"/>
                    <w:textAlignment w:val="center"/>
                    <w:rPr>
                      <w:color w:val="auto"/>
                      <w:szCs w:val="21"/>
                      <w:highlight w:val="none"/>
                    </w:rPr>
                  </w:pPr>
                  <w:r>
                    <w:rPr>
                      <w:color w:val="auto"/>
                      <w:kern w:val="0"/>
                      <w:szCs w:val="21"/>
                      <w:highlight w:val="none"/>
                      <w:lang w:bidi="ar"/>
                    </w:rPr>
                    <w:t>未检出</w:t>
                  </w:r>
                </w:p>
              </w:tc>
              <w:tc>
                <w:tcPr>
                  <w:tcW w:w="689" w:type="dxa"/>
                  <w:noWrap w:val="0"/>
                  <w:vAlign w:val="center"/>
                </w:tcPr>
                <w:p>
                  <w:pPr>
                    <w:widowControl/>
                    <w:jc w:val="center"/>
                    <w:textAlignment w:val="center"/>
                    <w:rPr>
                      <w:color w:val="auto"/>
                      <w:szCs w:val="21"/>
                      <w:highlight w:val="none"/>
                    </w:rPr>
                  </w:pPr>
                  <w:r>
                    <w:rPr>
                      <w:color w:val="auto"/>
                      <w:kern w:val="0"/>
                      <w:szCs w:val="21"/>
                      <w:highlight w:val="none"/>
                      <w:lang w:bidi="ar"/>
                    </w:rPr>
                    <w:t>/</w:t>
                  </w:r>
                </w:p>
              </w:tc>
              <w:tc>
                <w:tcPr>
                  <w:tcW w:w="699" w:type="dxa"/>
                  <w:noWrap w:val="0"/>
                  <w:vAlign w:val="center"/>
                </w:tcPr>
                <w:p>
                  <w:pPr>
                    <w:widowControl/>
                    <w:jc w:val="center"/>
                    <w:textAlignment w:val="center"/>
                    <w:rPr>
                      <w:color w:val="auto"/>
                      <w:szCs w:val="21"/>
                      <w:highlight w:val="none"/>
                    </w:rPr>
                  </w:pPr>
                  <w:r>
                    <w:rPr>
                      <w:color w:val="auto"/>
                      <w:kern w:val="0"/>
                      <w:szCs w:val="21"/>
                      <w:highlight w:val="none"/>
                      <w:lang w:bidi="ar"/>
                    </w:rPr>
                    <w:t>达标</w:t>
                  </w:r>
                </w:p>
              </w:tc>
              <w:tc>
                <w:tcPr>
                  <w:tcW w:w="742" w:type="dxa"/>
                  <w:noWrap w:val="0"/>
                  <w:vAlign w:val="center"/>
                </w:tcPr>
                <w:p>
                  <w:pPr>
                    <w:widowControl/>
                    <w:jc w:val="center"/>
                    <w:textAlignment w:val="center"/>
                    <w:rPr>
                      <w:color w:val="auto"/>
                      <w:szCs w:val="21"/>
                      <w:highlight w:val="none"/>
                    </w:rPr>
                  </w:pPr>
                  <w:r>
                    <w:rPr>
                      <w:color w:val="auto"/>
                      <w:kern w:val="0"/>
                      <w:szCs w:val="21"/>
                      <w:highlight w:val="none"/>
                      <w:lang w:bidi="ar"/>
                    </w:rPr>
                    <w:t>37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1217" w:type="dxa"/>
                  <w:noWrap w:val="0"/>
                  <w:vAlign w:val="center"/>
                </w:tcPr>
                <w:p>
                  <w:pPr>
                    <w:spacing w:line="220" w:lineRule="atLeast"/>
                    <w:jc w:val="center"/>
                    <w:rPr>
                      <w:color w:val="auto"/>
                      <w:szCs w:val="21"/>
                      <w:highlight w:val="none"/>
                    </w:rPr>
                  </w:pPr>
                  <w:r>
                    <w:rPr>
                      <w:color w:val="auto"/>
                      <w:szCs w:val="21"/>
                      <w:highlight w:val="none"/>
                    </w:rPr>
                    <w:t>氯乙烯*（μg/kg）</w:t>
                  </w:r>
                </w:p>
              </w:tc>
              <w:tc>
                <w:tcPr>
                  <w:tcW w:w="792" w:type="dxa"/>
                  <w:noWrap w:val="0"/>
                  <w:vAlign w:val="center"/>
                </w:tcPr>
                <w:p>
                  <w:pPr>
                    <w:widowControl/>
                    <w:jc w:val="center"/>
                    <w:textAlignment w:val="center"/>
                    <w:rPr>
                      <w:color w:val="auto"/>
                      <w:szCs w:val="21"/>
                      <w:highlight w:val="none"/>
                    </w:rPr>
                  </w:pPr>
                  <w:r>
                    <w:rPr>
                      <w:color w:val="auto"/>
                      <w:kern w:val="0"/>
                      <w:szCs w:val="21"/>
                      <w:highlight w:val="none"/>
                      <w:lang w:bidi="ar"/>
                    </w:rPr>
                    <w:t>未检出</w:t>
                  </w:r>
                </w:p>
              </w:tc>
              <w:tc>
                <w:tcPr>
                  <w:tcW w:w="689" w:type="dxa"/>
                  <w:noWrap w:val="0"/>
                  <w:vAlign w:val="center"/>
                </w:tcPr>
                <w:p>
                  <w:pPr>
                    <w:widowControl/>
                    <w:jc w:val="center"/>
                    <w:textAlignment w:val="center"/>
                    <w:rPr>
                      <w:color w:val="auto"/>
                      <w:szCs w:val="21"/>
                      <w:highlight w:val="none"/>
                    </w:rPr>
                  </w:pPr>
                  <w:r>
                    <w:rPr>
                      <w:color w:val="auto"/>
                      <w:kern w:val="0"/>
                      <w:szCs w:val="21"/>
                      <w:highlight w:val="none"/>
                      <w:lang w:bidi="ar"/>
                    </w:rPr>
                    <w:t>/</w:t>
                  </w:r>
                </w:p>
              </w:tc>
              <w:tc>
                <w:tcPr>
                  <w:tcW w:w="741" w:type="dxa"/>
                  <w:noWrap w:val="0"/>
                  <w:vAlign w:val="center"/>
                </w:tcPr>
                <w:p>
                  <w:pPr>
                    <w:widowControl/>
                    <w:jc w:val="center"/>
                    <w:textAlignment w:val="center"/>
                    <w:rPr>
                      <w:color w:val="auto"/>
                      <w:szCs w:val="21"/>
                      <w:highlight w:val="none"/>
                    </w:rPr>
                  </w:pPr>
                  <w:r>
                    <w:rPr>
                      <w:color w:val="auto"/>
                      <w:kern w:val="0"/>
                      <w:szCs w:val="21"/>
                      <w:highlight w:val="none"/>
                      <w:lang w:bidi="ar"/>
                    </w:rPr>
                    <w:t>达标</w:t>
                  </w:r>
                </w:p>
              </w:tc>
              <w:tc>
                <w:tcPr>
                  <w:tcW w:w="787" w:type="dxa"/>
                  <w:noWrap w:val="0"/>
                  <w:vAlign w:val="center"/>
                </w:tcPr>
                <w:p>
                  <w:pPr>
                    <w:widowControl/>
                    <w:jc w:val="center"/>
                    <w:textAlignment w:val="center"/>
                    <w:rPr>
                      <w:color w:val="auto"/>
                      <w:szCs w:val="21"/>
                      <w:highlight w:val="none"/>
                    </w:rPr>
                  </w:pPr>
                  <w:r>
                    <w:rPr>
                      <w:color w:val="auto"/>
                      <w:kern w:val="0"/>
                      <w:szCs w:val="21"/>
                      <w:highlight w:val="none"/>
                      <w:lang w:bidi="ar"/>
                    </w:rPr>
                    <w:t>未检出</w:t>
                  </w:r>
                </w:p>
              </w:tc>
              <w:tc>
                <w:tcPr>
                  <w:tcW w:w="591" w:type="dxa"/>
                  <w:noWrap w:val="0"/>
                  <w:vAlign w:val="center"/>
                </w:tcPr>
                <w:p>
                  <w:pPr>
                    <w:widowControl/>
                    <w:jc w:val="center"/>
                    <w:textAlignment w:val="center"/>
                    <w:rPr>
                      <w:color w:val="auto"/>
                      <w:szCs w:val="21"/>
                      <w:highlight w:val="none"/>
                    </w:rPr>
                  </w:pPr>
                  <w:r>
                    <w:rPr>
                      <w:color w:val="auto"/>
                      <w:kern w:val="0"/>
                      <w:szCs w:val="21"/>
                      <w:highlight w:val="none"/>
                      <w:lang w:bidi="ar"/>
                    </w:rPr>
                    <w:t>/</w:t>
                  </w:r>
                </w:p>
              </w:tc>
              <w:tc>
                <w:tcPr>
                  <w:tcW w:w="697" w:type="dxa"/>
                  <w:noWrap w:val="0"/>
                  <w:vAlign w:val="center"/>
                </w:tcPr>
                <w:p>
                  <w:pPr>
                    <w:widowControl/>
                    <w:jc w:val="center"/>
                    <w:textAlignment w:val="center"/>
                    <w:rPr>
                      <w:color w:val="auto"/>
                      <w:szCs w:val="21"/>
                      <w:highlight w:val="none"/>
                    </w:rPr>
                  </w:pPr>
                  <w:r>
                    <w:rPr>
                      <w:color w:val="auto"/>
                      <w:kern w:val="0"/>
                      <w:szCs w:val="21"/>
                      <w:highlight w:val="none"/>
                      <w:lang w:bidi="ar"/>
                    </w:rPr>
                    <w:t>达标</w:t>
                  </w:r>
                </w:p>
              </w:tc>
              <w:tc>
                <w:tcPr>
                  <w:tcW w:w="689" w:type="dxa"/>
                  <w:noWrap w:val="0"/>
                  <w:vAlign w:val="center"/>
                </w:tcPr>
                <w:p>
                  <w:pPr>
                    <w:widowControl/>
                    <w:jc w:val="center"/>
                    <w:textAlignment w:val="center"/>
                    <w:rPr>
                      <w:color w:val="auto"/>
                      <w:szCs w:val="21"/>
                      <w:highlight w:val="none"/>
                    </w:rPr>
                  </w:pPr>
                  <w:r>
                    <w:rPr>
                      <w:color w:val="auto"/>
                      <w:kern w:val="0"/>
                      <w:szCs w:val="21"/>
                      <w:highlight w:val="none"/>
                      <w:lang w:bidi="ar"/>
                    </w:rPr>
                    <w:t>未检出</w:t>
                  </w:r>
                </w:p>
              </w:tc>
              <w:tc>
                <w:tcPr>
                  <w:tcW w:w="689" w:type="dxa"/>
                  <w:noWrap w:val="0"/>
                  <w:vAlign w:val="center"/>
                </w:tcPr>
                <w:p>
                  <w:pPr>
                    <w:widowControl/>
                    <w:jc w:val="center"/>
                    <w:textAlignment w:val="center"/>
                    <w:rPr>
                      <w:color w:val="auto"/>
                      <w:szCs w:val="21"/>
                      <w:highlight w:val="none"/>
                    </w:rPr>
                  </w:pPr>
                  <w:r>
                    <w:rPr>
                      <w:color w:val="auto"/>
                      <w:kern w:val="0"/>
                      <w:szCs w:val="21"/>
                      <w:highlight w:val="none"/>
                      <w:lang w:bidi="ar"/>
                    </w:rPr>
                    <w:t>/</w:t>
                  </w:r>
                </w:p>
              </w:tc>
              <w:tc>
                <w:tcPr>
                  <w:tcW w:w="699" w:type="dxa"/>
                  <w:noWrap w:val="0"/>
                  <w:vAlign w:val="center"/>
                </w:tcPr>
                <w:p>
                  <w:pPr>
                    <w:widowControl/>
                    <w:jc w:val="center"/>
                    <w:textAlignment w:val="center"/>
                    <w:rPr>
                      <w:color w:val="auto"/>
                      <w:szCs w:val="21"/>
                      <w:highlight w:val="none"/>
                    </w:rPr>
                  </w:pPr>
                  <w:r>
                    <w:rPr>
                      <w:color w:val="auto"/>
                      <w:kern w:val="0"/>
                      <w:szCs w:val="21"/>
                      <w:highlight w:val="none"/>
                      <w:lang w:bidi="ar"/>
                    </w:rPr>
                    <w:t>达标</w:t>
                  </w:r>
                </w:p>
              </w:tc>
              <w:tc>
                <w:tcPr>
                  <w:tcW w:w="742" w:type="dxa"/>
                  <w:noWrap w:val="0"/>
                  <w:vAlign w:val="center"/>
                </w:tcPr>
                <w:p>
                  <w:pPr>
                    <w:widowControl/>
                    <w:jc w:val="center"/>
                    <w:textAlignment w:val="center"/>
                    <w:rPr>
                      <w:color w:val="auto"/>
                      <w:szCs w:val="21"/>
                      <w:highlight w:val="none"/>
                    </w:rPr>
                  </w:pPr>
                  <w:r>
                    <w:rPr>
                      <w:color w:val="auto"/>
                      <w:kern w:val="0"/>
                      <w:szCs w:val="21"/>
                      <w:highlight w:val="none"/>
                      <w:lang w:bidi="ar"/>
                    </w:rPr>
                    <w:t>0.43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1217" w:type="dxa"/>
                  <w:noWrap w:val="0"/>
                  <w:vAlign w:val="center"/>
                </w:tcPr>
                <w:p>
                  <w:pPr>
                    <w:spacing w:line="220" w:lineRule="atLeast"/>
                    <w:jc w:val="center"/>
                    <w:rPr>
                      <w:color w:val="auto"/>
                      <w:szCs w:val="21"/>
                      <w:highlight w:val="none"/>
                    </w:rPr>
                  </w:pPr>
                  <w:r>
                    <w:rPr>
                      <w:color w:val="auto"/>
                      <w:szCs w:val="21"/>
                      <w:highlight w:val="none"/>
                    </w:rPr>
                    <w:t>1,1-二氯乙烯*（μg/kg）</w:t>
                  </w:r>
                </w:p>
              </w:tc>
              <w:tc>
                <w:tcPr>
                  <w:tcW w:w="792" w:type="dxa"/>
                  <w:noWrap w:val="0"/>
                  <w:vAlign w:val="center"/>
                </w:tcPr>
                <w:p>
                  <w:pPr>
                    <w:widowControl/>
                    <w:jc w:val="center"/>
                    <w:textAlignment w:val="center"/>
                    <w:rPr>
                      <w:color w:val="auto"/>
                      <w:szCs w:val="21"/>
                      <w:highlight w:val="none"/>
                    </w:rPr>
                  </w:pPr>
                  <w:r>
                    <w:rPr>
                      <w:color w:val="auto"/>
                      <w:kern w:val="0"/>
                      <w:szCs w:val="21"/>
                      <w:highlight w:val="none"/>
                      <w:lang w:bidi="ar"/>
                    </w:rPr>
                    <w:t>未检出</w:t>
                  </w:r>
                </w:p>
              </w:tc>
              <w:tc>
                <w:tcPr>
                  <w:tcW w:w="689" w:type="dxa"/>
                  <w:noWrap w:val="0"/>
                  <w:vAlign w:val="center"/>
                </w:tcPr>
                <w:p>
                  <w:pPr>
                    <w:widowControl/>
                    <w:jc w:val="center"/>
                    <w:textAlignment w:val="center"/>
                    <w:rPr>
                      <w:color w:val="auto"/>
                      <w:szCs w:val="21"/>
                      <w:highlight w:val="none"/>
                    </w:rPr>
                  </w:pPr>
                  <w:r>
                    <w:rPr>
                      <w:color w:val="auto"/>
                      <w:kern w:val="0"/>
                      <w:szCs w:val="21"/>
                      <w:highlight w:val="none"/>
                      <w:lang w:bidi="ar"/>
                    </w:rPr>
                    <w:t>/</w:t>
                  </w:r>
                </w:p>
              </w:tc>
              <w:tc>
                <w:tcPr>
                  <w:tcW w:w="741" w:type="dxa"/>
                  <w:noWrap w:val="0"/>
                  <w:vAlign w:val="center"/>
                </w:tcPr>
                <w:p>
                  <w:pPr>
                    <w:widowControl/>
                    <w:jc w:val="center"/>
                    <w:textAlignment w:val="center"/>
                    <w:rPr>
                      <w:color w:val="auto"/>
                      <w:szCs w:val="21"/>
                      <w:highlight w:val="none"/>
                    </w:rPr>
                  </w:pPr>
                  <w:r>
                    <w:rPr>
                      <w:color w:val="auto"/>
                      <w:kern w:val="0"/>
                      <w:szCs w:val="21"/>
                      <w:highlight w:val="none"/>
                      <w:lang w:bidi="ar"/>
                    </w:rPr>
                    <w:t>达标</w:t>
                  </w:r>
                </w:p>
              </w:tc>
              <w:tc>
                <w:tcPr>
                  <w:tcW w:w="787" w:type="dxa"/>
                  <w:noWrap w:val="0"/>
                  <w:vAlign w:val="center"/>
                </w:tcPr>
                <w:p>
                  <w:pPr>
                    <w:widowControl/>
                    <w:jc w:val="center"/>
                    <w:textAlignment w:val="center"/>
                    <w:rPr>
                      <w:color w:val="auto"/>
                      <w:szCs w:val="21"/>
                      <w:highlight w:val="none"/>
                    </w:rPr>
                  </w:pPr>
                  <w:r>
                    <w:rPr>
                      <w:color w:val="auto"/>
                      <w:kern w:val="0"/>
                      <w:szCs w:val="21"/>
                      <w:highlight w:val="none"/>
                      <w:lang w:bidi="ar"/>
                    </w:rPr>
                    <w:t>未检出</w:t>
                  </w:r>
                </w:p>
              </w:tc>
              <w:tc>
                <w:tcPr>
                  <w:tcW w:w="591" w:type="dxa"/>
                  <w:noWrap w:val="0"/>
                  <w:vAlign w:val="center"/>
                </w:tcPr>
                <w:p>
                  <w:pPr>
                    <w:widowControl/>
                    <w:jc w:val="center"/>
                    <w:textAlignment w:val="center"/>
                    <w:rPr>
                      <w:color w:val="auto"/>
                      <w:szCs w:val="21"/>
                      <w:highlight w:val="none"/>
                    </w:rPr>
                  </w:pPr>
                  <w:r>
                    <w:rPr>
                      <w:color w:val="auto"/>
                      <w:kern w:val="0"/>
                      <w:szCs w:val="21"/>
                      <w:highlight w:val="none"/>
                      <w:lang w:bidi="ar"/>
                    </w:rPr>
                    <w:t>/</w:t>
                  </w:r>
                </w:p>
              </w:tc>
              <w:tc>
                <w:tcPr>
                  <w:tcW w:w="697" w:type="dxa"/>
                  <w:noWrap w:val="0"/>
                  <w:vAlign w:val="center"/>
                </w:tcPr>
                <w:p>
                  <w:pPr>
                    <w:widowControl/>
                    <w:jc w:val="center"/>
                    <w:textAlignment w:val="center"/>
                    <w:rPr>
                      <w:color w:val="auto"/>
                      <w:szCs w:val="21"/>
                      <w:highlight w:val="none"/>
                    </w:rPr>
                  </w:pPr>
                  <w:r>
                    <w:rPr>
                      <w:color w:val="auto"/>
                      <w:kern w:val="0"/>
                      <w:szCs w:val="21"/>
                      <w:highlight w:val="none"/>
                      <w:lang w:bidi="ar"/>
                    </w:rPr>
                    <w:t>达标</w:t>
                  </w:r>
                </w:p>
              </w:tc>
              <w:tc>
                <w:tcPr>
                  <w:tcW w:w="689" w:type="dxa"/>
                  <w:noWrap w:val="0"/>
                  <w:vAlign w:val="center"/>
                </w:tcPr>
                <w:p>
                  <w:pPr>
                    <w:widowControl/>
                    <w:jc w:val="center"/>
                    <w:textAlignment w:val="center"/>
                    <w:rPr>
                      <w:color w:val="auto"/>
                      <w:szCs w:val="21"/>
                      <w:highlight w:val="none"/>
                    </w:rPr>
                  </w:pPr>
                  <w:r>
                    <w:rPr>
                      <w:color w:val="auto"/>
                      <w:kern w:val="0"/>
                      <w:szCs w:val="21"/>
                      <w:highlight w:val="none"/>
                      <w:lang w:bidi="ar"/>
                    </w:rPr>
                    <w:t>未检出</w:t>
                  </w:r>
                </w:p>
              </w:tc>
              <w:tc>
                <w:tcPr>
                  <w:tcW w:w="689" w:type="dxa"/>
                  <w:noWrap w:val="0"/>
                  <w:vAlign w:val="center"/>
                </w:tcPr>
                <w:p>
                  <w:pPr>
                    <w:widowControl/>
                    <w:jc w:val="center"/>
                    <w:textAlignment w:val="center"/>
                    <w:rPr>
                      <w:color w:val="auto"/>
                      <w:szCs w:val="21"/>
                      <w:highlight w:val="none"/>
                    </w:rPr>
                  </w:pPr>
                  <w:r>
                    <w:rPr>
                      <w:color w:val="auto"/>
                      <w:kern w:val="0"/>
                      <w:szCs w:val="21"/>
                      <w:highlight w:val="none"/>
                      <w:lang w:bidi="ar"/>
                    </w:rPr>
                    <w:t>/</w:t>
                  </w:r>
                </w:p>
              </w:tc>
              <w:tc>
                <w:tcPr>
                  <w:tcW w:w="699" w:type="dxa"/>
                  <w:noWrap w:val="0"/>
                  <w:vAlign w:val="center"/>
                </w:tcPr>
                <w:p>
                  <w:pPr>
                    <w:widowControl/>
                    <w:jc w:val="center"/>
                    <w:textAlignment w:val="center"/>
                    <w:rPr>
                      <w:color w:val="auto"/>
                      <w:szCs w:val="21"/>
                      <w:highlight w:val="none"/>
                    </w:rPr>
                  </w:pPr>
                  <w:r>
                    <w:rPr>
                      <w:color w:val="auto"/>
                      <w:kern w:val="0"/>
                      <w:szCs w:val="21"/>
                      <w:highlight w:val="none"/>
                      <w:lang w:bidi="ar"/>
                    </w:rPr>
                    <w:t>达标</w:t>
                  </w:r>
                </w:p>
              </w:tc>
              <w:tc>
                <w:tcPr>
                  <w:tcW w:w="742" w:type="dxa"/>
                  <w:noWrap w:val="0"/>
                  <w:vAlign w:val="center"/>
                </w:tcPr>
                <w:p>
                  <w:pPr>
                    <w:widowControl/>
                    <w:jc w:val="center"/>
                    <w:textAlignment w:val="center"/>
                    <w:rPr>
                      <w:color w:val="auto"/>
                      <w:szCs w:val="21"/>
                      <w:highlight w:val="none"/>
                    </w:rPr>
                  </w:pPr>
                  <w:r>
                    <w:rPr>
                      <w:color w:val="auto"/>
                      <w:kern w:val="0"/>
                      <w:szCs w:val="21"/>
                      <w:highlight w:val="none"/>
                      <w:lang w:bidi="ar"/>
                    </w:rPr>
                    <w:t>66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1217" w:type="dxa"/>
                  <w:noWrap w:val="0"/>
                  <w:vAlign w:val="center"/>
                </w:tcPr>
                <w:p>
                  <w:pPr>
                    <w:spacing w:line="220" w:lineRule="atLeast"/>
                    <w:jc w:val="center"/>
                    <w:rPr>
                      <w:color w:val="auto"/>
                      <w:szCs w:val="21"/>
                      <w:highlight w:val="none"/>
                    </w:rPr>
                  </w:pPr>
                  <w:r>
                    <w:rPr>
                      <w:color w:val="auto"/>
                      <w:szCs w:val="21"/>
                      <w:highlight w:val="none"/>
                    </w:rPr>
                    <w:t>二氯甲烷*（μg/kg）</w:t>
                  </w:r>
                </w:p>
              </w:tc>
              <w:tc>
                <w:tcPr>
                  <w:tcW w:w="792" w:type="dxa"/>
                  <w:noWrap w:val="0"/>
                  <w:vAlign w:val="center"/>
                </w:tcPr>
                <w:p>
                  <w:pPr>
                    <w:widowControl/>
                    <w:jc w:val="center"/>
                    <w:textAlignment w:val="center"/>
                    <w:rPr>
                      <w:color w:val="auto"/>
                      <w:szCs w:val="21"/>
                      <w:highlight w:val="none"/>
                    </w:rPr>
                  </w:pPr>
                  <w:r>
                    <w:rPr>
                      <w:color w:val="auto"/>
                      <w:kern w:val="0"/>
                      <w:szCs w:val="21"/>
                      <w:highlight w:val="none"/>
                      <w:lang w:bidi="ar"/>
                    </w:rPr>
                    <w:t>未检出</w:t>
                  </w:r>
                </w:p>
              </w:tc>
              <w:tc>
                <w:tcPr>
                  <w:tcW w:w="689" w:type="dxa"/>
                  <w:noWrap w:val="0"/>
                  <w:vAlign w:val="center"/>
                </w:tcPr>
                <w:p>
                  <w:pPr>
                    <w:widowControl/>
                    <w:jc w:val="center"/>
                    <w:textAlignment w:val="center"/>
                    <w:rPr>
                      <w:color w:val="auto"/>
                      <w:szCs w:val="21"/>
                      <w:highlight w:val="none"/>
                    </w:rPr>
                  </w:pPr>
                  <w:r>
                    <w:rPr>
                      <w:color w:val="auto"/>
                      <w:kern w:val="0"/>
                      <w:szCs w:val="21"/>
                      <w:highlight w:val="none"/>
                      <w:lang w:bidi="ar"/>
                    </w:rPr>
                    <w:t>/</w:t>
                  </w:r>
                </w:p>
              </w:tc>
              <w:tc>
                <w:tcPr>
                  <w:tcW w:w="741" w:type="dxa"/>
                  <w:noWrap w:val="0"/>
                  <w:vAlign w:val="center"/>
                </w:tcPr>
                <w:p>
                  <w:pPr>
                    <w:widowControl/>
                    <w:jc w:val="center"/>
                    <w:textAlignment w:val="center"/>
                    <w:rPr>
                      <w:color w:val="auto"/>
                      <w:szCs w:val="21"/>
                      <w:highlight w:val="none"/>
                    </w:rPr>
                  </w:pPr>
                  <w:r>
                    <w:rPr>
                      <w:color w:val="auto"/>
                      <w:kern w:val="0"/>
                      <w:szCs w:val="21"/>
                      <w:highlight w:val="none"/>
                      <w:lang w:bidi="ar"/>
                    </w:rPr>
                    <w:t>达标</w:t>
                  </w:r>
                </w:p>
              </w:tc>
              <w:tc>
                <w:tcPr>
                  <w:tcW w:w="787" w:type="dxa"/>
                  <w:noWrap w:val="0"/>
                  <w:vAlign w:val="center"/>
                </w:tcPr>
                <w:p>
                  <w:pPr>
                    <w:widowControl/>
                    <w:jc w:val="center"/>
                    <w:textAlignment w:val="center"/>
                    <w:rPr>
                      <w:color w:val="auto"/>
                      <w:szCs w:val="21"/>
                      <w:highlight w:val="none"/>
                    </w:rPr>
                  </w:pPr>
                  <w:r>
                    <w:rPr>
                      <w:color w:val="auto"/>
                      <w:kern w:val="0"/>
                      <w:szCs w:val="21"/>
                      <w:highlight w:val="none"/>
                      <w:lang w:bidi="ar"/>
                    </w:rPr>
                    <w:t>未检出</w:t>
                  </w:r>
                </w:p>
              </w:tc>
              <w:tc>
                <w:tcPr>
                  <w:tcW w:w="591" w:type="dxa"/>
                  <w:noWrap w:val="0"/>
                  <w:vAlign w:val="center"/>
                </w:tcPr>
                <w:p>
                  <w:pPr>
                    <w:widowControl/>
                    <w:jc w:val="center"/>
                    <w:textAlignment w:val="center"/>
                    <w:rPr>
                      <w:color w:val="auto"/>
                      <w:szCs w:val="21"/>
                      <w:highlight w:val="none"/>
                    </w:rPr>
                  </w:pPr>
                  <w:r>
                    <w:rPr>
                      <w:color w:val="auto"/>
                      <w:kern w:val="0"/>
                      <w:szCs w:val="21"/>
                      <w:highlight w:val="none"/>
                      <w:lang w:bidi="ar"/>
                    </w:rPr>
                    <w:t>/</w:t>
                  </w:r>
                </w:p>
              </w:tc>
              <w:tc>
                <w:tcPr>
                  <w:tcW w:w="697" w:type="dxa"/>
                  <w:noWrap w:val="0"/>
                  <w:vAlign w:val="center"/>
                </w:tcPr>
                <w:p>
                  <w:pPr>
                    <w:widowControl/>
                    <w:jc w:val="center"/>
                    <w:textAlignment w:val="center"/>
                    <w:rPr>
                      <w:color w:val="auto"/>
                      <w:szCs w:val="21"/>
                      <w:highlight w:val="none"/>
                    </w:rPr>
                  </w:pPr>
                  <w:r>
                    <w:rPr>
                      <w:color w:val="auto"/>
                      <w:kern w:val="0"/>
                      <w:szCs w:val="21"/>
                      <w:highlight w:val="none"/>
                      <w:lang w:bidi="ar"/>
                    </w:rPr>
                    <w:t>达标</w:t>
                  </w:r>
                </w:p>
              </w:tc>
              <w:tc>
                <w:tcPr>
                  <w:tcW w:w="689" w:type="dxa"/>
                  <w:noWrap w:val="0"/>
                  <w:vAlign w:val="center"/>
                </w:tcPr>
                <w:p>
                  <w:pPr>
                    <w:widowControl/>
                    <w:jc w:val="center"/>
                    <w:textAlignment w:val="center"/>
                    <w:rPr>
                      <w:color w:val="auto"/>
                      <w:szCs w:val="21"/>
                      <w:highlight w:val="none"/>
                    </w:rPr>
                  </w:pPr>
                  <w:r>
                    <w:rPr>
                      <w:color w:val="auto"/>
                      <w:kern w:val="0"/>
                      <w:szCs w:val="21"/>
                      <w:highlight w:val="none"/>
                      <w:lang w:bidi="ar"/>
                    </w:rPr>
                    <w:t>未检出</w:t>
                  </w:r>
                </w:p>
              </w:tc>
              <w:tc>
                <w:tcPr>
                  <w:tcW w:w="689" w:type="dxa"/>
                  <w:noWrap w:val="0"/>
                  <w:vAlign w:val="center"/>
                </w:tcPr>
                <w:p>
                  <w:pPr>
                    <w:widowControl/>
                    <w:jc w:val="center"/>
                    <w:textAlignment w:val="center"/>
                    <w:rPr>
                      <w:color w:val="auto"/>
                      <w:szCs w:val="21"/>
                      <w:highlight w:val="none"/>
                    </w:rPr>
                  </w:pPr>
                  <w:r>
                    <w:rPr>
                      <w:color w:val="auto"/>
                      <w:kern w:val="0"/>
                      <w:szCs w:val="21"/>
                      <w:highlight w:val="none"/>
                      <w:lang w:bidi="ar"/>
                    </w:rPr>
                    <w:t>/</w:t>
                  </w:r>
                </w:p>
              </w:tc>
              <w:tc>
                <w:tcPr>
                  <w:tcW w:w="699" w:type="dxa"/>
                  <w:noWrap w:val="0"/>
                  <w:vAlign w:val="center"/>
                </w:tcPr>
                <w:p>
                  <w:pPr>
                    <w:widowControl/>
                    <w:jc w:val="center"/>
                    <w:textAlignment w:val="center"/>
                    <w:rPr>
                      <w:color w:val="auto"/>
                      <w:szCs w:val="21"/>
                      <w:highlight w:val="none"/>
                    </w:rPr>
                  </w:pPr>
                  <w:r>
                    <w:rPr>
                      <w:color w:val="auto"/>
                      <w:kern w:val="0"/>
                      <w:szCs w:val="21"/>
                      <w:highlight w:val="none"/>
                      <w:lang w:bidi="ar"/>
                    </w:rPr>
                    <w:t>达标</w:t>
                  </w:r>
                </w:p>
              </w:tc>
              <w:tc>
                <w:tcPr>
                  <w:tcW w:w="742" w:type="dxa"/>
                  <w:noWrap w:val="0"/>
                  <w:vAlign w:val="center"/>
                </w:tcPr>
                <w:p>
                  <w:pPr>
                    <w:widowControl/>
                    <w:jc w:val="center"/>
                    <w:textAlignment w:val="center"/>
                    <w:rPr>
                      <w:color w:val="auto"/>
                      <w:szCs w:val="21"/>
                      <w:highlight w:val="none"/>
                    </w:rPr>
                  </w:pPr>
                  <w:r>
                    <w:rPr>
                      <w:color w:val="auto"/>
                      <w:kern w:val="0"/>
                      <w:szCs w:val="21"/>
                      <w:highlight w:val="none"/>
                      <w:lang w:bidi="ar"/>
                    </w:rPr>
                    <w:t>616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5" w:hRule="atLeast"/>
              </w:trPr>
              <w:tc>
                <w:tcPr>
                  <w:tcW w:w="1217" w:type="dxa"/>
                  <w:noWrap w:val="0"/>
                  <w:vAlign w:val="center"/>
                </w:tcPr>
                <w:p>
                  <w:pPr>
                    <w:spacing w:line="220" w:lineRule="atLeast"/>
                    <w:jc w:val="center"/>
                    <w:rPr>
                      <w:color w:val="auto"/>
                      <w:szCs w:val="21"/>
                      <w:highlight w:val="none"/>
                    </w:rPr>
                  </w:pPr>
                  <w:r>
                    <w:rPr>
                      <w:color w:val="auto"/>
                      <w:szCs w:val="21"/>
                      <w:highlight w:val="none"/>
                    </w:rPr>
                    <w:t>反-1,2-二氯乙烯*（μg/kg）</w:t>
                  </w:r>
                </w:p>
              </w:tc>
              <w:tc>
                <w:tcPr>
                  <w:tcW w:w="792" w:type="dxa"/>
                  <w:noWrap w:val="0"/>
                  <w:vAlign w:val="center"/>
                </w:tcPr>
                <w:p>
                  <w:pPr>
                    <w:widowControl/>
                    <w:jc w:val="center"/>
                    <w:textAlignment w:val="center"/>
                    <w:rPr>
                      <w:color w:val="auto"/>
                      <w:szCs w:val="21"/>
                      <w:highlight w:val="none"/>
                    </w:rPr>
                  </w:pPr>
                  <w:r>
                    <w:rPr>
                      <w:color w:val="auto"/>
                      <w:kern w:val="0"/>
                      <w:szCs w:val="21"/>
                      <w:highlight w:val="none"/>
                      <w:lang w:bidi="ar"/>
                    </w:rPr>
                    <w:t>未检出</w:t>
                  </w:r>
                </w:p>
              </w:tc>
              <w:tc>
                <w:tcPr>
                  <w:tcW w:w="689" w:type="dxa"/>
                  <w:noWrap w:val="0"/>
                  <w:vAlign w:val="center"/>
                </w:tcPr>
                <w:p>
                  <w:pPr>
                    <w:widowControl/>
                    <w:jc w:val="center"/>
                    <w:textAlignment w:val="center"/>
                    <w:rPr>
                      <w:color w:val="auto"/>
                      <w:szCs w:val="21"/>
                      <w:highlight w:val="none"/>
                    </w:rPr>
                  </w:pPr>
                  <w:r>
                    <w:rPr>
                      <w:color w:val="auto"/>
                      <w:kern w:val="0"/>
                      <w:szCs w:val="21"/>
                      <w:highlight w:val="none"/>
                      <w:lang w:bidi="ar"/>
                    </w:rPr>
                    <w:t>/</w:t>
                  </w:r>
                </w:p>
              </w:tc>
              <w:tc>
                <w:tcPr>
                  <w:tcW w:w="741" w:type="dxa"/>
                  <w:noWrap w:val="0"/>
                  <w:vAlign w:val="center"/>
                </w:tcPr>
                <w:p>
                  <w:pPr>
                    <w:widowControl/>
                    <w:jc w:val="center"/>
                    <w:textAlignment w:val="center"/>
                    <w:rPr>
                      <w:color w:val="auto"/>
                      <w:szCs w:val="21"/>
                      <w:highlight w:val="none"/>
                    </w:rPr>
                  </w:pPr>
                  <w:r>
                    <w:rPr>
                      <w:color w:val="auto"/>
                      <w:kern w:val="0"/>
                      <w:szCs w:val="21"/>
                      <w:highlight w:val="none"/>
                      <w:lang w:bidi="ar"/>
                    </w:rPr>
                    <w:t>达标</w:t>
                  </w:r>
                </w:p>
              </w:tc>
              <w:tc>
                <w:tcPr>
                  <w:tcW w:w="787" w:type="dxa"/>
                  <w:noWrap w:val="0"/>
                  <w:vAlign w:val="center"/>
                </w:tcPr>
                <w:p>
                  <w:pPr>
                    <w:widowControl/>
                    <w:jc w:val="center"/>
                    <w:textAlignment w:val="center"/>
                    <w:rPr>
                      <w:color w:val="auto"/>
                      <w:szCs w:val="21"/>
                      <w:highlight w:val="none"/>
                    </w:rPr>
                  </w:pPr>
                  <w:r>
                    <w:rPr>
                      <w:color w:val="auto"/>
                      <w:kern w:val="0"/>
                      <w:szCs w:val="21"/>
                      <w:highlight w:val="none"/>
                      <w:lang w:bidi="ar"/>
                    </w:rPr>
                    <w:t>未检出</w:t>
                  </w:r>
                </w:p>
              </w:tc>
              <w:tc>
                <w:tcPr>
                  <w:tcW w:w="591" w:type="dxa"/>
                  <w:noWrap w:val="0"/>
                  <w:vAlign w:val="center"/>
                </w:tcPr>
                <w:p>
                  <w:pPr>
                    <w:widowControl/>
                    <w:jc w:val="center"/>
                    <w:textAlignment w:val="center"/>
                    <w:rPr>
                      <w:color w:val="auto"/>
                      <w:szCs w:val="21"/>
                      <w:highlight w:val="none"/>
                    </w:rPr>
                  </w:pPr>
                  <w:r>
                    <w:rPr>
                      <w:color w:val="auto"/>
                      <w:kern w:val="0"/>
                      <w:szCs w:val="21"/>
                      <w:highlight w:val="none"/>
                      <w:lang w:bidi="ar"/>
                    </w:rPr>
                    <w:t>/</w:t>
                  </w:r>
                </w:p>
              </w:tc>
              <w:tc>
                <w:tcPr>
                  <w:tcW w:w="697" w:type="dxa"/>
                  <w:noWrap w:val="0"/>
                  <w:vAlign w:val="center"/>
                </w:tcPr>
                <w:p>
                  <w:pPr>
                    <w:widowControl/>
                    <w:jc w:val="center"/>
                    <w:textAlignment w:val="center"/>
                    <w:rPr>
                      <w:color w:val="auto"/>
                      <w:szCs w:val="21"/>
                      <w:highlight w:val="none"/>
                    </w:rPr>
                  </w:pPr>
                  <w:r>
                    <w:rPr>
                      <w:color w:val="auto"/>
                      <w:kern w:val="0"/>
                      <w:szCs w:val="21"/>
                      <w:highlight w:val="none"/>
                      <w:lang w:bidi="ar"/>
                    </w:rPr>
                    <w:t>达标</w:t>
                  </w:r>
                </w:p>
              </w:tc>
              <w:tc>
                <w:tcPr>
                  <w:tcW w:w="689" w:type="dxa"/>
                  <w:noWrap w:val="0"/>
                  <w:vAlign w:val="center"/>
                </w:tcPr>
                <w:p>
                  <w:pPr>
                    <w:widowControl/>
                    <w:jc w:val="center"/>
                    <w:textAlignment w:val="center"/>
                    <w:rPr>
                      <w:color w:val="auto"/>
                      <w:szCs w:val="21"/>
                      <w:highlight w:val="none"/>
                    </w:rPr>
                  </w:pPr>
                  <w:r>
                    <w:rPr>
                      <w:color w:val="auto"/>
                      <w:kern w:val="0"/>
                      <w:szCs w:val="21"/>
                      <w:highlight w:val="none"/>
                      <w:lang w:bidi="ar"/>
                    </w:rPr>
                    <w:t>未检出</w:t>
                  </w:r>
                </w:p>
              </w:tc>
              <w:tc>
                <w:tcPr>
                  <w:tcW w:w="689" w:type="dxa"/>
                  <w:noWrap w:val="0"/>
                  <w:vAlign w:val="center"/>
                </w:tcPr>
                <w:p>
                  <w:pPr>
                    <w:widowControl/>
                    <w:jc w:val="center"/>
                    <w:textAlignment w:val="center"/>
                    <w:rPr>
                      <w:color w:val="auto"/>
                      <w:szCs w:val="21"/>
                      <w:highlight w:val="none"/>
                    </w:rPr>
                  </w:pPr>
                  <w:r>
                    <w:rPr>
                      <w:color w:val="auto"/>
                      <w:kern w:val="0"/>
                      <w:szCs w:val="21"/>
                      <w:highlight w:val="none"/>
                      <w:lang w:bidi="ar"/>
                    </w:rPr>
                    <w:t>/</w:t>
                  </w:r>
                </w:p>
              </w:tc>
              <w:tc>
                <w:tcPr>
                  <w:tcW w:w="699" w:type="dxa"/>
                  <w:noWrap w:val="0"/>
                  <w:vAlign w:val="center"/>
                </w:tcPr>
                <w:p>
                  <w:pPr>
                    <w:widowControl/>
                    <w:jc w:val="center"/>
                    <w:textAlignment w:val="center"/>
                    <w:rPr>
                      <w:color w:val="auto"/>
                      <w:szCs w:val="21"/>
                      <w:highlight w:val="none"/>
                    </w:rPr>
                  </w:pPr>
                  <w:r>
                    <w:rPr>
                      <w:color w:val="auto"/>
                      <w:kern w:val="0"/>
                      <w:szCs w:val="21"/>
                      <w:highlight w:val="none"/>
                      <w:lang w:bidi="ar"/>
                    </w:rPr>
                    <w:t>达标</w:t>
                  </w:r>
                </w:p>
              </w:tc>
              <w:tc>
                <w:tcPr>
                  <w:tcW w:w="742" w:type="dxa"/>
                  <w:noWrap w:val="0"/>
                  <w:vAlign w:val="center"/>
                </w:tcPr>
                <w:p>
                  <w:pPr>
                    <w:widowControl/>
                    <w:jc w:val="center"/>
                    <w:textAlignment w:val="center"/>
                    <w:rPr>
                      <w:color w:val="auto"/>
                      <w:szCs w:val="21"/>
                      <w:highlight w:val="none"/>
                    </w:rPr>
                  </w:pPr>
                  <w:r>
                    <w:rPr>
                      <w:color w:val="auto"/>
                      <w:kern w:val="0"/>
                      <w:szCs w:val="21"/>
                      <w:highlight w:val="none"/>
                      <w:lang w:bidi="ar"/>
                    </w:rPr>
                    <w:t>54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5" w:hRule="atLeast"/>
              </w:trPr>
              <w:tc>
                <w:tcPr>
                  <w:tcW w:w="1217" w:type="dxa"/>
                  <w:noWrap w:val="0"/>
                  <w:vAlign w:val="center"/>
                </w:tcPr>
                <w:p>
                  <w:pPr>
                    <w:spacing w:line="220" w:lineRule="atLeast"/>
                    <w:jc w:val="center"/>
                    <w:rPr>
                      <w:color w:val="auto"/>
                      <w:szCs w:val="21"/>
                      <w:highlight w:val="none"/>
                    </w:rPr>
                  </w:pPr>
                  <w:r>
                    <w:rPr>
                      <w:color w:val="auto"/>
                      <w:szCs w:val="21"/>
                      <w:highlight w:val="none"/>
                    </w:rPr>
                    <w:t>1,1-二氯乙烷*（μg/kg）</w:t>
                  </w:r>
                </w:p>
              </w:tc>
              <w:tc>
                <w:tcPr>
                  <w:tcW w:w="792" w:type="dxa"/>
                  <w:noWrap w:val="0"/>
                  <w:vAlign w:val="center"/>
                </w:tcPr>
                <w:p>
                  <w:pPr>
                    <w:widowControl/>
                    <w:jc w:val="center"/>
                    <w:textAlignment w:val="center"/>
                    <w:rPr>
                      <w:color w:val="auto"/>
                      <w:szCs w:val="21"/>
                      <w:highlight w:val="none"/>
                    </w:rPr>
                  </w:pPr>
                  <w:r>
                    <w:rPr>
                      <w:color w:val="auto"/>
                      <w:kern w:val="0"/>
                      <w:szCs w:val="21"/>
                      <w:highlight w:val="none"/>
                      <w:lang w:bidi="ar"/>
                    </w:rPr>
                    <w:t>未检出</w:t>
                  </w:r>
                </w:p>
              </w:tc>
              <w:tc>
                <w:tcPr>
                  <w:tcW w:w="689" w:type="dxa"/>
                  <w:noWrap w:val="0"/>
                  <w:vAlign w:val="center"/>
                </w:tcPr>
                <w:p>
                  <w:pPr>
                    <w:widowControl/>
                    <w:jc w:val="center"/>
                    <w:textAlignment w:val="center"/>
                    <w:rPr>
                      <w:color w:val="auto"/>
                      <w:szCs w:val="21"/>
                      <w:highlight w:val="none"/>
                    </w:rPr>
                  </w:pPr>
                  <w:r>
                    <w:rPr>
                      <w:color w:val="auto"/>
                      <w:kern w:val="0"/>
                      <w:szCs w:val="21"/>
                      <w:highlight w:val="none"/>
                      <w:lang w:bidi="ar"/>
                    </w:rPr>
                    <w:t>/</w:t>
                  </w:r>
                </w:p>
              </w:tc>
              <w:tc>
                <w:tcPr>
                  <w:tcW w:w="741" w:type="dxa"/>
                  <w:noWrap w:val="0"/>
                  <w:vAlign w:val="center"/>
                </w:tcPr>
                <w:p>
                  <w:pPr>
                    <w:widowControl/>
                    <w:jc w:val="center"/>
                    <w:textAlignment w:val="center"/>
                    <w:rPr>
                      <w:color w:val="auto"/>
                      <w:szCs w:val="21"/>
                      <w:highlight w:val="none"/>
                    </w:rPr>
                  </w:pPr>
                  <w:r>
                    <w:rPr>
                      <w:color w:val="auto"/>
                      <w:kern w:val="0"/>
                      <w:szCs w:val="21"/>
                      <w:highlight w:val="none"/>
                      <w:lang w:bidi="ar"/>
                    </w:rPr>
                    <w:t>达标</w:t>
                  </w:r>
                </w:p>
              </w:tc>
              <w:tc>
                <w:tcPr>
                  <w:tcW w:w="787" w:type="dxa"/>
                  <w:noWrap w:val="0"/>
                  <w:vAlign w:val="center"/>
                </w:tcPr>
                <w:p>
                  <w:pPr>
                    <w:widowControl/>
                    <w:jc w:val="center"/>
                    <w:textAlignment w:val="center"/>
                    <w:rPr>
                      <w:color w:val="auto"/>
                      <w:szCs w:val="21"/>
                      <w:highlight w:val="none"/>
                    </w:rPr>
                  </w:pPr>
                  <w:r>
                    <w:rPr>
                      <w:color w:val="auto"/>
                      <w:kern w:val="0"/>
                      <w:szCs w:val="21"/>
                      <w:highlight w:val="none"/>
                      <w:lang w:bidi="ar"/>
                    </w:rPr>
                    <w:t>未检出</w:t>
                  </w:r>
                </w:p>
              </w:tc>
              <w:tc>
                <w:tcPr>
                  <w:tcW w:w="591" w:type="dxa"/>
                  <w:noWrap w:val="0"/>
                  <w:vAlign w:val="center"/>
                </w:tcPr>
                <w:p>
                  <w:pPr>
                    <w:widowControl/>
                    <w:jc w:val="center"/>
                    <w:textAlignment w:val="center"/>
                    <w:rPr>
                      <w:color w:val="auto"/>
                      <w:szCs w:val="21"/>
                      <w:highlight w:val="none"/>
                    </w:rPr>
                  </w:pPr>
                  <w:r>
                    <w:rPr>
                      <w:color w:val="auto"/>
                      <w:kern w:val="0"/>
                      <w:szCs w:val="21"/>
                      <w:highlight w:val="none"/>
                      <w:lang w:bidi="ar"/>
                    </w:rPr>
                    <w:t>/</w:t>
                  </w:r>
                </w:p>
              </w:tc>
              <w:tc>
                <w:tcPr>
                  <w:tcW w:w="697" w:type="dxa"/>
                  <w:noWrap w:val="0"/>
                  <w:vAlign w:val="center"/>
                </w:tcPr>
                <w:p>
                  <w:pPr>
                    <w:widowControl/>
                    <w:jc w:val="center"/>
                    <w:textAlignment w:val="center"/>
                    <w:rPr>
                      <w:color w:val="auto"/>
                      <w:szCs w:val="21"/>
                      <w:highlight w:val="none"/>
                    </w:rPr>
                  </w:pPr>
                  <w:r>
                    <w:rPr>
                      <w:color w:val="auto"/>
                      <w:kern w:val="0"/>
                      <w:szCs w:val="21"/>
                      <w:highlight w:val="none"/>
                      <w:lang w:bidi="ar"/>
                    </w:rPr>
                    <w:t>达标</w:t>
                  </w:r>
                </w:p>
              </w:tc>
              <w:tc>
                <w:tcPr>
                  <w:tcW w:w="689" w:type="dxa"/>
                  <w:noWrap w:val="0"/>
                  <w:vAlign w:val="center"/>
                </w:tcPr>
                <w:p>
                  <w:pPr>
                    <w:widowControl/>
                    <w:jc w:val="center"/>
                    <w:textAlignment w:val="center"/>
                    <w:rPr>
                      <w:color w:val="auto"/>
                      <w:szCs w:val="21"/>
                      <w:highlight w:val="none"/>
                    </w:rPr>
                  </w:pPr>
                  <w:r>
                    <w:rPr>
                      <w:color w:val="auto"/>
                      <w:kern w:val="0"/>
                      <w:szCs w:val="21"/>
                      <w:highlight w:val="none"/>
                      <w:lang w:bidi="ar"/>
                    </w:rPr>
                    <w:t>未检出</w:t>
                  </w:r>
                </w:p>
              </w:tc>
              <w:tc>
                <w:tcPr>
                  <w:tcW w:w="689" w:type="dxa"/>
                  <w:noWrap w:val="0"/>
                  <w:vAlign w:val="center"/>
                </w:tcPr>
                <w:p>
                  <w:pPr>
                    <w:widowControl/>
                    <w:jc w:val="center"/>
                    <w:textAlignment w:val="center"/>
                    <w:rPr>
                      <w:color w:val="auto"/>
                      <w:szCs w:val="21"/>
                      <w:highlight w:val="none"/>
                    </w:rPr>
                  </w:pPr>
                  <w:r>
                    <w:rPr>
                      <w:color w:val="auto"/>
                      <w:kern w:val="0"/>
                      <w:szCs w:val="21"/>
                      <w:highlight w:val="none"/>
                      <w:lang w:bidi="ar"/>
                    </w:rPr>
                    <w:t>/</w:t>
                  </w:r>
                </w:p>
              </w:tc>
              <w:tc>
                <w:tcPr>
                  <w:tcW w:w="699" w:type="dxa"/>
                  <w:noWrap w:val="0"/>
                  <w:vAlign w:val="center"/>
                </w:tcPr>
                <w:p>
                  <w:pPr>
                    <w:widowControl/>
                    <w:jc w:val="center"/>
                    <w:textAlignment w:val="center"/>
                    <w:rPr>
                      <w:color w:val="auto"/>
                      <w:szCs w:val="21"/>
                      <w:highlight w:val="none"/>
                    </w:rPr>
                  </w:pPr>
                  <w:r>
                    <w:rPr>
                      <w:color w:val="auto"/>
                      <w:kern w:val="0"/>
                      <w:szCs w:val="21"/>
                      <w:highlight w:val="none"/>
                      <w:lang w:bidi="ar"/>
                    </w:rPr>
                    <w:t>达标</w:t>
                  </w:r>
                </w:p>
              </w:tc>
              <w:tc>
                <w:tcPr>
                  <w:tcW w:w="742" w:type="dxa"/>
                  <w:noWrap w:val="0"/>
                  <w:vAlign w:val="center"/>
                </w:tcPr>
                <w:p>
                  <w:pPr>
                    <w:widowControl/>
                    <w:jc w:val="center"/>
                    <w:textAlignment w:val="center"/>
                    <w:rPr>
                      <w:color w:val="auto"/>
                      <w:szCs w:val="21"/>
                      <w:highlight w:val="none"/>
                    </w:rPr>
                  </w:pPr>
                  <w:r>
                    <w:rPr>
                      <w:color w:val="auto"/>
                      <w:kern w:val="0"/>
                      <w:szCs w:val="21"/>
                      <w:highlight w:val="none"/>
                      <w:lang w:bidi="ar"/>
                    </w:rPr>
                    <w:t>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5" w:hRule="atLeast"/>
              </w:trPr>
              <w:tc>
                <w:tcPr>
                  <w:tcW w:w="1217" w:type="dxa"/>
                  <w:noWrap w:val="0"/>
                  <w:vAlign w:val="center"/>
                </w:tcPr>
                <w:p>
                  <w:pPr>
                    <w:kinsoku w:val="0"/>
                    <w:overflowPunct w:val="0"/>
                    <w:autoSpaceDE w:val="0"/>
                    <w:autoSpaceDN w:val="0"/>
                    <w:jc w:val="center"/>
                    <w:rPr>
                      <w:color w:val="auto"/>
                      <w:szCs w:val="21"/>
                      <w:highlight w:val="none"/>
                    </w:rPr>
                  </w:pPr>
                  <w:r>
                    <w:rPr>
                      <w:color w:val="auto"/>
                      <w:szCs w:val="21"/>
                      <w:highlight w:val="none"/>
                    </w:rPr>
                    <w:t>顺-1,2-二氯乙烯*（μg/kg）</w:t>
                  </w:r>
                </w:p>
              </w:tc>
              <w:tc>
                <w:tcPr>
                  <w:tcW w:w="792" w:type="dxa"/>
                  <w:noWrap w:val="0"/>
                  <w:vAlign w:val="center"/>
                </w:tcPr>
                <w:p>
                  <w:pPr>
                    <w:widowControl/>
                    <w:jc w:val="center"/>
                    <w:textAlignment w:val="center"/>
                    <w:rPr>
                      <w:color w:val="auto"/>
                      <w:szCs w:val="21"/>
                      <w:highlight w:val="none"/>
                    </w:rPr>
                  </w:pPr>
                  <w:r>
                    <w:rPr>
                      <w:color w:val="auto"/>
                      <w:kern w:val="0"/>
                      <w:szCs w:val="21"/>
                      <w:highlight w:val="none"/>
                      <w:lang w:bidi="ar"/>
                    </w:rPr>
                    <w:t>未检出</w:t>
                  </w:r>
                </w:p>
              </w:tc>
              <w:tc>
                <w:tcPr>
                  <w:tcW w:w="689" w:type="dxa"/>
                  <w:noWrap w:val="0"/>
                  <w:vAlign w:val="center"/>
                </w:tcPr>
                <w:p>
                  <w:pPr>
                    <w:widowControl/>
                    <w:jc w:val="center"/>
                    <w:textAlignment w:val="center"/>
                    <w:rPr>
                      <w:color w:val="auto"/>
                      <w:szCs w:val="21"/>
                      <w:highlight w:val="none"/>
                    </w:rPr>
                  </w:pPr>
                  <w:r>
                    <w:rPr>
                      <w:color w:val="auto"/>
                      <w:kern w:val="0"/>
                      <w:szCs w:val="21"/>
                      <w:highlight w:val="none"/>
                      <w:lang w:bidi="ar"/>
                    </w:rPr>
                    <w:t>/</w:t>
                  </w:r>
                </w:p>
              </w:tc>
              <w:tc>
                <w:tcPr>
                  <w:tcW w:w="741" w:type="dxa"/>
                  <w:noWrap w:val="0"/>
                  <w:vAlign w:val="center"/>
                </w:tcPr>
                <w:p>
                  <w:pPr>
                    <w:widowControl/>
                    <w:jc w:val="center"/>
                    <w:textAlignment w:val="center"/>
                    <w:rPr>
                      <w:color w:val="auto"/>
                      <w:szCs w:val="21"/>
                      <w:highlight w:val="none"/>
                    </w:rPr>
                  </w:pPr>
                  <w:r>
                    <w:rPr>
                      <w:color w:val="auto"/>
                      <w:kern w:val="0"/>
                      <w:szCs w:val="21"/>
                      <w:highlight w:val="none"/>
                      <w:lang w:bidi="ar"/>
                    </w:rPr>
                    <w:t>达标</w:t>
                  </w:r>
                </w:p>
              </w:tc>
              <w:tc>
                <w:tcPr>
                  <w:tcW w:w="787" w:type="dxa"/>
                  <w:noWrap w:val="0"/>
                  <w:vAlign w:val="center"/>
                </w:tcPr>
                <w:p>
                  <w:pPr>
                    <w:widowControl/>
                    <w:jc w:val="center"/>
                    <w:textAlignment w:val="center"/>
                    <w:rPr>
                      <w:color w:val="auto"/>
                      <w:szCs w:val="21"/>
                      <w:highlight w:val="none"/>
                    </w:rPr>
                  </w:pPr>
                  <w:r>
                    <w:rPr>
                      <w:color w:val="auto"/>
                      <w:kern w:val="0"/>
                      <w:szCs w:val="21"/>
                      <w:highlight w:val="none"/>
                      <w:lang w:bidi="ar"/>
                    </w:rPr>
                    <w:t>未检出</w:t>
                  </w:r>
                </w:p>
              </w:tc>
              <w:tc>
                <w:tcPr>
                  <w:tcW w:w="591" w:type="dxa"/>
                  <w:noWrap w:val="0"/>
                  <w:vAlign w:val="center"/>
                </w:tcPr>
                <w:p>
                  <w:pPr>
                    <w:widowControl/>
                    <w:jc w:val="center"/>
                    <w:textAlignment w:val="center"/>
                    <w:rPr>
                      <w:color w:val="auto"/>
                      <w:szCs w:val="21"/>
                      <w:highlight w:val="none"/>
                    </w:rPr>
                  </w:pPr>
                  <w:r>
                    <w:rPr>
                      <w:color w:val="auto"/>
                      <w:kern w:val="0"/>
                      <w:szCs w:val="21"/>
                      <w:highlight w:val="none"/>
                      <w:lang w:bidi="ar"/>
                    </w:rPr>
                    <w:t>/</w:t>
                  </w:r>
                </w:p>
              </w:tc>
              <w:tc>
                <w:tcPr>
                  <w:tcW w:w="697" w:type="dxa"/>
                  <w:noWrap w:val="0"/>
                  <w:vAlign w:val="center"/>
                </w:tcPr>
                <w:p>
                  <w:pPr>
                    <w:widowControl/>
                    <w:jc w:val="center"/>
                    <w:textAlignment w:val="center"/>
                    <w:rPr>
                      <w:color w:val="auto"/>
                      <w:szCs w:val="21"/>
                      <w:highlight w:val="none"/>
                    </w:rPr>
                  </w:pPr>
                  <w:r>
                    <w:rPr>
                      <w:color w:val="auto"/>
                      <w:kern w:val="0"/>
                      <w:szCs w:val="21"/>
                      <w:highlight w:val="none"/>
                      <w:lang w:bidi="ar"/>
                    </w:rPr>
                    <w:t>达标</w:t>
                  </w:r>
                </w:p>
              </w:tc>
              <w:tc>
                <w:tcPr>
                  <w:tcW w:w="689" w:type="dxa"/>
                  <w:noWrap w:val="0"/>
                  <w:vAlign w:val="center"/>
                </w:tcPr>
                <w:p>
                  <w:pPr>
                    <w:widowControl/>
                    <w:jc w:val="center"/>
                    <w:textAlignment w:val="center"/>
                    <w:rPr>
                      <w:color w:val="auto"/>
                      <w:szCs w:val="21"/>
                      <w:highlight w:val="none"/>
                    </w:rPr>
                  </w:pPr>
                  <w:r>
                    <w:rPr>
                      <w:color w:val="auto"/>
                      <w:kern w:val="0"/>
                      <w:szCs w:val="21"/>
                      <w:highlight w:val="none"/>
                      <w:lang w:bidi="ar"/>
                    </w:rPr>
                    <w:t>未检出</w:t>
                  </w:r>
                </w:p>
              </w:tc>
              <w:tc>
                <w:tcPr>
                  <w:tcW w:w="689" w:type="dxa"/>
                  <w:noWrap w:val="0"/>
                  <w:vAlign w:val="center"/>
                </w:tcPr>
                <w:p>
                  <w:pPr>
                    <w:widowControl/>
                    <w:jc w:val="center"/>
                    <w:textAlignment w:val="center"/>
                    <w:rPr>
                      <w:color w:val="auto"/>
                      <w:szCs w:val="21"/>
                      <w:highlight w:val="none"/>
                    </w:rPr>
                  </w:pPr>
                  <w:r>
                    <w:rPr>
                      <w:color w:val="auto"/>
                      <w:kern w:val="0"/>
                      <w:szCs w:val="21"/>
                      <w:highlight w:val="none"/>
                      <w:lang w:bidi="ar"/>
                    </w:rPr>
                    <w:t>/</w:t>
                  </w:r>
                </w:p>
              </w:tc>
              <w:tc>
                <w:tcPr>
                  <w:tcW w:w="699" w:type="dxa"/>
                  <w:noWrap w:val="0"/>
                  <w:vAlign w:val="center"/>
                </w:tcPr>
                <w:p>
                  <w:pPr>
                    <w:widowControl/>
                    <w:jc w:val="center"/>
                    <w:textAlignment w:val="center"/>
                    <w:rPr>
                      <w:color w:val="auto"/>
                      <w:szCs w:val="21"/>
                      <w:highlight w:val="none"/>
                    </w:rPr>
                  </w:pPr>
                  <w:r>
                    <w:rPr>
                      <w:color w:val="auto"/>
                      <w:kern w:val="0"/>
                      <w:szCs w:val="21"/>
                      <w:highlight w:val="none"/>
                      <w:lang w:bidi="ar"/>
                    </w:rPr>
                    <w:t>达标</w:t>
                  </w:r>
                </w:p>
              </w:tc>
              <w:tc>
                <w:tcPr>
                  <w:tcW w:w="742" w:type="dxa"/>
                  <w:noWrap w:val="0"/>
                  <w:vAlign w:val="center"/>
                </w:tcPr>
                <w:p>
                  <w:pPr>
                    <w:widowControl/>
                    <w:jc w:val="center"/>
                    <w:textAlignment w:val="center"/>
                    <w:rPr>
                      <w:color w:val="auto"/>
                      <w:szCs w:val="21"/>
                      <w:highlight w:val="none"/>
                    </w:rPr>
                  </w:pPr>
                  <w:r>
                    <w:rPr>
                      <w:color w:val="auto"/>
                      <w:kern w:val="0"/>
                      <w:szCs w:val="21"/>
                      <w:highlight w:val="none"/>
                      <w:lang w:bidi="ar"/>
                    </w:rPr>
                    <w:t>596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5" w:hRule="atLeast"/>
              </w:trPr>
              <w:tc>
                <w:tcPr>
                  <w:tcW w:w="1217" w:type="dxa"/>
                  <w:noWrap w:val="0"/>
                  <w:vAlign w:val="center"/>
                </w:tcPr>
                <w:p>
                  <w:pPr>
                    <w:kinsoku w:val="0"/>
                    <w:overflowPunct w:val="0"/>
                    <w:autoSpaceDE w:val="0"/>
                    <w:autoSpaceDN w:val="0"/>
                    <w:jc w:val="center"/>
                    <w:rPr>
                      <w:color w:val="auto"/>
                      <w:szCs w:val="21"/>
                      <w:highlight w:val="none"/>
                    </w:rPr>
                  </w:pPr>
                  <w:r>
                    <w:rPr>
                      <w:color w:val="auto"/>
                      <w:szCs w:val="21"/>
                      <w:highlight w:val="none"/>
                    </w:rPr>
                    <w:t>氯仿*（μg/kg）</w:t>
                  </w:r>
                </w:p>
              </w:tc>
              <w:tc>
                <w:tcPr>
                  <w:tcW w:w="792" w:type="dxa"/>
                  <w:noWrap w:val="0"/>
                  <w:vAlign w:val="center"/>
                </w:tcPr>
                <w:p>
                  <w:pPr>
                    <w:widowControl/>
                    <w:jc w:val="center"/>
                    <w:textAlignment w:val="center"/>
                    <w:rPr>
                      <w:color w:val="auto"/>
                      <w:szCs w:val="21"/>
                      <w:highlight w:val="none"/>
                    </w:rPr>
                  </w:pPr>
                  <w:r>
                    <w:rPr>
                      <w:color w:val="auto"/>
                      <w:kern w:val="0"/>
                      <w:szCs w:val="21"/>
                      <w:highlight w:val="none"/>
                      <w:lang w:bidi="ar"/>
                    </w:rPr>
                    <w:t>未检出</w:t>
                  </w:r>
                </w:p>
              </w:tc>
              <w:tc>
                <w:tcPr>
                  <w:tcW w:w="689" w:type="dxa"/>
                  <w:noWrap w:val="0"/>
                  <w:vAlign w:val="center"/>
                </w:tcPr>
                <w:p>
                  <w:pPr>
                    <w:widowControl/>
                    <w:jc w:val="center"/>
                    <w:textAlignment w:val="center"/>
                    <w:rPr>
                      <w:color w:val="auto"/>
                      <w:szCs w:val="21"/>
                      <w:highlight w:val="none"/>
                    </w:rPr>
                  </w:pPr>
                  <w:r>
                    <w:rPr>
                      <w:color w:val="auto"/>
                      <w:kern w:val="0"/>
                      <w:szCs w:val="21"/>
                      <w:highlight w:val="none"/>
                      <w:lang w:bidi="ar"/>
                    </w:rPr>
                    <w:t>/</w:t>
                  </w:r>
                </w:p>
              </w:tc>
              <w:tc>
                <w:tcPr>
                  <w:tcW w:w="741" w:type="dxa"/>
                  <w:noWrap w:val="0"/>
                  <w:vAlign w:val="center"/>
                </w:tcPr>
                <w:p>
                  <w:pPr>
                    <w:widowControl/>
                    <w:jc w:val="center"/>
                    <w:textAlignment w:val="center"/>
                    <w:rPr>
                      <w:color w:val="auto"/>
                      <w:szCs w:val="21"/>
                      <w:highlight w:val="none"/>
                    </w:rPr>
                  </w:pPr>
                  <w:r>
                    <w:rPr>
                      <w:color w:val="auto"/>
                      <w:kern w:val="0"/>
                      <w:szCs w:val="21"/>
                      <w:highlight w:val="none"/>
                      <w:lang w:bidi="ar"/>
                    </w:rPr>
                    <w:t>达标</w:t>
                  </w:r>
                </w:p>
              </w:tc>
              <w:tc>
                <w:tcPr>
                  <w:tcW w:w="787" w:type="dxa"/>
                  <w:noWrap w:val="0"/>
                  <w:vAlign w:val="center"/>
                </w:tcPr>
                <w:p>
                  <w:pPr>
                    <w:widowControl/>
                    <w:jc w:val="center"/>
                    <w:textAlignment w:val="center"/>
                    <w:rPr>
                      <w:color w:val="auto"/>
                      <w:szCs w:val="21"/>
                      <w:highlight w:val="none"/>
                    </w:rPr>
                  </w:pPr>
                  <w:r>
                    <w:rPr>
                      <w:color w:val="auto"/>
                      <w:kern w:val="0"/>
                      <w:szCs w:val="21"/>
                      <w:highlight w:val="none"/>
                      <w:lang w:bidi="ar"/>
                    </w:rPr>
                    <w:t>未检出</w:t>
                  </w:r>
                </w:p>
              </w:tc>
              <w:tc>
                <w:tcPr>
                  <w:tcW w:w="591" w:type="dxa"/>
                  <w:noWrap w:val="0"/>
                  <w:vAlign w:val="center"/>
                </w:tcPr>
                <w:p>
                  <w:pPr>
                    <w:widowControl/>
                    <w:jc w:val="center"/>
                    <w:textAlignment w:val="center"/>
                    <w:rPr>
                      <w:color w:val="auto"/>
                      <w:szCs w:val="21"/>
                      <w:highlight w:val="none"/>
                    </w:rPr>
                  </w:pPr>
                  <w:r>
                    <w:rPr>
                      <w:color w:val="auto"/>
                      <w:kern w:val="0"/>
                      <w:szCs w:val="21"/>
                      <w:highlight w:val="none"/>
                      <w:lang w:bidi="ar"/>
                    </w:rPr>
                    <w:t>/</w:t>
                  </w:r>
                </w:p>
              </w:tc>
              <w:tc>
                <w:tcPr>
                  <w:tcW w:w="697" w:type="dxa"/>
                  <w:noWrap w:val="0"/>
                  <w:vAlign w:val="center"/>
                </w:tcPr>
                <w:p>
                  <w:pPr>
                    <w:widowControl/>
                    <w:jc w:val="center"/>
                    <w:textAlignment w:val="center"/>
                    <w:rPr>
                      <w:color w:val="auto"/>
                      <w:szCs w:val="21"/>
                      <w:highlight w:val="none"/>
                    </w:rPr>
                  </w:pPr>
                  <w:r>
                    <w:rPr>
                      <w:color w:val="auto"/>
                      <w:kern w:val="0"/>
                      <w:szCs w:val="21"/>
                      <w:highlight w:val="none"/>
                      <w:lang w:bidi="ar"/>
                    </w:rPr>
                    <w:t>达标</w:t>
                  </w:r>
                </w:p>
              </w:tc>
              <w:tc>
                <w:tcPr>
                  <w:tcW w:w="689" w:type="dxa"/>
                  <w:noWrap w:val="0"/>
                  <w:vAlign w:val="center"/>
                </w:tcPr>
                <w:p>
                  <w:pPr>
                    <w:widowControl/>
                    <w:jc w:val="center"/>
                    <w:textAlignment w:val="center"/>
                    <w:rPr>
                      <w:color w:val="auto"/>
                      <w:szCs w:val="21"/>
                      <w:highlight w:val="none"/>
                    </w:rPr>
                  </w:pPr>
                  <w:r>
                    <w:rPr>
                      <w:color w:val="auto"/>
                      <w:kern w:val="0"/>
                      <w:szCs w:val="21"/>
                      <w:highlight w:val="none"/>
                      <w:lang w:bidi="ar"/>
                    </w:rPr>
                    <w:t>未检出</w:t>
                  </w:r>
                </w:p>
              </w:tc>
              <w:tc>
                <w:tcPr>
                  <w:tcW w:w="689" w:type="dxa"/>
                  <w:noWrap w:val="0"/>
                  <w:vAlign w:val="center"/>
                </w:tcPr>
                <w:p>
                  <w:pPr>
                    <w:widowControl/>
                    <w:jc w:val="center"/>
                    <w:textAlignment w:val="center"/>
                    <w:rPr>
                      <w:color w:val="auto"/>
                      <w:szCs w:val="21"/>
                      <w:highlight w:val="none"/>
                    </w:rPr>
                  </w:pPr>
                  <w:r>
                    <w:rPr>
                      <w:color w:val="auto"/>
                      <w:kern w:val="0"/>
                      <w:szCs w:val="21"/>
                      <w:highlight w:val="none"/>
                      <w:lang w:bidi="ar"/>
                    </w:rPr>
                    <w:t>/</w:t>
                  </w:r>
                </w:p>
              </w:tc>
              <w:tc>
                <w:tcPr>
                  <w:tcW w:w="699" w:type="dxa"/>
                  <w:noWrap w:val="0"/>
                  <w:vAlign w:val="center"/>
                </w:tcPr>
                <w:p>
                  <w:pPr>
                    <w:widowControl/>
                    <w:jc w:val="center"/>
                    <w:textAlignment w:val="center"/>
                    <w:rPr>
                      <w:color w:val="auto"/>
                      <w:szCs w:val="21"/>
                      <w:highlight w:val="none"/>
                    </w:rPr>
                  </w:pPr>
                  <w:r>
                    <w:rPr>
                      <w:color w:val="auto"/>
                      <w:kern w:val="0"/>
                      <w:szCs w:val="21"/>
                      <w:highlight w:val="none"/>
                      <w:lang w:bidi="ar"/>
                    </w:rPr>
                    <w:t>达标</w:t>
                  </w:r>
                </w:p>
              </w:tc>
              <w:tc>
                <w:tcPr>
                  <w:tcW w:w="742" w:type="dxa"/>
                  <w:noWrap w:val="0"/>
                  <w:vAlign w:val="center"/>
                </w:tcPr>
                <w:p>
                  <w:pPr>
                    <w:widowControl/>
                    <w:jc w:val="center"/>
                    <w:textAlignment w:val="center"/>
                    <w:rPr>
                      <w:color w:val="auto"/>
                      <w:szCs w:val="21"/>
                      <w:highlight w:val="none"/>
                    </w:rPr>
                  </w:pPr>
                  <w:r>
                    <w:rPr>
                      <w:color w:val="auto"/>
                      <w:kern w:val="0"/>
                      <w:szCs w:val="21"/>
                      <w:highlight w:val="none"/>
                      <w:lang w:bidi="ar"/>
                    </w:rPr>
                    <w:t>0.9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5" w:hRule="atLeast"/>
              </w:trPr>
              <w:tc>
                <w:tcPr>
                  <w:tcW w:w="1217" w:type="dxa"/>
                  <w:noWrap w:val="0"/>
                  <w:vAlign w:val="center"/>
                </w:tcPr>
                <w:p>
                  <w:pPr>
                    <w:kinsoku w:val="0"/>
                    <w:overflowPunct w:val="0"/>
                    <w:autoSpaceDE w:val="0"/>
                    <w:autoSpaceDN w:val="0"/>
                    <w:jc w:val="center"/>
                    <w:rPr>
                      <w:color w:val="auto"/>
                      <w:szCs w:val="21"/>
                      <w:highlight w:val="none"/>
                    </w:rPr>
                  </w:pPr>
                  <w:r>
                    <w:rPr>
                      <w:color w:val="auto"/>
                      <w:szCs w:val="21"/>
                      <w:highlight w:val="none"/>
                    </w:rPr>
                    <w:t>1,1,1-三氯乙烷*（μg/kg）</w:t>
                  </w:r>
                </w:p>
              </w:tc>
              <w:tc>
                <w:tcPr>
                  <w:tcW w:w="792" w:type="dxa"/>
                  <w:noWrap w:val="0"/>
                  <w:vAlign w:val="center"/>
                </w:tcPr>
                <w:p>
                  <w:pPr>
                    <w:widowControl/>
                    <w:jc w:val="center"/>
                    <w:textAlignment w:val="center"/>
                    <w:rPr>
                      <w:color w:val="auto"/>
                      <w:szCs w:val="21"/>
                      <w:highlight w:val="none"/>
                    </w:rPr>
                  </w:pPr>
                  <w:r>
                    <w:rPr>
                      <w:color w:val="auto"/>
                      <w:kern w:val="0"/>
                      <w:szCs w:val="21"/>
                      <w:highlight w:val="none"/>
                      <w:lang w:bidi="ar"/>
                    </w:rPr>
                    <w:t>未检出</w:t>
                  </w:r>
                </w:p>
              </w:tc>
              <w:tc>
                <w:tcPr>
                  <w:tcW w:w="689" w:type="dxa"/>
                  <w:noWrap w:val="0"/>
                  <w:vAlign w:val="center"/>
                </w:tcPr>
                <w:p>
                  <w:pPr>
                    <w:widowControl/>
                    <w:jc w:val="center"/>
                    <w:textAlignment w:val="center"/>
                    <w:rPr>
                      <w:color w:val="auto"/>
                      <w:szCs w:val="21"/>
                      <w:highlight w:val="none"/>
                    </w:rPr>
                  </w:pPr>
                  <w:r>
                    <w:rPr>
                      <w:color w:val="auto"/>
                      <w:kern w:val="0"/>
                      <w:szCs w:val="21"/>
                      <w:highlight w:val="none"/>
                      <w:lang w:bidi="ar"/>
                    </w:rPr>
                    <w:t>/</w:t>
                  </w:r>
                </w:p>
              </w:tc>
              <w:tc>
                <w:tcPr>
                  <w:tcW w:w="741" w:type="dxa"/>
                  <w:noWrap w:val="0"/>
                  <w:vAlign w:val="center"/>
                </w:tcPr>
                <w:p>
                  <w:pPr>
                    <w:widowControl/>
                    <w:jc w:val="center"/>
                    <w:textAlignment w:val="center"/>
                    <w:rPr>
                      <w:color w:val="auto"/>
                      <w:szCs w:val="21"/>
                      <w:highlight w:val="none"/>
                    </w:rPr>
                  </w:pPr>
                  <w:r>
                    <w:rPr>
                      <w:color w:val="auto"/>
                      <w:kern w:val="0"/>
                      <w:szCs w:val="21"/>
                      <w:highlight w:val="none"/>
                      <w:lang w:bidi="ar"/>
                    </w:rPr>
                    <w:t>达标</w:t>
                  </w:r>
                </w:p>
              </w:tc>
              <w:tc>
                <w:tcPr>
                  <w:tcW w:w="787" w:type="dxa"/>
                  <w:noWrap w:val="0"/>
                  <w:vAlign w:val="center"/>
                </w:tcPr>
                <w:p>
                  <w:pPr>
                    <w:widowControl/>
                    <w:jc w:val="center"/>
                    <w:textAlignment w:val="center"/>
                    <w:rPr>
                      <w:color w:val="auto"/>
                      <w:szCs w:val="21"/>
                      <w:highlight w:val="none"/>
                    </w:rPr>
                  </w:pPr>
                  <w:r>
                    <w:rPr>
                      <w:color w:val="auto"/>
                      <w:kern w:val="0"/>
                      <w:szCs w:val="21"/>
                      <w:highlight w:val="none"/>
                      <w:lang w:bidi="ar"/>
                    </w:rPr>
                    <w:t>未检出</w:t>
                  </w:r>
                </w:p>
              </w:tc>
              <w:tc>
                <w:tcPr>
                  <w:tcW w:w="591" w:type="dxa"/>
                  <w:noWrap w:val="0"/>
                  <w:vAlign w:val="center"/>
                </w:tcPr>
                <w:p>
                  <w:pPr>
                    <w:widowControl/>
                    <w:jc w:val="center"/>
                    <w:textAlignment w:val="center"/>
                    <w:rPr>
                      <w:color w:val="auto"/>
                      <w:szCs w:val="21"/>
                      <w:highlight w:val="none"/>
                    </w:rPr>
                  </w:pPr>
                  <w:r>
                    <w:rPr>
                      <w:color w:val="auto"/>
                      <w:kern w:val="0"/>
                      <w:szCs w:val="21"/>
                      <w:highlight w:val="none"/>
                      <w:lang w:bidi="ar"/>
                    </w:rPr>
                    <w:t>/</w:t>
                  </w:r>
                </w:p>
              </w:tc>
              <w:tc>
                <w:tcPr>
                  <w:tcW w:w="697" w:type="dxa"/>
                  <w:noWrap w:val="0"/>
                  <w:vAlign w:val="center"/>
                </w:tcPr>
                <w:p>
                  <w:pPr>
                    <w:widowControl/>
                    <w:jc w:val="center"/>
                    <w:textAlignment w:val="center"/>
                    <w:rPr>
                      <w:color w:val="auto"/>
                      <w:szCs w:val="21"/>
                      <w:highlight w:val="none"/>
                    </w:rPr>
                  </w:pPr>
                  <w:r>
                    <w:rPr>
                      <w:color w:val="auto"/>
                      <w:kern w:val="0"/>
                      <w:szCs w:val="21"/>
                      <w:highlight w:val="none"/>
                      <w:lang w:bidi="ar"/>
                    </w:rPr>
                    <w:t>达标</w:t>
                  </w:r>
                </w:p>
              </w:tc>
              <w:tc>
                <w:tcPr>
                  <w:tcW w:w="689" w:type="dxa"/>
                  <w:noWrap w:val="0"/>
                  <w:vAlign w:val="center"/>
                </w:tcPr>
                <w:p>
                  <w:pPr>
                    <w:widowControl/>
                    <w:jc w:val="center"/>
                    <w:textAlignment w:val="center"/>
                    <w:rPr>
                      <w:color w:val="auto"/>
                      <w:szCs w:val="21"/>
                      <w:highlight w:val="none"/>
                    </w:rPr>
                  </w:pPr>
                  <w:r>
                    <w:rPr>
                      <w:color w:val="auto"/>
                      <w:kern w:val="0"/>
                      <w:szCs w:val="21"/>
                      <w:highlight w:val="none"/>
                      <w:lang w:bidi="ar"/>
                    </w:rPr>
                    <w:t>未检出</w:t>
                  </w:r>
                </w:p>
              </w:tc>
              <w:tc>
                <w:tcPr>
                  <w:tcW w:w="689" w:type="dxa"/>
                  <w:noWrap w:val="0"/>
                  <w:vAlign w:val="center"/>
                </w:tcPr>
                <w:p>
                  <w:pPr>
                    <w:widowControl/>
                    <w:jc w:val="center"/>
                    <w:textAlignment w:val="center"/>
                    <w:rPr>
                      <w:color w:val="auto"/>
                      <w:szCs w:val="21"/>
                      <w:highlight w:val="none"/>
                    </w:rPr>
                  </w:pPr>
                  <w:r>
                    <w:rPr>
                      <w:color w:val="auto"/>
                      <w:kern w:val="0"/>
                      <w:szCs w:val="21"/>
                      <w:highlight w:val="none"/>
                      <w:lang w:bidi="ar"/>
                    </w:rPr>
                    <w:t>/</w:t>
                  </w:r>
                </w:p>
              </w:tc>
              <w:tc>
                <w:tcPr>
                  <w:tcW w:w="699" w:type="dxa"/>
                  <w:noWrap w:val="0"/>
                  <w:vAlign w:val="center"/>
                </w:tcPr>
                <w:p>
                  <w:pPr>
                    <w:widowControl/>
                    <w:jc w:val="center"/>
                    <w:textAlignment w:val="center"/>
                    <w:rPr>
                      <w:color w:val="auto"/>
                      <w:szCs w:val="21"/>
                      <w:highlight w:val="none"/>
                    </w:rPr>
                  </w:pPr>
                  <w:r>
                    <w:rPr>
                      <w:color w:val="auto"/>
                      <w:kern w:val="0"/>
                      <w:szCs w:val="21"/>
                      <w:highlight w:val="none"/>
                      <w:lang w:bidi="ar"/>
                    </w:rPr>
                    <w:t>达标</w:t>
                  </w:r>
                </w:p>
              </w:tc>
              <w:tc>
                <w:tcPr>
                  <w:tcW w:w="742" w:type="dxa"/>
                  <w:noWrap w:val="0"/>
                  <w:vAlign w:val="center"/>
                </w:tcPr>
                <w:p>
                  <w:pPr>
                    <w:widowControl/>
                    <w:jc w:val="center"/>
                    <w:textAlignment w:val="center"/>
                    <w:rPr>
                      <w:color w:val="auto"/>
                      <w:szCs w:val="21"/>
                      <w:highlight w:val="none"/>
                    </w:rPr>
                  </w:pPr>
                  <w:r>
                    <w:rPr>
                      <w:color w:val="auto"/>
                      <w:kern w:val="0"/>
                      <w:szCs w:val="21"/>
                      <w:highlight w:val="none"/>
                      <w:lang w:bidi="ar"/>
                    </w:rPr>
                    <w:t>840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5" w:hRule="atLeast"/>
              </w:trPr>
              <w:tc>
                <w:tcPr>
                  <w:tcW w:w="1217" w:type="dxa"/>
                  <w:noWrap w:val="0"/>
                  <w:vAlign w:val="center"/>
                </w:tcPr>
                <w:p>
                  <w:pPr>
                    <w:kinsoku w:val="0"/>
                    <w:overflowPunct w:val="0"/>
                    <w:autoSpaceDE w:val="0"/>
                    <w:autoSpaceDN w:val="0"/>
                    <w:jc w:val="center"/>
                    <w:rPr>
                      <w:color w:val="auto"/>
                      <w:szCs w:val="21"/>
                      <w:highlight w:val="none"/>
                    </w:rPr>
                  </w:pPr>
                  <w:r>
                    <w:rPr>
                      <w:color w:val="auto"/>
                      <w:szCs w:val="21"/>
                      <w:highlight w:val="none"/>
                    </w:rPr>
                    <w:t>四氯化碳*（μg/kg）</w:t>
                  </w:r>
                </w:p>
              </w:tc>
              <w:tc>
                <w:tcPr>
                  <w:tcW w:w="792" w:type="dxa"/>
                  <w:noWrap w:val="0"/>
                  <w:vAlign w:val="center"/>
                </w:tcPr>
                <w:p>
                  <w:pPr>
                    <w:widowControl/>
                    <w:jc w:val="center"/>
                    <w:textAlignment w:val="center"/>
                    <w:rPr>
                      <w:color w:val="auto"/>
                      <w:szCs w:val="21"/>
                      <w:highlight w:val="none"/>
                    </w:rPr>
                  </w:pPr>
                  <w:r>
                    <w:rPr>
                      <w:color w:val="auto"/>
                      <w:kern w:val="0"/>
                      <w:szCs w:val="21"/>
                      <w:highlight w:val="none"/>
                      <w:lang w:bidi="ar"/>
                    </w:rPr>
                    <w:t>未检出</w:t>
                  </w:r>
                </w:p>
              </w:tc>
              <w:tc>
                <w:tcPr>
                  <w:tcW w:w="689" w:type="dxa"/>
                  <w:noWrap w:val="0"/>
                  <w:vAlign w:val="center"/>
                </w:tcPr>
                <w:p>
                  <w:pPr>
                    <w:widowControl/>
                    <w:jc w:val="center"/>
                    <w:textAlignment w:val="center"/>
                    <w:rPr>
                      <w:color w:val="auto"/>
                      <w:szCs w:val="21"/>
                      <w:highlight w:val="none"/>
                    </w:rPr>
                  </w:pPr>
                  <w:r>
                    <w:rPr>
                      <w:color w:val="auto"/>
                      <w:kern w:val="0"/>
                      <w:szCs w:val="21"/>
                      <w:highlight w:val="none"/>
                      <w:lang w:bidi="ar"/>
                    </w:rPr>
                    <w:t>/</w:t>
                  </w:r>
                </w:p>
              </w:tc>
              <w:tc>
                <w:tcPr>
                  <w:tcW w:w="741" w:type="dxa"/>
                  <w:noWrap w:val="0"/>
                  <w:vAlign w:val="center"/>
                </w:tcPr>
                <w:p>
                  <w:pPr>
                    <w:widowControl/>
                    <w:jc w:val="center"/>
                    <w:textAlignment w:val="center"/>
                    <w:rPr>
                      <w:color w:val="auto"/>
                      <w:szCs w:val="21"/>
                      <w:highlight w:val="none"/>
                    </w:rPr>
                  </w:pPr>
                  <w:r>
                    <w:rPr>
                      <w:color w:val="auto"/>
                      <w:kern w:val="0"/>
                      <w:szCs w:val="21"/>
                      <w:highlight w:val="none"/>
                      <w:lang w:bidi="ar"/>
                    </w:rPr>
                    <w:t>达标</w:t>
                  </w:r>
                </w:p>
              </w:tc>
              <w:tc>
                <w:tcPr>
                  <w:tcW w:w="787" w:type="dxa"/>
                  <w:noWrap w:val="0"/>
                  <w:vAlign w:val="center"/>
                </w:tcPr>
                <w:p>
                  <w:pPr>
                    <w:widowControl/>
                    <w:jc w:val="center"/>
                    <w:textAlignment w:val="center"/>
                    <w:rPr>
                      <w:color w:val="auto"/>
                      <w:szCs w:val="21"/>
                      <w:highlight w:val="none"/>
                    </w:rPr>
                  </w:pPr>
                  <w:r>
                    <w:rPr>
                      <w:color w:val="auto"/>
                      <w:kern w:val="0"/>
                      <w:szCs w:val="21"/>
                      <w:highlight w:val="none"/>
                      <w:lang w:bidi="ar"/>
                    </w:rPr>
                    <w:t>未检出</w:t>
                  </w:r>
                </w:p>
              </w:tc>
              <w:tc>
                <w:tcPr>
                  <w:tcW w:w="591" w:type="dxa"/>
                  <w:noWrap w:val="0"/>
                  <w:vAlign w:val="center"/>
                </w:tcPr>
                <w:p>
                  <w:pPr>
                    <w:widowControl/>
                    <w:jc w:val="center"/>
                    <w:textAlignment w:val="center"/>
                    <w:rPr>
                      <w:color w:val="auto"/>
                      <w:szCs w:val="21"/>
                      <w:highlight w:val="none"/>
                    </w:rPr>
                  </w:pPr>
                  <w:r>
                    <w:rPr>
                      <w:color w:val="auto"/>
                      <w:kern w:val="0"/>
                      <w:szCs w:val="21"/>
                      <w:highlight w:val="none"/>
                      <w:lang w:bidi="ar"/>
                    </w:rPr>
                    <w:t>/</w:t>
                  </w:r>
                </w:p>
              </w:tc>
              <w:tc>
                <w:tcPr>
                  <w:tcW w:w="697" w:type="dxa"/>
                  <w:noWrap w:val="0"/>
                  <w:vAlign w:val="center"/>
                </w:tcPr>
                <w:p>
                  <w:pPr>
                    <w:widowControl/>
                    <w:jc w:val="center"/>
                    <w:textAlignment w:val="center"/>
                    <w:rPr>
                      <w:color w:val="auto"/>
                      <w:szCs w:val="21"/>
                      <w:highlight w:val="none"/>
                    </w:rPr>
                  </w:pPr>
                  <w:r>
                    <w:rPr>
                      <w:color w:val="auto"/>
                      <w:kern w:val="0"/>
                      <w:szCs w:val="21"/>
                      <w:highlight w:val="none"/>
                      <w:lang w:bidi="ar"/>
                    </w:rPr>
                    <w:t>达标</w:t>
                  </w:r>
                </w:p>
              </w:tc>
              <w:tc>
                <w:tcPr>
                  <w:tcW w:w="689" w:type="dxa"/>
                  <w:noWrap w:val="0"/>
                  <w:vAlign w:val="center"/>
                </w:tcPr>
                <w:p>
                  <w:pPr>
                    <w:widowControl/>
                    <w:jc w:val="center"/>
                    <w:textAlignment w:val="center"/>
                    <w:rPr>
                      <w:color w:val="auto"/>
                      <w:szCs w:val="21"/>
                      <w:highlight w:val="none"/>
                    </w:rPr>
                  </w:pPr>
                  <w:r>
                    <w:rPr>
                      <w:color w:val="auto"/>
                      <w:kern w:val="0"/>
                      <w:szCs w:val="21"/>
                      <w:highlight w:val="none"/>
                      <w:lang w:bidi="ar"/>
                    </w:rPr>
                    <w:t>未检出</w:t>
                  </w:r>
                </w:p>
              </w:tc>
              <w:tc>
                <w:tcPr>
                  <w:tcW w:w="689" w:type="dxa"/>
                  <w:noWrap w:val="0"/>
                  <w:vAlign w:val="center"/>
                </w:tcPr>
                <w:p>
                  <w:pPr>
                    <w:widowControl/>
                    <w:jc w:val="center"/>
                    <w:textAlignment w:val="center"/>
                    <w:rPr>
                      <w:color w:val="auto"/>
                      <w:szCs w:val="21"/>
                      <w:highlight w:val="none"/>
                    </w:rPr>
                  </w:pPr>
                  <w:r>
                    <w:rPr>
                      <w:color w:val="auto"/>
                      <w:kern w:val="0"/>
                      <w:szCs w:val="21"/>
                      <w:highlight w:val="none"/>
                      <w:lang w:bidi="ar"/>
                    </w:rPr>
                    <w:t>/</w:t>
                  </w:r>
                </w:p>
              </w:tc>
              <w:tc>
                <w:tcPr>
                  <w:tcW w:w="699" w:type="dxa"/>
                  <w:noWrap w:val="0"/>
                  <w:vAlign w:val="center"/>
                </w:tcPr>
                <w:p>
                  <w:pPr>
                    <w:widowControl/>
                    <w:jc w:val="center"/>
                    <w:textAlignment w:val="center"/>
                    <w:rPr>
                      <w:color w:val="auto"/>
                      <w:szCs w:val="21"/>
                      <w:highlight w:val="none"/>
                    </w:rPr>
                  </w:pPr>
                  <w:r>
                    <w:rPr>
                      <w:color w:val="auto"/>
                      <w:kern w:val="0"/>
                      <w:szCs w:val="21"/>
                      <w:highlight w:val="none"/>
                      <w:lang w:bidi="ar"/>
                    </w:rPr>
                    <w:t>达标</w:t>
                  </w:r>
                </w:p>
              </w:tc>
              <w:tc>
                <w:tcPr>
                  <w:tcW w:w="742" w:type="dxa"/>
                  <w:noWrap w:val="0"/>
                  <w:vAlign w:val="center"/>
                </w:tcPr>
                <w:p>
                  <w:pPr>
                    <w:widowControl/>
                    <w:jc w:val="center"/>
                    <w:textAlignment w:val="center"/>
                    <w:rPr>
                      <w:color w:val="auto"/>
                      <w:szCs w:val="21"/>
                      <w:highlight w:val="none"/>
                    </w:rPr>
                  </w:pPr>
                  <w:r>
                    <w:rPr>
                      <w:color w:val="auto"/>
                      <w:kern w:val="0"/>
                      <w:szCs w:val="21"/>
                      <w:highlight w:val="none"/>
                      <w:lang w:bidi="ar"/>
                    </w:rPr>
                    <w:t>2.8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5" w:hRule="atLeast"/>
              </w:trPr>
              <w:tc>
                <w:tcPr>
                  <w:tcW w:w="1217" w:type="dxa"/>
                  <w:noWrap w:val="0"/>
                  <w:vAlign w:val="center"/>
                </w:tcPr>
                <w:p>
                  <w:pPr>
                    <w:kinsoku w:val="0"/>
                    <w:overflowPunct w:val="0"/>
                    <w:autoSpaceDE w:val="0"/>
                    <w:autoSpaceDN w:val="0"/>
                    <w:jc w:val="center"/>
                    <w:rPr>
                      <w:color w:val="auto"/>
                      <w:szCs w:val="21"/>
                      <w:highlight w:val="none"/>
                    </w:rPr>
                  </w:pPr>
                  <w:r>
                    <w:rPr>
                      <w:color w:val="auto"/>
                      <w:szCs w:val="21"/>
                      <w:highlight w:val="none"/>
                    </w:rPr>
                    <w:t>苯*（μg/kg）</w:t>
                  </w:r>
                </w:p>
              </w:tc>
              <w:tc>
                <w:tcPr>
                  <w:tcW w:w="792" w:type="dxa"/>
                  <w:noWrap w:val="0"/>
                  <w:vAlign w:val="center"/>
                </w:tcPr>
                <w:p>
                  <w:pPr>
                    <w:widowControl/>
                    <w:jc w:val="center"/>
                    <w:textAlignment w:val="center"/>
                    <w:rPr>
                      <w:color w:val="auto"/>
                      <w:szCs w:val="21"/>
                      <w:highlight w:val="none"/>
                    </w:rPr>
                  </w:pPr>
                  <w:r>
                    <w:rPr>
                      <w:color w:val="auto"/>
                      <w:kern w:val="0"/>
                      <w:szCs w:val="21"/>
                      <w:highlight w:val="none"/>
                      <w:lang w:bidi="ar"/>
                    </w:rPr>
                    <w:t>未检出</w:t>
                  </w:r>
                </w:p>
              </w:tc>
              <w:tc>
                <w:tcPr>
                  <w:tcW w:w="689" w:type="dxa"/>
                  <w:noWrap w:val="0"/>
                  <w:vAlign w:val="center"/>
                </w:tcPr>
                <w:p>
                  <w:pPr>
                    <w:widowControl/>
                    <w:jc w:val="center"/>
                    <w:textAlignment w:val="center"/>
                    <w:rPr>
                      <w:color w:val="auto"/>
                      <w:szCs w:val="21"/>
                      <w:highlight w:val="none"/>
                    </w:rPr>
                  </w:pPr>
                  <w:r>
                    <w:rPr>
                      <w:color w:val="auto"/>
                      <w:kern w:val="0"/>
                      <w:szCs w:val="21"/>
                      <w:highlight w:val="none"/>
                      <w:lang w:bidi="ar"/>
                    </w:rPr>
                    <w:t>/</w:t>
                  </w:r>
                </w:p>
              </w:tc>
              <w:tc>
                <w:tcPr>
                  <w:tcW w:w="741" w:type="dxa"/>
                  <w:noWrap w:val="0"/>
                  <w:vAlign w:val="center"/>
                </w:tcPr>
                <w:p>
                  <w:pPr>
                    <w:widowControl/>
                    <w:jc w:val="center"/>
                    <w:textAlignment w:val="center"/>
                    <w:rPr>
                      <w:color w:val="auto"/>
                      <w:szCs w:val="21"/>
                      <w:highlight w:val="none"/>
                    </w:rPr>
                  </w:pPr>
                  <w:r>
                    <w:rPr>
                      <w:color w:val="auto"/>
                      <w:kern w:val="0"/>
                      <w:szCs w:val="21"/>
                      <w:highlight w:val="none"/>
                      <w:lang w:bidi="ar"/>
                    </w:rPr>
                    <w:t>达标</w:t>
                  </w:r>
                </w:p>
              </w:tc>
              <w:tc>
                <w:tcPr>
                  <w:tcW w:w="787" w:type="dxa"/>
                  <w:noWrap w:val="0"/>
                  <w:vAlign w:val="center"/>
                </w:tcPr>
                <w:p>
                  <w:pPr>
                    <w:widowControl/>
                    <w:jc w:val="center"/>
                    <w:textAlignment w:val="center"/>
                    <w:rPr>
                      <w:color w:val="auto"/>
                      <w:szCs w:val="21"/>
                      <w:highlight w:val="none"/>
                    </w:rPr>
                  </w:pPr>
                  <w:r>
                    <w:rPr>
                      <w:color w:val="auto"/>
                      <w:kern w:val="0"/>
                      <w:szCs w:val="21"/>
                      <w:highlight w:val="none"/>
                      <w:lang w:bidi="ar"/>
                    </w:rPr>
                    <w:t>未检出</w:t>
                  </w:r>
                </w:p>
              </w:tc>
              <w:tc>
                <w:tcPr>
                  <w:tcW w:w="591" w:type="dxa"/>
                  <w:noWrap w:val="0"/>
                  <w:vAlign w:val="center"/>
                </w:tcPr>
                <w:p>
                  <w:pPr>
                    <w:widowControl/>
                    <w:jc w:val="center"/>
                    <w:textAlignment w:val="center"/>
                    <w:rPr>
                      <w:color w:val="auto"/>
                      <w:szCs w:val="21"/>
                      <w:highlight w:val="none"/>
                    </w:rPr>
                  </w:pPr>
                  <w:r>
                    <w:rPr>
                      <w:color w:val="auto"/>
                      <w:kern w:val="0"/>
                      <w:szCs w:val="21"/>
                      <w:highlight w:val="none"/>
                      <w:lang w:bidi="ar"/>
                    </w:rPr>
                    <w:t>/</w:t>
                  </w:r>
                </w:p>
              </w:tc>
              <w:tc>
                <w:tcPr>
                  <w:tcW w:w="697" w:type="dxa"/>
                  <w:noWrap w:val="0"/>
                  <w:vAlign w:val="center"/>
                </w:tcPr>
                <w:p>
                  <w:pPr>
                    <w:widowControl/>
                    <w:jc w:val="center"/>
                    <w:textAlignment w:val="center"/>
                    <w:rPr>
                      <w:color w:val="auto"/>
                      <w:szCs w:val="21"/>
                      <w:highlight w:val="none"/>
                    </w:rPr>
                  </w:pPr>
                  <w:r>
                    <w:rPr>
                      <w:color w:val="auto"/>
                      <w:kern w:val="0"/>
                      <w:szCs w:val="21"/>
                      <w:highlight w:val="none"/>
                      <w:lang w:bidi="ar"/>
                    </w:rPr>
                    <w:t>达标</w:t>
                  </w:r>
                </w:p>
              </w:tc>
              <w:tc>
                <w:tcPr>
                  <w:tcW w:w="689" w:type="dxa"/>
                  <w:noWrap w:val="0"/>
                  <w:vAlign w:val="center"/>
                </w:tcPr>
                <w:p>
                  <w:pPr>
                    <w:widowControl/>
                    <w:jc w:val="center"/>
                    <w:textAlignment w:val="center"/>
                    <w:rPr>
                      <w:color w:val="auto"/>
                      <w:szCs w:val="21"/>
                      <w:highlight w:val="none"/>
                    </w:rPr>
                  </w:pPr>
                  <w:r>
                    <w:rPr>
                      <w:color w:val="auto"/>
                      <w:kern w:val="0"/>
                      <w:szCs w:val="21"/>
                      <w:highlight w:val="none"/>
                      <w:lang w:bidi="ar"/>
                    </w:rPr>
                    <w:t>未检出</w:t>
                  </w:r>
                </w:p>
              </w:tc>
              <w:tc>
                <w:tcPr>
                  <w:tcW w:w="689" w:type="dxa"/>
                  <w:noWrap w:val="0"/>
                  <w:vAlign w:val="center"/>
                </w:tcPr>
                <w:p>
                  <w:pPr>
                    <w:widowControl/>
                    <w:jc w:val="center"/>
                    <w:textAlignment w:val="center"/>
                    <w:rPr>
                      <w:color w:val="auto"/>
                      <w:szCs w:val="21"/>
                      <w:highlight w:val="none"/>
                    </w:rPr>
                  </w:pPr>
                  <w:r>
                    <w:rPr>
                      <w:color w:val="auto"/>
                      <w:kern w:val="0"/>
                      <w:szCs w:val="21"/>
                      <w:highlight w:val="none"/>
                      <w:lang w:bidi="ar"/>
                    </w:rPr>
                    <w:t>/</w:t>
                  </w:r>
                </w:p>
              </w:tc>
              <w:tc>
                <w:tcPr>
                  <w:tcW w:w="699" w:type="dxa"/>
                  <w:noWrap w:val="0"/>
                  <w:vAlign w:val="center"/>
                </w:tcPr>
                <w:p>
                  <w:pPr>
                    <w:widowControl/>
                    <w:jc w:val="center"/>
                    <w:textAlignment w:val="center"/>
                    <w:rPr>
                      <w:color w:val="auto"/>
                      <w:szCs w:val="21"/>
                      <w:highlight w:val="none"/>
                    </w:rPr>
                  </w:pPr>
                  <w:r>
                    <w:rPr>
                      <w:color w:val="auto"/>
                      <w:kern w:val="0"/>
                      <w:szCs w:val="21"/>
                      <w:highlight w:val="none"/>
                      <w:lang w:bidi="ar"/>
                    </w:rPr>
                    <w:t>达标</w:t>
                  </w:r>
                </w:p>
              </w:tc>
              <w:tc>
                <w:tcPr>
                  <w:tcW w:w="742" w:type="dxa"/>
                  <w:noWrap w:val="0"/>
                  <w:vAlign w:val="center"/>
                </w:tcPr>
                <w:p>
                  <w:pPr>
                    <w:widowControl/>
                    <w:jc w:val="center"/>
                    <w:textAlignment w:val="center"/>
                    <w:rPr>
                      <w:color w:val="auto"/>
                      <w:szCs w:val="21"/>
                      <w:highlight w:val="none"/>
                    </w:rPr>
                  </w:pPr>
                  <w:r>
                    <w:rPr>
                      <w:color w:val="auto"/>
                      <w:kern w:val="0"/>
                      <w:szCs w:val="21"/>
                      <w:highlight w:val="none"/>
                      <w:lang w:bidi="ar"/>
                    </w:rPr>
                    <w:t>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4" w:hRule="atLeast"/>
              </w:trPr>
              <w:tc>
                <w:tcPr>
                  <w:tcW w:w="1217" w:type="dxa"/>
                  <w:noWrap w:val="0"/>
                  <w:vAlign w:val="center"/>
                </w:tcPr>
                <w:p>
                  <w:pPr>
                    <w:kinsoku w:val="0"/>
                    <w:overflowPunct w:val="0"/>
                    <w:autoSpaceDE w:val="0"/>
                    <w:autoSpaceDN w:val="0"/>
                    <w:jc w:val="center"/>
                    <w:rPr>
                      <w:color w:val="auto"/>
                      <w:szCs w:val="21"/>
                      <w:highlight w:val="none"/>
                    </w:rPr>
                  </w:pPr>
                  <w:r>
                    <w:rPr>
                      <w:color w:val="auto"/>
                      <w:szCs w:val="21"/>
                      <w:highlight w:val="none"/>
                    </w:rPr>
                    <w:t>1,2-二氯乙烷*（μg/kg）</w:t>
                  </w:r>
                </w:p>
              </w:tc>
              <w:tc>
                <w:tcPr>
                  <w:tcW w:w="792" w:type="dxa"/>
                  <w:noWrap w:val="0"/>
                  <w:vAlign w:val="center"/>
                </w:tcPr>
                <w:p>
                  <w:pPr>
                    <w:widowControl/>
                    <w:jc w:val="center"/>
                    <w:textAlignment w:val="center"/>
                    <w:rPr>
                      <w:color w:val="auto"/>
                      <w:szCs w:val="21"/>
                      <w:highlight w:val="none"/>
                    </w:rPr>
                  </w:pPr>
                  <w:r>
                    <w:rPr>
                      <w:color w:val="auto"/>
                      <w:kern w:val="0"/>
                      <w:szCs w:val="21"/>
                      <w:highlight w:val="none"/>
                      <w:lang w:bidi="ar"/>
                    </w:rPr>
                    <w:t>未检出</w:t>
                  </w:r>
                </w:p>
              </w:tc>
              <w:tc>
                <w:tcPr>
                  <w:tcW w:w="689" w:type="dxa"/>
                  <w:noWrap w:val="0"/>
                  <w:vAlign w:val="center"/>
                </w:tcPr>
                <w:p>
                  <w:pPr>
                    <w:widowControl/>
                    <w:jc w:val="center"/>
                    <w:textAlignment w:val="center"/>
                    <w:rPr>
                      <w:color w:val="auto"/>
                      <w:szCs w:val="21"/>
                      <w:highlight w:val="none"/>
                    </w:rPr>
                  </w:pPr>
                  <w:r>
                    <w:rPr>
                      <w:color w:val="auto"/>
                      <w:kern w:val="0"/>
                      <w:szCs w:val="21"/>
                      <w:highlight w:val="none"/>
                      <w:lang w:bidi="ar"/>
                    </w:rPr>
                    <w:t>/</w:t>
                  </w:r>
                </w:p>
              </w:tc>
              <w:tc>
                <w:tcPr>
                  <w:tcW w:w="741" w:type="dxa"/>
                  <w:noWrap w:val="0"/>
                  <w:vAlign w:val="center"/>
                </w:tcPr>
                <w:p>
                  <w:pPr>
                    <w:widowControl/>
                    <w:jc w:val="center"/>
                    <w:textAlignment w:val="center"/>
                    <w:rPr>
                      <w:color w:val="auto"/>
                      <w:szCs w:val="21"/>
                      <w:highlight w:val="none"/>
                    </w:rPr>
                  </w:pPr>
                  <w:r>
                    <w:rPr>
                      <w:color w:val="auto"/>
                      <w:kern w:val="0"/>
                      <w:szCs w:val="21"/>
                      <w:highlight w:val="none"/>
                      <w:lang w:bidi="ar"/>
                    </w:rPr>
                    <w:t>达标</w:t>
                  </w:r>
                </w:p>
              </w:tc>
              <w:tc>
                <w:tcPr>
                  <w:tcW w:w="787" w:type="dxa"/>
                  <w:noWrap w:val="0"/>
                  <w:vAlign w:val="center"/>
                </w:tcPr>
                <w:p>
                  <w:pPr>
                    <w:widowControl/>
                    <w:jc w:val="center"/>
                    <w:textAlignment w:val="center"/>
                    <w:rPr>
                      <w:color w:val="auto"/>
                      <w:szCs w:val="21"/>
                      <w:highlight w:val="none"/>
                    </w:rPr>
                  </w:pPr>
                  <w:r>
                    <w:rPr>
                      <w:color w:val="auto"/>
                      <w:kern w:val="0"/>
                      <w:szCs w:val="21"/>
                      <w:highlight w:val="none"/>
                      <w:lang w:bidi="ar"/>
                    </w:rPr>
                    <w:t>未检出</w:t>
                  </w:r>
                </w:p>
              </w:tc>
              <w:tc>
                <w:tcPr>
                  <w:tcW w:w="591" w:type="dxa"/>
                  <w:noWrap w:val="0"/>
                  <w:vAlign w:val="center"/>
                </w:tcPr>
                <w:p>
                  <w:pPr>
                    <w:widowControl/>
                    <w:jc w:val="center"/>
                    <w:textAlignment w:val="center"/>
                    <w:rPr>
                      <w:color w:val="auto"/>
                      <w:szCs w:val="21"/>
                      <w:highlight w:val="none"/>
                    </w:rPr>
                  </w:pPr>
                  <w:r>
                    <w:rPr>
                      <w:color w:val="auto"/>
                      <w:kern w:val="0"/>
                      <w:szCs w:val="21"/>
                      <w:highlight w:val="none"/>
                      <w:lang w:bidi="ar"/>
                    </w:rPr>
                    <w:t>/</w:t>
                  </w:r>
                </w:p>
              </w:tc>
              <w:tc>
                <w:tcPr>
                  <w:tcW w:w="697" w:type="dxa"/>
                  <w:noWrap w:val="0"/>
                  <w:vAlign w:val="center"/>
                </w:tcPr>
                <w:p>
                  <w:pPr>
                    <w:widowControl/>
                    <w:jc w:val="center"/>
                    <w:textAlignment w:val="center"/>
                    <w:rPr>
                      <w:color w:val="auto"/>
                      <w:szCs w:val="21"/>
                      <w:highlight w:val="none"/>
                    </w:rPr>
                  </w:pPr>
                  <w:r>
                    <w:rPr>
                      <w:color w:val="auto"/>
                      <w:kern w:val="0"/>
                      <w:szCs w:val="21"/>
                      <w:highlight w:val="none"/>
                      <w:lang w:bidi="ar"/>
                    </w:rPr>
                    <w:t>达标</w:t>
                  </w:r>
                </w:p>
              </w:tc>
              <w:tc>
                <w:tcPr>
                  <w:tcW w:w="689" w:type="dxa"/>
                  <w:noWrap w:val="0"/>
                  <w:vAlign w:val="center"/>
                </w:tcPr>
                <w:p>
                  <w:pPr>
                    <w:widowControl/>
                    <w:jc w:val="center"/>
                    <w:textAlignment w:val="center"/>
                    <w:rPr>
                      <w:color w:val="auto"/>
                      <w:szCs w:val="21"/>
                      <w:highlight w:val="none"/>
                    </w:rPr>
                  </w:pPr>
                  <w:r>
                    <w:rPr>
                      <w:color w:val="auto"/>
                      <w:kern w:val="0"/>
                      <w:szCs w:val="21"/>
                      <w:highlight w:val="none"/>
                      <w:lang w:bidi="ar"/>
                    </w:rPr>
                    <w:t>未检出</w:t>
                  </w:r>
                </w:p>
              </w:tc>
              <w:tc>
                <w:tcPr>
                  <w:tcW w:w="689" w:type="dxa"/>
                  <w:noWrap w:val="0"/>
                  <w:vAlign w:val="center"/>
                </w:tcPr>
                <w:p>
                  <w:pPr>
                    <w:widowControl/>
                    <w:jc w:val="center"/>
                    <w:textAlignment w:val="center"/>
                    <w:rPr>
                      <w:color w:val="auto"/>
                      <w:szCs w:val="21"/>
                      <w:highlight w:val="none"/>
                    </w:rPr>
                  </w:pPr>
                  <w:r>
                    <w:rPr>
                      <w:color w:val="auto"/>
                      <w:kern w:val="0"/>
                      <w:szCs w:val="21"/>
                      <w:highlight w:val="none"/>
                      <w:lang w:bidi="ar"/>
                    </w:rPr>
                    <w:t>/</w:t>
                  </w:r>
                </w:p>
              </w:tc>
              <w:tc>
                <w:tcPr>
                  <w:tcW w:w="699" w:type="dxa"/>
                  <w:noWrap w:val="0"/>
                  <w:vAlign w:val="center"/>
                </w:tcPr>
                <w:p>
                  <w:pPr>
                    <w:widowControl/>
                    <w:jc w:val="center"/>
                    <w:textAlignment w:val="center"/>
                    <w:rPr>
                      <w:color w:val="auto"/>
                      <w:szCs w:val="21"/>
                      <w:highlight w:val="none"/>
                    </w:rPr>
                  </w:pPr>
                  <w:r>
                    <w:rPr>
                      <w:color w:val="auto"/>
                      <w:kern w:val="0"/>
                      <w:szCs w:val="21"/>
                      <w:highlight w:val="none"/>
                      <w:lang w:bidi="ar"/>
                    </w:rPr>
                    <w:t>达标</w:t>
                  </w:r>
                </w:p>
              </w:tc>
              <w:tc>
                <w:tcPr>
                  <w:tcW w:w="742" w:type="dxa"/>
                  <w:noWrap w:val="0"/>
                  <w:vAlign w:val="center"/>
                </w:tcPr>
                <w:p>
                  <w:pPr>
                    <w:widowControl/>
                    <w:jc w:val="center"/>
                    <w:textAlignment w:val="center"/>
                    <w:rPr>
                      <w:color w:val="auto"/>
                      <w:szCs w:val="21"/>
                      <w:highlight w:val="none"/>
                    </w:rPr>
                  </w:pPr>
                  <w:r>
                    <w:rPr>
                      <w:color w:val="auto"/>
                      <w:kern w:val="0"/>
                      <w:szCs w:val="21"/>
                      <w:highlight w:val="none"/>
                      <w:lang w:bidi="ar"/>
                    </w:rPr>
                    <w:t>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4" w:hRule="atLeast"/>
              </w:trPr>
              <w:tc>
                <w:tcPr>
                  <w:tcW w:w="1217" w:type="dxa"/>
                  <w:noWrap w:val="0"/>
                  <w:vAlign w:val="center"/>
                </w:tcPr>
                <w:p>
                  <w:pPr>
                    <w:kinsoku w:val="0"/>
                    <w:overflowPunct w:val="0"/>
                    <w:autoSpaceDE w:val="0"/>
                    <w:autoSpaceDN w:val="0"/>
                    <w:jc w:val="center"/>
                    <w:rPr>
                      <w:color w:val="auto"/>
                      <w:szCs w:val="21"/>
                      <w:highlight w:val="none"/>
                    </w:rPr>
                  </w:pPr>
                  <w:r>
                    <w:rPr>
                      <w:color w:val="auto"/>
                      <w:szCs w:val="21"/>
                      <w:highlight w:val="none"/>
                    </w:rPr>
                    <w:t>三氯乙烯*（μg/kg）</w:t>
                  </w:r>
                </w:p>
              </w:tc>
              <w:tc>
                <w:tcPr>
                  <w:tcW w:w="792" w:type="dxa"/>
                  <w:noWrap w:val="0"/>
                  <w:vAlign w:val="center"/>
                </w:tcPr>
                <w:p>
                  <w:pPr>
                    <w:widowControl/>
                    <w:jc w:val="center"/>
                    <w:textAlignment w:val="center"/>
                    <w:rPr>
                      <w:color w:val="auto"/>
                      <w:szCs w:val="21"/>
                      <w:highlight w:val="none"/>
                    </w:rPr>
                  </w:pPr>
                  <w:r>
                    <w:rPr>
                      <w:color w:val="auto"/>
                      <w:kern w:val="0"/>
                      <w:szCs w:val="21"/>
                      <w:highlight w:val="none"/>
                      <w:lang w:bidi="ar"/>
                    </w:rPr>
                    <w:t>未检出</w:t>
                  </w:r>
                </w:p>
              </w:tc>
              <w:tc>
                <w:tcPr>
                  <w:tcW w:w="689" w:type="dxa"/>
                  <w:noWrap w:val="0"/>
                  <w:vAlign w:val="center"/>
                </w:tcPr>
                <w:p>
                  <w:pPr>
                    <w:widowControl/>
                    <w:jc w:val="center"/>
                    <w:textAlignment w:val="center"/>
                    <w:rPr>
                      <w:color w:val="auto"/>
                      <w:szCs w:val="21"/>
                      <w:highlight w:val="none"/>
                    </w:rPr>
                  </w:pPr>
                  <w:r>
                    <w:rPr>
                      <w:color w:val="auto"/>
                      <w:kern w:val="0"/>
                      <w:szCs w:val="21"/>
                      <w:highlight w:val="none"/>
                      <w:lang w:bidi="ar"/>
                    </w:rPr>
                    <w:t>/</w:t>
                  </w:r>
                </w:p>
              </w:tc>
              <w:tc>
                <w:tcPr>
                  <w:tcW w:w="741" w:type="dxa"/>
                  <w:noWrap w:val="0"/>
                  <w:vAlign w:val="center"/>
                </w:tcPr>
                <w:p>
                  <w:pPr>
                    <w:widowControl/>
                    <w:jc w:val="center"/>
                    <w:textAlignment w:val="center"/>
                    <w:rPr>
                      <w:color w:val="auto"/>
                      <w:szCs w:val="21"/>
                      <w:highlight w:val="none"/>
                    </w:rPr>
                  </w:pPr>
                  <w:r>
                    <w:rPr>
                      <w:color w:val="auto"/>
                      <w:kern w:val="0"/>
                      <w:szCs w:val="21"/>
                      <w:highlight w:val="none"/>
                      <w:lang w:bidi="ar"/>
                    </w:rPr>
                    <w:t>达标</w:t>
                  </w:r>
                </w:p>
              </w:tc>
              <w:tc>
                <w:tcPr>
                  <w:tcW w:w="787" w:type="dxa"/>
                  <w:noWrap w:val="0"/>
                  <w:vAlign w:val="center"/>
                </w:tcPr>
                <w:p>
                  <w:pPr>
                    <w:widowControl/>
                    <w:jc w:val="center"/>
                    <w:textAlignment w:val="center"/>
                    <w:rPr>
                      <w:color w:val="auto"/>
                      <w:szCs w:val="21"/>
                      <w:highlight w:val="none"/>
                    </w:rPr>
                  </w:pPr>
                  <w:r>
                    <w:rPr>
                      <w:color w:val="auto"/>
                      <w:kern w:val="0"/>
                      <w:szCs w:val="21"/>
                      <w:highlight w:val="none"/>
                      <w:lang w:bidi="ar"/>
                    </w:rPr>
                    <w:t>未检出</w:t>
                  </w:r>
                </w:p>
              </w:tc>
              <w:tc>
                <w:tcPr>
                  <w:tcW w:w="591" w:type="dxa"/>
                  <w:noWrap w:val="0"/>
                  <w:vAlign w:val="center"/>
                </w:tcPr>
                <w:p>
                  <w:pPr>
                    <w:widowControl/>
                    <w:jc w:val="center"/>
                    <w:textAlignment w:val="center"/>
                    <w:rPr>
                      <w:color w:val="auto"/>
                      <w:szCs w:val="21"/>
                      <w:highlight w:val="none"/>
                    </w:rPr>
                  </w:pPr>
                  <w:r>
                    <w:rPr>
                      <w:color w:val="auto"/>
                      <w:kern w:val="0"/>
                      <w:szCs w:val="21"/>
                      <w:highlight w:val="none"/>
                      <w:lang w:bidi="ar"/>
                    </w:rPr>
                    <w:t>/</w:t>
                  </w:r>
                </w:p>
              </w:tc>
              <w:tc>
                <w:tcPr>
                  <w:tcW w:w="697" w:type="dxa"/>
                  <w:noWrap w:val="0"/>
                  <w:vAlign w:val="center"/>
                </w:tcPr>
                <w:p>
                  <w:pPr>
                    <w:widowControl/>
                    <w:jc w:val="center"/>
                    <w:textAlignment w:val="center"/>
                    <w:rPr>
                      <w:color w:val="auto"/>
                      <w:szCs w:val="21"/>
                      <w:highlight w:val="none"/>
                    </w:rPr>
                  </w:pPr>
                  <w:r>
                    <w:rPr>
                      <w:color w:val="auto"/>
                      <w:kern w:val="0"/>
                      <w:szCs w:val="21"/>
                      <w:highlight w:val="none"/>
                      <w:lang w:bidi="ar"/>
                    </w:rPr>
                    <w:t>达标</w:t>
                  </w:r>
                </w:p>
              </w:tc>
              <w:tc>
                <w:tcPr>
                  <w:tcW w:w="689" w:type="dxa"/>
                  <w:noWrap w:val="0"/>
                  <w:vAlign w:val="center"/>
                </w:tcPr>
                <w:p>
                  <w:pPr>
                    <w:widowControl/>
                    <w:jc w:val="center"/>
                    <w:textAlignment w:val="center"/>
                    <w:rPr>
                      <w:color w:val="auto"/>
                      <w:szCs w:val="21"/>
                      <w:highlight w:val="none"/>
                    </w:rPr>
                  </w:pPr>
                  <w:r>
                    <w:rPr>
                      <w:color w:val="auto"/>
                      <w:kern w:val="0"/>
                      <w:szCs w:val="21"/>
                      <w:highlight w:val="none"/>
                      <w:lang w:bidi="ar"/>
                    </w:rPr>
                    <w:t>未检出</w:t>
                  </w:r>
                </w:p>
              </w:tc>
              <w:tc>
                <w:tcPr>
                  <w:tcW w:w="689" w:type="dxa"/>
                  <w:noWrap w:val="0"/>
                  <w:vAlign w:val="center"/>
                </w:tcPr>
                <w:p>
                  <w:pPr>
                    <w:widowControl/>
                    <w:jc w:val="center"/>
                    <w:textAlignment w:val="center"/>
                    <w:rPr>
                      <w:color w:val="auto"/>
                      <w:szCs w:val="21"/>
                      <w:highlight w:val="none"/>
                    </w:rPr>
                  </w:pPr>
                  <w:r>
                    <w:rPr>
                      <w:color w:val="auto"/>
                      <w:kern w:val="0"/>
                      <w:szCs w:val="21"/>
                      <w:highlight w:val="none"/>
                      <w:lang w:bidi="ar"/>
                    </w:rPr>
                    <w:t>/</w:t>
                  </w:r>
                </w:p>
              </w:tc>
              <w:tc>
                <w:tcPr>
                  <w:tcW w:w="699" w:type="dxa"/>
                  <w:noWrap w:val="0"/>
                  <w:vAlign w:val="center"/>
                </w:tcPr>
                <w:p>
                  <w:pPr>
                    <w:widowControl/>
                    <w:jc w:val="center"/>
                    <w:textAlignment w:val="center"/>
                    <w:rPr>
                      <w:color w:val="auto"/>
                      <w:szCs w:val="21"/>
                      <w:highlight w:val="none"/>
                    </w:rPr>
                  </w:pPr>
                  <w:r>
                    <w:rPr>
                      <w:color w:val="auto"/>
                      <w:kern w:val="0"/>
                      <w:szCs w:val="21"/>
                      <w:highlight w:val="none"/>
                      <w:lang w:bidi="ar"/>
                    </w:rPr>
                    <w:t>达标</w:t>
                  </w:r>
                </w:p>
              </w:tc>
              <w:tc>
                <w:tcPr>
                  <w:tcW w:w="742" w:type="dxa"/>
                  <w:noWrap w:val="0"/>
                  <w:vAlign w:val="center"/>
                </w:tcPr>
                <w:p>
                  <w:pPr>
                    <w:widowControl/>
                    <w:jc w:val="center"/>
                    <w:textAlignment w:val="center"/>
                    <w:rPr>
                      <w:color w:val="auto"/>
                      <w:szCs w:val="21"/>
                      <w:highlight w:val="none"/>
                    </w:rPr>
                  </w:pPr>
                  <w:r>
                    <w:rPr>
                      <w:color w:val="auto"/>
                      <w:kern w:val="0"/>
                      <w:szCs w:val="21"/>
                      <w:highlight w:val="none"/>
                      <w:lang w:bidi="ar"/>
                    </w:rPr>
                    <w:t>2.8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4" w:hRule="atLeast"/>
              </w:trPr>
              <w:tc>
                <w:tcPr>
                  <w:tcW w:w="1217" w:type="dxa"/>
                  <w:noWrap w:val="0"/>
                  <w:vAlign w:val="center"/>
                </w:tcPr>
                <w:p>
                  <w:pPr>
                    <w:kinsoku w:val="0"/>
                    <w:overflowPunct w:val="0"/>
                    <w:autoSpaceDE w:val="0"/>
                    <w:autoSpaceDN w:val="0"/>
                    <w:jc w:val="center"/>
                    <w:rPr>
                      <w:color w:val="auto"/>
                      <w:szCs w:val="21"/>
                      <w:highlight w:val="none"/>
                    </w:rPr>
                  </w:pPr>
                  <w:r>
                    <w:rPr>
                      <w:color w:val="auto"/>
                      <w:szCs w:val="21"/>
                      <w:highlight w:val="none"/>
                    </w:rPr>
                    <w:t>1,2-二氯丙烷*（μg/kg）</w:t>
                  </w:r>
                </w:p>
              </w:tc>
              <w:tc>
                <w:tcPr>
                  <w:tcW w:w="792" w:type="dxa"/>
                  <w:noWrap w:val="0"/>
                  <w:vAlign w:val="center"/>
                </w:tcPr>
                <w:p>
                  <w:pPr>
                    <w:widowControl/>
                    <w:jc w:val="center"/>
                    <w:textAlignment w:val="center"/>
                    <w:rPr>
                      <w:color w:val="auto"/>
                      <w:szCs w:val="21"/>
                      <w:highlight w:val="none"/>
                    </w:rPr>
                  </w:pPr>
                  <w:r>
                    <w:rPr>
                      <w:color w:val="auto"/>
                      <w:kern w:val="0"/>
                      <w:szCs w:val="21"/>
                      <w:highlight w:val="none"/>
                      <w:lang w:bidi="ar"/>
                    </w:rPr>
                    <w:t>未检出</w:t>
                  </w:r>
                </w:p>
              </w:tc>
              <w:tc>
                <w:tcPr>
                  <w:tcW w:w="689" w:type="dxa"/>
                  <w:noWrap w:val="0"/>
                  <w:vAlign w:val="center"/>
                </w:tcPr>
                <w:p>
                  <w:pPr>
                    <w:widowControl/>
                    <w:jc w:val="center"/>
                    <w:textAlignment w:val="center"/>
                    <w:rPr>
                      <w:color w:val="auto"/>
                      <w:szCs w:val="21"/>
                      <w:highlight w:val="none"/>
                    </w:rPr>
                  </w:pPr>
                  <w:r>
                    <w:rPr>
                      <w:color w:val="auto"/>
                      <w:kern w:val="0"/>
                      <w:szCs w:val="21"/>
                      <w:highlight w:val="none"/>
                      <w:lang w:bidi="ar"/>
                    </w:rPr>
                    <w:t>/</w:t>
                  </w:r>
                </w:p>
              </w:tc>
              <w:tc>
                <w:tcPr>
                  <w:tcW w:w="741" w:type="dxa"/>
                  <w:noWrap w:val="0"/>
                  <w:vAlign w:val="center"/>
                </w:tcPr>
                <w:p>
                  <w:pPr>
                    <w:widowControl/>
                    <w:jc w:val="center"/>
                    <w:textAlignment w:val="center"/>
                    <w:rPr>
                      <w:color w:val="auto"/>
                      <w:szCs w:val="21"/>
                      <w:highlight w:val="none"/>
                    </w:rPr>
                  </w:pPr>
                  <w:r>
                    <w:rPr>
                      <w:color w:val="auto"/>
                      <w:kern w:val="0"/>
                      <w:szCs w:val="21"/>
                      <w:highlight w:val="none"/>
                      <w:lang w:bidi="ar"/>
                    </w:rPr>
                    <w:t>达标</w:t>
                  </w:r>
                </w:p>
              </w:tc>
              <w:tc>
                <w:tcPr>
                  <w:tcW w:w="787" w:type="dxa"/>
                  <w:noWrap w:val="0"/>
                  <w:vAlign w:val="center"/>
                </w:tcPr>
                <w:p>
                  <w:pPr>
                    <w:widowControl/>
                    <w:jc w:val="center"/>
                    <w:textAlignment w:val="center"/>
                    <w:rPr>
                      <w:color w:val="auto"/>
                      <w:szCs w:val="21"/>
                      <w:highlight w:val="none"/>
                    </w:rPr>
                  </w:pPr>
                  <w:r>
                    <w:rPr>
                      <w:color w:val="auto"/>
                      <w:kern w:val="0"/>
                      <w:szCs w:val="21"/>
                      <w:highlight w:val="none"/>
                      <w:lang w:bidi="ar"/>
                    </w:rPr>
                    <w:t>未检出</w:t>
                  </w:r>
                </w:p>
              </w:tc>
              <w:tc>
                <w:tcPr>
                  <w:tcW w:w="591" w:type="dxa"/>
                  <w:noWrap w:val="0"/>
                  <w:vAlign w:val="center"/>
                </w:tcPr>
                <w:p>
                  <w:pPr>
                    <w:widowControl/>
                    <w:jc w:val="center"/>
                    <w:textAlignment w:val="center"/>
                    <w:rPr>
                      <w:color w:val="auto"/>
                      <w:szCs w:val="21"/>
                      <w:highlight w:val="none"/>
                    </w:rPr>
                  </w:pPr>
                  <w:r>
                    <w:rPr>
                      <w:color w:val="auto"/>
                      <w:kern w:val="0"/>
                      <w:szCs w:val="21"/>
                      <w:highlight w:val="none"/>
                      <w:lang w:bidi="ar"/>
                    </w:rPr>
                    <w:t>/</w:t>
                  </w:r>
                </w:p>
              </w:tc>
              <w:tc>
                <w:tcPr>
                  <w:tcW w:w="697" w:type="dxa"/>
                  <w:noWrap w:val="0"/>
                  <w:vAlign w:val="center"/>
                </w:tcPr>
                <w:p>
                  <w:pPr>
                    <w:widowControl/>
                    <w:jc w:val="center"/>
                    <w:textAlignment w:val="center"/>
                    <w:rPr>
                      <w:color w:val="auto"/>
                      <w:szCs w:val="21"/>
                      <w:highlight w:val="none"/>
                    </w:rPr>
                  </w:pPr>
                  <w:r>
                    <w:rPr>
                      <w:color w:val="auto"/>
                      <w:kern w:val="0"/>
                      <w:szCs w:val="21"/>
                      <w:highlight w:val="none"/>
                      <w:lang w:bidi="ar"/>
                    </w:rPr>
                    <w:t>达标</w:t>
                  </w:r>
                </w:p>
              </w:tc>
              <w:tc>
                <w:tcPr>
                  <w:tcW w:w="689" w:type="dxa"/>
                  <w:noWrap w:val="0"/>
                  <w:vAlign w:val="center"/>
                </w:tcPr>
                <w:p>
                  <w:pPr>
                    <w:widowControl/>
                    <w:jc w:val="center"/>
                    <w:textAlignment w:val="center"/>
                    <w:rPr>
                      <w:color w:val="auto"/>
                      <w:szCs w:val="21"/>
                      <w:highlight w:val="none"/>
                    </w:rPr>
                  </w:pPr>
                  <w:r>
                    <w:rPr>
                      <w:color w:val="auto"/>
                      <w:kern w:val="0"/>
                      <w:szCs w:val="21"/>
                      <w:highlight w:val="none"/>
                      <w:lang w:bidi="ar"/>
                    </w:rPr>
                    <w:t>未检出</w:t>
                  </w:r>
                </w:p>
              </w:tc>
              <w:tc>
                <w:tcPr>
                  <w:tcW w:w="689" w:type="dxa"/>
                  <w:noWrap w:val="0"/>
                  <w:vAlign w:val="center"/>
                </w:tcPr>
                <w:p>
                  <w:pPr>
                    <w:widowControl/>
                    <w:jc w:val="center"/>
                    <w:textAlignment w:val="center"/>
                    <w:rPr>
                      <w:color w:val="auto"/>
                      <w:szCs w:val="21"/>
                      <w:highlight w:val="none"/>
                    </w:rPr>
                  </w:pPr>
                  <w:r>
                    <w:rPr>
                      <w:color w:val="auto"/>
                      <w:kern w:val="0"/>
                      <w:szCs w:val="21"/>
                      <w:highlight w:val="none"/>
                      <w:lang w:bidi="ar"/>
                    </w:rPr>
                    <w:t>/</w:t>
                  </w:r>
                </w:p>
              </w:tc>
              <w:tc>
                <w:tcPr>
                  <w:tcW w:w="699" w:type="dxa"/>
                  <w:noWrap w:val="0"/>
                  <w:vAlign w:val="center"/>
                </w:tcPr>
                <w:p>
                  <w:pPr>
                    <w:widowControl/>
                    <w:jc w:val="center"/>
                    <w:textAlignment w:val="center"/>
                    <w:rPr>
                      <w:color w:val="auto"/>
                      <w:szCs w:val="21"/>
                      <w:highlight w:val="none"/>
                    </w:rPr>
                  </w:pPr>
                  <w:r>
                    <w:rPr>
                      <w:color w:val="auto"/>
                      <w:kern w:val="0"/>
                      <w:szCs w:val="21"/>
                      <w:highlight w:val="none"/>
                      <w:lang w:bidi="ar"/>
                    </w:rPr>
                    <w:t>达标</w:t>
                  </w:r>
                </w:p>
              </w:tc>
              <w:tc>
                <w:tcPr>
                  <w:tcW w:w="742" w:type="dxa"/>
                  <w:noWrap w:val="0"/>
                  <w:vAlign w:val="center"/>
                </w:tcPr>
                <w:p>
                  <w:pPr>
                    <w:widowControl/>
                    <w:jc w:val="center"/>
                    <w:textAlignment w:val="center"/>
                    <w:rPr>
                      <w:color w:val="auto"/>
                      <w:szCs w:val="21"/>
                      <w:highlight w:val="none"/>
                    </w:rPr>
                  </w:pPr>
                  <w:r>
                    <w:rPr>
                      <w:color w:val="auto"/>
                      <w:kern w:val="0"/>
                      <w:szCs w:val="21"/>
                      <w:highlight w:val="none"/>
                      <w:lang w:bidi="ar"/>
                    </w:rPr>
                    <w:t>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4" w:hRule="atLeast"/>
              </w:trPr>
              <w:tc>
                <w:tcPr>
                  <w:tcW w:w="1217" w:type="dxa"/>
                  <w:noWrap w:val="0"/>
                  <w:vAlign w:val="center"/>
                </w:tcPr>
                <w:p>
                  <w:pPr>
                    <w:kinsoku w:val="0"/>
                    <w:overflowPunct w:val="0"/>
                    <w:autoSpaceDE w:val="0"/>
                    <w:autoSpaceDN w:val="0"/>
                    <w:jc w:val="center"/>
                    <w:rPr>
                      <w:color w:val="auto"/>
                      <w:szCs w:val="21"/>
                      <w:highlight w:val="none"/>
                    </w:rPr>
                  </w:pPr>
                  <w:r>
                    <w:rPr>
                      <w:color w:val="auto"/>
                      <w:szCs w:val="21"/>
                      <w:highlight w:val="none"/>
                    </w:rPr>
                    <w:t>甲苯*（μg/kg）</w:t>
                  </w:r>
                </w:p>
              </w:tc>
              <w:tc>
                <w:tcPr>
                  <w:tcW w:w="792" w:type="dxa"/>
                  <w:noWrap w:val="0"/>
                  <w:vAlign w:val="center"/>
                </w:tcPr>
                <w:p>
                  <w:pPr>
                    <w:widowControl/>
                    <w:jc w:val="center"/>
                    <w:textAlignment w:val="center"/>
                    <w:rPr>
                      <w:color w:val="auto"/>
                      <w:szCs w:val="21"/>
                      <w:highlight w:val="none"/>
                    </w:rPr>
                  </w:pPr>
                  <w:r>
                    <w:rPr>
                      <w:color w:val="auto"/>
                      <w:kern w:val="0"/>
                      <w:szCs w:val="21"/>
                      <w:highlight w:val="none"/>
                      <w:lang w:bidi="ar"/>
                    </w:rPr>
                    <w:t>未检出</w:t>
                  </w:r>
                </w:p>
              </w:tc>
              <w:tc>
                <w:tcPr>
                  <w:tcW w:w="689" w:type="dxa"/>
                  <w:noWrap w:val="0"/>
                  <w:vAlign w:val="center"/>
                </w:tcPr>
                <w:p>
                  <w:pPr>
                    <w:widowControl/>
                    <w:jc w:val="center"/>
                    <w:textAlignment w:val="center"/>
                    <w:rPr>
                      <w:color w:val="auto"/>
                      <w:szCs w:val="21"/>
                      <w:highlight w:val="none"/>
                    </w:rPr>
                  </w:pPr>
                  <w:r>
                    <w:rPr>
                      <w:color w:val="auto"/>
                      <w:kern w:val="0"/>
                      <w:szCs w:val="21"/>
                      <w:highlight w:val="none"/>
                      <w:lang w:bidi="ar"/>
                    </w:rPr>
                    <w:t>/</w:t>
                  </w:r>
                </w:p>
              </w:tc>
              <w:tc>
                <w:tcPr>
                  <w:tcW w:w="741" w:type="dxa"/>
                  <w:noWrap w:val="0"/>
                  <w:vAlign w:val="center"/>
                </w:tcPr>
                <w:p>
                  <w:pPr>
                    <w:widowControl/>
                    <w:jc w:val="center"/>
                    <w:textAlignment w:val="center"/>
                    <w:rPr>
                      <w:color w:val="auto"/>
                      <w:szCs w:val="21"/>
                      <w:highlight w:val="none"/>
                    </w:rPr>
                  </w:pPr>
                  <w:r>
                    <w:rPr>
                      <w:color w:val="auto"/>
                      <w:kern w:val="0"/>
                      <w:szCs w:val="21"/>
                      <w:highlight w:val="none"/>
                      <w:lang w:bidi="ar"/>
                    </w:rPr>
                    <w:t>达标</w:t>
                  </w:r>
                </w:p>
              </w:tc>
              <w:tc>
                <w:tcPr>
                  <w:tcW w:w="787" w:type="dxa"/>
                  <w:noWrap w:val="0"/>
                  <w:vAlign w:val="center"/>
                </w:tcPr>
                <w:p>
                  <w:pPr>
                    <w:widowControl/>
                    <w:jc w:val="center"/>
                    <w:textAlignment w:val="center"/>
                    <w:rPr>
                      <w:color w:val="auto"/>
                      <w:szCs w:val="21"/>
                      <w:highlight w:val="none"/>
                    </w:rPr>
                  </w:pPr>
                  <w:r>
                    <w:rPr>
                      <w:color w:val="auto"/>
                      <w:kern w:val="0"/>
                      <w:szCs w:val="21"/>
                      <w:highlight w:val="none"/>
                      <w:lang w:bidi="ar"/>
                    </w:rPr>
                    <w:t>未检出</w:t>
                  </w:r>
                </w:p>
              </w:tc>
              <w:tc>
                <w:tcPr>
                  <w:tcW w:w="591" w:type="dxa"/>
                  <w:noWrap w:val="0"/>
                  <w:vAlign w:val="center"/>
                </w:tcPr>
                <w:p>
                  <w:pPr>
                    <w:widowControl/>
                    <w:jc w:val="center"/>
                    <w:textAlignment w:val="center"/>
                    <w:rPr>
                      <w:color w:val="auto"/>
                      <w:szCs w:val="21"/>
                      <w:highlight w:val="none"/>
                    </w:rPr>
                  </w:pPr>
                  <w:r>
                    <w:rPr>
                      <w:color w:val="auto"/>
                      <w:kern w:val="0"/>
                      <w:szCs w:val="21"/>
                      <w:highlight w:val="none"/>
                      <w:lang w:bidi="ar"/>
                    </w:rPr>
                    <w:t>/</w:t>
                  </w:r>
                </w:p>
              </w:tc>
              <w:tc>
                <w:tcPr>
                  <w:tcW w:w="697" w:type="dxa"/>
                  <w:noWrap w:val="0"/>
                  <w:vAlign w:val="center"/>
                </w:tcPr>
                <w:p>
                  <w:pPr>
                    <w:widowControl/>
                    <w:jc w:val="center"/>
                    <w:textAlignment w:val="center"/>
                    <w:rPr>
                      <w:color w:val="auto"/>
                      <w:szCs w:val="21"/>
                      <w:highlight w:val="none"/>
                    </w:rPr>
                  </w:pPr>
                  <w:r>
                    <w:rPr>
                      <w:color w:val="auto"/>
                      <w:kern w:val="0"/>
                      <w:szCs w:val="21"/>
                      <w:highlight w:val="none"/>
                      <w:lang w:bidi="ar"/>
                    </w:rPr>
                    <w:t>达标</w:t>
                  </w:r>
                </w:p>
              </w:tc>
              <w:tc>
                <w:tcPr>
                  <w:tcW w:w="689" w:type="dxa"/>
                  <w:noWrap w:val="0"/>
                  <w:vAlign w:val="center"/>
                </w:tcPr>
                <w:p>
                  <w:pPr>
                    <w:widowControl/>
                    <w:jc w:val="center"/>
                    <w:textAlignment w:val="center"/>
                    <w:rPr>
                      <w:color w:val="auto"/>
                      <w:szCs w:val="21"/>
                      <w:highlight w:val="none"/>
                    </w:rPr>
                  </w:pPr>
                  <w:r>
                    <w:rPr>
                      <w:color w:val="auto"/>
                      <w:kern w:val="0"/>
                      <w:szCs w:val="21"/>
                      <w:highlight w:val="none"/>
                      <w:lang w:bidi="ar"/>
                    </w:rPr>
                    <w:t>未检出</w:t>
                  </w:r>
                </w:p>
              </w:tc>
              <w:tc>
                <w:tcPr>
                  <w:tcW w:w="689" w:type="dxa"/>
                  <w:noWrap w:val="0"/>
                  <w:vAlign w:val="center"/>
                </w:tcPr>
                <w:p>
                  <w:pPr>
                    <w:widowControl/>
                    <w:jc w:val="center"/>
                    <w:textAlignment w:val="center"/>
                    <w:rPr>
                      <w:color w:val="auto"/>
                      <w:szCs w:val="21"/>
                      <w:highlight w:val="none"/>
                    </w:rPr>
                  </w:pPr>
                  <w:r>
                    <w:rPr>
                      <w:color w:val="auto"/>
                      <w:kern w:val="0"/>
                      <w:szCs w:val="21"/>
                      <w:highlight w:val="none"/>
                      <w:lang w:bidi="ar"/>
                    </w:rPr>
                    <w:t>/</w:t>
                  </w:r>
                </w:p>
              </w:tc>
              <w:tc>
                <w:tcPr>
                  <w:tcW w:w="699" w:type="dxa"/>
                  <w:noWrap w:val="0"/>
                  <w:vAlign w:val="center"/>
                </w:tcPr>
                <w:p>
                  <w:pPr>
                    <w:widowControl/>
                    <w:jc w:val="center"/>
                    <w:textAlignment w:val="center"/>
                    <w:rPr>
                      <w:color w:val="auto"/>
                      <w:szCs w:val="21"/>
                      <w:highlight w:val="none"/>
                    </w:rPr>
                  </w:pPr>
                  <w:r>
                    <w:rPr>
                      <w:color w:val="auto"/>
                      <w:kern w:val="0"/>
                      <w:szCs w:val="21"/>
                      <w:highlight w:val="none"/>
                      <w:lang w:bidi="ar"/>
                    </w:rPr>
                    <w:t>达标</w:t>
                  </w:r>
                </w:p>
              </w:tc>
              <w:tc>
                <w:tcPr>
                  <w:tcW w:w="742" w:type="dxa"/>
                  <w:noWrap w:val="0"/>
                  <w:vAlign w:val="center"/>
                </w:tcPr>
                <w:p>
                  <w:pPr>
                    <w:widowControl/>
                    <w:jc w:val="center"/>
                    <w:textAlignment w:val="center"/>
                    <w:rPr>
                      <w:color w:val="auto"/>
                      <w:szCs w:val="21"/>
                      <w:highlight w:val="none"/>
                    </w:rPr>
                  </w:pPr>
                  <w:r>
                    <w:rPr>
                      <w:color w:val="auto"/>
                      <w:kern w:val="0"/>
                      <w:szCs w:val="21"/>
                      <w:highlight w:val="none"/>
                      <w:lang w:bidi="ar"/>
                    </w:rPr>
                    <w:t>1200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4" w:hRule="atLeast"/>
              </w:trPr>
              <w:tc>
                <w:tcPr>
                  <w:tcW w:w="1217" w:type="dxa"/>
                  <w:noWrap w:val="0"/>
                  <w:vAlign w:val="center"/>
                </w:tcPr>
                <w:p>
                  <w:pPr>
                    <w:kinsoku w:val="0"/>
                    <w:overflowPunct w:val="0"/>
                    <w:autoSpaceDE w:val="0"/>
                    <w:autoSpaceDN w:val="0"/>
                    <w:jc w:val="center"/>
                    <w:rPr>
                      <w:color w:val="auto"/>
                      <w:szCs w:val="21"/>
                      <w:highlight w:val="none"/>
                    </w:rPr>
                  </w:pPr>
                  <w:r>
                    <w:rPr>
                      <w:color w:val="auto"/>
                      <w:szCs w:val="21"/>
                      <w:highlight w:val="none"/>
                    </w:rPr>
                    <w:t>1,1,2-三氯乙烷*（μg/kg）</w:t>
                  </w:r>
                </w:p>
              </w:tc>
              <w:tc>
                <w:tcPr>
                  <w:tcW w:w="792" w:type="dxa"/>
                  <w:noWrap w:val="0"/>
                  <w:vAlign w:val="center"/>
                </w:tcPr>
                <w:p>
                  <w:pPr>
                    <w:widowControl/>
                    <w:jc w:val="center"/>
                    <w:textAlignment w:val="center"/>
                    <w:rPr>
                      <w:color w:val="auto"/>
                      <w:szCs w:val="21"/>
                      <w:highlight w:val="none"/>
                    </w:rPr>
                  </w:pPr>
                  <w:r>
                    <w:rPr>
                      <w:color w:val="auto"/>
                      <w:kern w:val="0"/>
                      <w:szCs w:val="21"/>
                      <w:highlight w:val="none"/>
                      <w:lang w:bidi="ar"/>
                    </w:rPr>
                    <w:t>未检出</w:t>
                  </w:r>
                </w:p>
              </w:tc>
              <w:tc>
                <w:tcPr>
                  <w:tcW w:w="689" w:type="dxa"/>
                  <w:noWrap w:val="0"/>
                  <w:vAlign w:val="center"/>
                </w:tcPr>
                <w:p>
                  <w:pPr>
                    <w:widowControl/>
                    <w:jc w:val="center"/>
                    <w:textAlignment w:val="center"/>
                    <w:rPr>
                      <w:color w:val="auto"/>
                      <w:szCs w:val="21"/>
                      <w:highlight w:val="none"/>
                    </w:rPr>
                  </w:pPr>
                  <w:r>
                    <w:rPr>
                      <w:color w:val="auto"/>
                      <w:kern w:val="0"/>
                      <w:szCs w:val="21"/>
                      <w:highlight w:val="none"/>
                      <w:lang w:bidi="ar"/>
                    </w:rPr>
                    <w:t>/</w:t>
                  </w:r>
                </w:p>
              </w:tc>
              <w:tc>
                <w:tcPr>
                  <w:tcW w:w="741" w:type="dxa"/>
                  <w:noWrap w:val="0"/>
                  <w:vAlign w:val="center"/>
                </w:tcPr>
                <w:p>
                  <w:pPr>
                    <w:widowControl/>
                    <w:jc w:val="center"/>
                    <w:textAlignment w:val="center"/>
                    <w:rPr>
                      <w:color w:val="auto"/>
                      <w:szCs w:val="21"/>
                      <w:highlight w:val="none"/>
                    </w:rPr>
                  </w:pPr>
                  <w:r>
                    <w:rPr>
                      <w:color w:val="auto"/>
                      <w:kern w:val="0"/>
                      <w:szCs w:val="21"/>
                      <w:highlight w:val="none"/>
                      <w:lang w:bidi="ar"/>
                    </w:rPr>
                    <w:t>达标</w:t>
                  </w:r>
                </w:p>
              </w:tc>
              <w:tc>
                <w:tcPr>
                  <w:tcW w:w="787" w:type="dxa"/>
                  <w:noWrap w:val="0"/>
                  <w:vAlign w:val="center"/>
                </w:tcPr>
                <w:p>
                  <w:pPr>
                    <w:widowControl/>
                    <w:jc w:val="center"/>
                    <w:textAlignment w:val="center"/>
                    <w:rPr>
                      <w:color w:val="auto"/>
                      <w:szCs w:val="21"/>
                      <w:highlight w:val="none"/>
                    </w:rPr>
                  </w:pPr>
                  <w:r>
                    <w:rPr>
                      <w:color w:val="auto"/>
                      <w:kern w:val="0"/>
                      <w:szCs w:val="21"/>
                      <w:highlight w:val="none"/>
                      <w:lang w:bidi="ar"/>
                    </w:rPr>
                    <w:t>未检出</w:t>
                  </w:r>
                </w:p>
              </w:tc>
              <w:tc>
                <w:tcPr>
                  <w:tcW w:w="591" w:type="dxa"/>
                  <w:noWrap w:val="0"/>
                  <w:vAlign w:val="center"/>
                </w:tcPr>
                <w:p>
                  <w:pPr>
                    <w:widowControl/>
                    <w:jc w:val="center"/>
                    <w:textAlignment w:val="center"/>
                    <w:rPr>
                      <w:color w:val="auto"/>
                      <w:szCs w:val="21"/>
                      <w:highlight w:val="none"/>
                    </w:rPr>
                  </w:pPr>
                  <w:r>
                    <w:rPr>
                      <w:color w:val="auto"/>
                      <w:kern w:val="0"/>
                      <w:szCs w:val="21"/>
                      <w:highlight w:val="none"/>
                      <w:lang w:bidi="ar"/>
                    </w:rPr>
                    <w:t>/</w:t>
                  </w:r>
                </w:p>
              </w:tc>
              <w:tc>
                <w:tcPr>
                  <w:tcW w:w="697" w:type="dxa"/>
                  <w:noWrap w:val="0"/>
                  <w:vAlign w:val="center"/>
                </w:tcPr>
                <w:p>
                  <w:pPr>
                    <w:widowControl/>
                    <w:jc w:val="center"/>
                    <w:textAlignment w:val="center"/>
                    <w:rPr>
                      <w:color w:val="auto"/>
                      <w:szCs w:val="21"/>
                      <w:highlight w:val="none"/>
                    </w:rPr>
                  </w:pPr>
                  <w:r>
                    <w:rPr>
                      <w:color w:val="auto"/>
                      <w:kern w:val="0"/>
                      <w:szCs w:val="21"/>
                      <w:highlight w:val="none"/>
                      <w:lang w:bidi="ar"/>
                    </w:rPr>
                    <w:t>达标</w:t>
                  </w:r>
                </w:p>
              </w:tc>
              <w:tc>
                <w:tcPr>
                  <w:tcW w:w="689" w:type="dxa"/>
                  <w:noWrap w:val="0"/>
                  <w:vAlign w:val="center"/>
                </w:tcPr>
                <w:p>
                  <w:pPr>
                    <w:widowControl/>
                    <w:jc w:val="center"/>
                    <w:textAlignment w:val="center"/>
                    <w:rPr>
                      <w:color w:val="auto"/>
                      <w:szCs w:val="21"/>
                      <w:highlight w:val="none"/>
                    </w:rPr>
                  </w:pPr>
                  <w:r>
                    <w:rPr>
                      <w:color w:val="auto"/>
                      <w:kern w:val="0"/>
                      <w:szCs w:val="21"/>
                      <w:highlight w:val="none"/>
                      <w:lang w:bidi="ar"/>
                    </w:rPr>
                    <w:t>未检出</w:t>
                  </w:r>
                </w:p>
              </w:tc>
              <w:tc>
                <w:tcPr>
                  <w:tcW w:w="689" w:type="dxa"/>
                  <w:noWrap w:val="0"/>
                  <w:vAlign w:val="center"/>
                </w:tcPr>
                <w:p>
                  <w:pPr>
                    <w:widowControl/>
                    <w:jc w:val="center"/>
                    <w:textAlignment w:val="center"/>
                    <w:rPr>
                      <w:color w:val="auto"/>
                      <w:szCs w:val="21"/>
                      <w:highlight w:val="none"/>
                    </w:rPr>
                  </w:pPr>
                  <w:r>
                    <w:rPr>
                      <w:color w:val="auto"/>
                      <w:kern w:val="0"/>
                      <w:szCs w:val="21"/>
                      <w:highlight w:val="none"/>
                      <w:lang w:bidi="ar"/>
                    </w:rPr>
                    <w:t>/</w:t>
                  </w:r>
                </w:p>
              </w:tc>
              <w:tc>
                <w:tcPr>
                  <w:tcW w:w="699" w:type="dxa"/>
                  <w:noWrap w:val="0"/>
                  <w:vAlign w:val="center"/>
                </w:tcPr>
                <w:p>
                  <w:pPr>
                    <w:widowControl/>
                    <w:jc w:val="center"/>
                    <w:textAlignment w:val="center"/>
                    <w:rPr>
                      <w:color w:val="auto"/>
                      <w:szCs w:val="21"/>
                      <w:highlight w:val="none"/>
                    </w:rPr>
                  </w:pPr>
                  <w:r>
                    <w:rPr>
                      <w:color w:val="auto"/>
                      <w:kern w:val="0"/>
                      <w:szCs w:val="21"/>
                      <w:highlight w:val="none"/>
                      <w:lang w:bidi="ar"/>
                    </w:rPr>
                    <w:t>达标</w:t>
                  </w:r>
                </w:p>
              </w:tc>
              <w:tc>
                <w:tcPr>
                  <w:tcW w:w="742" w:type="dxa"/>
                  <w:noWrap w:val="0"/>
                  <w:vAlign w:val="center"/>
                </w:tcPr>
                <w:p>
                  <w:pPr>
                    <w:widowControl/>
                    <w:jc w:val="center"/>
                    <w:textAlignment w:val="center"/>
                    <w:rPr>
                      <w:color w:val="auto"/>
                      <w:szCs w:val="21"/>
                      <w:highlight w:val="none"/>
                    </w:rPr>
                  </w:pPr>
                  <w:r>
                    <w:rPr>
                      <w:color w:val="auto"/>
                      <w:kern w:val="0"/>
                      <w:szCs w:val="21"/>
                      <w:highlight w:val="none"/>
                      <w:lang w:bidi="ar"/>
                    </w:rPr>
                    <w:t>2.8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4" w:hRule="atLeast"/>
              </w:trPr>
              <w:tc>
                <w:tcPr>
                  <w:tcW w:w="1217" w:type="dxa"/>
                  <w:noWrap w:val="0"/>
                  <w:vAlign w:val="center"/>
                </w:tcPr>
                <w:p>
                  <w:pPr>
                    <w:kinsoku w:val="0"/>
                    <w:overflowPunct w:val="0"/>
                    <w:autoSpaceDE w:val="0"/>
                    <w:autoSpaceDN w:val="0"/>
                    <w:jc w:val="center"/>
                    <w:rPr>
                      <w:color w:val="auto"/>
                      <w:szCs w:val="21"/>
                      <w:highlight w:val="none"/>
                    </w:rPr>
                  </w:pPr>
                  <w:r>
                    <w:rPr>
                      <w:color w:val="auto"/>
                      <w:szCs w:val="21"/>
                      <w:highlight w:val="none"/>
                    </w:rPr>
                    <w:t>四氯乙烯*（μg/kg）</w:t>
                  </w:r>
                </w:p>
              </w:tc>
              <w:tc>
                <w:tcPr>
                  <w:tcW w:w="792" w:type="dxa"/>
                  <w:noWrap w:val="0"/>
                  <w:vAlign w:val="center"/>
                </w:tcPr>
                <w:p>
                  <w:pPr>
                    <w:widowControl/>
                    <w:jc w:val="center"/>
                    <w:textAlignment w:val="center"/>
                    <w:rPr>
                      <w:color w:val="auto"/>
                      <w:szCs w:val="21"/>
                      <w:highlight w:val="none"/>
                    </w:rPr>
                  </w:pPr>
                  <w:r>
                    <w:rPr>
                      <w:color w:val="auto"/>
                      <w:kern w:val="0"/>
                      <w:szCs w:val="21"/>
                      <w:highlight w:val="none"/>
                      <w:lang w:bidi="ar"/>
                    </w:rPr>
                    <w:t>未检出</w:t>
                  </w:r>
                </w:p>
              </w:tc>
              <w:tc>
                <w:tcPr>
                  <w:tcW w:w="689" w:type="dxa"/>
                  <w:noWrap w:val="0"/>
                  <w:vAlign w:val="center"/>
                </w:tcPr>
                <w:p>
                  <w:pPr>
                    <w:widowControl/>
                    <w:jc w:val="center"/>
                    <w:textAlignment w:val="center"/>
                    <w:rPr>
                      <w:color w:val="auto"/>
                      <w:szCs w:val="21"/>
                      <w:highlight w:val="none"/>
                    </w:rPr>
                  </w:pPr>
                  <w:r>
                    <w:rPr>
                      <w:color w:val="auto"/>
                      <w:kern w:val="0"/>
                      <w:szCs w:val="21"/>
                      <w:highlight w:val="none"/>
                      <w:lang w:bidi="ar"/>
                    </w:rPr>
                    <w:t>/</w:t>
                  </w:r>
                </w:p>
              </w:tc>
              <w:tc>
                <w:tcPr>
                  <w:tcW w:w="741" w:type="dxa"/>
                  <w:noWrap w:val="0"/>
                  <w:vAlign w:val="center"/>
                </w:tcPr>
                <w:p>
                  <w:pPr>
                    <w:widowControl/>
                    <w:jc w:val="center"/>
                    <w:textAlignment w:val="center"/>
                    <w:rPr>
                      <w:color w:val="auto"/>
                      <w:szCs w:val="21"/>
                      <w:highlight w:val="none"/>
                    </w:rPr>
                  </w:pPr>
                  <w:r>
                    <w:rPr>
                      <w:color w:val="auto"/>
                      <w:kern w:val="0"/>
                      <w:szCs w:val="21"/>
                      <w:highlight w:val="none"/>
                      <w:lang w:bidi="ar"/>
                    </w:rPr>
                    <w:t>达标</w:t>
                  </w:r>
                </w:p>
              </w:tc>
              <w:tc>
                <w:tcPr>
                  <w:tcW w:w="787" w:type="dxa"/>
                  <w:noWrap w:val="0"/>
                  <w:vAlign w:val="center"/>
                </w:tcPr>
                <w:p>
                  <w:pPr>
                    <w:widowControl/>
                    <w:jc w:val="center"/>
                    <w:textAlignment w:val="center"/>
                    <w:rPr>
                      <w:color w:val="auto"/>
                      <w:szCs w:val="21"/>
                      <w:highlight w:val="none"/>
                    </w:rPr>
                  </w:pPr>
                  <w:r>
                    <w:rPr>
                      <w:color w:val="auto"/>
                      <w:kern w:val="0"/>
                      <w:szCs w:val="21"/>
                      <w:highlight w:val="none"/>
                      <w:lang w:bidi="ar"/>
                    </w:rPr>
                    <w:t>未检出</w:t>
                  </w:r>
                </w:p>
              </w:tc>
              <w:tc>
                <w:tcPr>
                  <w:tcW w:w="591" w:type="dxa"/>
                  <w:noWrap w:val="0"/>
                  <w:vAlign w:val="center"/>
                </w:tcPr>
                <w:p>
                  <w:pPr>
                    <w:widowControl/>
                    <w:jc w:val="center"/>
                    <w:textAlignment w:val="center"/>
                    <w:rPr>
                      <w:color w:val="auto"/>
                      <w:szCs w:val="21"/>
                      <w:highlight w:val="none"/>
                    </w:rPr>
                  </w:pPr>
                  <w:r>
                    <w:rPr>
                      <w:color w:val="auto"/>
                      <w:kern w:val="0"/>
                      <w:szCs w:val="21"/>
                      <w:highlight w:val="none"/>
                      <w:lang w:bidi="ar"/>
                    </w:rPr>
                    <w:t>/</w:t>
                  </w:r>
                </w:p>
              </w:tc>
              <w:tc>
                <w:tcPr>
                  <w:tcW w:w="697" w:type="dxa"/>
                  <w:noWrap w:val="0"/>
                  <w:vAlign w:val="center"/>
                </w:tcPr>
                <w:p>
                  <w:pPr>
                    <w:widowControl/>
                    <w:jc w:val="center"/>
                    <w:textAlignment w:val="center"/>
                    <w:rPr>
                      <w:color w:val="auto"/>
                      <w:szCs w:val="21"/>
                      <w:highlight w:val="none"/>
                    </w:rPr>
                  </w:pPr>
                  <w:r>
                    <w:rPr>
                      <w:color w:val="auto"/>
                      <w:kern w:val="0"/>
                      <w:szCs w:val="21"/>
                      <w:highlight w:val="none"/>
                      <w:lang w:bidi="ar"/>
                    </w:rPr>
                    <w:t>达标</w:t>
                  </w:r>
                </w:p>
              </w:tc>
              <w:tc>
                <w:tcPr>
                  <w:tcW w:w="689" w:type="dxa"/>
                  <w:noWrap w:val="0"/>
                  <w:vAlign w:val="center"/>
                </w:tcPr>
                <w:p>
                  <w:pPr>
                    <w:widowControl/>
                    <w:jc w:val="center"/>
                    <w:textAlignment w:val="center"/>
                    <w:rPr>
                      <w:color w:val="auto"/>
                      <w:szCs w:val="21"/>
                      <w:highlight w:val="none"/>
                    </w:rPr>
                  </w:pPr>
                  <w:r>
                    <w:rPr>
                      <w:color w:val="auto"/>
                      <w:kern w:val="0"/>
                      <w:szCs w:val="21"/>
                      <w:highlight w:val="none"/>
                      <w:lang w:bidi="ar"/>
                    </w:rPr>
                    <w:t>未检出</w:t>
                  </w:r>
                </w:p>
              </w:tc>
              <w:tc>
                <w:tcPr>
                  <w:tcW w:w="689" w:type="dxa"/>
                  <w:noWrap w:val="0"/>
                  <w:vAlign w:val="center"/>
                </w:tcPr>
                <w:p>
                  <w:pPr>
                    <w:widowControl/>
                    <w:jc w:val="center"/>
                    <w:textAlignment w:val="center"/>
                    <w:rPr>
                      <w:color w:val="auto"/>
                      <w:szCs w:val="21"/>
                      <w:highlight w:val="none"/>
                    </w:rPr>
                  </w:pPr>
                  <w:r>
                    <w:rPr>
                      <w:color w:val="auto"/>
                      <w:kern w:val="0"/>
                      <w:szCs w:val="21"/>
                      <w:highlight w:val="none"/>
                      <w:lang w:bidi="ar"/>
                    </w:rPr>
                    <w:t>/</w:t>
                  </w:r>
                </w:p>
              </w:tc>
              <w:tc>
                <w:tcPr>
                  <w:tcW w:w="699" w:type="dxa"/>
                  <w:noWrap w:val="0"/>
                  <w:vAlign w:val="center"/>
                </w:tcPr>
                <w:p>
                  <w:pPr>
                    <w:widowControl/>
                    <w:jc w:val="center"/>
                    <w:textAlignment w:val="center"/>
                    <w:rPr>
                      <w:color w:val="auto"/>
                      <w:szCs w:val="21"/>
                      <w:highlight w:val="none"/>
                    </w:rPr>
                  </w:pPr>
                  <w:r>
                    <w:rPr>
                      <w:color w:val="auto"/>
                      <w:kern w:val="0"/>
                      <w:szCs w:val="21"/>
                      <w:highlight w:val="none"/>
                      <w:lang w:bidi="ar"/>
                    </w:rPr>
                    <w:t>达标</w:t>
                  </w:r>
                </w:p>
              </w:tc>
              <w:tc>
                <w:tcPr>
                  <w:tcW w:w="742" w:type="dxa"/>
                  <w:noWrap w:val="0"/>
                  <w:vAlign w:val="center"/>
                </w:tcPr>
                <w:p>
                  <w:pPr>
                    <w:widowControl/>
                    <w:jc w:val="center"/>
                    <w:textAlignment w:val="center"/>
                    <w:rPr>
                      <w:color w:val="auto"/>
                      <w:szCs w:val="21"/>
                      <w:highlight w:val="none"/>
                    </w:rPr>
                  </w:pPr>
                  <w:r>
                    <w:rPr>
                      <w:color w:val="auto"/>
                      <w:kern w:val="0"/>
                      <w:szCs w:val="21"/>
                      <w:highlight w:val="none"/>
                      <w:lang w:bidi="ar"/>
                    </w:rPr>
                    <w:t>53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4" w:hRule="atLeast"/>
              </w:trPr>
              <w:tc>
                <w:tcPr>
                  <w:tcW w:w="1217" w:type="dxa"/>
                  <w:noWrap w:val="0"/>
                  <w:vAlign w:val="center"/>
                </w:tcPr>
                <w:p>
                  <w:pPr>
                    <w:kinsoku w:val="0"/>
                    <w:overflowPunct w:val="0"/>
                    <w:autoSpaceDE w:val="0"/>
                    <w:autoSpaceDN w:val="0"/>
                    <w:jc w:val="center"/>
                    <w:rPr>
                      <w:color w:val="auto"/>
                      <w:szCs w:val="21"/>
                      <w:highlight w:val="none"/>
                    </w:rPr>
                  </w:pPr>
                  <w:r>
                    <w:rPr>
                      <w:color w:val="auto"/>
                      <w:szCs w:val="21"/>
                      <w:highlight w:val="none"/>
                    </w:rPr>
                    <w:t>氯苯*（μg/kg）</w:t>
                  </w:r>
                </w:p>
              </w:tc>
              <w:tc>
                <w:tcPr>
                  <w:tcW w:w="792" w:type="dxa"/>
                  <w:noWrap w:val="0"/>
                  <w:vAlign w:val="center"/>
                </w:tcPr>
                <w:p>
                  <w:pPr>
                    <w:widowControl/>
                    <w:jc w:val="center"/>
                    <w:textAlignment w:val="center"/>
                    <w:rPr>
                      <w:color w:val="auto"/>
                      <w:szCs w:val="21"/>
                      <w:highlight w:val="none"/>
                    </w:rPr>
                  </w:pPr>
                  <w:r>
                    <w:rPr>
                      <w:color w:val="auto"/>
                      <w:kern w:val="0"/>
                      <w:szCs w:val="21"/>
                      <w:highlight w:val="none"/>
                      <w:lang w:bidi="ar"/>
                    </w:rPr>
                    <w:t>未检出</w:t>
                  </w:r>
                </w:p>
              </w:tc>
              <w:tc>
                <w:tcPr>
                  <w:tcW w:w="689" w:type="dxa"/>
                  <w:noWrap w:val="0"/>
                  <w:vAlign w:val="center"/>
                </w:tcPr>
                <w:p>
                  <w:pPr>
                    <w:widowControl/>
                    <w:jc w:val="center"/>
                    <w:textAlignment w:val="center"/>
                    <w:rPr>
                      <w:color w:val="auto"/>
                      <w:szCs w:val="21"/>
                      <w:highlight w:val="none"/>
                    </w:rPr>
                  </w:pPr>
                  <w:r>
                    <w:rPr>
                      <w:color w:val="auto"/>
                      <w:kern w:val="0"/>
                      <w:szCs w:val="21"/>
                      <w:highlight w:val="none"/>
                      <w:lang w:bidi="ar"/>
                    </w:rPr>
                    <w:t>/</w:t>
                  </w:r>
                </w:p>
              </w:tc>
              <w:tc>
                <w:tcPr>
                  <w:tcW w:w="741" w:type="dxa"/>
                  <w:noWrap w:val="0"/>
                  <w:vAlign w:val="center"/>
                </w:tcPr>
                <w:p>
                  <w:pPr>
                    <w:widowControl/>
                    <w:jc w:val="center"/>
                    <w:textAlignment w:val="center"/>
                    <w:rPr>
                      <w:color w:val="auto"/>
                      <w:szCs w:val="21"/>
                      <w:highlight w:val="none"/>
                    </w:rPr>
                  </w:pPr>
                  <w:r>
                    <w:rPr>
                      <w:color w:val="auto"/>
                      <w:kern w:val="0"/>
                      <w:szCs w:val="21"/>
                      <w:highlight w:val="none"/>
                      <w:lang w:bidi="ar"/>
                    </w:rPr>
                    <w:t>达标</w:t>
                  </w:r>
                </w:p>
              </w:tc>
              <w:tc>
                <w:tcPr>
                  <w:tcW w:w="787" w:type="dxa"/>
                  <w:noWrap w:val="0"/>
                  <w:vAlign w:val="center"/>
                </w:tcPr>
                <w:p>
                  <w:pPr>
                    <w:widowControl/>
                    <w:jc w:val="center"/>
                    <w:textAlignment w:val="center"/>
                    <w:rPr>
                      <w:color w:val="auto"/>
                      <w:szCs w:val="21"/>
                      <w:highlight w:val="none"/>
                    </w:rPr>
                  </w:pPr>
                  <w:r>
                    <w:rPr>
                      <w:color w:val="auto"/>
                      <w:kern w:val="0"/>
                      <w:szCs w:val="21"/>
                      <w:highlight w:val="none"/>
                      <w:lang w:bidi="ar"/>
                    </w:rPr>
                    <w:t>未检出</w:t>
                  </w:r>
                </w:p>
              </w:tc>
              <w:tc>
                <w:tcPr>
                  <w:tcW w:w="591" w:type="dxa"/>
                  <w:noWrap w:val="0"/>
                  <w:vAlign w:val="center"/>
                </w:tcPr>
                <w:p>
                  <w:pPr>
                    <w:widowControl/>
                    <w:jc w:val="center"/>
                    <w:textAlignment w:val="center"/>
                    <w:rPr>
                      <w:color w:val="auto"/>
                      <w:szCs w:val="21"/>
                      <w:highlight w:val="none"/>
                    </w:rPr>
                  </w:pPr>
                  <w:r>
                    <w:rPr>
                      <w:color w:val="auto"/>
                      <w:kern w:val="0"/>
                      <w:szCs w:val="21"/>
                      <w:highlight w:val="none"/>
                      <w:lang w:bidi="ar"/>
                    </w:rPr>
                    <w:t>/</w:t>
                  </w:r>
                </w:p>
              </w:tc>
              <w:tc>
                <w:tcPr>
                  <w:tcW w:w="697" w:type="dxa"/>
                  <w:noWrap w:val="0"/>
                  <w:vAlign w:val="center"/>
                </w:tcPr>
                <w:p>
                  <w:pPr>
                    <w:widowControl/>
                    <w:jc w:val="center"/>
                    <w:textAlignment w:val="center"/>
                    <w:rPr>
                      <w:color w:val="auto"/>
                      <w:szCs w:val="21"/>
                      <w:highlight w:val="none"/>
                    </w:rPr>
                  </w:pPr>
                  <w:r>
                    <w:rPr>
                      <w:color w:val="auto"/>
                      <w:kern w:val="0"/>
                      <w:szCs w:val="21"/>
                      <w:highlight w:val="none"/>
                      <w:lang w:bidi="ar"/>
                    </w:rPr>
                    <w:t>达标</w:t>
                  </w:r>
                </w:p>
              </w:tc>
              <w:tc>
                <w:tcPr>
                  <w:tcW w:w="689" w:type="dxa"/>
                  <w:noWrap w:val="0"/>
                  <w:vAlign w:val="center"/>
                </w:tcPr>
                <w:p>
                  <w:pPr>
                    <w:widowControl/>
                    <w:jc w:val="center"/>
                    <w:textAlignment w:val="center"/>
                    <w:rPr>
                      <w:color w:val="auto"/>
                      <w:szCs w:val="21"/>
                      <w:highlight w:val="none"/>
                    </w:rPr>
                  </w:pPr>
                  <w:r>
                    <w:rPr>
                      <w:color w:val="auto"/>
                      <w:kern w:val="0"/>
                      <w:szCs w:val="21"/>
                      <w:highlight w:val="none"/>
                      <w:lang w:bidi="ar"/>
                    </w:rPr>
                    <w:t>未检出</w:t>
                  </w:r>
                </w:p>
              </w:tc>
              <w:tc>
                <w:tcPr>
                  <w:tcW w:w="689" w:type="dxa"/>
                  <w:noWrap w:val="0"/>
                  <w:vAlign w:val="center"/>
                </w:tcPr>
                <w:p>
                  <w:pPr>
                    <w:widowControl/>
                    <w:jc w:val="center"/>
                    <w:textAlignment w:val="center"/>
                    <w:rPr>
                      <w:color w:val="auto"/>
                      <w:szCs w:val="21"/>
                      <w:highlight w:val="none"/>
                    </w:rPr>
                  </w:pPr>
                  <w:r>
                    <w:rPr>
                      <w:color w:val="auto"/>
                      <w:kern w:val="0"/>
                      <w:szCs w:val="21"/>
                      <w:highlight w:val="none"/>
                      <w:lang w:bidi="ar"/>
                    </w:rPr>
                    <w:t>/</w:t>
                  </w:r>
                </w:p>
              </w:tc>
              <w:tc>
                <w:tcPr>
                  <w:tcW w:w="699" w:type="dxa"/>
                  <w:noWrap w:val="0"/>
                  <w:vAlign w:val="center"/>
                </w:tcPr>
                <w:p>
                  <w:pPr>
                    <w:widowControl/>
                    <w:jc w:val="center"/>
                    <w:textAlignment w:val="center"/>
                    <w:rPr>
                      <w:color w:val="auto"/>
                      <w:szCs w:val="21"/>
                      <w:highlight w:val="none"/>
                    </w:rPr>
                  </w:pPr>
                  <w:r>
                    <w:rPr>
                      <w:color w:val="auto"/>
                      <w:kern w:val="0"/>
                      <w:szCs w:val="21"/>
                      <w:highlight w:val="none"/>
                      <w:lang w:bidi="ar"/>
                    </w:rPr>
                    <w:t>达标</w:t>
                  </w:r>
                </w:p>
              </w:tc>
              <w:tc>
                <w:tcPr>
                  <w:tcW w:w="742" w:type="dxa"/>
                  <w:noWrap w:val="0"/>
                  <w:vAlign w:val="center"/>
                </w:tcPr>
                <w:p>
                  <w:pPr>
                    <w:widowControl/>
                    <w:jc w:val="center"/>
                    <w:textAlignment w:val="center"/>
                    <w:rPr>
                      <w:color w:val="auto"/>
                      <w:szCs w:val="21"/>
                      <w:highlight w:val="none"/>
                    </w:rPr>
                  </w:pPr>
                  <w:r>
                    <w:rPr>
                      <w:color w:val="auto"/>
                      <w:kern w:val="0"/>
                      <w:szCs w:val="21"/>
                      <w:highlight w:val="none"/>
                      <w:lang w:bidi="ar"/>
                    </w:rPr>
                    <w:t>270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4" w:hRule="atLeast"/>
              </w:trPr>
              <w:tc>
                <w:tcPr>
                  <w:tcW w:w="1217" w:type="dxa"/>
                  <w:noWrap w:val="0"/>
                  <w:vAlign w:val="center"/>
                </w:tcPr>
                <w:p>
                  <w:pPr>
                    <w:kinsoku w:val="0"/>
                    <w:overflowPunct w:val="0"/>
                    <w:autoSpaceDE w:val="0"/>
                    <w:autoSpaceDN w:val="0"/>
                    <w:jc w:val="center"/>
                    <w:rPr>
                      <w:color w:val="auto"/>
                      <w:szCs w:val="21"/>
                      <w:highlight w:val="none"/>
                    </w:rPr>
                  </w:pPr>
                  <w:r>
                    <w:rPr>
                      <w:color w:val="auto"/>
                      <w:szCs w:val="21"/>
                      <w:highlight w:val="none"/>
                    </w:rPr>
                    <w:t>1,1,1,2-四氯乙烷*（μg/kg）</w:t>
                  </w:r>
                </w:p>
              </w:tc>
              <w:tc>
                <w:tcPr>
                  <w:tcW w:w="792" w:type="dxa"/>
                  <w:noWrap w:val="0"/>
                  <w:vAlign w:val="center"/>
                </w:tcPr>
                <w:p>
                  <w:pPr>
                    <w:widowControl/>
                    <w:jc w:val="center"/>
                    <w:textAlignment w:val="center"/>
                    <w:rPr>
                      <w:color w:val="auto"/>
                      <w:szCs w:val="21"/>
                      <w:highlight w:val="none"/>
                    </w:rPr>
                  </w:pPr>
                  <w:r>
                    <w:rPr>
                      <w:color w:val="auto"/>
                      <w:kern w:val="0"/>
                      <w:szCs w:val="21"/>
                      <w:highlight w:val="none"/>
                      <w:lang w:bidi="ar"/>
                    </w:rPr>
                    <w:t>未检出</w:t>
                  </w:r>
                </w:p>
              </w:tc>
              <w:tc>
                <w:tcPr>
                  <w:tcW w:w="689" w:type="dxa"/>
                  <w:noWrap w:val="0"/>
                  <w:vAlign w:val="center"/>
                </w:tcPr>
                <w:p>
                  <w:pPr>
                    <w:widowControl/>
                    <w:jc w:val="center"/>
                    <w:textAlignment w:val="center"/>
                    <w:rPr>
                      <w:color w:val="auto"/>
                      <w:szCs w:val="21"/>
                      <w:highlight w:val="none"/>
                    </w:rPr>
                  </w:pPr>
                  <w:r>
                    <w:rPr>
                      <w:color w:val="auto"/>
                      <w:kern w:val="0"/>
                      <w:szCs w:val="21"/>
                      <w:highlight w:val="none"/>
                      <w:lang w:bidi="ar"/>
                    </w:rPr>
                    <w:t>/</w:t>
                  </w:r>
                </w:p>
              </w:tc>
              <w:tc>
                <w:tcPr>
                  <w:tcW w:w="741" w:type="dxa"/>
                  <w:noWrap w:val="0"/>
                  <w:vAlign w:val="center"/>
                </w:tcPr>
                <w:p>
                  <w:pPr>
                    <w:widowControl/>
                    <w:jc w:val="center"/>
                    <w:textAlignment w:val="center"/>
                    <w:rPr>
                      <w:color w:val="auto"/>
                      <w:szCs w:val="21"/>
                      <w:highlight w:val="none"/>
                    </w:rPr>
                  </w:pPr>
                  <w:r>
                    <w:rPr>
                      <w:color w:val="auto"/>
                      <w:kern w:val="0"/>
                      <w:szCs w:val="21"/>
                      <w:highlight w:val="none"/>
                      <w:lang w:bidi="ar"/>
                    </w:rPr>
                    <w:t>达标</w:t>
                  </w:r>
                </w:p>
              </w:tc>
              <w:tc>
                <w:tcPr>
                  <w:tcW w:w="787" w:type="dxa"/>
                  <w:noWrap w:val="0"/>
                  <w:vAlign w:val="center"/>
                </w:tcPr>
                <w:p>
                  <w:pPr>
                    <w:widowControl/>
                    <w:jc w:val="center"/>
                    <w:textAlignment w:val="center"/>
                    <w:rPr>
                      <w:color w:val="auto"/>
                      <w:szCs w:val="21"/>
                      <w:highlight w:val="none"/>
                    </w:rPr>
                  </w:pPr>
                  <w:r>
                    <w:rPr>
                      <w:color w:val="auto"/>
                      <w:kern w:val="0"/>
                      <w:szCs w:val="21"/>
                      <w:highlight w:val="none"/>
                      <w:lang w:bidi="ar"/>
                    </w:rPr>
                    <w:t>未检出</w:t>
                  </w:r>
                </w:p>
              </w:tc>
              <w:tc>
                <w:tcPr>
                  <w:tcW w:w="591" w:type="dxa"/>
                  <w:noWrap w:val="0"/>
                  <w:vAlign w:val="center"/>
                </w:tcPr>
                <w:p>
                  <w:pPr>
                    <w:widowControl/>
                    <w:jc w:val="center"/>
                    <w:textAlignment w:val="center"/>
                    <w:rPr>
                      <w:color w:val="auto"/>
                      <w:szCs w:val="21"/>
                      <w:highlight w:val="none"/>
                    </w:rPr>
                  </w:pPr>
                  <w:r>
                    <w:rPr>
                      <w:color w:val="auto"/>
                      <w:kern w:val="0"/>
                      <w:szCs w:val="21"/>
                      <w:highlight w:val="none"/>
                      <w:lang w:bidi="ar"/>
                    </w:rPr>
                    <w:t>/</w:t>
                  </w:r>
                </w:p>
              </w:tc>
              <w:tc>
                <w:tcPr>
                  <w:tcW w:w="697" w:type="dxa"/>
                  <w:noWrap w:val="0"/>
                  <w:vAlign w:val="center"/>
                </w:tcPr>
                <w:p>
                  <w:pPr>
                    <w:widowControl/>
                    <w:jc w:val="center"/>
                    <w:textAlignment w:val="center"/>
                    <w:rPr>
                      <w:color w:val="auto"/>
                      <w:szCs w:val="21"/>
                      <w:highlight w:val="none"/>
                    </w:rPr>
                  </w:pPr>
                  <w:r>
                    <w:rPr>
                      <w:color w:val="auto"/>
                      <w:kern w:val="0"/>
                      <w:szCs w:val="21"/>
                      <w:highlight w:val="none"/>
                      <w:lang w:bidi="ar"/>
                    </w:rPr>
                    <w:t>达标</w:t>
                  </w:r>
                </w:p>
              </w:tc>
              <w:tc>
                <w:tcPr>
                  <w:tcW w:w="689" w:type="dxa"/>
                  <w:noWrap w:val="0"/>
                  <w:vAlign w:val="center"/>
                </w:tcPr>
                <w:p>
                  <w:pPr>
                    <w:widowControl/>
                    <w:jc w:val="center"/>
                    <w:textAlignment w:val="center"/>
                    <w:rPr>
                      <w:color w:val="auto"/>
                      <w:szCs w:val="21"/>
                      <w:highlight w:val="none"/>
                    </w:rPr>
                  </w:pPr>
                  <w:r>
                    <w:rPr>
                      <w:color w:val="auto"/>
                      <w:kern w:val="0"/>
                      <w:szCs w:val="21"/>
                      <w:highlight w:val="none"/>
                      <w:lang w:bidi="ar"/>
                    </w:rPr>
                    <w:t>未检出</w:t>
                  </w:r>
                </w:p>
              </w:tc>
              <w:tc>
                <w:tcPr>
                  <w:tcW w:w="689" w:type="dxa"/>
                  <w:noWrap w:val="0"/>
                  <w:vAlign w:val="center"/>
                </w:tcPr>
                <w:p>
                  <w:pPr>
                    <w:widowControl/>
                    <w:jc w:val="center"/>
                    <w:textAlignment w:val="center"/>
                    <w:rPr>
                      <w:color w:val="auto"/>
                      <w:szCs w:val="21"/>
                      <w:highlight w:val="none"/>
                    </w:rPr>
                  </w:pPr>
                  <w:r>
                    <w:rPr>
                      <w:color w:val="auto"/>
                      <w:kern w:val="0"/>
                      <w:szCs w:val="21"/>
                      <w:highlight w:val="none"/>
                      <w:lang w:bidi="ar"/>
                    </w:rPr>
                    <w:t>/</w:t>
                  </w:r>
                </w:p>
              </w:tc>
              <w:tc>
                <w:tcPr>
                  <w:tcW w:w="699" w:type="dxa"/>
                  <w:noWrap w:val="0"/>
                  <w:vAlign w:val="center"/>
                </w:tcPr>
                <w:p>
                  <w:pPr>
                    <w:widowControl/>
                    <w:jc w:val="center"/>
                    <w:textAlignment w:val="center"/>
                    <w:rPr>
                      <w:color w:val="auto"/>
                      <w:szCs w:val="21"/>
                      <w:highlight w:val="none"/>
                    </w:rPr>
                  </w:pPr>
                  <w:r>
                    <w:rPr>
                      <w:color w:val="auto"/>
                      <w:kern w:val="0"/>
                      <w:szCs w:val="21"/>
                      <w:highlight w:val="none"/>
                      <w:lang w:bidi="ar"/>
                    </w:rPr>
                    <w:t>达标</w:t>
                  </w:r>
                </w:p>
              </w:tc>
              <w:tc>
                <w:tcPr>
                  <w:tcW w:w="742" w:type="dxa"/>
                  <w:noWrap w:val="0"/>
                  <w:vAlign w:val="center"/>
                </w:tcPr>
                <w:p>
                  <w:pPr>
                    <w:widowControl/>
                    <w:jc w:val="center"/>
                    <w:textAlignment w:val="center"/>
                    <w:rPr>
                      <w:color w:val="auto"/>
                      <w:szCs w:val="21"/>
                      <w:highlight w:val="none"/>
                    </w:rPr>
                  </w:pPr>
                  <w:r>
                    <w:rPr>
                      <w:color w:val="auto"/>
                      <w:kern w:val="0"/>
                      <w:szCs w:val="21"/>
                      <w:highlight w:val="none"/>
                      <w:lang w:bidi="ar"/>
                    </w:rPr>
                    <w:t>6.8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4" w:hRule="atLeast"/>
              </w:trPr>
              <w:tc>
                <w:tcPr>
                  <w:tcW w:w="1217" w:type="dxa"/>
                  <w:noWrap w:val="0"/>
                  <w:vAlign w:val="center"/>
                </w:tcPr>
                <w:p>
                  <w:pPr>
                    <w:kinsoku w:val="0"/>
                    <w:overflowPunct w:val="0"/>
                    <w:autoSpaceDE w:val="0"/>
                    <w:autoSpaceDN w:val="0"/>
                    <w:jc w:val="center"/>
                    <w:rPr>
                      <w:color w:val="auto"/>
                      <w:szCs w:val="21"/>
                      <w:highlight w:val="none"/>
                    </w:rPr>
                  </w:pPr>
                  <w:r>
                    <w:rPr>
                      <w:color w:val="auto"/>
                      <w:szCs w:val="21"/>
                      <w:highlight w:val="none"/>
                    </w:rPr>
                    <w:t>乙苯*（μg/kg）</w:t>
                  </w:r>
                </w:p>
              </w:tc>
              <w:tc>
                <w:tcPr>
                  <w:tcW w:w="792" w:type="dxa"/>
                  <w:noWrap w:val="0"/>
                  <w:vAlign w:val="center"/>
                </w:tcPr>
                <w:p>
                  <w:pPr>
                    <w:widowControl/>
                    <w:jc w:val="center"/>
                    <w:textAlignment w:val="center"/>
                    <w:rPr>
                      <w:color w:val="auto"/>
                      <w:szCs w:val="21"/>
                      <w:highlight w:val="none"/>
                    </w:rPr>
                  </w:pPr>
                  <w:r>
                    <w:rPr>
                      <w:color w:val="auto"/>
                      <w:kern w:val="0"/>
                      <w:szCs w:val="21"/>
                      <w:highlight w:val="none"/>
                      <w:lang w:bidi="ar"/>
                    </w:rPr>
                    <w:t>未检出</w:t>
                  </w:r>
                </w:p>
              </w:tc>
              <w:tc>
                <w:tcPr>
                  <w:tcW w:w="689" w:type="dxa"/>
                  <w:noWrap w:val="0"/>
                  <w:vAlign w:val="center"/>
                </w:tcPr>
                <w:p>
                  <w:pPr>
                    <w:widowControl/>
                    <w:jc w:val="center"/>
                    <w:textAlignment w:val="center"/>
                    <w:rPr>
                      <w:color w:val="auto"/>
                      <w:szCs w:val="21"/>
                      <w:highlight w:val="none"/>
                    </w:rPr>
                  </w:pPr>
                  <w:r>
                    <w:rPr>
                      <w:color w:val="auto"/>
                      <w:kern w:val="0"/>
                      <w:szCs w:val="21"/>
                      <w:highlight w:val="none"/>
                      <w:lang w:bidi="ar"/>
                    </w:rPr>
                    <w:t>/</w:t>
                  </w:r>
                </w:p>
              </w:tc>
              <w:tc>
                <w:tcPr>
                  <w:tcW w:w="741" w:type="dxa"/>
                  <w:noWrap w:val="0"/>
                  <w:vAlign w:val="center"/>
                </w:tcPr>
                <w:p>
                  <w:pPr>
                    <w:widowControl/>
                    <w:jc w:val="center"/>
                    <w:textAlignment w:val="center"/>
                    <w:rPr>
                      <w:color w:val="auto"/>
                      <w:szCs w:val="21"/>
                      <w:highlight w:val="none"/>
                    </w:rPr>
                  </w:pPr>
                  <w:r>
                    <w:rPr>
                      <w:color w:val="auto"/>
                      <w:kern w:val="0"/>
                      <w:szCs w:val="21"/>
                      <w:highlight w:val="none"/>
                      <w:lang w:bidi="ar"/>
                    </w:rPr>
                    <w:t>达标</w:t>
                  </w:r>
                </w:p>
              </w:tc>
              <w:tc>
                <w:tcPr>
                  <w:tcW w:w="787" w:type="dxa"/>
                  <w:noWrap w:val="0"/>
                  <w:vAlign w:val="center"/>
                </w:tcPr>
                <w:p>
                  <w:pPr>
                    <w:widowControl/>
                    <w:jc w:val="center"/>
                    <w:textAlignment w:val="center"/>
                    <w:rPr>
                      <w:color w:val="auto"/>
                      <w:szCs w:val="21"/>
                      <w:highlight w:val="none"/>
                    </w:rPr>
                  </w:pPr>
                  <w:r>
                    <w:rPr>
                      <w:color w:val="auto"/>
                      <w:kern w:val="0"/>
                      <w:szCs w:val="21"/>
                      <w:highlight w:val="none"/>
                      <w:lang w:bidi="ar"/>
                    </w:rPr>
                    <w:t>未检出</w:t>
                  </w:r>
                </w:p>
              </w:tc>
              <w:tc>
                <w:tcPr>
                  <w:tcW w:w="591" w:type="dxa"/>
                  <w:noWrap w:val="0"/>
                  <w:vAlign w:val="center"/>
                </w:tcPr>
                <w:p>
                  <w:pPr>
                    <w:widowControl/>
                    <w:jc w:val="center"/>
                    <w:textAlignment w:val="center"/>
                    <w:rPr>
                      <w:color w:val="auto"/>
                      <w:szCs w:val="21"/>
                      <w:highlight w:val="none"/>
                    </w:rPr>
                  </w:pPr>
                  <w:r>
                    <w:rPr>
                      <w:color w:val="auto"/>
                      <w:kern w:val="0"/>
                      <w:szCs w:val="21"/>
                      <w:highlight w:val="none"/>
                      <w:lang w:bidi="ar"/>
                    </w:rPr>
                    <w:t>/</w:t>
                  </w:r>
                </w:p>
              </w:tc>
              <w:tc>
                <w:tcPr>
                  <w:tcW w:w="697" w:type="dxa"/>
                  <w:noWrap w:val="0"/>
                  <w:vAlign w:val="center"/>
                </w:tcPr>
                <w:p>
                  <w:pPr>
                    <w:widowControl/>
                    <w:jc w:val="center"/>
                    <w:textAlignment w:val="center"/>
                    <w:rPr>
                      <w:color w:val="auto"/>
                      <w:szCs w:val="21"/>
                      <w:highlight w:val="none"/>
                    </w:rPr>
                  </w:pPr>
                  <w:r>
                    <w:rPr>
                      <w:color w:val="auto"/>
                      <w:kern w:val="0"/>
                      <w:szCs w:val="21"/>
                      <w:highlight w:val="none"/>
                      <w:lang w:bidi="ar"/>
                    </w:rPr>
                    <w:t>达标</w:t>
                  </w:r>
                </w:p>
              </w:tc>
              <w:tc>
                <w:tcPr>
                  <w:tcW w:w="689" w:type="dxa"/>
                  <w:noWrap w:val="0"/>
                  <w:vAlign w:val="center"/>
                </w:tcPr>
                <w:p>
                  <w:pPr>
                    <w:widowControl/>
                    <w:jc w:val="center"/>
                    <w:textAlignment w:val="center"/>
                    <w:rPr>
                      <w:color w:val="auto"/>
                      <w:szCs w:val="21"/>
                      <w:highlight w:val="none"/>
                    </w:rPr>
                  </w:pPr>
                  <w:r>
                    <w:rPr>
                      <w:color w:val="auto"/>
                      <w:kern w:val="0"/>
                      <w:szCs w:val="21"/>
                      <w:highlight w:val="none"/>
                      <w:lang w:bidi="ar"/>
                    </w:rPr>
                    <w:t>未检出</w:t>
                  </w:r>
                </w:p>
              </w:tc>
              <w:tc>
                <w:tcPr>
                  <w:tcW w:w="689" w:type="dxa"/>
                  <w:noWrap w:val="0"/>
                  <w:vAlign w:val="center"/>
                </w:tcPr>
                <w:p>
                  <w:pPr>
                    <w:widowControl/>
                    <w:jc w:val="center"/>
                    <w:textAlignment w:val="center"/>
                    <w:rPr>
                      <w:color w:val="auto"/>
                      <w:szCs w:val="21"/>
                      <w:highlight w:val="none"/>
                    </w:rPr>
                  </w:pPr>
                  <w:r>
                    <w:rPr>
                      <w:color w:val="auto"/>
                      <w:kern w:val="0"/>
                      <w:szCs w:val="21"/>
                      <w:highlight w:val="none"/>
                      <w:lang w:bidi="ar"/>
                    </w:rPr>
                    <w:t>/</w:t>
                  </w:r>
                </w:p>
              </w:tc>
              <w:tc>
                <w:tcPr>
                  <w:tcW w:w="699" w:type="dxa"/>
                  <w:noWrap w:val="0"/>
                  <w:vAlign w:val="center"/>
                </w:tcPr>
                <w:p>
                  <w:pPr>
                    <w:widowControl/>
                    <w:jc w:val="center"/>
                    <w:textAlignment w:val="center"/>
                    <w:rPr>
                      <w:color w:val="auto"/>
                      <w:szCs w:val="21"/>
                      <w:highlight w:val="none"/>
                    </w:rPr>
                  </w:pPr>
                  <w:r>
                    <w:rPr>
                      <w:color w:val="auto"/>
                      <w:kern w:val="0"/>
                      <w:szCs w:val="21"/>
                      <w:highlight w:val="none"/>
                      <w:lang w:bidi="ar"/>
                    </w:rPr>
                    <w:t>达标</w:t>
                  </w:r>
                </w:p>
              </w:tc>
              <w:tc>
                <w:tcPr>
                  <w:tcW w:w="742" w:type="dxa"/>
                  <w:noWrap w:val="0"/>
                  <w:vAlign w:val="center"/>
                </w:tcPr>
                <w:p>
                  <w:pPr>
                    <w:widowControl/>
                    <w:jc w:val="center"/>
                    <w:textAlignment w:val="center"/>
                    <w:rPr>
                      <w:color w:val="auto"/>
                      <w:szCs w:val="21"/>
                      <w:highlight w:val="none"/>
                    </w:rPr>
                  </w:pPr>
                  <w:r>
                    <w:rPr>
                      <w:color w:val="auto"/>
                      <w:kern w:val="0"/>
                      <w:szCs w:val="21"/>
                      <w:highlight w:val="none"/>
                      <w:lang w:bidi="ar"/>
                    </w:rPr>
                    <w:t>28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4" w:hRule="atLeast"/>
              </w:trPr>
              <w:tc>
                <w:tcPr>
                  <w:tcW w:w="1217" w:type="dxa"/>
                  <w:noWrap w:val="0"/>
                  <w:vAlign w:val="center"/>
                </w:tcPr>
                <w:p>
                  <w:pPr>
                    <w:spacing w:line="220" w:lineRule="atLeast"/>
                    <w:jc w:val="center"/>
                    <w:rPr>
                      <w:color w:val="auto"/>
                      <w:szCs w:val="21"/>
                      <w:highlight w:val="none"/>
                    </w:rPr>
                  </w:pPr>
                  <w:r>
                    <w:rPr>
                      <w:color w:val="auto"/>
                      <w:szCs w:val="21"/>
                      <w:highlight w:val="none"/>
                    </w:rPr>
                    <w:t>间-二甲苯+对-二甲苯*（μg/kg）</w:t>
                  </w:r>
                </w:p>
              </w:tc>
              <w:tc>
                <w:tcPr>
                  <w:tcW w:w="792" w:type="dxa"/>
                  <w:noWrap w:val="0"/>
                  <w:vAlign w:val="center"/>
                </w:tcPr>
                <w:p>
                  <w:pPr>
                    <w:widowControl/>
                    <w:jc w:val="center"/>
                    <w:textAlignment w:val="center"/>
                    <w:rPr>
                      <w:color w:val="auto"/>
                      <w:szCs w:val="21"/>
                      <w:highlight w:val="none"/>
                    </w:rPr>
                  </w:pPr>
                  <w:r>
                    <w:rPr>
                      <w:color w:val="auto"/>
                      <w:kern w:val="0"/>
                      <w:szCs w:val="21"/>
                      <w:highlight w:val="none"/>
                      <w:lang w:bidi="ar"/>
                    </w:rPr>
                    <w:t>未检出</w:t>
                  </w:r>
                </w:p>
              </w:tc>
              <w:tc>
                <w:tcPr>
                  <w:tcW w:w="689" w:type="dxa"/>
                  <w:noWrap w:val="0"/>
                  <w:vAlign w:val="center"/>
                </w:tcPr>
                <w:p>
                  <w:pPr>
                    <w:widowControl/>
                    <w:jc w:val="center"/>
                    <w:textAlignment w:val="center"/>
                    <w:rPr>
                      <w:color w:val="auto"/>
                      <w:szCs w:val="21"/>
                      <w:highlight w:val="none"/>
                    </w:rPr>
                  </w:pPr>
                  <w:r>
                    <w:rPr>
                      <w:color w:val="auto"/>
                      <w:kern w:val="0"/>
                      <w:szCs w:val="21"/>
                      <w:highlight w:val="none"/>
                      <w:lang w:bidi="ar"/>
                    </w:rPr>
                    <w:t>/</w:t>
                  </w:r>
                </w:p>
              </w:tc>
              <w:tc>
                <w:tcPr>
                  <w:tcW w:w="741" w:type="dxa"/>
                  <w:noWrap w:val="0"/>
                  <w:vAlign w:val="center"/>
                </w:tcPr>
                <w:p>
                  <w:pPr>
                    <w:widowControl/>
                    <w:jc w:val="center"/>
                    <w:textAlignment w:val="center"/>
                    <w:rPr>
                      <w:color w:val="auto"/>
                      <w:szCs w:val="21"/>
                      <w:highlight w:val="none"/>
                    </w:rPr>
                  </w:pPr>
                  <w:r>
                    <w:rPr>
                      <w:color w:val="auto"/>
                      <w:kern w:val="0"/>
                      <w:szCs w:val="21"/>
                      <w:highlight w:val="none"/>
                      <w:lang w:bidi="ar"/>
                    </w:rPr>
                    <w:t>达标</w:t>
                  </w:r>
                </w:p>
              </w:tc>
              <w:tc>
                <w:tcPr>
                  <w:tcW w:w="787" w:type="dxa"/>
                  <w:noWrap w:val="0"/>
                  <w:vAlign w:val="center"/>
                </w:tcPr>
                <w:p>
                  <w:pPr>
                    <w:widowControl/>
                    <w:jc w:val="center"/>
                    <w:textAlignment w:val="center"/>
                    <w:rPr>
                      <w:color w:val="auto"/>
                      <w:szCs w:val="21"/>
                      <w:highlight w:val="none"/>
                    </w:rPr>
                  </w:pPr>
                  <w:r>
                    <w:rPr>
                      <w:color w:val="auto"/>
                      <w:kern w:val="0"/>
                      <w:szCs w:val="21"/>
                      <w:highlight w:val="none"/>
                      <w:lang w:bidi="ar"/>
                    </w:rPr>
                    <w:t>未检出</w:t>
                  </w:r>
                </w:p>
              </w:tc>
              <w:tc>
                <w:tcPr>
                  <w:tcW w:w="591" w:type="dxa"/>
                  <w:noWrap w:val="0"/>
                  <w:vAlign w:val="center"/>
                </w:tcPr>
                <w:p>
                  <w:pPr>
                    <w:widowControl/>
                    <w:jc w:val="center"/>
                    <w:textAlignment w:val="center"/>
                    <w:rPr>
                      <w:color w:val="auto"/>
                      <w:szCs w:val="21"/>
                      <w:highlight w:val="none"/>
                    </w:rPr>
                  </w:pPr>
                  <w:r>
                    <w:rPr>
                      <w:color w:val="auto"/>
                      <w:kern w:val="0"/>
                      <w:szCs w:val="21"/>
                      <w:highlight w:val="none"/>
                      <w:lang w:bidi="ar"/>
                    </w:rPr>
                    <w:t>/</w:t>
                  </w:r>
                </w:p>
              </w:tc>
              <w:tc>
                <w:tcPr>
                  <w:tcW w:w="697" w:type="dxa"/>
                  <w:noWrap w:val="0"/>
                  <w:vAlign w:val="center"/>
                </w:tcPr>
                <w:p>
                  <w:pPr>
                    <w:widowControl/>
                    <w:jc w:val="center"/>
                    <w:textAlignment w:val="center"/>
                    <w:rPr>
                      <w:color w:val="auto"/>
                      <w:szCs w:val="21"/>
                      <w:highlight w:val="none"/>
                    </w:rPr>
                  </w:pPr>
                  <w:r>
                    <w:rPr>
                      <w:color w:val="auto"/>
                      <w:kern w:val="0"/>
                      <w:szCs w:val="21"/>
                      <w:highlight w:val="none"/>
                      <w:lang w:bidi="ar"/>
                    </w:rPr>
                    <w:t>达标</w:t>
                  </w:r>
                </w:p>
              </w:tc>
              <w:tc>
                <w:tcPr>
                  <w:tcW w:w="689" w:type="dxa"/>
                  <w:noWrap w:val="0"/>
                  <w:vAlign w:val="center"/>
                </w:tcPr>
                <w:p>
                  <w:pPr>
                    <w:widowControl/>
                    <w:jc w:val="center"/>
                    <w:textAlignment w:val="center"/>
                    <w:rPr>
                      <w:color w:val="auto"/>
                      <w:szCs w:val="21"/>
                      <w:highlight w:val="none"/>
                    </w:rPr>
                  </w:pPr>
                  <w:r>
                    <w:rPr>
                      <w:color w:val="auto"/>
                      <w:kern w:val="0"/>
                      <w:szCs w:val="21"/>
                      <w:highlight w:val="none"/>
                      <w:lang w:bidi="ar"/>
                    </w:rPr>
                    <w:t>未检出</w:t>
                  </w:r>
                </w:p>
              </w:tc>
              <w:tc>
                <w:tcPr>
                  <w:tcW w:w="689" w:type="dxa"/>
                  <w:noWrap w:val="0"/>
                  <w:vAlign w:val="center"/>
                </w:tcPr>
                <w:p>
                  <w:pPr>
                    <w:widowControl/>
                    <w:jc w:val="center"/>
                    <w:textAlignment w:val="center"/>
                    <w:rPr>
                      <w:color w:val="auto"/>
                      <w:szCs w:val="21"/>
                      <w:highlight w:val="none"/>
                    </w:rPr>
                  </w:pPr>
                  <w:r>
                    <w:rPr>
                      <w:color w:val="auto"/>
                      <w:kern w:val="0"/>
                      <w:szCs w:val="21"/>
                      <w:highlight w:val="none"/>
                      <w:lang w:bidi="ar"/>
                    </w:rPr>
                    <w:t>/</w:t>
                  </w:r>
                </w:p>
              </w:tc>
              <w:tc>
                <w:tcPr>
                  <w:tcW w:w="699" w:type="dxa"/>
                  <w:noWrap w:val="0"/>
                  <w:vAlign w:val="center"/>
                </w:tcPr>
                <w:p>
                  <w:pPr>
                    <w:widowControl/>
                    <w:jc w:val="center"/>
                    <w:textAlignment w:val="center"/>
                    <w:rPr>
                      <w:color w:val="auto"/>
                      <w:szCs w:val="21"/>
                      <w:highlight w:val="none"/>
                    </w:rPr>
                  </w:pPr>
                  <w:r>
                    <w:rPr>
                      <w:color w:val="auto"/>
                      <w:kern w:val="0"/>
                      <w:szCs w:val="21"/>
                      <w:highlight w:val="none"/>
                      <w:lang w:bidi="ar"/>
                    </w:rPr>
                    <w:t>达标</w:t>
                  </w:r>
                </w:p>
              </w:tc>
              <w:tc>
                <w:tcPr>
                  <w:tcW w:w="742" w:type="dxa"/>
                  <w:noWrap w:val="0"/>
                  <w:vAlign w:val="center"/>
                </w:tcPr>
                <w:p>
                  <w:pPr>
                    <w:widowControl/>
                    <w:jc w:val="center"/>
                    <w:textAlignment w:val="center"/>
                    <w:rPr>
                      <w:color w:val="auto"/>
                      <w:szCs w:val="21"/>
                      <w:highlight w:val="none"/>
                    </w:rPr>
                  </w:pPr>
                  <w:r>
                    <w:rPr>
                      <w:color w:val="auto"/>
                      <w:kern w:val="0"/>
                      <w:szCs w:val="21"/>
                      <w:highlight w:val="none"/>
                      <w:lang w:bidi="ar"/>
                    </w:rPr>
                    <w:t>570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4" w:hRule="atLeast"/>
              </w:trPr>
              <w:tc>
                <w:tcPr>
                  <w:tcW w:w="1217" w:type="dxa"/>
                  <w:noWrap w:val="0"/>
                  <w:vAlign w:val="center"/>
                </w:tcPr>
                <w:p>
                  <w:pPr>
                    <w:kinsoku w:val="0"/>
                    <w:overflowPunct w:val="0"/>
                    <w:autoSpaceDE w:val="0"/>
                    <w:autoSpaceDN w:val="0"/>
                    <w:jc w:val="center"/>
                    <w:rPr>
                      <w:color w:val="auto"/>
                      <w:szCs w:val="21"/>
                      <w:highlight w:val="none"/>
                    </w:rPr>
                  </w:pPr>
                  <w:r>
                    <w:rPr>
                      <w:color w:val="auto"/>
                      <w:szCs w:val="21"/>
                      <w:highlight w:val="none"/>
                    </w:rPr>
                    <w:t>邻-二甲苯*（μg/kg）</w:t>
                  </w:r>
                </w:p>
              </w:tc>
              <w:tc>
                <w:tcPr>
                  <w:tcW w:w="792" w:type="dxa"/>
                  <w:noWrap w:val="0"/>
                  <w:vAlign w:val="center"/>
                </w:tcPr>
                <w:p>
                  <w:pPr>
                    <w:widowControl/>
                    <w:jc w:val="center"/>
                    <w:textAlignment w:val="center"/>
                    <w:rPr>
                      <w:color w:val="auto"/>
                      <w:szCs w:val="21"/>
                      <w:highlight w:val="none"/>
                    </w:rPr>
                  </w:pPr>
                  <w:r>
                    <w:rPr>
                      <w:color w:val="auto"/>
                      <w:kern w:val="0"/>
                      <w:szCs w:val="21"/>
                      <w:highlight w:val="none"/>
                      <w:lang w:bidi="ar"/>
                    </w:rPr>
                    <w:t>未检出</w:t>
                  </w:r>
                </w:p>
              </w:tc>
              <w:tc>
                <w:tcPr>
                  <w:tcW w:w="689" w:type="dxa"/>
                  <w:noWrap w:val="0"/>
                  <w:vAlign w:val="center"/>
                </w:tcPr>
                <w:p>
                  <w:pPr>
                    <w:widowControl/>
                    <w:jc w:val="center"/>
                    <w:textAlignment w:val="center"/>
                    <w:rPr>
                      <w:color w:val="auto"/>
                      <w:szCs w:val="21"/>
                      <w:highlight w:val="none"/>
                    </w:rPr>
                  </w:pPr>
                  <w:r>
                    <w:rPr>
                      <w:color w:val="auto"/>
                      <w:kern w:val="0"/>
                      <w:szCs w:val="21"/>
                      <w:highlight w:val="none"/>
                      <w:lang w:bidi="ar"/>
                    </w:rPr>
                    <w:t>/</w:t>
                  </w:r>
                </w:p>
              </w:tc>
              <w:tc>
                <w:tcPr>
                  <w:tcW w:w="741" w:type="dxa"/>
                  <w:noWrap w:val="0"/>
                  <w:vAlign w:val="center"/>
                </w:tcPr>
                <w:p>
                  <w:pPr>
                    <w:widowControl/>
                    <w:jc w:val="center"/>
                    <w:textAlignment w:val="center"/>
                    <w:rPr>
                      <w:color w:val="auto"/>
                      <w:szCs w:val="21"/>
                      <w:highlight w:val="none"/>
                    </w:rPr>
                  </w:pPr>
                  <w:r>
                    <w:rPr>
                      <w:color w:val="auto"/>
                      <w:kern w:val="0"/>
                      <w:szCs w:val="21"/>
                      <w:highlight w:val="none"/>
                      <w:lang w:bidi="ar"/>
                    </w:rPr>
                    <w:t>达标</w:t>
                  </w:r>
                </w:p>
              </w:tc>
              <w:tc>
                <w:tcPr>
                  <w:tcW w:w="787" w:type="dxa"/>
                  <w:noWrap w:val="0"/>
                  <w:vAlign w:val="center"/>
                </w:tcPr>
                <w:p>
                  <w:pPr>
                    <w:widowControl/>
                    <w:jc w:val="center"/>
                    <w:textAlignment w:val="center"/>
                    <w:rPr>
                      <w:color w:val="auto"/>
                      <w:szCs w:val="21"/>
                      <w:highlight w:val="none"/>
                    </w:rPr>
                  </w:pPr>
                  <w:r>
                    <w:rPr>
                      <w:color w:val="auto"/>
                      <w:kern w:val="0"/>
                      <w:szCs w:val="21"/>
                      <w:highlight w:val="none"/>
                      <w:lang w:bidi="ar"/>
                    </w:rPr>
                    <w:t>未检出</w:t>
                  </w:r>
                </w:p>
              </w:tc>
              <w:tc>
                <w:tcPr>
                  <w:tcW w:w="591" w:type="dxa"/>
                  <w:noWrap w:val="0"/>
                  <w:vAlign w:val="center"/>
                </w:tcPr>
                <w:p>
                  <w:pPr>
                    <w:widowControl/>
                    <w:jc w:val="center"/>
                    <w:textAlignment w:val="center"/>
                    <w:rPr>
                      <w:color w:val="auto"/>
                      <w:szCs w:val="21"/>
                      <w:highlight w:val="none"/>
                    </w:rPr>
                  </w:pPr>
                  <w:r>
                    <w:rPr>
                      <w:color w:val="auto"/>
                      <w:kern w:val="0"/>
                      <w:szCs w:val="21"/>
                      <w:highlight w:val="none"/>
                      <w:lang w:bidi="ar"/>
                    </w:rPr>
                    <w:t>/</w:t>
                  </w:r>
                </w:p>
              </w:tc>
              <w:tc>
                <w:tcPr>
                  <w:tcW w:w="697" w:type="dxa"/>
                  <w:noWrap w:val="0"/>
                  <w:vAlign w:val="center"/>
                </w:tcPr>
                <w:p>
                  <w:pPr>
                    <w:widowControl/>
                    <w:jc w:val="center"/>
                    <w:textAlignment w:val="center"/>
                    <w:rPr>
                      <w:color w:val="auto"/>
                      <w:szCs w:val="21"/>
                      <w:highlight w:val="none"/>
                    </w:rPr>
                  </w:pPr>
                  <w:r>
                    <w:rPr>
                      <w:color w:val="auto"/>
                      <w:kern w:val="0"/>
                      <w:szCs w:val="21"/>
                      <w:highlight w:val="none"/>
                      <w:lang w:bidi="ar"/>
                    </w:rPr>
                    <w:t>达标</w:t>
                  </w:r>
                </w:p>
              </w:tc>
              <w:tc>
                <w:tcPr>
                  <w:tcW w:w="689" w:type="dxa"/>
                  <w:noWrap w:val="0"/>
                  <w:vAlign w:val="center"/>
                </w:tcPr>
                <w:p>
                  <w:pPr>
                    <w:widowControl/>
                    <w:jc w:val="center"/>
                    <w:textAlignment w:val="center"/>
                    <w:rPr>
                      <w:color w:val="auto"/>
                      <w:szCs w:val="21"/>
                      <w:highlight w:val="none"/>
                    </w:rPr>
                  </w:pPr>
                  <w:r>
                    <w:rPr>
                      <w:color w:val="auto"/>
                      <w:kern w:val="0"/>
                      <w:szCs w:val="21"/>
                      <w:highlight w:val="none"/>
                      <w:lang w:bidi="ar"/>
                    </w:rPr>
                    <w:t>未检出</w:t>
                  </w:r>
                </w:p>
              </w:tc>
              <w:tc>
                <w:tcPr>
                  <w:tcW w:w="689" w:type="dxa"/>
                  <w:noWrap w:val="0"/>
                  <w:vAlign w:val="center"/>
                </w:tcPr>
                <w:p>
                  <w:pPr>
                    <w:widowControl/>
                    <w:jc w:val="center"/>
                    <w:textAlignment w:val="center"/>
                    <w:rPr>
                      <w:color w:val="auto"/>
                      <w:szCs w:val="21"/>
                      <w:highlight w:val="none"/>
                    </w:rPr>
                  </w:pPr>
                  <w:r>
                    <w:rPr>
                      <w:color w:val="auto"/>
                      <w:kern w:val="0"/>
                      <w:szCs w:val="21"/>
                      <w:highlight w:val="none"/>
                      <w:lang w:bidi="ar"/>
                    </w:rPr>
                    <w:t>/</w:t>
                  </w:r>
                </w:p>
              </w:tc>
              <w:tc>
                <w:tcPr>
                  <w:tcW w:w="699" w:type="dxa"/>
                  <w:noWrap w:val="0"/>
                  <w:vAlign w:val="center"/>
                </w:tcPr>
                <w:p>
                  <w:pPr>
                    <w:widowControl/>
                    <w:jc w:val="center"/>
                    <w:textAlignment w:val="center"/>
                    <w:rPr>
                      <w:color w:val="auto"/>
                      <w:szCs w:val="21"/>
                      <w:highlight w:val="none"/>
                    </w:rPr>
                  </w:pPr>
                  <w:r>
                    <w:rPr>
                      <w:color w:val="auto"/>
                      <w:kern w:val="0"/>
                      <w:szCs w:val="21"/>
                      <w:highlight w:val="none"/>
                      <w:lang w:bidi="ar"/>
                    </w:rPr>
                    <w:t>达标</w:t>
                  </w:r>
                </w:p>
              </w:tc>
              <w:tc>
                <w:tcPr>
                  <w:tcW w:w="742" w:type="dxa"/>
                  <w:noWrap w:val="0"/>
                  <w:vAlign w:val="center"/>
                </w:tcPr>
                <w:p>
                  <w:pPr>
                    <w:widowControl/>
                    <w:jc w:val="center"/>
                    <w:textAlignment w:val="center"/>
                    <w:rPr>
                      <w:color w:val="auto"/>
                      <w:szCs w:val="21"/>
                      <w:highlight w:val="none"/>
                    </w:rPr>
                  </w:pPr>
                  <w:r>
                    <w:rPr>
                      <w:color w:val="auto"/>
                      <w:kern w:val="0"/>
                      <w:szCs w:val="21"/>
                      <w:highlight w:val="none"/>
                      <w:lang w:bidi="ar"/>
                    </w:rPr>
                    <w:t>640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4" w:hRule="atLeast"/>
              </w:trPr>
              <w:tc>
                <w:tcPr>
                  <w:tcW w:w="1217" w:type="dxa"/>
                  <w:noWrap w:val="0"/>
                  <w:vAlign w:val="center"/>
                </w:tcPr>
                <w:p>
                  <w:pPr>
                    <w:kinsoku w:val="0"/>
                    <w:overflowPunct w:val="0"/>
                    <w:autoSpaceDE w:val="0"/>
                    <w:autoSpaceDN w:val="0"/>
                    <w:jc w:val="center"/>
                    <w:rPr>
                      <w:color w:val="auto"/>
                      <w:szCs w:val="21"/>
                      <w:highlight w:val="none"/>
                    </w:rPr>
                  </w:pPr>
                  <w:r>
                    <w:rPr>
                      <w:color w:val="auto"/>
                      <w:szCs w:val="21"/>
                      <w:highlight w:val="none"/>
                    </w:rPr>
                    <w:t>苯乙烯*（μg/kg）</w:t>
                  </w:r>
                </w:p>
              </w:tc>
              <w:tc>
                <w:tcPr>
                  <w:tcW w:w="792" w:type="dxa"/>
                  <w:noWrap w:val="0"/>
                  <w:vAlign w:val="center"/>
                </w:tcPr>
                <w:p>
                  <w:pPr>
                    <w:widowControl/>
                    <w:jc w:val="center"/>
                    <w:textAlignment w:val="center"/>
                    <w:rPr>
                      <w:color w:val="auto"/>
                      <w:szCs w:val="21"/>
                      <w:highlight w:val="none"/>
                    </w:rPr>
                  </w:pPr>
                  <w:r>
                    <w:rPr>
                      <w:color w:val="auto"/>
                      <w:kern w:val="0"/>
                      <w:szCs w:val="21"/>
                      <w:highlight w:val="none"/>
                      <w:lang w:bidi="ar"/>
                    </w:rPr>
                    <w:t>未检出</w:t>
                  </w:r>
                </w:p>
              </w:tc>
              <w:tc>
                <w:tcPr>
                  <w:tcW w:w="689" w:type="dxa"/>
                  <w:noWrap w:val="0"/>
                  <w:vAlign w:val="center"/>
                </w:tcPr>
                <w:p>
                  <w:pPr>
                    <w:widowControl/>
                    <w:jc w:val="center"/>
                    <w:textAlignment w:val="center"/>
                    <w:rPr>
                      <w:color w:val="auto"/>
                      <w:szCs w:val="21"/>
                      <w:highlight w:val="none"/>
                    </w:rPr>
                  </w:pPr>
                  <w:r>
                    <w:rPr>
                      <w:color w:val="auto"/>
                      <w:kern w:val="0"/>
                      <w:szCs w:val="21"/>
                      <w:highlight w:val="none"/>
                      <w:lang w:bidi="ar"/>
                    </w:rPr>
                    <w:t>/</w:t>
                  </w:r>
                </w:p>
              </w:tc>
              <w:tc>
                <w:tcPr>
                  <w:tcW w:w="741" w:type="dxa"/>
                  <w:noWrap w:val="0"/>
                  <w:vAlign w:val="center"/>
                </w:tcPr>
                <w:p>
                  <w:pPr>
                    <w:widowControl/>
                    <w:jc w:val="center"/>
                    <w:textAlignment w:val="center"/>
                    <w:rPr>
                      <w:color w:val="auto"/>
                      <w:szCs w:val="21"/>
                      <w:highlight w:val="none"/>
                    </w:rPr>
                  </w:pPr>
                  <w:r>
                    <w:rPr>
                      <w:color w:val="auto"/>
                      <w:kern w:val="0"/>
                      <w:szCs w:val="21"/>
                      <w:highlight w:val="none"/>
                      <w:lang w:bidi="ar"/>
                    </w:rPr>
                    <w:t>达标</w:t>
                  </w:r>
                </w:p>
              </w:tc>
              <w:tc>
                <w:tcPr>
                  <w:tcW w:w="787" w:type="dxa"/>
                  <w:noWrap w:val="0"/>
                  <w:vAlign w:val="center"/>
                </w:tcPr>
                <w:p>
                  <w:pPr>
                    <w:widowControl/>
                    <w:jc w:val="center"/>
                    <w:textAlignment w:val="center"/>
                    <w:rPr>
                      <w:color w:val="auto"/>
                      <w:szCs w:val="21"/>
                      <w:highlight w:val="none"/>
                    </w:rPr>
                  </w:pPr>
                  <w:r>
                    <w:rPr>
                      <w:color w:val="auto"/>
                      <w:kern w:val="0"/>
                      <w:szCs w:val="21"/>
                      <w:highlight w:val="none"/>
                      <w:lang w:bidi="ar"/>
                    </w:rPr>
                    <w:t>未检出</w:t>
                  </w:r>
                </w:p>
              </w:tc>
              <w:tc>
                <w:tcPr>
                  <w:tcW w:w="591" w:type="dxa"/>
                  <w:noWrap w:val="0"/>
                  <w:vAlign w:val="center"/>
                </w:tcPr>
                <w:p>
                  <w:pPr>
                    <w:widowControl/>
                    <w:jc w:val="center"/>
                    <w:textAlignment w:val="center"/>
                    <w:rPr>
                      <w:color w:val="auto"/>
                      <w:szCs w:val="21"/>
                      <w:highlight w:val="none"/>
                    </w:rPr>
                  </w:pPr>
                  <w:r>
                    <w:rPr>
                      <w:color w:val="auto"/>
                      <w:kern w:val="0"/>
                      <w:szCs w:val="21"/>
                      <w:highlight w:val="none"/>
                      <w:lang w:bidi="ar"/>
                    </w:rPr>
                    <w:t>/</w:t>
                  </w:r>
                </w:p>
              </w:tc>
              <w:tc>
                <w:tcPr>
                  <w:tcW w:w="697" w:type="dxa"/>
                  <w:noWrap w:val="0"/>
                  <w:vAlign w:val="center"/>
                </w:tcPr>
                <w:p>
                  <w:pPr>
                    <w:widowControl/>
                    <w:jc w:val="center"/>
                    <w:textAlignment w:val="center"/>
                    <w:rPr>
                      <w:color w:val="auto"/>
                      <w:szCs w:val="21"/>
                      <w:highlight w:val="none"/>
                    </w:rPr>
                  </w:pPr>
                  <w:r>
                    <w:rPr>
                      <w:color w:val="auto"/>
                      <w:kern w:val="0"/>
                      <w:szCs w:val="21"/>
                      <w:highlight w:val="none"/>
                      <w:lang w:bidi="ar"/>
                    </w:rPr>
                    <w:t>达标</w:t>
                  </w:r>
                </w:p>
              </w:tc>
              <w:tc>
                <w:tcPr>
                  <w:tcW w:w="689" w:type="dxa"/>
                  <w:noWrap w:val="0"/>
                  <w:vAlign w:val="center"/>
                </w:tcPr>
                <w:p>
                  <w:pPr>
                    <w:widowControl/>
                    <w:jc w:val="center"/>
                    <w:textAlignment w:val="center"/>
                    <w:rPr>
                      <w:color w:val="auto"/>
                      <w:szCs w:val="21"/>
                      <w:highlight w:val="none"/>
                    </w:rPr>
                  </w:pPr>
                  <w:r>
                    <w:rPr>
                      <w:color w:val="auto"/>
                      <w:kern w:val="0"/>
                      <w:szCs w:val="21"/>
                      <w:highlight w:val="none"/>
                      <w:lang w:bidi="ar"/>
                    </w:rPr>
                    <w:t>未检出</w:t>
                  </w:r>
                </w:p>
              </w:tc>
              <w:tc>
                <w:tcPr>
                  <w:tcW w:w="689" w:type="dxa"/>
                  <w:noWrap w:val="0"/>
                  <w:vAlign w:val="center"/>
                </w:tcPr>
                <w:p>
                  <w:pPr>
                    <w:widowControl/>
                    <w:jc w:val="center"/>
                    <w:textAlignment w:val="center"/>
                    <w:rPr>
                      <w:color w:val="auto"/>
                      <w:szCs w:val="21"/>
                      <w:highlight w:val="none"/>
                    </w:rPr>
                  </w:pPr>
                  <w:r>
                    <w:rPr>
                      <w:color w:val="auto"/>
                      <w:kern w:val="0"/>
                      <w:szCs w:val="21"/>
                      <w:highlight w:val="none"/>
                      <w:lang w:bidi="ar"/>
                    </w:rPr>
                    <w:t>/</w:t>
                  </w:r>
                </w:p>
              </w:tc>
              <w:tc>
                <w:tcPr>
                  <w:tcW w:w="699" w:type="dxa"/>
                  <w:noWrap w:val="0"/>
                  <w:vAlign w:val="center"/>
                </w:tcPr>
                <w:p>
                  <w:pPr>
                    <w:widowControl/>
                    <w:jc w:val="center"/>
                    <w:textAlignment w:val="center"/>
                    <w:rPr>
                      <w:color w:val="auto"/>
                      <w:szCs w:val="21"/>
                      <w:highlight w:val="none"/>
                    </w:rPr>
                  </w:pPr>
                  <w:r>
                    <w:rPr>
                      <w:color w:val="auto"/>
                      <w:kern w:val="0"/>
                      <w:szCs w:val="21"/>
                      <w:highlight w:val="none"/>
                      <w:lang w:bidi="ar"/>
                    </w:rPr>
                    <w:t>达标</w:t>
                  </w:r>
                </w:p>
              </w:tc>
              <w:tc>
                <w:tcPr>
                  <w:tcW w:w="742" w:type="dxa"/>
                  <w:noWrap w:val="0"/>
                  <w:vAlign w:val="center"/>
                </w:tcPr>
                <w:p>
                  <w:pPr>
                    <w:widowControl/>
                    <w:jc w:val="center"/>
                    <w:textAlignment w:val="center"/>
                    <w:rPr>
                      <w:color w:val="auto"/>
                      <w:szCs w:val="21"/>
                      <w:highlight w:val="none"/>
                    </w:rPr>
                  </w:pPr>
                  <w:r>
                    <w:rPr>
                      <w:color w:val="auto"/>
                      <w:kern w:val="0"/>
                      <w:szCs w:val="21"/>
                      <w:highlight w:val="none"/>
                      <w:lang w:bidi="ar"/>
                    </w:rPr>
                    <w:t>1290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4" w:hRule="atLeast"/>
              </w:trPr>
              <w:tc>
                <w:tcPr>
                  <w:tcW w:w="1217" w:type="dxa"/>
                  <w:noWrap w:val="0"/>
                  <w:vAlign w:val="center"/>
                </w:tcPr>
                <w:p>
                  <w:pPr>
                    <w:kinsoku w:val="0"/>
                    <w:overflowPunct w:val="0"/>
                    <w:autoSpaceDE w:val="0"/>
                    <w:autoSpaceDN w:val="0"/>
                    <w:jc w:val="center"/>
                    <w:rPr>
                      <w:color w:val="auto"/>
                      <w:szCs w:val="21"/>
                      <w:highlight w:val="none"/>
                    </w:rPr>
                  </w:pPr>
                  <w:r>
                    <w:rPr>
                      <w:color w:val="auto"/>
                      <w:szCs w:val="21"/>
                      <w:highlight w:val="none"/>
                    </w:rPr>
                    <w:t>1,1,2,2-四氯乙烷*（μg/kg）</w:t>
                  </w:r>
                </w:p>
              </w:tc>
              <w:tc>
                <w:tcPr>
                  <w:tcW w:w="792" w:type="dxa"/>
                  <w:noWrap w:val="0"/>
                  <w:vAlign w:val="center"/>
                </w:tcPr>
                <w:p>
                  <w:pPr>
                    <w:widowControl/>
                    <w:jc w:val="center"/>
                    <w:textAlignment w:val="center"/>
                    <w:rPr>
                      <w:color w:val="auto"/>
                      <w:szCs w:val="21"/>
                      <w:highlight w:val="none"/>
                    </w:rPr>
                  </w:pPr>
                  <w:r>
                    <w:rPr>
                      <w:color w:val="auto"/>
                      <w:kern w:val="0"/>
                      <w:szCs w:val="21"/>
                      <w:highlight w:val="none"/>
                      <w:lang w:bidi="ar"/>
                    </w:rPr>
                    <w:t>未检出</w:t>
                  </w:r>
                </w:p>
              </w:tc>
              <w:tc>
                <w:tcPr>
                  <w:tcW w:w="689" w:type="dxa"/>
                  <w:noWrap w:val="0"/>
                  <w:vAlign w:val="center"/>
                </w:tcPr>
                <w:p>
                  <w:pPr>
                    <w:widowControl/>
                    <w:jc w:val="center"/>
                    <w:textAlignment w:val="center"/>
                    <w:rPr>
                      <w:color w:val="auto"/>
                      <w:szCs w:val="21"/>
                      <w:highlight w:val="none"/>
                    </w:rPr>
                  </w:pPr>
                  <w:r>
                    <w:rPr>
                      <w:color w:val="auto"/>
                      <w:kern w:val="0"/>
                      <w:szCs w:val="21"/>
                      <w:highlight w:val="none"/>
                      <w:lang w:bidi="ar"/>
                    </w:rPr>
                    <w:t>/</w:t>
                  </w:r>
                </w:p>
              </w:tc>
              <w:tc>
                <w:tcPr>
                  <w:tcW w:w="741" w:type="dxa"/>
                  <w:noWrap w:val="0"/>
                  <w:vAlign w:val="center"/>
                </w:tcPr>
                <w:p>
                  <w:pPr>
                    <w:widowControl/>
                    <w:jc w:val="center"/>
                    <w:textAlignment w:val="center"/>
                    <w:rPr>
                      <w:color w:val="auto"/>
                      <w:szCs w:val="21"/>
                      <w:highlight w:val="none"/>
                    </w:rPr>
                  </w:pPr>
                  <w:r>
                    <w:rPr>
                      <w:color w:val="auto"/>
                      <w:kern w:val="0"/>
                      <w:szCs w:val="21"/>
                      <w:highlight w:val="none"/>
                      <w:lang w:bidi="ar"/>
                    </w:rPr>
                    <w:t>达标</w:t>
                  </w:r>
                </w:p>
              </w:tc>
              <w:tc>
                <w:tcPr>
                  <w:tcW w:w="787" w:type="dxa"/>
                  <w:noWrap w:val="0"/>
                  <w:vAlign w:val="center"/>
                </w:tcPr>
                <w:p>
                  <w:pPr>
                    <w:widowControl/>
                    <w:jc w:val="center"/>
                    <w:textAlignment w:val="center"/>
                    <w:rPr>
                      <w:color w:val="auto"/>
                      <w:szCs w:val="21"/>
                      <w:highlight w:val="none"/>
                    </w:rPr>
                  </w:pPr>
                  <w:r>
                    <w:rPr>
                      <w:color w:val="auto"/>
                      <w:kern w:val="0"/>
                      <w:szCs w:val="21"/>
                      <w:highlight w:val="none"/>
                      <w:lang w:bidi="ar"/>
                    </w:rPr>
                    <w:t>未检出</w:t>
                  </w:r>
                </w:p>
              </w:tc>
              <w:tc>
                <w:tcPr>
                  <w:tcW w:w="591" w:type="dxa"/>
                  <w:noWrap w:val="0"/>
                  <w:vAlign w:val="center"/>
                </w:tcPr>
                <w:p>
                  <w:pPr>
                    <w:widowControl/>
                    <w:jc w:val="center"/>
                    <w:textAlignment w:val="center"/>
                    <w:rPr>
                      <w:color w:val="auto"/>
                      <w:szCs w:val="21"/>
                      <w:highlight w:val="none"/>
                    </w:rPr>
                  </w:pPr>
                  <w:r>
                    <w:rPr>
                      <w:color w:val="auto"/>
                      <w:kern w:val="0"/>
                      <w:szCs w:val="21"/>
                      <w:highlight w:val="none"/>
                      <w:lang w:bidi="ar"/>
                    </w:rPr>
                    <w:t>/</w:t>
                  </w:r>
                </w:p>
              </w:tc>
              <w:tc>
                <w:tcPr>
                  <w:tcW w:w="697" w:type="dxa"/>
                  <w:noWrap w:val="0"/>
                  <w:vAlign w:val="center"/>
                </w:tcPr>
                <w:p>
                  <w:pPr>
                    <w:widowControl/>
                    <w:jc w:val="center"/>
                    <w:textAlignment w:val="center"/>
                    <w:rPr>
                      <w:color w:val="auto"/>
                      <w:szCs w:val="21"/>
                      <w:highlight w:val="none"/>
                    </w:rPr>
                  </w:pPr>
                  <w:r>
                    <w:rPr>
                      <w:color w:val="auto"/>
                      <w:kern w:val="0"/>
                      <w:szCs w:val="21"/>
                      <w:highlight w:val="none"/>
                      <w:lang w:bidi="ar"/>
                    </w:rPr>
                    <w:t>达标</w:t>
                  </w:r>
                </w:p>
              </w:tc>
              <w:tc>
                <w:tcPr>
                  <w:tcW w:w="689" w:type="dxa"/>
                  <w:noWrap w:val="0"/>
                  <w:vAlign w:val="center"/>
                </w:tcPr>
                <w:p>
                  <w:pPr>
                    <w:widowControl/>
                    <w:jc w:val="center"/>
                    <w:textAlignment w:val="center"/>
                    <w:rPr>
                      <w:color w:val="auto"/>
                      <w:szCs w:val="21"/>
                      <w:highlight w:val="none"/>
                    </w:rPr>
                  </w:pPr>
                  <w:r>
                    <w:rPr>
                      <w:color w:val="auto"/>
                      <w:kern w:val="0"/>
                      <w:szCs w:val="21"/>
                      <w:highlight w:val="none"/>
                      <w:lang w:bidi="ar"/>
                    </w:rPr>
                    <w:t>未检出</w:t>
                  </w:r>
                </w:p>
              </w:tc>
              <w:tc>
                <w:tcPr>
                  <w:tcW w:w="689" w:type="dxa"/>
                  <w:noWrap w:val="0"/>
                  <w:vAlign w:val="center"/>
                </w:tcPr>
                <w:p>
                  <w:pPr>
                    <w:widowControl/>
                    <w:jc w:val="center"/>
                    <w:textAlignment w:val="center"/>
                    <w:rPr>
                      <w:color w:val="auto"/>
                      <w:szCs w:val="21"/>
                      <w:highlight w:val="none"/>
                    </w:rPr>
                  </w:pPr>
                  <w:r>
                    <w:rPr>
                      <w:color w:val="auto"/>
                      <w:kern w:val="0"/>
                      <w:szCs w:val="21"/>
                      <w:highlight w:val="none"/>
                      <w:lang w:bidi="ar"/>
                    </w:rPr>
                    <w:t>/</w:t>
                  </w:r>
                </w:p>
              </w:tc>
              <w:tc>
                <w:tcPr>
                  <w:tcW w:w="699" w:type="dxa"/>
                  <w:noWrap w:val="0"/>
                  <w:vAlign w:val="center"/>
                </w:tcPr>
                <w:p>
                  <w:pPr>
                    <w:widowControl/>
                    <w:jc w:val="center"/>
                    <w:textAlignment w:val="center"/>
                    <w:rPr>
                      <w:color w:val="auto"/>
                      <w:szCs w:val="21"/>
                      <w:highlight w:val="none"/>
                    </w:rPr>
                  </w:pPr>
                  <w:r>
                    <w:rPr>
                      <w:color w:val="auto"/>
                      <w:kern w:val="0"/>
                      <w:szCs w:val="21"/>
                      <w:highlight w:val="none"/>
                      <w:lang w:bidi="ar"/>
                    </w:rPr>
                    <w:t>达标</w:t>
                  </w:r>
                </w:p>
              </w:tc>
              <w:tc>
                <w:tcPr>
                  <w:tcW w:w="742" w:type="dxa"/>
                  <w:noWrap w:val="0"/>
                  <w:vAlign w:val="center"/>
                </w:tcPr>
                <w:p>
                  <w:pPr>
                    <w:widowControl/>
                    <w:jc w:val="center"/>
                    <w:textAlignment w:val="center"/>
                    <w:rPr>
                      <w:color w:val="auto"/>
                      <w:szCs w:val="21"/>
                      <w:highlight w:val="none"/>
                    </w:rPr>
                  </w:pPr>
                  <w:r>
                    <w:rPr>
                      <w:color w:val="auto"/>
                      <w:kern w:val="0"/>
                      <w:szCs w:val="21"/>
                      <w:highlight w:val="none"/>
                      <w:lang w:bidi="ar"/>
                    </w:rPr>
                    <w:t>6.8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4" w:hRule="atLeast"/>
              </w:trPr>
              <w:tc>
                <w:tcPr>
                  <w:tcW w:w="1217" w:type="dxa"/>
                  <w:noWrap w:val="0"/>
                  <w:vAlign w:val="center"/>
                </w:tcPr>
                <w:p>
                  <w:pPr>
                    <w:kinsoku w:val="0"/>
                    <w:overflowPunct w:val="0"/>
                    <w:autoSpaceDE w:val="0"/>
                    <w:autoSpaceDN w:val="0"/>
                    <w:jc w:val="center"/>
                    <w:rPr>
                      <w:color w:val="auto"/>
                      <w:szCs w:val="21"/>
                      <w:highlight w:val="none"/>
                    </w:rPr>
                  </w:pPr>
                  <w:r>
                    <w:rPr>
                      <w:color w:val="auto"/>
                      <w:szCs w:val="21"/>
                      <w:highlight w:val="none"/>
                    </w:rPr>
                    <w:t>1,2,3-三氯丙烷*（μg/kg）</w:t>
                  </w:r>
                </w:p>
              </w:tc>
              <w:tc>
                <w:tcPr>
                  <w:tcW w:w="792" w:type="dxa"/>
                  <w:noWrap w:val="0"/>
                  <w:vAlign w:val="center"/>
                </w:tcPr>
                <w:p>
                  <w:pPr>
                    <w:widowControl/>
                    <w:jc w:val="center"/>
                    <w:textAlignment w:val="center"/>
                    <w:rPr>
                      <w:color w:val="auto"/>
                      <w:szCs w:val="21"/>
                      <w:highlight w:val="none"/>
                    </w:rPr>
                  </w:pPr>
                  <w:r>
                    <w:rPr>
                      <w:color w:val="auto"/>
                      <w:kern w:val="0"/>
                      <w:szCs w:val="21"/>
                      <w:highlight w:val="none"/>
                      <w:lang w:bidi="ar"/>
                    </w:rPr>
                    <w:t>未检出</w:t>
                  </w:r>
                </w:p>
              </w:tc>
              <w:tc>
                <w:tcPr>
                  <w:tcW w:w="689" w:type="dxa"/>
                  <w:noWrap w:val="0"/>
                  <w:vAlign w:val="center"/>
                </w:tcPr>
                <w:p>
                  <w:pPr>
                    <w:widowControl/>
                    <w:jc w:val="center"/>
                    <w:textAlignment w:val="center"/>
                    <w:rPr>
                      <w:color w:val="auto"/>
                      <w:szCs w:val="21"/>
                      <w:highlight w:val="none"/>
                    </w:rPr>
                  </w:pPr>
                  <w:r>
                    <w:rPr>
                      <w:color w:val="auto"/>
                      <w:kern w:val="0"/>
                      <w:szCs w:val="21"/>
                      <w:highlight w:val="none"/>
                      <w:lang w:bidi="ar"/>
                    </w:rPr>
                    <w:t>/</w:t>
                  </w:r>
                </w:p>
              </w:tc>
              <w:tc>
                <w:tcPr>
                  <w:tcW w:w="741" w:type="dxa"/>
                  <w:noWrap w:val="0"/>
                  <w:vAlign w:val="center"/>
                </w:tcPr>
                <w:p>
                  <w:pPr>
                    <w:widowControl/>
                    <w:jc w:val="center"/>
                    <w:textAlignment w:val="center"/>
                    <w:rPr>
                      <w:color w:val="auto"/>
                      <w:szCs w:val="21"/>
                      <w:highlight w:val="none"/>
                    </w:rPr>
                  </w:pPr>
                  <w:r>
                    <w:rPr>
                      <w:color w:val="auto"/>
                      <w:kern w:val="0"/>
                      <w:szCs w:val="21"/>
                      <w:highlight w:val="none"/>
                      <w:lang w:bidi="ar"/>
                    </w:rPr>
                    <w:t>达标</w:t>
                  </w:r>
                </w:p>
              </w:tc>
              <w:tc>
                <w:tcPr>
                  <w:tcW w:w="787" w:type="dxa"/>
                  <w:noWrap w:val="0"/>
                  <w:vAlign w:val="center"/>
                </w:tcPr>
                <w:p>
                  <w:pPr>
                    <w:widowControl/>
                    <w:jc w:val="center"/>
                    <w:textAlignment w:val="center"/>
                    <w:rPr>
                      <w:color w:val="auto"/>
                      <w:szCs w:val="21"/>
                      <w:highlight w:val="none"/>
                    </w:rPr>
                  </w:pPr>
                  <w:r>
                    <w:rPr>
                      <w:color w:val="auto"/>
                      <w:kern w:val="0"/>
                      <w:szCs w:val="21"/>
                      <w:highlight w:val="none"/>
                      <w:lang w:bidi="ar"/>
                    </w:rPr>
                    <w:t>未检出</w:t>
                  </w:r>
                </w:p>
              </w:tc>
              <w:tc>
                <w:tcPr>
                  <w:tcW w:w="591" w:type="dxa"/>
                  <w:noWrap w:val="0"/>
                  <w:vAlign w:val="center"/>
                </w:tcPr>
                <w:p>
                  <w:pPr>
                    <w:widowControl/>
                    <w:jc w:val="center"/>
                    <w:textAlignment w:val="center"/>
                    <w:rPr>
                      <w:color w:val="auto"/>
                      <w:szCs w:val="21"/>
                      <w:highlight w:val="none"/>
                    </w:rPr>
                  </w:pPr>
                  <w:r>
                    <w:rPr>
                      <w:color w:val="auto"/>
                      <w:kern w:val="0"/>
                      <w:szCs w:val="21"/>
                      <w:highlight w:val="none"/>
                      <w:lang w:bidi="ar"/>
                    </w:rPr>
                    <w:t>/</w:t>
                  </w:r>
                </w:p>
              </w:tc>
              <w:tc>
                <w:tcPr>
                  <w:tcW w:w="697" w:type="dxa"/>
                  <w:noWrap w:val="0"/>
                  <w:vAlign w:val="center"/>
                </w:tcPr>
                <w:p>
                  <w:pPr>
                    <w:widowControl/>
                    <w:jc w:val="center"/>
                    <w:textAlignment w:val="center"/>
                    <w:rPr>
                      <w:color w:val="auto"/>
                      <w:szCs w:val="21"/>
                      <w:highlight w:val="none"/>
                    </w:rPr>
                  </w:pPr>
                  <w:r>
                    <w:rPr>
                      <w:color w:val="auto"/>
                      <w:kern w:val="0"/>
                      <w:szCs w:val="21"/>
                      <w:highlight w:val="none"/>
                      <w:lang w:bidi="ar"/>
                    </w:rPr>
                    <w:t>达标</w:t>
                  </w:r>
                </w:p>
              </w:tc>
              <w:tc>
                <w:tcPr>
                  <w:tcW w:w="689" w:type="dxa"/>
                  <w:noWrap w:val="0"/>
                  <w:vAlign w:val="center"/>
                </w:tcPr>
                <w:p>
                  <w:pPr>
                    <w:widowControl/>
                    <w:jc w:val="center"/>
                    <w:textAlignment w:val="center"/>
                    <w:rPr>
                      <w:color w:val="auto"/>
                      <w:szCs w:val="21"/>
                      <w:highlight w:val="none"/>
                    </w:rPr>
                  </w:pPr>
                  <w:r>
                    <w:rPr>
                      <w:color w:val="auto"/>
                      <w:kern w:val="0"/>
                      <w:szCs w:val="21"/>
                      <w:highlight w:val="none"/>
                      <w:lang w:bidi="ar"/>
                    </w:rPr>
                    <w:t>未检出</w:t>
                  </w:r>
                </w:p>
              </w:tc>
              <w:tc>
                <w:tcPr>
                  <w:tcW w:w="689" w:type="dxa"/>
                  <w:noWrap w:val="0"/>
                  <w:vAlign w:val="center"/>
                </w:tcPr>
                <w:p>
                  <w:pPr>
                    <w:widowControl/>
                    <w:jc w:val="center"/>
                    <w:textAlignment w:val="center"/>
                    <w:rPr>
                      <w:color w:val="auto"/>
                      <w:szCs w:val="21"/>
                      <w:highlight w:val="none"/>
                    </w:rPr>
                  </w:pPr>
                  <w:r>
                    <w:rPr>
                      <w:color w:val="auto"/>
                      <w:kern w:val="0"/>
                      <w:szCs w:val="21"/>
                      <w:highlight w:val="none"/>
                      <w:lang w:bidi="ar"/>
                    </w:rPr>
                    <w:t>/</w:t>
                  </w:r>
                </w:p>
              </w:tc>
              <w:tc>
                <w:tcPr>
                  <w:tcW w:w="699" w:type="dxa"/>
                  <w:noWrap w:val="0"/>
                  <w:vAlign w:val="center"/>
                </w:tcPr>
                <w:p>
                  <w:pPr>
                    <w:widowControl/>
                    <w:jc w:val="center"/>
                    <w:textAlignment w:val="center"/>
                    <w:rPr>
                      <w:color w:val="auto"/>
                      <w:szCs w:val="21"/>
                      <w:highlight w:val="none"/>
                    </w:rPr>
                  </w:pPr>
                  <w:r>
                    <w:rPr>
                      <w:color w:val="auto"/>
                      <w:kern w:val="0"/>
                      <w:szCs w:val="21"/>
                      <w:highlight w:val="none"/>
                      <w:lang w:bidi="ar"/>
                    </w:rPr>
                    <w:t>达标</w:t>
                  </w:r>
                </w:p>
              </w:tc>
              <w:tc>
                <w:tcPr>
                  <w:tcW w:w="742" w:type="dxa"/>
                  <w:noWrap w:val="0"/>
                  <w:vAlign w:val="center"/>
                </w:tcPr>
                <w:p>
                  <w:pPr>
                    <w:widowControl/>
                    <w:jc w:val="center"/>
                    <w:textAlignment w:val="center"/>
                    <w:rPr>
                      <w:color w:val="auto"/>
                      <w:szCs w:val="21"/>
                      <w:highlight w:val="none"/>
                    </w:rPr>
                  </w:pPr>
                  <w:r>
                    <w:rPr>
                      <w:color w:val="auto"/>
                      <w:kern w:val="0"/>
                      <w:szCs w:val="21"/>
                      <w:highlight w:val="none"/>
                      <w:lang w:bidi="ar"/>
                    </w:rPr>
                    <w:t>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4" w:hRule="atLeast"/>
              </w:trPr>
              <w:tc>
                <w:tcPr>
                  <w:tcW w:w="1217" w:type="dxa"/>
                  <w:noWrap w:val="0"/>
                  <w:vAlign w:val="center"/>
                </w:tcPr>
                <w:p>
                  <w:pPr>
                    <w:kinsoku w:val="0"/>
                    <w:overflowPunct w:val="0"/>
                    <w:autoSpaceDE w:val="0"/>
                    <w:autoSpaceDN w:val="0"/>
                    <w:jc w:val="center"/>
                    <w:rPr>
                      <w:color w:val="auto"/>
                      <w:szCs w:val="21"/>
                      <w:highlight w:val="none"/>
                    </w:rPr>
                  </w:pPr>
                  <w:r>
                    <w:rPr>
                      <w:color w:val="auto"/>
                      <w:szCs w:val="21"/>
                      <w:highlight w:val="none"/>
                    </w:rPr>
                    <w:t>1,4-二氯苯*（μg/kg）</w:t>
                  </w:r>
                </w:p>
              </w:tc>
              <w:tc>
                <w:tcPr>
                  <w:tcW w:w="792" w:type="dxa"/>
                  <w:noWrap w:val="0"/>
                  <w:vAlign w:val="center"/>
                </w:tcPr>
                <w:p>
                  <w:pPr>
                    <w:widowControl/>
                    <w:jc w:val="center"/>
                    <w:textAlignment w:val="center"/>
                    <w:rPr>
                      <w:color w:val="auto"/>
                      <w:szCs w:val="21"/>
                      <w:highlight w:val="none"/>
                    </w:rPr>
                  </w:pPr>
                  <w:r>
                    <w:rPr>
                      <w:color w:val="auto"/>
                      <w:kern w:val="0"/>
                      <w:szCs w:val="21"/>
                      <w:highlight w:val="none"/>
                      <w:lang w:bidi="ar"/>
                    </w:rPr>
                    <w:t>未检出</w:t>
                  </w:r>
                </w:p>
              </w:tc>
              <w:tc>
                <w:tcPr>
                  <w:tcW w:w="689" w:type="dxa"/>
                  <w:noWrap w:val="0"/>
                  <w:vAlign w:val="center"/>
                </w:tcPr>
                <w:p>
                  <w:pPr>
                    <w:widowControl/>
                    <w:jc w:val="center"/>
                    <w:textAlignment w:val="center"/>
                    <w:rPr>
                      <w:color w:val="auto"/>
                      <w:szCs w:val="21"/>
                      <w:highlight w:val="none"/>
                    </w:rPr>
                  </w:pPr>
                  <w:r>
                    <w:rPr>
                      <w:color w:val="auto"/>
                      <w:kern w:val="0"/>
                      <w:szCs w:val="21"/>
                      <w:highlight w:val="none"/>
                      <w:lang w:bidi="ar"/>
                    </w:rPr>
                    <w:t>/</w:t>
                  </w:r>
                </w:p>
              </w:tc>
              <w:tc>
                <w:tcPr>
                  <w:tcW w:w="741" w:type="dxa"/>
                  <w:noWrap w:val="0"/>
                  <w:vAlign w:val="center"/>
                </w:tcPr>
                <w:p>
                  <w:pPr>
                    <w:widowControl/>
                    <w:jc w:val="center"/>
                    <w:textAlignment w:val="center"/>
                    <w:rPr>
                      <w:color w:val="auto"/>
                      <w:szCs w:val="21"/>
                      <w:highlight w:val="none"/>
                    </w:rPr>
                  </w:pPr>
                  <w:r>
                    <w:rPr>
                      <w:color w:val="auto"/>
                      <w:kern w:val="0"/>
                      <w:szCs w:val="21"/>
                      <w:highlight w:val="none"/>
                      <w:lang w:bidi="ar"/>
                    </w:rPr>
                    <w:t>达标</w:t>
                  </w:r>
                </w:p>
              </w:tc>
              <w:tc>
                <w:tcPr>
                  <w:tcW w:w="787" w:type="dxa"/>
                  <w:noWrap w:val="0"/>
                  <w:vAlign w:val="center"/>
                </w:tcPr>
                <w:p>
                  <w:pPr>
                    <w:widowControl/>
                    <w:jc w:val="center"/>
                    <w:textAlignment w:val="center"/>
                    <w:rPr>
                      <w:color w:val="auto"/>
                      <w:szCs w:val="21"/>
                      <w:highlight w:val="none"/>
                    </w:rPr>
                  </w:pPr>
                  <w:r>
                    <w:rPr>
                      <w:color w:val="auto"/>
                      <w:kern w:val="0"/>
                      <w:szCs w:val="21"/>
                      <w:highlight w:val="none"/>
                      <w:lang w:bidi="ar"/>
                    </w:rPr>
                    <w:t>未检出</w:t>
                  </w:r>
                </w:p>
              </w:tc>
              <w:tc>
                <w:tcPr>
                  <w:tcW w:w="591" w:type="dxa"/>
                  <w:noWrap w:val="0"/>
                  <w:vAlign w:val="center"/>
                </w:tcPr>
                <w:p>
                  <w:pPr>
                    <w:widowControl/>
                    <w:jc w:val="center"/>
                    <w:textAlignment w:val="center"/>
                    <w:rPr>
                      <w:color w:val="auto"/>
                      <w:szCs w:val="21"/>
                      <w:highlight w:val="none"/>
                    </w:rPr>
                  </w:pPr>
                  <w:r>
                    <w:rPr>
                      <w:color w:val="auto"/>
                      <w:kern w:val="0"/>
                      <w:szCs w:val="21"/>
                      <w:highlight w:val="none"/>
                      <w:lang w:bidi="ar"/>
                    </w:rPr>
                    <w:t>/</w:t>
                  </w:r>
                </w:p>
              </w:tc>
              <w:tc>
                <w:tcPr>
                  <w:tcW w:w="697" w:type="dxa"/>
                  <w:noWrap w:val="0"/>
                  <w:vAlign w:val="center"/>
                </w:tcPr>
                <w:p>
                  <w:pPr>
                    <w:widowControl/>
                    <w:jc w:val="center"/>
                    <w:textAlignment w:val="center"/>
                    <w:rPr>
                      <w:color w:val="auto"/>
                      <w:szCs w:val="21"/>
                      <w:highlight w:val="none"/>
                    </w:rPr>
                  </w:pPr>
                  <w:r>
                    <w:rPr>
                      <w:color w:val="auto"/>
                      <w:kern w:val="0"/>
                      <w:szCs w:val="21"/>
                      <w:highlight w:val="none"/>
                      <w:lang w:bidi="ar"/>
                    </w:rPr>
                    <w:t>达标</w:t>
                  </w:r>
                </w:p>
              </w:tc>
              <w:tc>
                <w:tcPr>
                  <w:tcW w:w="689" w:type="dxa"/>
                  <w:noWrap w:val="0"/>
                  <w:vAlign w:val="center"/>
                </w:tcPr>
                <w:p>
                  <w:pPr>
                    <w:widowControl/>
                    <w:jc w:val="center"/>
                    <w:textAlignment w:val="center"/>
                    <w:rPr>
                      <w:color w:val="auto"/>
                      <w:szCs w:val="21"/>
                      <w:highlight w:val="none"/>
                    </w:rPr>
                  </w:pPr>
                  <w:r>
                    <w:rPr>
                      <w:color w:val="auto"/>
                      <w:kern w:val="0"/>
                      <w:szCs w:val="21"/>
                      <w:highlight w:val="none"/>
                      <w:lang w:bidi="ar"/>
                    </w:rPr>
                    <w:t>未检出</w:t>
                  </w:r>
                </w:p>
              </w:tc>
              <w:tc>
                <w:tcPr>
                  <w:tcW w:w="689" w:type="dxa"/>
                  <w:noWrap w:val="0"/>
                  <w:vAlign w:val="center"/>
                </w:tcPr>
                <w:p>
                  <w:pPr>
                    <w:widowControl/>
                    <w:jc w:val="center"/>
                    <w:textAlignment w:val="center"/>
                    <w:rPr>
                      <w:color w:val="auto"/>
                      <w:szCs w:val="21"/>
                      <w:highlight w:val="none"/>
                    </w:rPr>
                  </w:pPr>
                  <w:r>
                    <w:rPr>
                      <w:color w:val="auto"/>
                      <w:kern w:val="0"/>
                      <w:szCs w:val="21"/>
                      <w:highlight w:val="none"/>
                      <w:lang w:bidi="ar"/>
                    </w:rPr>
                    <w:t>/</w:t>
                  </w:r>
                </w:p>
              </w:tc>
              <w:tc>
                <w:tcPr>
                  <w:tcW w:w="699" w:type="dxa"/>
                  <w:noWrap w:val="0"/>
                  <w:vAlign w:val="center"/>
                </w:tcPr>
                <w:p>
                  <w:pPr>
                    <w:widowControl/>
                    <w:jc w:val="center"/>
                    <w:textAlignment w:val="center"/>
                    <w:rPr>
                      <w:color w:val="auto"/>
                      <w:szCs w:val="21"/>
                      <w:highlight w:val="none"/>
                    </w:rPr>
                  </w:pPr>
                  <w:r>
                    <w:rPr>
                      <w:color w:val="auto"/>
                      <w:kern w:val="0"/>
                      <w:szCs w:val="21"/>
                      <w:highlight w:val="none"/>
                      <w:lang w:bidi="ar"/>
                    </w:rPr>
                    <w:t>达标</w:t>
                  </w:r>
                </w:p>
              </w:tc>
              <w:tc>
                <w:tcPr>
                  <w:tcW w:w="742" w:type="dxa"/>
                  <w:noWrap w:val="0"/>
                  <w:vAlign w:val="center"/>
                </w:tcPr>
                <w:p>
                  <w:pPr>
                    <w:widowControl/>
                    <w:jc w:val="center"/>
                    <w:textAlignment w:val="center"/>
                    <w:rPr>
                      <w:color w:val="auto"/>
                      <w:szCs w:val="21"/>
                      <w:highlight w:val="none"/>
                    </w:rPr>
                  </w:pPr>
                  <w:r>
                    <w:rPr>
                      <w:color w:val="auto"/>
                      <w:kern w:val="0"/>
                      <w:szCs w:val="21"/>
                      <w:highlight w:val="none"/>
                      <w:lang w:bidi="ar"/>
                    </w:rPr>
                    <w:t>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4" w:hRule="atLeast"/>
              </w:trPr>
              <w:tc>
                <w:tcPr>
                  <w:tcW w:w="1217" w:type="dxa"/>
                  <w:noWrap w:val="0"/>
                  <w:vAlign w:val="center"/>
                </w:tcPr>
                <w:p>
                  <w:pPr>
                    <w:kinsoku w:val="0"/>
                    <w:overflowPunct w:val="0"/>
                    <w:autoSpaceDE w:val="0"/>
                    <w:autoSpaceDN w:val="0"/>
                    <w:jc w:val="center"/>
                    <w:rPr>
                      <w:color w:val="auto"/>
                      <w:szCs w:val="21"/>
                      <w:highlight w:val="none"/>
                    </w:rPr>
                  </w:pPr>
                  <w:r>
                    <w:rPr>
                      <w:color w:val="auto"/>
                      <w:szCs w:val="21"/>
                      <w:highlight w:val="none"/>
                    </w:rPr>
                    <w:t>1,2-二氯苯*（μg/kg）</w:t>
                  </w:r>
                </w:p>
              </w:tc>
              <w:tc>
                <w:tcPr>
                  <w:tcW w:w="792" w:type="dxa"/>
                  <w:noWrap w:val="0"/>
                  <w:vAlign w:val="center"/>
                </w:tcPr>
                <w:p>
                  <w:pPr>
                    <w:widowControl/>
                    <w:jc w:val="center"/>
                    <w:textAlignment w:val="center"/>
                    <w:rPr>
                      <w:color w:val="auto"/>
                      <w:szCs w:val="21"/>
                      <w:highlight w:val="none"/>
                    </w:rPr>
                  </w:pPr>
                  <w:r>
                    <w:rPr>
                      <w:color w:val="auto"/>
                      <w:kern w:val="0"/>
                      <w:szCs w:val="21"/>
                      <w:highlight w:val="none"/>
                      <w:lang w:bidi="ar"/>
                    </w:rPr>
                    <w:t>未检出</w:t>
                  </w:r>
                </w:p>
              </w:tc>
              <w:tc>
                <w:tcPr>
                  <w:tcW w:w="689" w:type="dxa"/>
                  <w:noWrap w:val="0"/>
                  <w:vAlign w:val="center"/>
                </w:tcPr>
                <w:p>
                  <w:pPr>
                    <w:widowControl/>
                    <w:jc w:val="center"/>
                    <w:textAlignment w:val="center"/>
                    <w:rPr>
                      <w:color w:val="auto"/>
                      <w:szCs w:val="21"/>
                      <w:highlight w:val="none"/>
                    </w:rPr>
                  </w:pPr>
                  <w:r>
                    <w:rPr>
                      <w:color w:val="auto"/>
                      <w:kern w:val="0"/>
                      <w:szCs w:val="21"/>
                      <w:highlight w:val="none"/>
                      <w:lang w:bidi="ar"/>
                    </w:rPr>
                    <w:t>/</w:t>
                  </w:r>
                </w:p>
              </w:tc>
              <w:tc>
                <w:tcPr>
                  <w:tcW w:w="741" w:type="dxa"/>
                  <w:noWrap w:val="0"/>
                  <w:vAlign w:val="center"/>
                </w:tcPr>
                <w:p>
                  <w:pPr>
                    <w:widowControl/>
                    <w:jc w:val="center"/>
                    <w:textAlignment w:val="center"/>
                    <w:rPr>
                      <w:color w:val="auto"/>
                      <w:szCs w:val="21"/>
                      <w:highlight w:val="none"/>
                    </w:rPr>
                  </w:pPr>
                  <w:r>
                    <w:rPr>
                      <w:color w:val="auto"/>
                      <w:kern w:val="0"/>
                      <w:szCs w:val="21"/>
                      <w:highlight w:val="none"/>
                      <w:lang w:bidi="ar"/>
                    </w:rPr>
                    <w:t>达标</w:t>
                  </w:r>
                </w:p>
              </w:tc>
              <w:tc>
                <w:tcPr>
                  <w:tcW w:w="787" w:type="dxa"/>
                  <w:noWrap w:val="0"/>
                  <w:vAlign w:val="center"/>
                </w:tcPr>
                <w:p>
                  <w:pPr>
                    <w:widowControl/>
                    <w:jc w:val="center"/>
                    <w:textAlignment w:val="center"/>
                    <w:rPr>
                      <w:color w:val="auto"/>
                      <w:szCs w:val="21"/>
                      <w:highlight w:val="none"/>
                    </w:rPr>
                  </w:pPr>
                  <w:r>
                    <w:rPr>
                      <w:color w:val="auto"/>
                      <w:kern w:val="0"/>
                      <w:szCs w:val="21"/>
                      <w:highlight w:val="none"/>
                      <w:lang w:bidi="ar"/>
                    </w:rPr>
                    <w:t>未检出</w:t>
                  </w:r>
                </w:p>
              </w:tc>
              <w:tc>
                <w:tcPr>
                  <w:tcW w:w="591" w:type="dxa"/>
                  <w:noWrap w:val="0"/>
                  <w:vAlign w:val="center"/>
                </w:tcPr>
                <w:p>
                  <w:pPr>
                    <w:widowControl/>
                    <w:jc w:val="center"/>
                    <w:textAlignment w:val="center"/>
                    <w:rPr>
                      <w:color w:val="auto"/>
                      <w:szCs w:val="21"/>
                      <w:highlight w:val="none"/>
                    </w:rPr>
                  </w:pPr>
                  <w:r>
                    <w:rPr>
                      <w:color w:val="auto"/>
                      <w:kern w:val="0"/>
                      <w:szCs w:val="21"/>
                      <w:highlight w:val="none"/>
                      <w:lang w:bidi="ar"/>
                    </w:rPr>
                    <w:t>/</w:t>
                  </w:r>
                </w:p>
              </w:tc>
              <w:tc>
                <w:tcPr>
                  <w:tcW w:w="697" w:type="dxa"/>
                  <w:noWrap w:val="0"/>
                  <w:vAlign w:val="center"/>
                </w:tcPr>
                <w:p>
                  <w:pPr>
                    <w:widowControl/>
                    <w:jc w:val="center"/>
                    <w:textAlignment w:val="center"/>
                    <w:rPr>
                      <w:color w:val="auto"/>
                      <w:szCs w:val="21"/>
                      <w:highlight w:val="none"/>
                    </w:rPr>
                  </w:pPr>
                  <w:r>
                    <w:rPr>
                      <w:color w:val="auto"/>
                      <w:kern w:val="0"/>
                      <w:szCs w:val="21"/>
                      <w:highlight w:val="none"/>
                      <w:lang w:bidi="ar"/>
                    </w:rPr>
                    <w:t>达标</w:t>
                  </w:r>
                </w:p>
              </w:tc>
              <w:tc>
                <w:tcPr>
                  <w:tcW w:w="689" w:type="dxa"/>
                  <w:noWrap w:val="0"/>
                  <w:vAlign w:val="center"/>
                </w:tcPr>
                <w:p>
                  <w:pPr>
                    <w:widowControl/>
                    <w:jc w:val="center"/>
                    <w:textAlignment w:val="center"/>
                    <w:rPr>
                      <w:color w:val="auto"/>
                      <w:szCs w:val="21"/>
                      <w:highlight w:val="none"/>
                    </w:rPr>
                  </w:pPr>
                  <w:r>
                    <w:rPr>
                      <w:color w:val="auto"/>
                      <w:kern w:val="0"/>
                      <w:szCs w:val="21"/>
                      <w:highlight w:val="none"/>
                      <w:lang w:bidi="ar"/>
                    </w:rPr>
                    <w:t>未检出</w:t>
                  </w:r>
                </w:p>
              </w:tc>
              <w:tc>
                <w:tcPr>
                  <w:tcW w:w="689" w:type="dxa"/>
                  <w:noWrap w:val="0"/>
                  <w:vAlign w:val="center"/>
                </w:tcPr>
                <w:p>
                  <w:pPr>
                    <w:widowControl/>
                    <w:jc w:val="center"/>
                    <w:textAlignment w:val="center"/>
                    <w:rPr>
                      <w:color w:val="auto"/>
                      <w:szCs w:val="21"/>
                      <w:highlight w:val="none"/>
                    </w:rPr>
                  </w:pPr>
                  <w:r>
                    <w:rPr>
                      <w:color w:val="auto"/>
                      <w:kern w:val="0"/>
                      <w:szCs w:val="21"/>
                      <w:highlight w:val="none"/>
                      <w:lang w:bidi="ar"/>
                    </w:rPr>
                    <w:t>/</w:t>
                  </w:r>
                </w:p>
              </w:tc>
              <w:tc>
                <w:tcPr>
                  <w:tcW w:w="699" w:type="dxa"/>
                  <w:noWrap w:val="0"/>
                  <w:vAlign w:val="center"/>
                </w:tcPr>
                <w:p>
                  <w:pPr>
                    <w:widowControl/>
                    <w:jc w:val="center"/>
                    <w:textAlignment w:val="center"/>
                    <w:rPr>
                      <w:color w:val="auto"/>
                      <w:szCs w:val="21"/>
                      <w:highlight w:val="none"/>
                    </w:rPr>
                  </w:pPr>
                  <w:r>
                    <w:rPr>
                      <w:color w:val="auto"/>
                      <w:kern w:val="0"/>
                      <w:szCs w:val="21"/>
                      <w:highlight w:val="none"/>
                      <w:lang w:bidi="ar"/>
                    </w:rPr>
                    <w:t>达标</w:t>
                  </w:r>
                </w:p>
              </w:tc>
              <w:tc>
                <w:tcPr>
                  <w:tcW w:w="742" w:type="dxa"/>
                  <w:noWrap w:val="0"/>
                  <w:vAlign w:val="center"/>
                </w:tcPr>
                <w:p>
                  <w:pPr>
                    <w:widowControl/>
                    <w:jc w:val="center"/>
                    <w:textAlignment w:val="center"/>
                    <w:rPr>
                      <w:color w:val="auto"/>
                      <w:szCs w:val="21"/>
                      <w:highlight w:val="none"/>
                    </w:rPr>
                  </w:pPr>
                  <w:r>
                    <w:rPr>
                      <w:color w:val="auto"/>
                      <w:kern w:val="0"/>
                      <w:szCs w:val="21"/>
                      <w:highlight w:val="none"/>
                      <w:lang w:bidi="ar"/>
                    </w:rPr>
                    <w:t>560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4" w:hRule="atLeast"/>
              </w:trPr>
              <w:tc>
                <w:tcPr>
                  <w:tcW w:w="1217" w:type="dxa"/>
                  <w:noWrap w:val="0"/>
                  <w:vAlign w:val="center"/>
                </w:tcPr>
                <w:p>
                  <w:pPr>
                    <w:kinsoku w:val="0"/>
                    <w:overflowPunct w:val="0"/>
                    <w:autoSpaceDE w:val="0"/>
                    <w:autoSpaceDN w:val="0"/>
                    <w:jc w:val="center"/>
                    <w:rPr>
                      <w:color w:val="auto"/>
                      <w:szCs w:val="21"/>
                      <w:highlight w:val="none"/>
                    </w:rPr>
                  </w:pPr>
                  <w:r>
                    <w:rPr>
                      <w:color w:val="auto"/>
                      <w:szCs w:val="21"/>
                      <w:highlight w:val="none"/>
                    </w:rPr>
                    <w:t>苯胺*（mg/kg）</w:t>
                  </w:r>
                </w:p>
              </w:tc>
              <w:tc>
                <w:tcPr>
                  <w:tcW w:w="792" w:type="dxa"/>
                  <w:noWrap w:val="0"/>
                  <w:vAlign w:val="center"/>
                </w:tcPr>
                <w:p>
                  <w:pPr>
                    <w:widowControl/>
                    <w:jc w:val="center"/>
                    <w:textAlignment w:val="center"/>
                    <w:rPr>
                      <w:color w:val="auto"/>
                      <w:szCs w:val="21"/>
                      <w:highlight w:val="none"/>
                    </w:rPr>
                  </w:pPr>
                  <w:r>
                    <w:rPr>
                      <w:color w:val="auto"/>
                      <w:kern w:val="0"/>
                      <w:szCs w:val="21"/>
                      <w:highlight w:val="none"/>
                      <w:lang w:bidi="ar"/>
                    </w:rPr>
                    <w:t>未检出</w:t>
                  </w:r>
                </w:p>
              </w:tc>
              <w:tc>
                <w:tcPr>
                  <w:tcW w:w="689" w:type="dxa"/>
                  <w:noWrap w:val="0"/>
                  <w:vAlign w:val="center"/>
                </w:tcPr>
                <w:p>
                  <w:pPr>
                    <w:widowControl/>
                    <w:jc w:val="center"/>
                    <w:textAlignment w:val="center"/>
                    <w:rPr>
                      <w:color w:val="auto"/>
                      <w:szCs w:val="21"/>
                      <w:highlight w:val="none"/>
                    </w:rPr>
                  </w:pPr>
                  <w:r>
                    <w:rPr>
                      <w:color w:val="auto"/>
                      <w:kern w:val="0"/>
                      <w:szCs w:val="21"/>
                      <w:highlight w:val="none"/>
                      <w:lang w:bidi="ar"/>
                    </w:rPr>
                    <w:t>/</w:t>
                  </w:r>
                </w:p>
              </w:tc>
              <w:tc>
                <w:tcPr>
                  <w:tcW w:w="741" w:type="dxa"/>
                  <w:noWrap w:val="0"/>
                  <w:vAlign w:val="center"/>
                </w:tcPr>
                <w:p>
                  <w:pPr>
                    <w:widowControl/>
                    <w:jc w:val="center"/>
                    <w:textAlignment w:val="center"/>
                    <w:rPr>
                      <w:color w:val="auto"/>
                      <w:szCs w:val="21"/>
                      <w:highlight w:val="none"/>
                    </w:rPr>
                  </w:pPr>
                  <w:r>
                    <w:rPr>
                      <w:color w:val="auto"/>
                      <w:kern w:val="0"/>
                      <w:szCs w:val="21"/>
                      <w:highlight w:val="none"/>
                      <w:lang w:bidi="ar"/>
                    </w:rPr>
                    <w:t>达标</w:t>
                  </w:r>
                </w:p>
              </w:tc>
              <w:tc>
                <w:tcPr>
                  <w:tcW w:w="787" w:type="dxa"/>
                  <w:noWrap w:val="0"/>
                  <w:vAlign w:val="center"/>
                </w:tcPr>
                <w:p>
                  <w:pPr>
                    <w:widowControl/>
                    <w:jc w:val="center"/>
                    <w:textAlignment w:val="center"/>
                    <w:rPr>
                      <w:color w:val="auto"/>
                      <w:szCs w:val="21"/>
                      <w:highlight w:val="none"/>
                    </w:rPr>
                  </w:pPr>
                  <w:r>
                    <w:rPr>
                      <w:color w:val="auto"/>
                      <w:kern w:val="0"/>
                      <w:szCs w:val="21"/>
                      <w:highlight w:val="none"/>
                      <w:lang w:bidi="ar"/>
                    </w:rPr>
                    <w:t>未检出</w:t>
                  </w:r>
                </w:p>
              </w:tc>
              <w:tc>
                <w:tcPr>
                  <w:tcW w:w="591" w:type="dxa"/>
                  <w:noWrap w:val="0"/>
                  <w:vAlign w:val="center"/>
                </w:tcPr>
                <w:p>
                  <w:pPr>
                    <w:widowControl/>
                    <w:jc w:val="center"/>
                    <w:textAlignment w:val="center"/>
                    <w:rPr>
                      <w:color w:val="auto"/>
                      <w:szCs w:val="21"/>
                      <w:highlight w:val="none"/>
                    </w:rPr>
                  </w:pPr>
                  <w:r>
                    <w:rPr>
                      <w:color w:val="auto"/>
                      <w:kern w:val="0"/>
                      <w:szCs w:val="21"/>
                      <w:highlight w:val="none"/>
                      <w:lang w:bidi="ar"/>
                    </w:rPr>
                    <w:t>/</w:t>
                  </w:r>
                </w:p>
              </w:tc>
              <w:tc>
                <w:tcPr>
                  <w:tcW w:w="697" w:type="dxa"/>
                  <w:noWrap w:val="0"/>
                  <w:vAlign w:val="center"/>
                </w:tcPr>
                <w:p>
                  <w:pPr>
                    <w:widowControl/>
                    <w:jc w:val="center"/>
                    <w:textAlignment w:val="center"/>
                    <w:rPr>
                      <w:color w:val="auto"/>
                      <w:szCs w:val="21"/>
                      <w:highlight w:val="none"/>
                    </w:rPr>
                  </w:pPr>
                  <w:r>
                    <w:rPr>
                      <w:color w:val="auto"/>
                      <w:kern w:val="0"/>
                      <w:szCs w:val="21"/>
                      <w:highlight w:val="none"/>
                      <w:lang w:bidi="ar"/>
                    </w:rPr>
                    <w:t>达标</w:t>
                  </w:r>
                </w:p>
              </w:tc>
              <w:tc>
                <w:tcPr>
                  <w:tcW w:w="689" w:type="dxa"/>
                  <w:noWrap w:val="0"/>
                  <w:vAlign w:val="center"/>
                </w:tcPr>
                <w:p>
                  <w:pPr>
                    <w:widowControl/>
                    <w:jc w:val="center"/>
                    <w:textAlignment w:val="center"/>
                    <w:rPr>
                      <w:color w:val="auto"/>
                      <w:szCs w:val="21"/>
                      <w:highlight w:val="none"/>
                    </w:rPr>
                  </w:pPr>
                  <w:r>
                    <w:rPr>
                      <w:color w:val="auto"/>
                      <w:kern w:val="0"/>
                      <w:szCs w:val="21"/>
                      <w:highlight w:val="none"/>
                      <w:lang w:bidi="ar"/>
                    </w:rPr>
                    <w:t>未检出</w:t>
                  </w:r>
                </w:p>
              </w:tc>
              <w:tc>
                <w:tcPr>
                  <w:tcW w:w="689" w:type="dxa"/>
                  <w:noWrap w:val="0"/>
                  <w:vAlign w:val="center"/>
                </w:tcPr>
                <w:p>
                  <w:pPr>
                    <w:widowControl/>
                    <w:jc w:val="center"/>
                    <w:textAlignment w:val="center"/>
                    <w:rPr>
                      <w:color w:val="auto"/>
                      <w:szCs w:val="21"/>
                      <w:highlight w:val="none"/>
                    </w:rPr>
                  </w:pPr>
                  <w:r>
                    <w:rPr>
                      <w:color w:val="auto"/>
                      <w:kern w:val="0"/>
                      <w:szCs w:val="21"/>
                      <w:highlight w:val="none"/>
                      <w:lang w:bidi="ar"/>
                    </w:rPr>
                    <w:t>/</w:t>
                  </w:r>
                </w:p>
              </w:tc>
              <w:tc>
                <w:tcPr>
                  <w:tcW w:w="699" w:type="dxa"/>
                  <w:noWrap w:val="0"/>
                  <w:vAlign w:val="center"/>
                </w:tcPr>
                <w:p>
                  <w:pPr>
                    <w:widowControl/>
                    <w:jc w:val="center"/>
                    <w:textAlignment w:val="center"/>
                    <w:rPr>
                      <w:color w:val="auto"/>
                      <w:szCs w:val="21"/>
                      <w:highlight w:val="none"/>
                    </w:rPr>
                  </w:pPr>
                  <w:r>
                    <w:rPr>
                      <w:color w:val="auto"/>
                      <w:kern w:val="0"/>
                      <w:szCs w:val="21"/>
                      <w:highlight w:val="none"/>
                      <w:lang w:bidi="ar"/>
                    </w:rPr>
                    <w:t>达标</w:t>
                  </w:r>
                </w:p>
              </w:tc>
              <w:tc>
                <w:tcPr>
                  <w:tcW w:w="742" w:type="dxa"/>
                  <w:noWrap w:val="0"/>
                  <w:vAlign w:val="center"/>
                </w:tcPr>
                <w:p>
                  <w:pPr>
                    <w:widowControl/>
                    <w:jc w:val="center"/>
                    <w:textAlignment w:val="center"/>
                    <w:rPr>
                      <w:color w:val="auto"/>
                      <w:szCs w:val="21"/>
                      <w:highlight w:val="none"/>
                    </w:rPr>
                  </w:pPr>
                  <w:r>
                    <w:rPr>
                      <w:color w:val="auto"/>
                      <w:kern w:val="0"/>
                      <w:szCs w:val="21"/>
                      <w:highlight w:val="none"/>
                      <w:lang w:bidi="ar"/>
                    </w:rPr>
                    <w:t>260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4" w:hRule="atLeast"/>
              </w:trPr>
              <w:tc>
                <w:tcPr>
                  <w:tcW w:w="1217" w:type="dxa"/>
                  <w:noWrap w:val="0"/>
                  <w:vAlign w:val="center"/>
                </w:tcPr>
                <w:p>
                  <w:pPr>
                    <w:kinsoku w:val="0"/>
                    <w:overflowPunct w:val="0"/>
                    <w:autoSpaceDE w:val="0"/>
                    <w:autoSpaceDN w:val="0"/>
                    <w:jc w:val="center"/>
                    <w:rPr>
                      <w:color w:val="auto"/>
                      <w:szCs w:val="21"/>
                      <w:highlight w:val="none"/>
                    </w:rPr>
                  </w:pPr>
                  <w:r>
                    <w:rPr>
                      <w:color w:val="auto"/>
                      <w:szCs w:val="21"/>
                      <w:highlight w:val="none"/>
                    </w:rPr>
                    <w:t>2-氯酚* （mg/kg）</w:t>
                  </w:r>
                </w:p>
              </w:tc>
              <w:tc>
                <w:tcPr>
                  <w:tcW w:w="792" w:type="dxa"/>
                  <w:noWrap w:val="0"/>
                  <w:vAlign w:val="center"/>
                </w:tcPr>
                <w:p>
                  <w:pPr>
                    <w:widowControl/>
                    <w:jc w:val="center"/>
                    <w:textAlignment w:val="center"/>
                    <w:rPr>
                      <w:color w:val="auto"/>
                      <w:szCs w:val="21"/>
                      <w:highlight w:val="none"/>
                    </w:rPr>
                  </w:pPr>
                  <w:r>
                    <w:rPr>
                      <w:color w:val="auto"/>
                      <w:kern w:val="0"/>
                      <w:szCs w:val="21"/>
                      <w:highlight w:val="none"/>
                      <w:lang w:bidi="ar"/>
                    </w:rPr>
                    <w:t>未检出</w:t>
                  </w:r>
                </w:p>
              </w:tc>
              <w:tc>
                <w:tcPr>
                  <w:tcW w:w="689" w:type="dxa"/>
                  <w:noWrap w:val="0"/>
                  <w:vAlign w:val="center"/>
                </w:tcPr>
                <w:p>
                  <w:pPr>
                    <w:widowControl/>
                    <w:jc w:val="center"/>
                    <w:textAlignment w:val="center"/>
                    <w:rPr>
                      <w:color w:val="auto"/>
                      <w:szCs w:val="21"/>
                      <w:highlight w:val="none"/>
                    </w:rPr>
                  </w:pPr>
                  <w:r>
                    <w:rPr>
                      <w:color w:val="auto"/>
                      <w:kern w:val="0"/>
                      <w:szCs w:val="21"/>
                      <w:highlight w:val="none"/>
                      <w:lang w:bidi="ar"/>
                    </w:rPr>
                    <w:t>/</w:t>
                  </w:r>
                </w:p>
              </w:tc>
              <w:tc>
                <w:tcPr>
                  <w:tcW w:w="741" w:type="dxa"/>
                  <w:noWrap w:val="0"/>
                  <w:vAlign w:val="center"/>
                </w:tcPr>
                <w:p>
                  <w:pPr>
                    <w:widowControl/>
                    <w:jc w:val="center"/>
                    <w:textAlignment w:val="center"/>
                    <w:rPr>
                      <w:color w:val="auto"/>
                      <w:szCs w:val="21"/>
                      <w:highlight w:val="none"/>
                    </w:rPr>
                  </w:pPr>
                  <w:r>
                    <w:rPr>
                      <w:color w:val="auto"/>
                      <w:kern w:val="0"/>
                      <w:szCs w:val="21"/>
                      <w:highlight w:val="none"/>
                      <w:lang w:bidi="ar"/>
                    </w:rPr>
                    <w:t>达标</w:t>
                  </w:r>
                </w:p>
              </w:tc>
              <w:tc>
                <w:tcPr>
                  <w:tcW w:w="787" w:type="dxa"/>
                  <w:noWrap w:val="0"/>
                  <w:vAlign w:val="center"/>
                </w:tcPr>
                <w:p>
                  <w:pPr>
                    <w:widowControl/>
                    <w:jc w:val="center"/>
                    <w:textAlignment w:val="center"/>
                    <w:rPr>
                      <w:color w:val="auto"/>
                      <w:szCs w:val="21"/>
                      <w:highlight w:val="none"/>
                    </w:rPr>
                  </w:pPr>
                  <w:r>
                    <w:rPr>
                      <w:color w:val="auto"/>
                      <w:kern w:val="0"/>
                      <w:szCs w:val="21"/>
                      <w:highlight w:val="none"/>
                      <w:lang w:bidi="ar"/>
                    </w:rPr>
                    <w:t>未检出</w:t>
                  </w:r>
                </w:p>
              </w:tc>
              <w:tc>
                <w:tcPr>
                  <w:tcW w:w="591" w:type="dxa"/>
                  <w:noWrap w:val="0"/>
                  <w:vAlign w:val="center"/>
                </w:tcPr>
                <w:p>
                  <w:pPr>
                    <w:widowControl/>
                    <w:jc w:val="center"/>
                    <w:textAlignment w:val="center"/>
                    <w:rPr>
                      <w:color w:val="auto"/>
                      <w:szCs w:val="21"/>
                      <w:highlight w:val="none"/>
                    </w:rPr>
                  </w:pPr>
                  <w:r>
                    <w:rPr>
                      <w:color w:val="auto"/>
                      <w:kern w:val="0"/>
                      <w:szCs w:val="21"/>
                      <w:highlight w:val="none"/>
                      <w:lang w:bidi="ar"/>
                    </w:rPr>
                    <w:t>/</w:t>
                  </w:r>
                </w:p>
              </w:tc>
              <w:tc>
                <w:tcPr>
                  <w:tcW w:w="697" w:type="dxa"/>
                  <w:noWrap w:val="0"/>
                  <w:vAlign w:val="center"/>
                </w:tcPr>
                <w:p>
                  <w:pPr>
                    <w:widowControl/>
                    <w:jc w:val="center"/>
                    <w:textAlignment w:val="center"/>
                    <w:rPr>
                      <w:color w:val="auto"/>
                      <w:szCs w:val="21"/>
                      <w:highlight w:val="none"/>
                    </w:rPr>
                  </w:pPr>
                  <w:r>
                    <w:rPr>
                      <w:color w:val="auto"/>
                      <w:kern w:val="0"/>
                      <w:szCs w:val="21"/>
                      <w:highlight w:val="none"/>
                      <w:lang w:bidi="ar"/>
                    </w:rPr>
                    <w:t>达标</w:t>
                  </w:r>
                </w:p>
              </w:tc>
              <w:tc>
                <w:tcPr>
                  <w:tcW w:w="689" w:type="dxa"/>
                  <w:noWrap w:val="0"/>
                  <w:vAlign w:val="center"/>
                </w:tcPr>
                <w:p>
                  <w:pPr>
                    <w:widowControl/>
                    <w:jc w:val="center"/>
                    <w:textAlignment w:val="center"/>
                    <w:rPr>
                      <w:color w:val="auto"/>
                      <w:szCs w:val="21"/>
                      <w:highlight w:val="none"/>
                    </w:rPr>
                  </w:pPr>
                  <w:r>
                    <w:rPr>
                      <w:color w:val="auto"/>
                      <w:kern w:val="0"/>
                      <w:szCs w:val="21"/>
                      <w:highlight w:val="none"/>
                      <w:lang w:bidi="ar"/>
                    </w:rPr>
                    <w:t>未检出</w:t>
                  </w:r>
                </w:p>
              </w:tc>
              <w:tc>
                <w:tcPr>
                  <w:tcW w:w="689" w:type="dxa"/>
                  <w:noWrap w:val="0"/>
                  <w:vAlign w:val="center"/>
                </w:tcPr>
                <w:p>
                  <w:pPr>
                    <w:widowControl/>
                    <w:jc w:val="center"/>
                    <w:textAlignment w:val="center"/>
                    <w:rPr>
                      <w:color w:val="auto"/>
                      <w:szCs w:val="21"/>
                      <w:highlight w:val="none"/>
                    </w:rPr>
                  </w:pPr>
                  <w:r>
                    <w:rPr>
                      <w:color w:val="auto"/>
                      <w:kern w:val="0"/>
                      <w:szCs w:val="21"/>
                      <w:highlight w:val="none"/>
                      <w:lang w:bidi="ar"/>
                    </w:rPr>
                    <w:t>/</w:t>
                  </w:r>
                </w:p>
              </w:tc>
              <w:tc>
                <w:tcPr>
                  <w:tcW w:w="699" w:type="dxa"/>
                  <w:noWrap w:val="0"/>
                  <w:vAlign w:val="center"/>
                </w:tcPr>
                <w:p>
                  <w:pPr>
                    <w:widowControl/>
                    <w:jc w:val="center"/>
                    <w:textAlignment w:val="center"/>
                    <w:rPr>
                      <w:color w:val="auto"/>
                      <w:szCs w:val="21"/>
                      <w:highlight w:val="none"/>
                    </w:rPr>
                  </w:pPr>
                  <w:r>
                    <w:rPr>
                      <w:color w:val="auto"/>
                      <w:kern w:val="0"/>
                      <w:szCs w:val="21"/>
                      <w:highlight w:val="none"/>
                      <w:lang w:bidi="ar"/>
                    </w:rPr>
                    <w:t>达标</w:t>
                  </w:r>
                </w:p>
              </w:tc>
              <w:tc>
                <w:tcPr>
                  <w:tcW w:w="742" w:type="dxa"/>
                  <w:noWrap w:val="0"/>
                  <w:vAlign w:val="center"/>
                </w:tcPr>
                <w:p>
                  <w:pPr>
                    <w:widowControl/>
                    <w:jc w:val="center"/>
                    <w:textAlignment w:val="center"/>
                    <w:rPr>
                      <w:color w:val="auto"/>
                      <w:szCs w:val="21"/>
                      <w:highlight w:val="none"/>
                    </w:rPr>
                  </w:pPr>
                  <w:r>
                    <w:rPr>
                      <w:color w:val="auto"/>
                      <w:kern w:val="0"/>
                      <w:szCs w:val="21"/>
                      <w:highlight w:val="none"/>
                      <w:lang w:bidi="ar"/>
                    </w:rPr>
                    <w:t>2256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4" w:hRule="atLeast"/>
              </w:trPr>
              <w:tc>
                <w:tcPr>
                  <w:tcW w:w="1217" w:type="dxa"/>
                  <w:noWrap w:val="0"/>
                  <w:vAlign w:val="center"/>
                </w:tcPr>
                <w:p>
                  <w:pPr>
                    <w:kinsoku w:val="0"/>
                    <w:overflowPunct w:val="0"/>
                    <w:autoSpaceDE w:val="0"/>
                    <w:autoSpaceDN w:val="0"/>
                    <w:jc w:val="center"/>
                    <w:rPr>
                      <w:color w:val="auto"/>
                      <w:szCs w:val="21"/>
                      <w:highlight w:val="none"/>
                    </w:rPr>
                  </w:pPr>
                  <w:r>
                    <w:rPr>
                      <w:color w:val="auto"/>
                      <w:szCs w:val="21"/>
                      <w:highlight w:val="none"/>
                    </w:rPr>
                    <w:t>硝基苯*（mg/kg）</w:t>
                  </w:r>
                </w:p>
              </w:tc>
              <w:tc>
                <w:tcPr>
                  <w:tcW w:w="792" w:type="dxa"/>
                  <w:noWrap w:val="0"/>
                  <w:vAlign w:val="center"/>
                </w:tcPr>
                <w:p>
                  <w:pPr>
                    <w:widowControl/>
                    <w:jc w:val="center"/>
                    <w:textAlignment w:val="center"/>
                    <w:rPr>
                      <w:color w:val="auto"/>
                      <w:szCs w:val="21"/>
                      <w:highlight w:val="none"/>
                    </w:rPr>
                  </w:pPr>
                  <w:r>
                    <w:rPr>
                      <w:color w:val="auto"/>
                      <w:kern w:val="0"/>
                      <w:szCs w:val="21"/>
                      <w:highlight w:val="none"/>
                      <w:lang w:bidi="ar"/>
                    </w:rPr>
                    <w:t>未检出</w:t>
                  </w:r>
                </w:p>
              </w:tc>
              <w:tc>
                <w:tcPr>
                  <w:tcW w:w="689" w:type="dxa"/>
                  <w:noWrap w:val="0"/>
                  <w:vAlign w:val="center"/>
                </w:tcPr>
                <w:p>
                  <w:pPr>
                    <w:widowControl/>
                    <w:jc w:val="center"/>
                    <w:textAlignment w:val="center"/>
                    <w:rPr>
                      <w:color w:val="auto"/>
                      <w:szCs w:val="21"/>
                      <w:highlight w:val="none"/>
                    </w:rPr>
                  </w:pPr>
                  <w:r>
                    <w:rPr>
                      <w:color w:val="auto"/>
                      <w:kern w:val="0"/>
                      <w:szCs w:val="21"/>
                      <w:highlight w:val="none"/>
                      <w:lang w:bidi="ar"/>
                    </w:rPr>
                    <w:t>/</w:t>
                  </w:r>
                </w:p>
              </w:tc>
              <w:tc>
                <w:tcPr>
                  <w:tcW w:w="741" w:type="dxa"/>
                  <w:noWrap w:val="0"/>
                  <w:vAlign w:val="center"/>
                </w:tcPr>
                <w:p>
                  <w:pPr>
                    <w:widowControl/>
                    <w:jc w:val="center"/>
                    <w:textAlignment w:val="center"/>
                    <w:rPr>
                      <w:color w:val="auto"/>
                      <w:szCs w:val="21"/>
                      <w:highlight w:val="none"/>
                    </w:rPr>
                  </w:pPr>
                  <w:r>
                    <w:rPr>
                      <w:color w:val="auto"/>
                      <w:kern w:val="0"/>
                      <w:szCs w:val="21"/>
                      <w:highlight w:val="none"/>
                      <w:lang w:bidi="ar"/>
                    </w:rPr>
                    <w:t>达标</w:t>
                  </w:r>
                </w:p>
              </w:tc>
              <w:tc>
                <w:tcPr>
                  <w:tcW w:w="787" w:type="dxa"/>
                  <w:noWrap w:val="0"/>
                  <w:vAlign w:val="center"/>
                </w:tcPr>
                <w:p>
                  <w:pPr>
                    <w:widowControl/>
                    <w:jc w:val="center"/>
                    <w:textAlignment w:val="center"/>
                    <w:rPr>
                      <w:color w:val="auto"/>
                      <w:szCs w:val="21"/>
                      <w:highlight w:val="none"/>
                    </w:rPr>
                  </w:pPr>
                  <w:r>
                    <w:rPr>
                      <w:color w:val="auto"/>
                      <w:kern w:val="0"/>
                      <w:szCs w:val="21"/>
                      <w:highlight w:val="none"/>
                      <w:lang w:bidi="ar"/>
                    </w:rPr>
                    <w:t>未检出</w:t>
                  </w:r>
                </w:p>
              </w:tc>
              <w:tc>
                <w:tcPr>
                  <w:tcW w:w="591" w:type="dxa"/>
                  <w:noWrap w:val="0"/>
                  <w:vAlign w:val="center"/>
                </w:tcPr>
                <w:p>
                  <w:pPr>
                    <w:widowControl/>
                    <w:jc w:val="center"/>
                    <w:textAlignment w:val="center"/>
                    <w:rPr>
                      <w:color w:val="auto"/>
                      <w:szCs w:val="21"/>
                      <w:highlight w:val="none"/>
                    </w:rPr>
                  </w:pPr>
                  <w:r>
                    <w:rPr>
                      <w:color w:val="auto"/>
                      <w:kern w:val="0"/>
                      <w:szCs w:val="21"/>
                      <w:highlight w:val="none"/>
                      <w:lang w:bidi="ar"/>
                    </w:rPr>
                    <w:t>/</w:t>
                  </w:r>
                </w:p>
              </w:tc>
              <w:tc>
                <w:tcPr>
                  <w:tcW w:w="697" w:type="dxa"/>
                  <w:noWrap w:val="0"/>
                  <w:vAlign w:val="center"/>
                </w:tcPr>
                <w:p>
                  <w:pPr>
                    <w:widowControl/>
                    <w:jc w:val="center"/>
                    <w:textAlignment w:val="center"/>
                    <w:rPr>
                      <w:color w:val="auto"/>
                      <w:szCs w:val="21"/>
                      <w:highlight w:val="none"/>
                    </w:rPr>
                  </w:pPr>
                  <w:r>
                    <w:rPr>
                      <w:color w:val="auto"/>
                      <w:kern w:val="0"/>
                      <w:szCs w:val="21"/>
                      <w:highlight w:val="none"/>
                      <w:lang w:bidi="ar"/>
                    </w:rPr>
                    <w:t>达标</w:t>
                  </w:r>
                </w:p>
              </w:tc>
              <w:tc>
                <w:tcPr>
                  <w:tcW w:w="689" w:type="dxa"/>
                  <w:noWrap w:val="0"/>
                  <w:vAlign w:val="center"/>
                </w:tcPr>
                <w:p>
                  <w:pPr>
                    <w:widowControl/>
                    <w:jc w:val="center"/>
                    <w:textAlignment w:val="center"/>
                    <w:rPr>
                      <w:color w:val="auto"/>
                      <w:szCs w:val="21"/>
                      <w:highlight w:val="none"/>
                    </w:rPr>
                  </w:pPr>
                  <w:r>
                    <w:rPr>
                      <w:color w:val="auto"/>
                      <w:kern w:val="0"/>
                      <w:szCs w:val="21"/>
                      <w:highlight w:val="none"/>
                      <w:lang w:bidi="ar"/>
                    </w:rPr>
                    <w:t>未检出</w:t>
                  </w:r>
                </w:p>
              </w:tc>
              <w:tc>
                <w:tcPr>
                  <w:tcW w:w="689" w:type="dxa"/>
                  <w:noWrap w:val="0"/>
                  <w:vAlign w:val="center"/>
                </w:tcPr>
                <w:p>
                  <w:pPr>
                    <w:widowControl/>
                    <w:jc w:val="center"/>
                    <w:textAlignment w:val="center"/>
                    <w:rPr>
                      <w:color w:val="auto"/>
                      <w:szCs w:val="21"/>
                      <w:highlight w:val="none"/>
                    </w:rPr>
                  </w:pPr>
                  <w:r>
                    <w:rPr>
                      <w:color w:val="auto"/>
                      <w:kern w:val="0"/>
                      <w:szCs w:val="21"/>
                      <w:highlight w:val="none"/>
                      <w:lang w:bidi="ar"/>
                    </w:rPr>
                    <w:t>/</w:t>
                  </w:r>
                </w:p>
              </w:tc>
              <w:tc>
                <w:tcPr>
                  <w:tcW w:w="699" w:type="dxa"/>
                  <w:noWrap w:val="0"/>
                  <w:vAlign w:val="center"/>
                </w:tcPr>
                <w:p>
                  <w:pPr>
                    <w:widowControl/>
                    <w:jc w:val="center"/>
                    <w:textAlignment w:val="center"/>
                    <w:rPr>
                      <w:color w:val="auto"/>
                      <w:szCs w:val="21"/>
                      <w:highlight w:val="none"/>
                    </w:rPr>
                  </w:pPr>
                  <w:r>
                    <w:rPr>
                      <w:color w:val="auto"/>
                      <w:kern w:val="0"/>
                      <w:szCs w:val="21"/>
                      <w:highlight w:val="none"/>
                      <w:lang w:bidi="ar"/>
                    </w:rPr>
                    <w:t>达标</w:t>
                  </w:r>
                </w:p>
              </w:tc>
              <w:tc>
                <w:tcPr>
                  <w:tcW w:w="742" w:type="dxa"/>
                  <w:noWrap w:val="0"/>
                  <w:vAlign w:val="center"/>
                </w:tcPr>
                <w:p>
                  <w:pPr>
                    <w:widowControl/>
                    <w:jc w:val="center"/>
                    <w:textAlignment w:val="center"/>
                    <w:rPr>
                      <w:color w:val="auto"/>
                      <w:szCs w:val="21"/>
                      <w:highlight w:val="none"/>
                    </w:rPr>
                  </w:pPr>
                  <w:r>
                    <w:rPr>
                      <w:color w:val="auto"/>
                      <w:kern w:val="0"/>
                      <w:szCs w:val="21"/>
                      <w:highlight w:val="none"/>
                      <w:lang w:bidi="ar"/>
                    </w:rPr>
                    <w:t>76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4" w:hRule="atLeast"/>
              </w:trPr>
              <w:tc>
                <w:tcPr>
                  <w:tcW w:w="1217" w:type="dxa"/>
                  <w:noWrap w:val="0"/>
                  <w:vAlign w:val="center"/>
                </w:tcPr>
                <w:p>
                  <w:pPr>
                    <w:kinsoku w:val="0"/>
                    <w:overflowPunct w:val="0"/>
                    <w:autoSpaceDE w:val="0"/>
                    <w:autoSpaceDN w:val="0"/>
                    <w:jc w:val="center"/>
                    <w:rPr>
                      <w:color w:val="auto"/>
                      <w:szCs w:val="21"/>
                      <w:highlight w:val="none"/>
                    </w:rPr>
                  </w:pPr>
                  <w:r>
                    <w:rPr>
                      <w:color w:val="auto"/>
                      <w:szCs w:val="21"/>
                      <w:highlight w:val="none"/>
                    </w:rPr>
                    <w:t>萘*（mg/kg）</w:t>
                  </w:r>
                </w:p>
              </w:tc>
              <w:tc>
                <w:tcPr>
                  <w:tcW w:w="792" w:type="dxa"/>
                  <w:noWrap w:val="0"/>
                  <w:vAlign w:val="center"/>
                </w:tcPr>
                <w:p>
                  <w:pPr>
                    <w:widowControl/>
                    <w:jc w:val="center"/>
                    <w:textAlignment w:val="center"/>
                    <w:rPr>
                      <w:color w:val="auto"/>
                      <w:szCs w:val="21"/>
                      <w:highlight w:val="none"/>
                    </w:rPr>
                  </w:pPr>
                  <w:r>
                    <w:rPr>
                      <w:color w:val="auto"/>
                      <w:kern w:val="0"/>
                      <w:szCs w:val="21"/>
                      <w:highlight w:val="none"/>
                      <w:lang w:bidi="ar"/>
                    </w:rPr>
                    <w:t>未检出</w:t>
                  </w:r>
                </w:p>
              </w:tc>
              <w:tc>
                <w:tcPr>
                  <w:tcW w:w="689" w:type="dxa"/>
                  <w:noWrap w:val="0"/>
                  <w:vAlign w:val="center"/>
                </w:tcPr>
                <w:p>
                  <w:pPr>
                    <w:widowControl/>
                    <w:jc w:val="center"/>
                    <w:textAlignment w:val="center"/>
                    <w:rPr>
                      <w:color w:val="auto"/>
                      <w:szCs w:val="21"/>
                      <w:highlight w:val="none"/>
                    </w:rPr>
                  </w:pPr>
                  <w:r>
                    <w:rPr>
                      <w:color w:val="auto"/>
                      <w:kern w:val="0"/>
                      <w:szCs w:val="21"/>
                      <w:highlight w:val="none"/>
                      <w:lang w:bidi="ar"/>
                    </w:rPr>
                    <w:t>/</w:t>
                  </w:r>
                </w:p>
              </w:tc>
              <w:tc>
                <w:tcPr>
                  <w:tcW w:w="741" w:type="dxa"/>
                  <w:noWrap w:val="0"/>
                  <w:vAlign w:val="center"/>
                </w:tcPr>
                <w:p>
                  <w:pPr>
                    <w:widowControl/>
                    <w:jc w:val="center"/>
                    <w:textAlignment w:val="center"/>
                    <w:rPr>
                      <w:color w:val="auto"/>
                      <w:szCs w:val="21"/>
                      <w:highlight w:val="none"/>
                    </w:rPr>
                  </w:pPr>
                  <w:r>
                    <w:rPr>
                      <w:color w:val="auto"/>
                      <w:kern w:val="0"/>
                      <w:szCs w:val="21"/>
                      <w:highlight w:val="none"/>
                      <w:lang w:bidi="ar"/>
                    </w:rPr>
                    <w:t>达标</w:t>
                  </w:r>
                </w:p>
              </w:tc>
              <w:tc>
                <w:tcPr>
                  <w:tcW w:w="787" w:type="dxa"/>
                  <w:noWrap w:val="0"/>
                  <w:vAlign w:val="center"/>
                </w:tcPr>
                <w:p>
                  <w:pPr>
                    <w:widowControl/>
                    <w:jc w:val="center"/>
                    <w:textAlignment w:val="center"/>
                    <w:rPr>
                      <w:color w:val="auto"/>
                      <w:szCs w:val="21"/>
                      <w:highlight w:val="none"/>
                    </w:rPr>
                  </w:pPr>
                  <w:r>
                    <w:rPr>
                      <w:color w:val="auto"/>
                      <w:kern w:val="0"/>
                      <w:szCs w:val="21"/>
                      <w:highlight w:val="none"/>
                      <w:lang w:bidi="ar"/>
                    </w:rPr>
                    <w:t>未检出</w:t>
                  </w:r>
                </w:p>
              </w:tc>
              <w:tc>
                <w:tcPr>
                  <w:tcW w:w="591" w:type="dxa"/>
                  <w:noWrap w:val="0"/>
                  <w:vAlign w:val="center"/>
                </w:tcPr>
                <w:p>
                  <w:pPr>
                    <w:widowControl/>
                    <w:jc w:val="center"/>
                    <w:textAlignment w:val="center"/>
                    <w:rPr>
                      <w:color w:val="auto"/>
                      <w:szCs w:val="21"/>
                      <w:highlight w:val="none"/>
                    </w:rPr>
                  </w:pPr>
                  <w:r>
                    <w:rPr>
                      <w:color w:val="auto"/>
                      <w:kern w:val="0"/>
                      <w:szCs w:val="21"/>
                      <w:highlight w:val="none"/>
                      <w:lang w:bidi="ar"/>
                    </w:rPr>
                    <w:t>/</w:t>
                  </w:r>
                </w:p>
              </w:tc>
              <w:tc>
                <w:tcPr>
                  <w:tcW w:w="697" w:type="dxa"/>
                  <w:noWrap w:val="0"/>
                  <w:vAlign w:val="center"/>
                </w:tcPr>
                <w:p>
                  <w:pPr>
                    <w:widowControl/>
                    <w:jc w:val="center"/>
                    <w:textAlignment w:val="center"/>
                    <w:rPr>
                      <w:color w:val="auto"/>
                      <w:szCs w:val="21"/>
                      <w:highlight w:val="none"/>
                    </w:rPr>
                  </w:pPr>
                  <w:r>
                    <w:rPr>
                      <w:color w:val="auto"/>
                      <w:kern w:val="0"/>
                      <w:szCs w:val="21"/>
                      <w:highlight w:val="none"/>
                      <w:lang w:bidi="ar"/>
                    </w:rPr>
                    <w:t>达标</w:t>
                  </w:r>
                </w:p>
              </w:tc>
              <w:tc>
                <w:tcPr>
                  <w:tcW w:w="689" w:type="dxa"/>
                  <w:noWrap w:val="0"/>
                  <w:vAlign w:val="center"/>
                </w:tcPr>
                <w:p>
                  <w:pPr>
                    <w:widowControl/>
                    <w:jc w:val="center"/>
                    <w:textAlignment w:val="center"/>
                    <w:rPr>
                      <w:color w:val="auto"/>
                      <w:szCs w:val="21"/>
                      <w:highlight w:val="none"/>
                    </w:rPr>
                  </w:pPr>
                  <w:r>
                    <w:rPr>
                      <w:color w:val="auto"/>
                      <w:kern w:val="0"/>
                      <w:szCs w:val="21"/>
                      <w:highlight w:val="none"/>
                      <w:lang w:bidi="ar"/>
                    </w:rPr>
                    <w:t>未检出</w:t>
                  </w:r>
                </w:p>
              </w:tc>
              <w:tc>
                <w:tcPr>
                  <w:tcW w:w="689" w:type="dxa"/>
                  <w:noWrap w:val="0"/>
                  <w:vAlign w:val="center"/>
                </w:tcPr>
                <w:p>
                  <w:pPr>
                    <w:widowControl/>
                    <w:jc w:val="center"/>
                    <w:textAlignment w:val="center"/>
                    <w:rPr>
                      <w:color w:val="auto"/>
                      <w:szCs w:val="21"/>
                      <w:highlight w:val="none"/>
                    </w:rPr>
                  </w:pPr>
                  <w:r>
                    <w:rPr>
                      <w:color w:val="auto"/>
                      <w:kern w:val="0"/>
                      <w:szCs w:val="21"/>
                      <w:highlight w:val="none"/>
                      <w:lang w:bidi="ar"/>
                    </w:rPr>
                    <w:t>/</w:t>
                  </w:r>
                </w:p>
              </w:tc>
              <w:tc>
                <w:tcPr>
                  <w:tcW w:w="699" w:type="dxa"/>
                  <w:noWrap w:val="0"/>
                  <w:vAlign w:val="center"/>
                </w:tcPr>
                <w:p>
                  <w:pPr>
                    <w:widowControl/>
                    <w:jc w:val="center"/>
                    <w:textAlignment w:val="center"/>
                    <w:rPr>
                      <w:color w:val="auto"/>
                      <w:szCs w:val="21"/>
                      <w:highlight w:val="none"/>
                    </w:rPr>
                  </w:pPr>
                  <w:r>
                    <w:rPr>
                      <w:color w:val="auto"/>
                      <w:kern w:val="0"/>
                      <w:szCs w:val="21"/>
                      <w:highlight w:val="none"/>
                      <w:lang w:bidi="ar"/>
                    </w:rPr>
                    <w:t>达标</w:t>
                  </w:r>
                </w:p>
              </w:tc>
              <w:tc>
                <w:tcPr>
                  <w:tcW w:w="742" w:type="dxa"/>
                  <w:noWrap w:val="0"/>
                  <w:vAlign w:val="center"/>
                </w:tcPr>
                <w:p>
                  <w:pPr>
                    <w:widowControl/>
                    <w:jc w:val="center"/>
                    <w:textAlignment w:val="center"/>
                    <w:rPr>
                      <w:color w:val="auto"/>
                      <w:szCs w:val="21"/>
                      <w:highlight w:val="none"/>
                    </w:rPr>
                  </w:pPr>
                  <w:r>
                    <w:rPr>
                      <w:color w:val="auto"/>
                      <w:kern w:val="0"/>
                      <w:szCs w:val="21"/>
                      <w:highlight w:val="none"/>
                      <w:lang w:bidi="ar"/>
                    </w:rPr>
                    <w:t>70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4" w:hRule="atLeast"/>
              </w:trPr>
              <w:tc>
                <w:tcPr>
                  <w:tcW w:w="1217" w:type="dxa"/>
                  <w:noWrap w:val="0"/>
                  <w:vAlign w:val="center"/>
                </w:tcPr>
                <w:p>
                  <w:pPr>
                    <w:kinsoku w:val="0"/>
                    <w:overflowPunct w:val="0"/>
                    <w:autoSpaceDE w:val="0"/>
                    <w:autoSpaceDN w:val="0"/>
                    <w:jc w:val="center"/>
                    <w:rPr>
                      <w:color w:val="auto"/>
                      <w:szCs w:val="21"/>
                      <w:highlight w:val="none"/>
                    </w:rPr>
                  </w:pPr>
                  <w:r>
                    <w:rPr>
                      <w:color w:val="auto"/>
                      <w:szCs w:val="21"/>
                      <w:highlight w:val="none"/>
                    </w:rPr>
                    <w:t>苯并[a]蒽*（mg/kg）</w:t>
                  </w:r>
                </w:p>
              </w:tc>
              <w:tc>
                <w:tcPr>
                  <w:tcW w:w="792" w:type="dxa"/>
                  <w:noWrap w:val="0"/>
                  <w:vAlign w:val="center"/>
                </w:tcPr>
                <w:p>
                  <w:pPr>
                    <w:widowControl/>
                    <w:jc w:val="center"/>
                    <w:textAlignment w:val="center"/>
                    <w:rPr>
                      <w:color w:val="auto"/>
                      <w:szCs w:val="21"/>
                      <w:highlight w:val="none"/>
                    </w:rPr>
                  </w:pPr>
                  <w:r>
                    <w:rPr>
                      <w:color w:val="auto"/>
                      <w:kern w:val="0"/>
                      <w:szCs w:val="21"/>
                      <w:highlight w:val="none"/>
                      <w:lang w:bidi="ar"/>
                    </w:rPr>
                    <w:t>未检出</w:t>
                  </w:r>
                </w:p>
              </w:tc>
              <w:tc>
                <w:tcPr>
                  <w:tcW w:w="689" w:type="dxa"/>
                  <w:noWrap w:val="0"/>
                  <w:vAlign w:val="center"/>
                </w:tcPr>
                <w:p>
                  <w:pPr>
                    <w:widowControl/>
                    <w:jc w:val="center"/>
                    <w:textAlignment w:val="center"/>
                    <w:rPr>
                      <w:color w:val="auto"/>
                      <w:szCs w:val="21"/>
                      <w:highlight w:val="none"/>
                    </w:rPr>
                  </w:pPr>
                  <w:r>
                    <w:rPr>
                      <w:color w:val="auto"/>
                      <w:kern w:val="0"/>
                      <w:szCs w:val="21"/>
                      <w:highlight w:val="none"/>
                      <w:lang w:bidi="ar"/>
                    </w:rPr>
                    <w:t>/</w:t>
                  </w:r>
                </w:p>
              </w:tc>
              <w:tc>
                <w:tcPr>
                  <w:tcW w:w="741" w:type="dxa"/>
                  <w:noWrap w:val="0"/>
                  <w:vAlign w:val="center"/>
                </w:tcPr>
                <w:p>
                  <w:pPr>
                    <w:widowControl/>
                    <w:jc w:val="center"/>
                    <w:textAlignment w:val="center"/>
                    <w:rPr>
                      <w:color w:val="auto"/>
                      <w:szCs w:val="21"/>
                      <w:highlight w:val="none"/>
                    </w:rPr>
                  </w:pPr>
                  <w:r>
                    <w:rPr>
                      <w:color w:val="auto"/>
                      <w:kern w:val="0"/>
                      <w:szCs w:val="21"/>
                      <w:highlight w:val="none"/>
                      <w:lang w:bidi="ar"/>
                    </w:rPr>
                    <w:t>达标</w:t>
                  </w:r>
                </w:p>
              </w:tc>
              <w:tc>
                <w:tcPr>
                  <w:tcW w:w="787" w:type="dxa"/>
                  <w:noWrap w:val="0"/>
                  <w:vAlign w:val="center"/>
                </w:tcPr>
                <w:p>
                  <w:pPr>
                    <w:widowControl/>
                    <w:jc w:val="center"/>
                    <w:textAlignment w:val="center"/>
                    <w:rPr>
                      <w:color w:val="auto"/>
                      <w:szCs w:val="21"/>
                      <w:highlight w:val="none"/>
                    </w:rPr>
                  </w:pPr>
                  <w:r>
                    <w:rPr>
                      <w:color w:val="auto"/>
                      <w:kern w:val="0"/>
                      <w:szCs w:val="21"/>
                      <w:highlight w:val="none"/>
                      <w:lang w:bidi="ar"/>
                    </w:rPr>
                    <w:t>未检出</w:t>
                  </w:r>
                </w:p>
              </w:tc>
              <w:tc>
                <w:tcPr>
                  <w:tcW w:w="591" w:type="dxa"/>
                  <w:noWrap w:val="0"/>
                  <w:vAlign w:val="center"/>
                </w:tcPr>
                <w:p>
                  <w:pPr>
                    <w:widowControl/>
                    <w:jc w:val="center"/>
                    <w:textAlignment w:val="center"/>
                    <w:rPr>
                      <w:color w:val="auto"/>
                      <w:szCs w:val="21"/>
                      <w:highlight w:val="none"/>
                    </w:rPr>
                  </w:pPr>
                  <w:r>
                    <w:rPr>
                      <w:color w:val="auto"/>
                      <w:kern w:val="0"/>
                      <w:szCs w:val="21"/>
                      <w:highlight w:val="none"/>
                      <w:lang w:bidi="ar"/>
                    </w:rPr>
                    <w:t>/</w:t>
                  </w:r>
                </w:p>
              </w:tc>
              <w:tc>
                <w:tcPr>
                  <w:tcW w:w="697" w:type="dxa"/>
                  <w:noWrap w:val="0"/>
                  <w:vAlign w:val="center"/>
                </w:tcPr>
                <w:p>
                  <w:pPr>
                    <w:widowControl/>
                    <w:jc w:val="center"/>
                    <w:textAlignment w:val="center"/>
                    <w:rPr>
                      <w:color w:val="auto"/>
                      <w:szCs w:val="21"/>
                      <w:highlight w:val="none"/>
                    </w:rPr>
                  </w:pPr>
                  <w:r>
                    <w:rPr>
                      <w:color w:val="auto"/>
                      <w:kern w:val="0"/>
                      <w:szCs w:val="21"/>
                      <w:highlight w:val="none"/>
                      <w:lang w:bidi="ar"/>
                    </w:rPr>
                    <w:t>达标</w:t>
                  </w:r>
                </w:p>
              </w:tc>
              <w:tc>
                <w:tcPr>
                  <w:tcW w:w="689" w:type="dxa"/>
                  <w:noWrap w:val="0"/>
                  <w:vAlign w:val="center"/>
                </w:tcPr>
                <w:p>
                  <w:pPr>
                    <w:widowControl/>
                    <w:jc w:val="center"/>
                    <w:textAlignment w:val="center"/>
                    <w:rPr>
                      <w:color w:val="auto"/>
                      <w:szCs w:val="21"/>
                      <w:highlight w:val="none"/>
                    </w:rPr>
                  </w:pPr>
                  <w:r>
                    <w:rPr>
                      <w:color w:val="auto"/>
                      <w:kern w:val="0"/>
                      <w:szCs w:val="21"/>
                      <w:highlight w:val="none"/>
                      <w:lang w:bidi="ar"/>
                    </w:rPr>
                    <w:t>未检出</w:t>
                  </w:r>
                </w:p>
              </w:tc>
              <w:tc>
                <w:tcPr>
                  <w:tcW w:w="689" w:type="dxa"/>
                  <w:noWrap w:val="0"/>
                  <w:vAlign w:val="center"/>
                </w:tcPr>
                <w:p>
                  <w:pPr>
                    <w:widowControl/>
                    <w:jc w:val="center"/>
                    <w:textAlignment w:val="center"/>
                    <w:rPr>
                      <w:color w:val="auto"/>
                      <w:szCs w:val="21"/>
                      <w:highlight w:val="none"/>
                    </w:rPr>
                  </w:pPr>
                  <w:r>
                    <w:rPr>
                      <w:color w:val="auto"/>
                      <w:kern w:val="0"/>
                      <w:szCs w:val="21"/>
                      <w:highlight w:val="none"/>
                      <w:lang w:bidi="ar"/>
                    </w:rPr>
                    <w:t>/</w:t>
                  </w:r>
                </w:p>
              </w:tc>
              <w:tc>
                <w:tcPr>
                  <w:tcW w:w="699" w:type="dxa"/>
                  <w:noWrap w:val="0"/>
                  <w:vAlign w:val="center"/>
                </w:tcPr>
                <w:p>
                  <w:pPr>
                    <w:widowControl/>
                    <w:jc w:val="center"/>
                    <w:textAlignment w:val="center"/>
                    <w:rPr>
                      <w:color w:val="auto"/>
                      <w:szCs w:val="21"/>
                      <w:highlight w:val="none"/>
                    </w:rPr>
                  </w:pPr>
                  <w:r>
                    <w:rPr>
                      <w:color w:val="auto"/>
                      <w:kern w:val="0"/>
                      <w:szCs w:val="21"/>
                      <w:highlight w:val="none"/>
                      <w:lang w:bidi="ar"/>
                    </w:rPr>
                    <w:t>达标</w:t>
                  </w:r>
                </w:p>
              </w:tc>
              <w:tc>
                <w:tcPr>
                  <w:tcW w:w="742" w:type="dxa"/>
                  <w:noWrap w:val="0"/>
                  <w:vAlign w:val="center"/>
                </w:tcPr>
                <w:p>
                  <w:pPr>
                    <w:widowControl/>
                    <w:jc w:val="center"/>
                    <w:textAlignment w:val="center"/>
                    <w:rPr>
                      <w:color w:val="auto"/>
                      <w:szCs w:val="21"/>
                      <w:highlight w:val="none"/>
                    </w:rPr>
                  </w:pPr>
                  <w:r>
                    <w:rPr>
                      <w:color w:val="auto"/>
                      <w:kern w:val="0"/>
                      <w:szCs w:val="21"/>
                      <w:highlight w:val="none"/>
                      <w:lang w:bidi="ar"/>
                    </w:rPr>
                    <w:t>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4" w:hRule="atLeast"/>
              </w:trPr>
              <w:tc>
                <w:tcPr>
                  <w:tcW w:w="1217" w:type="dxa"/>
                  <w:noWrap w:val="0"/>
                  <w:vAlign w:val="center"/>
                </w:tcPr>
                <w:p>
                  <w:pPr>
                    <w:kinsoku w:val="0"/>
                    <w:overflowPunct w:val="0"/>
                    <w:autoSpaceDE w:val="0"/>
                    <w:autoSpaceDN w:val="0"/>
                    <w:jc w:val="center"/>
                    <w:rPr>
                      <w:color w:val="auto"/>
                      <w:szCs w:val="21"/>
                      <w:highlight w:val="none"/>
                    </w:rPr>
                  </w:pPr>
                  <w:r>
                    <w:rPr>
                      <w:color w:val="auto"/>
                      <w:szCs w:val="21"/>
                      <w:highlight w:val="none"/>
                    </w:rPr>
                    <w:t>䓛*（mg/kg）</w:t>
                  </w:r>
                </w:p>
              </w:tc>
              <w:tc>
                <w:tcPr>
                  <w:tcW w:w="792" w:type="dxa"/>
                  <w:noWrap w:val="0"/>
                  <w:vAlign w:val="center"/>
                </w:tcPr>
                <w:p>
                  <w:pPr>
                    <w:widowControl/>
                    <w:jc w:val="center"/>
                    <w:textAlignment w:val="center"/>
                    <w:rPr>
                      <w:color w:val="auto"/>
                      <w:szCs w:val="21"/>
                      <w:highlight w:val="none"/>
                    </w:rPr>
                  </w:pPr>
                  <w:r>
                    <w:rPr>
                      <w:color w:val="auto"/>
                      <w:kern w:val="0"/>
                      <w:szCs w:val="21"/>
                      <w:highlight w:val="none"/>
                      <w:lang w:bidi="ar"/>
                    </w:rPr>
                    <w:t>未检出</w:t>
                  </w:r>
                </w:p>
              </w:tc>
              <w:tc>
                <w:tcPr>
                  <w:tcW w:w="689" w:type="dxa"/>
                  <w:noWrap w:val="0"/>
                  <w:vAlign w:val="center"/>
                </w:tcPr>
                <w:p>
                  <w:pPr>
                    <w:widowControl/>
                    <w:jc w:val="center"/>
                    <w:textAlignment w:val="center"/>
                    <w:rPr>
                      <w:color w:val="auto"/>
                      <w:szCs w:val="21"/>
                      <w:highlight w:val="none"/>
                    </w:rPr>
                  </w:pPr>
                  <w:r>
                    <w:rPr>
                      <w:color w:val="auto"/>
                      <w:kern w:val="0"/>
                      <w:szCs w:val="21"/>
                      <w:highlight w:val="none"/>
                      <w:lang w:bidi="ar"/>
                    </w:rPr>
                    <w:t>/</w:t>
                  </w:r>
                </w:p>
              </w:tc>
              <w:tc>
                <w:tcPr>
                  <w:tcW w:w="741" w:type="dxa"/>
                  <w:noWrap w:val="0"/>
                  <w:vAlign w:val="center"/>
                </w:tcPr>
                <w:p>
                  <w:pPr>
                    <w:widowControl/>
                    <w:jc w:val="center"/>
                    <w:textAlignment w:val="center"/>
                    <w:rPr>
                      <w:color w:val="auto"/>
                      <w:szCs w:val="21"/>
                      <w:highlight w:val="none"/>
                    </w:rPr>
                  </w:pPr>
                  <w:r>
                    <w:rPr>
                      <w:color w:val="auto"/>
                      <w:kern w:val="0"/>
                      <w:szCs w:val="21"/>
                      <w:highlight w:val="none"/>
                      <w:lang w:bidi="ar"/>
                    </w:rPr>
                    <w:t>达标</w:t>
                  </w:r>
                </w:p>
              </w:tc>
              <w:tc>
                <w:tcPr>
                  <w:tcW w:w="787" w:type="dxa"/>
                  <w:noWrap w:val="0"/>
                  <w:vAlign w:val="center"/>
                </w:tcPr>
                <w:p>
                  <w:pPr>
                    <w:widowControl/>
                    <w:jc w:val="center"/>
                    <w:textAlignment w:val="center"/>
                    <w:rPr>
                      <w:color w:val="auto"/>
                      <w:szCs w:val="21"/>
                      <w:highlight w:val="none"/>
                    </w:rPr>
                  </w:pPr>
                  <w:r>
                    <w:rPr>
                      <w:color w:val="auto"/>
                      <w:kern w:val="0"/>
                      <w:szCs w:val="21"/>
                      <w:highlight w:val="none"/>
                      <w:lang w:bidi="ar"/>
                    </w:rPr>
                    <w:t>未检出</w:t>
                  </w:r>
                </w:p>
              </w:tc>
              <w:tc>
                <w:tcPr>
                  <w:tcW w:w="591" w:type="dxa"/>
                  <w:noWrap w:val="0"/>
                  <w:vAlign w:val="center"/>
                </w:tcPr>
                <w:p>
                  <w:pPr>
                    <w:widowControl/>
                    <w:jc w:val="center"/>
                    <w:textAlignment w:val="center"/>
                    <w:rPr>
                      <w:color w:val="auto"/>
                      <w:szCs w:val="21"/>
                      <w:highlight w:val="none"/>
                    </w:rPr>
                  </w:pPr>
                  <w:r>
                    <w:rPr>
                      <w:color w:val="auto"/>
                      <w:kern w:val="0"/>
                      <w:szCs w:val="21"/>
                      <w:highlight w:val="none"/>
                      <w:lang w:bidi="ar"/>
                    </w:rPr>
                    <w:t>/</w:t>
                  </w:r>
                </w:p>
              </w:tc>
              <w:tc>
                <w:tcPr>
                  <w:tcW w:w="697" w:type="dxa"/>
                  <w:noWrap w:val="0"/>
                  <w:vAlign w:val="center"/>
                </w:tcPr>
                <w:p>
                  <w:pPr>
                    <w:widowControl/>
                    <w:jc w:val="center"/>
                    <w:textAlignment w:val="center"/>
                    <w:rPr>
                      <w:color w:val="auto"/>
                      <w:szCs w:val="21"/>
                      <w:highlight w:val="none"/>
                    </w:rPr>
                  </w:pPr>
                  <w:r>
                    <w:rPr>
                      <w:color w:val="auto"/>
                      <w:kern w:val="0"/>
                      <w:szCs w:val="21"/>
                      <w:highlight w:val="none"/>
                      <w:lang w:bidi="ar"/>
                    </w:rPr>
                    <w:t>达标</w:t>
                  </w:r>
                </w:p>
              </w:tc>
              <w:tc>
                <w:tcPr>
                  <w:tcW w:w="689" w:type="dxa"/>
                  <w:noWrap w:val="0"/>
                  <w:vAlign w:val="center"/>
                </w:tcPr>
                <w:p>
                  <w:pPr>
                    <w:widowControl/>
                    <w:jc w:val="center"/>
                    <w:textAlignment w:val="center"/>
                    <w:rPr>
                      <w:color w:val="auto"/>
                      <w:szCs w:val="21"/>
                      <w:highlight w:val="none"/>
                    </w:rPr>
                  </w:pPr>
                  <w:r>
                    <w:rPr>
                      <w:color w:val="auto"/>
                      <w:kern w:val="0"/>
                      <w:szCs w:val="21"/>
                      <w:highlight w:val="none"/>
                      <w:lang w:bidi="ar"/>
                    </w:rPr>
                    <w:t>未检出</w:t>
                  </w:r>
                </w:p>
              </w:tc>
              <w:tc>
                <w:tcPr>
                  <w:tcW w:w="689" w:type="dxa"/>
                  <w:noWrap w:val="0"/>
                  <w:vAlign w:val="center"/>
                </w:tcPr>
                <w:p>
                  <w:pPr>
                    <w:widowControl/>
                    <w:jc w:val="center"/>
                    <w:textAlignment w:val="center"/>
                    <w:rPr>
                      <w:color w:val="auto"/>
                      <w:szCs w:val="21"/>
                      <w:highlight w:val="none"/>
                    </w:rPr>
                  </w:pPr>
                  <w:r>
                    <w:rPr>
                      <w:color w:val="auto"/>
                      <w:kern w:val="0"/>
                      <w:szCs w:val="21"/>
                      <w:highlight w:val="none"/>
                      <w:lang w:bidi="ar"/>
                    </w:rPr>
                    <w:t>/</w:t>
                  </w:r>
                </w:p>
              </w:tc>
              <w:tc>
                <w:tcPr>
                  <w:tcW w:w="699" w:type="dxa"/>
                  <w:noWrap w:val="0"/>
                  <w:vAlign w:val="center"/>
                </w:tcPr>
                <w:p>
                  <w:pPr>
                    <w:widowControl/>
                    <w:jc w:val="center"/>
                    <w:textAlignment w:val="center"/>
                    <w:rPr>
                      <w:color w:val="auto"/>
                      <w:szCs w:val="21"/>
                      <w:highlight w:val="none"/>
                    </w:rPr>
                  </w:pPr>
                  <w:r>
                    <w:rPr>
                      <w:color w:val="auto"/>
                      <w:kern w:val="0"/>
                      <w:szCs w:val="21"/>
                      <w:highlight w:val="none"/>
                      <w:lang w:bidi="ar"/>
                    </w:rPr>
                    <w:t>达标</w:t>
                  </w:r>
                </w:p>
              </w:tc>
              <w:tc>
                <w:tcPr>
                  <w:tcW w:w="742" w:type="dxa"/>
                  <w:noWrap w:val="0"/>
                  <w:vAlign w:val="center"/>
                </w:tcPr>
                <w:p>
                  <w:pPr>
                    <w:widowControl/>
                    <w:jc w:val="center"/>
                    <w:textAlignment w:val="center"/>
                    <w:rPr>
                      <w:color w:val="auto"/>
                      <w:szCs w:val="21"/>
                      <w:highlight w:val="none"/>
                    </w:rPr>
                  </w:pPr>
                  <w:r>
                    <w:rPr>
                      <w:color w:val="auto"/>
                      <w:kern w:val="0"/>
                      <w:szCs w:val="21"/>
                      <w:highlight w:val="none"/>
                      <w:lang w:bidi="ar"/>
                    </w:rPr>
                    <w:t>1293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4" w:hRule="atLeast"/>
              </w:trPr>
              <w:tc>
                <w:tcPr>
                  <w:tcW w:w="1217" w:type="dxa"/>
                  <w:noWrap w:val="0"/>
                  <w:vAlign w:val="center"/>
                </w:tcPr>
                <w:p>
                  <w:pPr>
                    <w:kinsoku w:val="0"/>
                    <w:overflowPunct w:val="0"/>
                    <w:autoSpaceDE w:val="0"/>
                    <w:autoSpaceDN w:val="0"/>
                    <w:jc w:val="center"/>
                    <w:rPr>
                      <w:color w:val="auto"/>
                      <w:szCs w:val="21"/>
                      <w:highlight w:val="none"/>
                    </w:rPr>
                  </w:pPr>
                  <w:r>
                    <w:rPr>
                      <w:color w:val="auto"/>
                      <w:szCs w:val="21"/>
                      <w:highlight w:val="none"/>
                    </w:rPr>
                    <w:t>苯并[b]荧蒽*（mg/kg）</w:t>
                  </w:r>
                </w:p>
              </w:tc>
              <w:tc>
                <w:tcPr>
                  <w:tcW w:w="792" w:type="dxa"/>
                  <w:noWrap w:val="0"/>
                  <w:vAlign w:val="center"/>
                </w:tcPr>
                <w:p>
                  <w:pPr>
                    <w:widowControl/>
                    <w:jc w:val="center"/>
                    <w:textAlignment w:val="center"/>
                    <w:rPr>
                      <w:color w:val="auto"/>
                      <w:szCs w:val="21"/>
                      <w:highlight w:val="none"/>
                    </w:rPr>
                  </w:pPr>
                  <w:r>
                    <w:rPr>
                      <w:color w:val="auto"/>
                      <w:kern w:val="0"/>
                      <w:szCs w:val="21"/>
                      <w:highlight w:val="none"/>
                      <w:lang w:bidi="ar"/>
                    </w:rPr>
                    <w:t>未检出</w:t>
                  </w:r>
                </w:p>
              </w:tc>
              <w:tc>
                <w:tcPr>
                  <w:tcW w:w="689" w:type="dxa"/>
                  <w:noWrap w:val="0"/>
                  <w:vAlign w:val="center"/>
                </w:tcPr>
                <w:p>
                  <w:pPr>
                    <w:widowControl/>
                    <w:jc w:val="center"/>
                    <w:textAlignment w:val="center"/>
                    <w:rPr>
                      <w:color w:val="auto"/>
                      <w:szCs w:val="21"/>
                      <w:highlight w:val="none"/>
                    </w:rPr>
                  </w:pPr>
                  <w:r>
                    <w:rPr>
                      <w:color w:val="auto"/>
                      <w:kern w:val="0"/>
                      <w:szCs w:val="21"/>
                      <w:highlight w:val="none"/>
                      <w:lang w:bidi="ar"/>
                    </w:rPr>
                    <w:t>/</w:t>
                  </w:r>
                </w:p>
              </w:tc>
              <w:tc>
                <w:tcPr>
                  <w:tcW w:w="741" w:type="dxa"/>
                  <w:noWrap w:val="0"/>
                  <w:vAlign w:val="center"/>
                </w:tcPr>
                <w:p>
                  <w:pPr>
                    <w:widowControl/>
                    <w:jc w:val="center"/>
                    <w:textAlignment w:val="center"/>
                    <w:rPr>
                      <w:color w:val="auto"/>
                      <w:szCs w:val="21"/>
                      <w:highlight w:val="none"/>
                    </w:rPr>
                  </w:pPr>
                  <w:r>
                    <w:rPr>
                      <w:color w:val="auto"/>
                      <w:kern w:val="0"/>
                      <w:szCs w:val="21"/>
                      <w:highlight w:val="none"/>
                      <w:lang w:bidi="ar"/>
                    </w:rPr>
                    <w:t>达标</w:t>
                  </w:r>
                </w:p>
              </w:tc>
              <w:tc>
                <w:tcPr>
                  <w:tcW w:w="787" w:type="dxa"/>
                  <w:noWrap w:val="0"/>
                  <w:vAlign w:val="center"/>
                </w:tcPr>
                <w:p>
                  <w:pPr>
                    <w:widowControl/>
                    <w:jc w:val="center"/>
                    <w:textAlignment w:val="center"/>
                    <w:rPr>
                      <w:color w:val="auto"/>
                      <w:szCs w:val="21"/>
                      <w:highlight w:val="none"/>
                    </w:rPr>
                  </w:pPr>
                  <w:r>
                    <w:rPr>
                      <w:color w:val="auto"/>
                      <w:kern w:val="0"/>
                      <w:szCs w:val="21"/>
                      <w:highlight w:val="none"/>
                      <w:lang w:bidi="ar"/>
                    </w:rPr>
                    <w:t>未检出</w:t>
                  </w:r>
                </w:p>
              </w:tc>
              <w:tc>
                <w:tcPr>
                  <w:tcW w:w="591" w:type="dxa"/>
                  <w:noWrap w:val="0"/>
                  <w:vAlign w:val="center"/>
                </w:tcPr>
                <w:p>
                  <w:pPr>
                    <w:widowControl/>
                    <w:jc w:val="center"/>
                    <w:textAlignment w:val="center"/>
                    <w:rPr>
                      <w:color w:val="auto"/>
                      <w:szCs w:val="21"/>
                      <w:highlight w:val="none"/>
                    </w:rPr>
                  </w:pPr>
                  <w:r>
                    <w:rPr>
                      <w:color w:val="auto"/>
                      <w:kern w:val="0"/>
                      <w:szCs w:val="21"/>
                      <w:highlight w:val="none"/>
                      <w:lang w:bidi="ar"/>
                    </w:rPr>
                    <w:t>/</w:t>
                  </w:r>
                </w:p>
              </w:tc>
              <w:tc>
                <w:tcPr>
                  <w:tcW w:w="697" w:type="dxa"/>
                  <w:noWrap w:val="0"/>
                  <w:vAlign w:val="center"/>
                </w:tcPr>
                <w:p>
                  <w:pPr>
                    <w:widowControl/>
                    <w:jc w:val="center"/>
                    <w:textAlignment w:val="center"/>
                    <w:rPr>
                      <w:color w:val="auto"/>
                      <w:szCs w:val="21"/>
                      <w:highlight w:val="none"/>
                    </w:rPr>
                  </w:pPr>
                  <w:r>
                    <w:rPr>
                      <w:color w:val="auto"/>
                      <w:kern w:val="0"/>
                      <w:szCs w:val="21"/>
                      <w:highlight w:val="none"/>
                      <w:lang w:bidi="ar"/>
                    </w:rPr>
                    <w:t>达标</w:t>
                  </w:r>
                </w:p>
              </w:tc>
              <w:tc>
                <w:tcPr>
                  <w:tcW w:w="689" w:type="dxa"/>
                  <w:noWrap w:val="0"/>
                  <w:vAlign w:val="center"/>
                </w:tcPr>
                <w:p>
                  <w:pPr>
                    <w:widowControl/>
                    <w:jc w:val="center"/>
                    <w:textAlignment w:val="center"/>
                    <w:rPr>
                      <w:color w:val="auto"/>
                      <w:szCs w:val="21"/>
                      <w:highlight w:val="none"/>
                    </w:rPr>
                  </w:pPr>
                  <w:r>
                    <w:rPr>
                      <w:color w:val="auto"/>
                      <w:kern w:val="0"/>
                      <w:szCs w:val="21"/>
                      <w:highlight w:val="none"/>
                      <w:lang w:bidi="ar"/>
                    </w:rPr>
                    <w:t>未检出</w:t>
                  </w:r>
                </w:p>
              </w:tc>
              <w:tc>
                <w:tcPr>
                  <w:tcW w:w="689" w:type="dxa"/>
                  <w:noWrap w:val="0"/>
                  <w:vAlign w:val="center"/>
                </w:tcPr>
                <w:p>
                  <w:pPr>
                    <w:widowControl/>
                    <w:jc w:val="center"/>
                    <w:textAlignment w:val="center"/>
                    <w:rPr>
                      <w:color w:val="auto"/>
                      <w:szCs w:val="21"/>
                      <w:highlight w:val="none"/>
                    </w:rPr>
                  </w:pPr>
                  <w:r>
                    <w:rPr>
                      <w:color w:val="auto"/>
                      <w:kern w:val="0"/>
                      <w:szCs w:val="21"/>
                      <w:highlight w:val="none"/>
                      <w:lang w:bidi="ar"/>
                    </w:rPr>
                    <w:t>/</w:t>
                  </w:r>
                </w:p>
              </w:tc>
              <w:tc>
                <w:tcPr>
                  <w:tcW w:w="699" w:type="dxa"/>
                  <w:noWrap w:val="0"/>
                  <w:vAlign w:val="center"/>
                </w:tcPr>
                <w:p>
                  <w:pPr>
                    <w:widowControl/>
                    <w:jc w:val="center"/>
                    <w:textAlignment w:val="center"/>
                    <w:rPr>
                      <w:color w:val="auto"/>
                      <w:szCs w:val="21"/>
                      <w:highlight w:val="none"/>
                    </w:rPr>
                  </w:pPr>
                  <w:r>
                    <w:rPr>
                      <w:color w:val="auto"/>
                      <w:kern w:val="0"/>
                      <w:szCs w:val="21"/>
                      <w:highlight w:val="none"/>
                      <w:lang w:bidi="ar"/>
                    </w:rPr>
                    <w:t>达标</w:t>
                  </w:r>
                </w:p>
              </w:tc>
              <w:tc>
                <w:tcPr>
                  <w:tcW w:w="742" w:type="dxa"/>
                  <w:noWrap w:val="0"/>
                  <w:vAlign w:val="center"/>
                </w:tcPr>
                <w:p>
                  <w:pPr>
                    <w:widowControl/>
                    <w:jc w:val="center"/>
                    <w:textAlignment w:val="center"/>
                    <w:rPr>
                      <w:color w:val="auto"/>
                      <w:szCs w:val="21"/>
                      <w:highlight w:val="none"/>
                    </w:rPr>
                  </w:pPr>
                  <w:r>
                    <w:rPr>
                      <w:color w:val="auto"/>
                      <w:kern w:val="0"/>
                      <w:szCs w:val="21"/>
                      <w:highlight w:val="none"/>
                      <w:lang w:bidi="ar"/>
                    </w:rPr>
                    <w:t>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4" w:hRule="atLeast"/>
              </w:trPr>
              <w:tc>
                <w:tcPr>
                  <w:tcW w:w="1217" w:type="dxa"/>
                  <w:noWrap w:val="0"/>
                  <w:vAlign w:val="center"/>
                </w:tcPr>
                <w:p>
                  <w:pPr>
                    <w:kinsoku w:val="0"/>
                    <w:overflowPunct w:val="0"/>
                    <w:autoSpaceDE w:val="0"/>
                    <w:autoSpaceDN w:val="0"/>
                    <w:jc w:val="center"/>
                    <w:rPr>
                      <w:color w:val="auto"/>
                      <w:szCs w:val="21"/>
                      <w:highlight w:val="none"/>
                    </w:rPr>
                  </w:pPr>
                  <w:r>
                    <w:rPr>
                      <w:color w:val="auto"/>
                      <w:szCs w:val="21"/>
                      <w:highlight w:val="none"/>
                    </w:rPr>
                    <w:t>苯并[k]荧蒽*（mg/kg）</w:t>
                  </w:r>
                </w:p>
              </w:tc>
              <w:tc>
                <w:tcPr>
                  <w:tcW w:w="792" w:type="dxa"/>
                  <w:noWrap w:val="0"/>
                  <w:vAlign w:val="center"/>
                </w:tcPr>
                <w:p>
                  <w:pPr>
                    <w:widowControl/>
                    <w:jc w:val="center"/>
                    <w:textAlignment w:val="center"/>
                    <w:rPr>
                      <w:color w:val="auto"/>
                      <w:szCs w:val="21"/>
                      <w:highlight w:val="none"/>
                    </w:rPr>
                  </w:pPr>
                  <w:r>
                    <w:rPr>
                      <w:color w:val="auto"/>
                      <w:kern w:val="0"/>
                      <w:szCs w:val="21"/>
                      <w:highlight w:val="none"/>
                      <w:lang w:bidi="ar"/>
                    </w:rPr>
                    <w:t>未检出</w:t>
                  </w:r>
                </w:p>
              </w:tc>
              <w:tc>
                <w:tcPr>
                  <w:tcW w:w="689" w:type="dxa"/>
                  <w:noWrap w:val="0"/>
                  <w:vAlign w:val="center"/>
                </w:tcPr>
                <w:p>
                  <w:pPr>
                    <w:widowControl/>
                    <w:jc w:val="center"/>
                    <w:textAlignment w:val="center"/>
                    <w:rPr>
                      <w:color w:val="auto"/>
                      <w:szCs w:val="21"/>
                      <w:highlight w:val="none"/>
                    </w:rPr>
                  </w:pPr>
                  <w:r>
                    <w:rPr>
                      <w:color w:val="auto"/>
                      <w:kern w:val="0"/>
                      <w:szCs w:val="21"/>
                      <w:highlight w:val="none"/>
                      <w:lang w:bidi="ar"/>
                    </w:rPr>
                    <w:t>/</w:t>
                  </w:r>
                </w:p>
              </w:tc>
              <w:tc>
                <w:tcPr>
                  <w:tcW w:w="741" w:type="dxa"/>
                  <w:noWrap w:val="0"/>
                  <w:vAlign w:val="center"/>
                </w:tcPr>
                <w:p>
                  <w:pPr>
                    <w:widowControl/>
                    <w:jc w:val="center"/>
                    <w:textAlignment w:val="center"/>
                    <w:rPr>
                      <w:color w:val="auto"/>
                      <w:szCs w:val="21"/>
                      <w:highlight w:val="none"/>
                    </w:rPr>
                  </w:pPr>
                  <w:r>
                    <w:rPr>
                      <w:color w:val="auto"/>
                      <w:kern w:val="0"/>
                      <w:szCs w:val="21"/>
                      <w:highlight w:val="none"/>
                      <w:lang w:bidi="ar"/>
                    </w:rPr>
                    <w:t>达标</w:t>
                  </w:r>
                </w:p>
              </w:tc>
              <w:tc>
                <w:tcPr>
                  <w:tcW w:w="787" w:type="dxa"/>
                  <w:noWrap w:val="0"/>
                  <w:vAlign w:val="center"/>
                </w:tcPr>
                <w:p>
                  <w:pPr>
                    <w:widowControl/>
                    <w:jc w:val="center"/>
                    <w:textAlignment w:val="center"/>
                    <w:rPr>
                      <w:color w:val="auto"/>
                      <w:szCs w:val="21"/>
                      <w:highlight w:val="none"/>
                    </w:rPr>
                  </w:pPr>
                  <w:r>
                    <w:rPr>
                      <w:color w:val="auto"/>
                      <w:kern w:val="0"/>
                      <w:szCs w:val="21"/>
                      <w:highlight w:val="none"/>
                      <w:lang w:bidi="ar"/>
                    </w:rPr>
                    <w:t>未检出</w:t>
                  </w:r>
                </w:p>
              </w:tc>
              <w:tc>
                <w:tcPr>
                  <w:tcW w:w="591" w:type="dxa"/>
                  <w:noWrap w:val="0"/>
                  <w:vAlign w:val="center"/>
                </w:tcPr>
                <w:p>
                  <w:pPr>
                    <w:widowControl/>
                    <w:jc w:val="center"/>
                    <w:textAlignment w:val="center"/>
                    <w:rPr>
                      <w:color w:val="auto"/>
                      <w:szCs w:val="21"/>
                      <w:highlight w:val="none"/>
                    </w:rPr>
                  </w:pPr>
                  <w:r>
                    <w:rPr>
                      <w:color w:val="auto"/>
                      <w:kern w:val="0"/>
                      <w:szCs w:val="21"/>
                      <w:highlight w:val="none"/>
                      <w:lang w:bidi="ar"/>
                    </w:rPr>
                    <w:t>/</w:t>
                  </w:r>
                </w:p>
              </w:tc>
              <w:tc>
                <w:tcPr>
                  <w:tcW w:w="697" w:type="dxa"/>
                  <w:noWrap w:val="0"/>
                  <w:vAlign w:val="center"/>
                </w:tcPr>
                <w:p>
                  <w:pPr>
                    <w:widowControl/>
                    <w:jc w:val="center"/>
                    <w:textAlignment w:val="center"/>
                    <w:rPr>
                      <w:color w:val="auto"/>
                      <w:szCs w:val="21"/>
                      <w:highlight w:val="none"/>
                    </w:rPr>
                  </w:pPr>
                  <w:r>
                    <w:rPr>
                      <w:color w:val="auto"/>
                      <w:kern w:val="0"/>
                      <w:szCs w:val="21"/>
                      <w:highlight w:val="none"/>
                      <w:lang w:bidi="ar"/>
                    </w:rPr>
                    <w:t>达标</w:t>
                  </w:r>
                </w:p>
              </w:tc>
              <w:tc>
                <w:tcPr>
                  <w:tcW w:w="689" w:type="dxa"/>
                  <w:noWrap w:val="0"/>
                  <w:vAlign w:val="center"/>
                </w:tcPr>
                <w:p>
                  <w:pPr>
                    <w:widowControl/>
                    <w:jc w:val="center"/>
                    <w:textAlignment w:val="center"/>
                    <w:rPr>
                      <w:color w:val="auto"/>
                      <w:szCs w:val="21"/>
                      <w:highlight w:val="none"/>
                    </w:rPr>
                  </w:pPr>
                  <w:r>
                    <w:rPr>
                      <w:color w:val="auto"/>
                      <w:kern w:val="0"/>
                      <w:szCs w:val="21"/>
                      <w:highlight w:val="none"/>
                      <w:lang w:bidi="ar"/>
                    </w:rPr>
                    <w:t>未检出</w:t>
                  </w:r>
                </w:p>
              </w:tc>
              <w:tc>
                <w:tcPr>
                  <w:tcW w:w="689" w:type="dxa"/>
                  <w:noWrap w:val="0"/>
                  <w:vAlign w:val="center"/>
                </w:tcPr>
                <w:p>
                  <w:pPr>
                    <w:widowControl/>
                    <w:jc w:val="center"/>
                    <w:textAlignment w:val="center"/>
                    <w:rPr>
                      <w:color w:val="auto"/>
                      <w:szCs w:val="21"/>
                      <w:highlight w:val="none"/>
                    </w:rPr>
                  </w:pPr>
                  <w:r>
                    <w:rPr>
                      <w:color w:val="auto"/>
                      <w:kern w:val="0"/>
                      <w:szCs w:val="21"/>
                      <w:highlight w:val="none"/>
                      <w:lang w:bidi="ar"/>
                    </w:rPr>
                    <w:t>/</w:t>
                  </w:r>
                </w:p>
              </w:tc>
              <w:tc>
                <w:tcPr>
                  <w:tcW w:w="699" w:type="dxa"/>
                  <w:noWrap w:val="0"/>
                  <w:vAlign w:val="center"/>
                </w:tcPr>
                <w:p>
                  <w:pPr>
                    <w:widowControl/>
                    <w:jc w:val="center"/>
                    <w:textAlignment w:val="center"/>
                    <w:rPr>
                      <w:color w:val="auto"/>
                      <w:szCs w:val="21"/>
                      <w:highlight w:val="none"/>
                    </w:rPr>
                  </w:pPr>
                  <w:r>
                    <w:rPr>
                      <w:color w:val="auto"/>
                      <w:kern w:val="0"/>
                      <w:szCs w:val="21"/>
                      <w:highlight w:val="none"/>
                      <w:lang w:bidi="ar"/>
                    </w:rPr>
                    <w:t>达标</w:t>
                  </w:r>
                </w:p>
              </w:tc>
              <w:tc>
                <w:tcPr>
                  <w:tcW w:w="742" w:type="dxa"/>
                  <w:noWrap w:val="0"/>
                  <w:vAlign w:val="center"/>
                </w:tcPr>
                <w:p>
                  <w:pPr>
                    <w:widowControl/>
                    <w:jc w:val="center"/>
                    <w:textAlignment w:val="center"/>
                    <w:rPr>
                      <w:color w:val="auto"/>
                      <w:szCs w:val="21"/>
                      <w:highlight w:val="none"/>
                    </w:rPr>
                  </w:pPr>
                  <w:r>
                    <w:rPr>
                      <w:color w:val="auto"/>
                      <w:kern w:val="0"/>
                      <w:szCs w:val="21"/>
                      <w:highlight w:val="none"/>
                      <w:lang w:bidi="ar"/>
                    </w:rPr>
                    <w:t>151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4" w:hRule="atLeast"/>
              </w:trPr>
              <w:tc>
                <w:tcPr>
                  <w:tcW w:w="1217" w:type="dxa"/>
                  <w:noWrap w:val="0"/>
                  <w:vAlign w:val="center"/>
                </w:tcPr>
                <w:p>
                  <w:pPr>
                    <w:kinsoku w:val="0"/>
                    <w:overflowPunct w:val="0"/>
                    <w:autoSpaceDE w:val="0"/>
                    <w:autoSpaceDN w:val="0"/>
                    <w:jc w:val="center"/>
                    <w:rPr>
                      <w:color w:val="auto"/>
                      <w:szCs w:val="21"/>
                      <w:highlight w:val="none"/>
                    </w:rPr>
                  </w:pPr>
                  <w:r>
                    <w:rPr>
                      <w:color w:val="auto"/>
                      <w:szCs w:val="21"/>
                      <w:highlight w:val="none"/>
                    </w:rPr>
                    <w:t>苯并[a]芘*（mg/kg）</w:t>
                  </w:r>
                </w:p>
              </w:tc>
              <w:tc>
                <w:tcPr>
                  <w:tcW w:w="792" w:type="dxa"/>
                  <w:noWrap w:val="0"/>
                  <w:vAlign w:val="center"/>
                </w:tcPr>
                <w:p>
                  <w:pPr>
                    <w:widowControl/>
                    <w:jc w:val="center"/>
                    <w:textAlignment w:val="center"/>
                    <w:rPr>
                      <w:color w:val="auto"/>
                      <w:szCs w:val="21"/>
                      <w:highlight w:val="none"/>
                    </w:rPr>
                  </w:pPr>
                  <w:r>
                    <w:rPr>
                      <w:color w:val="auto"/>
                      <w:kern w:val="0"/>
                      <w:szCs w:val="21"/>
                      <w:highlight w:val="none"/>
                      <w:lang w:bidi="ar"/>
                    </w:rPr>
                    <w:t>未检出</w:t>
                  </w:r>
                </w:p>
              </w:tc>
              <w:tc>
                <w:tcPr>
                  <w:tcW w:w="689" w:type="dxa"/>
                  <w:noWrap w:val="0"/>
                  <w:vAlign w:val="center"/>
                </w:tcPr>
                <w:p>
                  <w:pPr>
                    <w:widowControl/>
                    <w:jc w:val="center"/>
                    <w:textAlignment w:val="center"/>
                    <w:rPr>
                      <w:color w:val="auto"/>
                      <w:szCs w:val="21"/>
                      <w:highlight w:val="none"/>
                    </w:rPr>
                  </w:pPr>
                  <w:r>
                    <w:rPr>
                      <w:color w:val="auto"/>
                      <w:kern w:val="0"/>
                      <w:szCs w:val="21"/>
                      <w:highlight w:val="none"/>
                      <w:lang w:bidi="ar"/>
                    </w:rPr>
                    <w:t>/</w:t>
                  </w:r>
                </w:p>
              </w:tc>
              <w:tc>
                <w:tcPr>
                  <w:tcW w:w="741" w:type="dxa"/>
                  <w:noWrap w:val="0"/>
                  <w:vAlign w:val="center"/>
                </w:tcPr>
                <w:p>
                  <w:pPr>
                    <w:widowControl/>
                    <w:jc w:val="center"/>
                    <w:textAlignment w:val="center"/>
                    <w:rPr>
                      <w:color w:val="auto"/>
                      <w:szCs w:val="21"/>
                      <w:highlight w:val="none"/>
                    </w:rPr>
                  </w:pPr>
                  <w:r>
                    <w:rPr>
                      <w:color w:val="auto"/>
                      <w:kern w:val="0"/>
                      <w:szCs w:val="21"/>
                      <w:highlight w:val="none"/>
                      <w:lang w:bidi="ar"/>
                    </w:rPr>
                    <w:t>达标</w:t>
                  </w:r>
                </w:p>
              </w:tc>
              <w:tc>
                <w:tcPr>
                  <w:tcW w:w="787" w:type="dxa"/>
                  <w:noWrap w:val="0"/>
                  <w:vAlign w:val="center"/>
                </w:tcPr>
                <w:p>
                  <w:pPr>
                    <w:widowControl/>
                    <w:jc w:val="center"/>
                    <w:textAlignment w:val="center"/>
                    <w:rPr>
                      <w:color w:val="auto"/>
                      <w:szCs w:val="21"/>
                      <w:highlight w:val="none"/>
                    </w:rPr>
                  </w:pPr>
                  <w:r>
                    <w:rPr>
                      <w:color w:val="auto"/>
                      <w:kern w:val="0"/>
                      <w:szCs w:val="21"/>
                      <w:highlight w:val="none"/>
                      <w:lang w:bidi="ar"/>
                    </w:rPr>
                    <w:t>未检出</w:t>
                  </w:r>
                </w:p>
              </w:tc>
              <w:tc>
                <w:tcPr>
                  <w:tcW w:w="591" w:type="dxa"/>
                  <w:noWrap w:val="0"/>
                  <w:vAlign w:val="center"/>
                </w:tcPr>
                <w:p>
                  <w:pPr>
                    <w:widowControl/>
                    <w:jc w:val="center"/>
                    <w:textAlignment w:val="center"/>
                    <w:rPr>
                      <w:color w:val="auto"/>
                      <w:szCs w:val="21"/>
                      <w:highlight w:val="none"/>
                    </w:rPr>
                  </w:pPr>
                  <w:r>
                    <w:rPr>
                      <w:color w:val="auto"/>
                      <w:kern w:val="0"/>
                      <w:szCs w:val="21"/>
                      <w:highlight w:val="none"/>
                      <w:lang w:bidi="ar"/>
                    </w:rPr>
                    <w:t>/</w:t>
                  </w:r>
                </w:p>
              </w:tc>
              <w:tc>
                <w:tcPr>
                  <w:tcW w:w="697" w:type="dxa"/>
                  <w:noWrap w:val="0"/>
                  <w:vAlign w:val="center"/>
                </w:tcPr>
                <w:p>
                  <w:pPr>
                    <w:widowControl/>
                    <w:jc w:val="center"/>
                    <w:textAlignment w:val="center"/>
                    <w:rPr>
                      <w:color w:val="auto"/>
                      <w:szCs w:val="21"/>
                      <w:highlight w:val="none"/>
                    </w:rPr>
                  </w:pPr>
                  <w:r>
                    <w:rPr>
                      <w:color w:val="auto"/>
                      <w:kern w:val="0"/>
                      <w:szCs w:val="21"/>
                      <w:highlight w:val="none"/>
                      <w:lang w:bidi="ar"/>
                    </w:rPr>
                    <w:t>达标</w:t>
                  </w:r>
                </w:p>
              </w:tc>
              <w:tc>
                <w:tcPr>
                  <w:tcW w:w="689" w:type="dxa"/>
                  <w:noWrap w:val="0"/>
                  <w:vAlign w:val="center"/>
                </w:tcPr>
                <w:p>
                  <w:pPr>
                    <w:widowControl/>
                    <w:jc w:val="center"/>
                    <w:textAlignment w:val="center"/>
                    <w:rPr>
                      <w:color w:val="auto"/>
                      <w:szCs w:val="21"/>
                      <w:highlight w:val="none"/>
                    </w:rPr>
                  </w:pPr>
                  <w:r>
                    <w:rPr>
                      <w:color w:val="auto"/>
                      <w:kern w:val="0"/>
                      <w:szCs w:val="21"/>
                      <w:highlight w:val="none"/>
                      <w:lang w:bidi="ar"/>
                    </w:rPr>
                    <w:t>未检出</w:t>
                  </w:r>
                </w:p>
              </w:tc>
              <w:tc>
                <w:tcPr>
                  <w:tcW w:w="689" w:type="dxa"/>
                  <w:noWrap w:val="0"/>
                  <w:vAlign w:val="center"/>
                </w:tcPr>
                <w:p>
                  <w:pPr>
                    <w:widowControl/>
                    <w:jc w:val="center"/>
                    <w:textAlignment w:val="center"/>
                    <w:rPr>
                      <w:color w:val="auto"/>
                      <w:szCs w:val="21"/>
                      <w:highlight w:val="none"/>
                    </w:rPr>
                  </w:pPr>
                  <w:r>
                    <w:rPr>
                      <w:color w:val="auto"/>
                      <w:kern w:val="0"/>
                      <w:szCs w:val="21"/>
                      <w:highlight w:val="none"/>
                      <w:lang w:bidi="ar"/>
                    </w:rPr>
                    <w:t>/</w:t>
                  </w:r>
                </w:p>
              </w:tc>
              <w:tc>
                <w:tcPr>
                  <w:tcW w:w="699" w:type="dxa"/>
                  <w:noWrap w:val="0"/>
                  <w:vAlign w:val="center"/>
                </w:tcPr>
                <w:p>
                  <w:pPr>
                    <w:widowControl/>
                    <w:jc w:val="center"/>
                    <w:textAlignment w:val="center"/>
                    <w:rPr>
                      <w:color w:val="auto"/>
                      <w:szCs w:val="21"/>
                      <w:highlight w:val="none"/>
                    </w:rPr>
                  </w:pPr>
                  <w:r>
                    <w:rPr>
                      <w:color w:val="auto"/>
                      <w:kern w:val="0"/>
                      <w:szCs w:val="21"/>
                      <w:highlight w:val="none"/>
                      <w:lang w:bidi="ar"/>
                    </w:rPr>
                    <w:t>达标</w:t>
                  </w:r>
                </w:p>
              </w:tc>
              <w:tc>
                <w:tcPr>
                  <w:tcW w:w="742" w:type="dxa"/>
                  <w:noWrap w:val="0"/>
                  <w:vAlign w:val="center"/>
                </w:tcPr>
                <w:p>
                  <w:pPr>
                    <w:widowControl/>
                    <w:jc w:val="center"/>
                    <w:textAlignment w:val="center"/>
                    <w:rPr>
                      <w:color w:val="auto"/>
                      <w:szCs w:val="21"/>
                      <w:highlight w:val="none"/>
                    </w:rPr>
                  </w:pPr>
                  <w:r>
                    <w:rPr>
                      <w:color w:val="auto"/>
                      <w:kern w:val="0"/>
                      <w:szCs w:val="21"/>
                      <w:highlight w:val="none"/>
                      <w:lang w:bidi="ar"/>
                    </w:rPr>
                    <w:t>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4" w:hRule="atLeast"/>
              </w:trPr>
              <w:tc>
                <w:tcPr>
                  <w:tcW w:w="1217" w:type="dxa"/>
                  <w:noWrap w:val="0"/>
                  <w:vAlign w:val="center"/>
                </w:tcPr>
                <w:p>
                  <w:pPr>
                    <w:kinsoku w:val="0"/>
                    <w:overflowPunct w:val="0"/>
                    <w:autoSpaceDE w:val="0"/>
                    <w:autoSpaceDN w:val="0"/>
                    <w:jc w:val="center"/>
                    <w:rPr>
                      <w:color w:val="auto"/>
                      <w:szCs w:val="21"/>
                      <w:highlight w:val="none"/>
                    </w:rPr>
                  </w:pPr>
                  <w:r>
                    <w:rPr>
                      <w:color w:val="auto"/>
                      <w:szCs w:val="21"/>
                      <w:highlight w:val="none"/>
                    </w:rPr>
                    <w:t>茚并[1,2,3-cd]芘*（mg/kg）</w:t>
                  </w:r>
                </w:p>
              </w:tc>
              <w:tc>
                <w:tcPr>
                  <w:tcW w:w="792" w:type="dxa"/>
                  <w:noWrap w:val="0"/>
                  <w:vAlign w:val="center"/>
                </w:tcPr>
                <w:p>
                  <w:pPr>
                    <w:widowControl/>
                    <w:jc w:val="center"/>
                    <w:textAlignment w:val="center"/>
                    <w:rPr>
                      <w:color w:val="auto"/>
                      <w:szCs w:val="21"/>
                      <w:highlight w:val="none"/>
                    </w:rPr>
                  </w:pPr>
                  <w:r>
                    <w:rPr>
                      <w:color w:val="auto"/>
                      <w:kern w:val="0"/>
                      <w:szCs w:val="21"/>
                      <w:highlight w:val="none"/>
                      <w:lang w:bidi="ar"/>
                    </w:rPr>
                    <w:t>未检出</w:t>
                  </w:r>
                </w:p>
              </w:tc>
              <w:tc>
                <w:tcPr>
                  <w:tcW w:w="689" w:type="dxa"/>
                  <w:noWrap w:val="0"/>
                  <w:vAlign w:val="center"/>
                </w:tcPr>
                <w:p>
                  <w:pPr>
                    <w:widowControl/>
                    <w:jc w:val="center"/>
                    <w:textAlignment w:val="center"/>
                    <w:rPr>
                      <w:color w:val="auto"/>
                      <w:szCs w:val="21"/>
                      <w:highlight w:val="none"/>
                    </w:rPr>
                  </w:pPr>
                  <w:r>
                    <w:rPr>
                      <w:color w:val="auto"/>
                      <w:kern w:val="0"/>
                      <w:szCs w:val="21"/>
                      <w:highlight w:val="none"/>
                      <w:lang w:bidi="ar"/>
                    </w:rPr>
                    <w:t>/</w:t>
                  </w:r>
                </w:p>
              </w:tc>
              <w:tc>
                <w:tcPr>
                  <w:tcW w:w="741" w:type="dxa"/>
                  <w:noWrap w:val="0"/>
                  <w:vAlign w:val="center"/>
                </w:tcPr>
                <w:p>
                  <w:pPr>
                    <w:widowControl/>
                    <w:jc w:val="center"/>
                    <w:textAlignment w:val="center"/>
                    <w:rPr>
                      <w:color w:val="auto"/>
                      <w:szCs w:val="21"/>
                      <w:highlight w:val="none"/>
                    </w:rPr>
                  </w:pPr>
                  <w:r>
                    <w:rPr>
                      <w:color w:val="auto"/>
                      <w:kern w:val="0"/>
                      <w:szCs w:val="21"/>
                      <w:highlight w:val="none"/>
                      <w:lang w:bidi="ar"/>
                    </w:rPr>
                    <w:t>达标</w:t>
                  </w:r>
                </w:p>
              </w:tc>
              <w:tc>
                <w:tcPr>
                  <w:tcW w:w="787" w:type="dxa"/>
                  <w:noWrap w:val="0"/>
                  <w:vAlign w:val="center"/>
                </w:tcPr>
                <w:p>
                  <w:pPr>
                    <w:widowControl/>
                    <w:jc w:val="center"/>
                    <w:textAlignment w:val="center"/>
                    <w:rPr>
                      <w:color w:val="auto"/>
                      <w:szCs w:val="21"/>
                      <w:highlight w:val="none"/>
                    </w:rPr>
                  </w:pPr>
                  <w:r>
                    <w:rPr>
                      <w:color w:val="auto"/>
                      <w:kern w:val="0"/>
                      <w:szCs w:val="21"/>
                      <w:highlight w:val="none"/>
                      <w:lang w:bidi="ar"/>
                    </w:rPr>
                    <w:t>未检出</w:t>
                  </w:r>
                </w:p>
              </w:tc>
              <w:tc>
                <w:tcPr>
                  <w:tcW w:w="591" w:type="dxa"/>
                  <w:noWrap w:val="0"/>
                  <w:vAlign w:val="center"/>
                </w:tcPr>
                <w:p>
                  <w:pPr>
                    <w:widowControl/>
                    <w:jc w:val="center"/>
                    <w:textAlignment w:val="center"/>
                    <w:rPr>
                      <w:color w:val="auto"/>
                      <w:szCs w:val="21"/>
                      <w:highlight w:val="none"/>
                    </w:rPr>
                  </w:pPr>
                  <w:r>
                    <w:rPr>
                      <w:color w:val="auto"/>
                      <w:kern w:val="0"/>
                      <w:szCs w:val="21"/>
                      <w:highlight w:val="none"/>
                      <w:lang w:bidi="ar"/>
                    </w:rPr>
                    <w:t>/</w:t>
                  </w:r>
                </w:p>
              </w:tc>
              <w:tc>
                <w:tcPr>
                  <w:tcW w:w="697" w:type="dxa"/>
                  <w:noWrap w:val="0"/>
                  <w:vAlign w:val="center"/>
                </w:tcPr>
                <w:p>
                  <w:pPr>
                    <w:widowControl/>
                    <w:jc w:val="center"/>
                    <w:textAlignment w:val="center"/>
                    <w:rPr>
                      <w:color w:val="auto"/>
                      <w:szCs w:val="21"/>
                      <w:highlight w:val="none"/>
                    </w:rPr>
                  </w:pPr>
                  <w:r>
                    <w:rPr>
                      <w:color w:val="auto"/>
                      <w:kern w:val="0"/>
                      <w:szCs w:val="21"/>
                      <w:highlight w:val="none"/>
                      <w:lang w:bidi="ar"/>
                    </w:rPr>
                    <w:t>达标</w:t>
                  </w:r>
                </w:p>
              </w:tc>
              <w:tc>
                <w:tcPr>
                  <w:tcW w:w="689" w:type="dxa"/>
                  <w:noWrap w:val="0"/>
                  <w:vAlign w:val="center"/>
                </w:tcPr>
                <w:p>
                  <w:pPr>
                    <w:widowControl/>
                    <w:jc w:val="center"/>
                    <w:textAlignment w:val="center"/>
                    <w:rPr>
                      <w:color w:val="auto"/>
                      <w:szCs w:val="21"/>
                      <w:highlight w:val="none"/>
                    </w:rPr>
                  </w:pPr>
                  <w:r>
                    <w:rPr>
                      <w:color w:val="auto"/>
                      <w:kern w:val="0"/>
                      <w:szCs w:val="21"/>
                      <w:highlight w:val="none"/>
                      <w:lang w:bidi="ar"/>
                    </w:rPr>
                    <w:t>未检出</w:t>
                  </w:r>
                </w:p>
              </w:tc>
              <w:tc>
                <w:tcPr>
                  <w:tcW w:w="689" w:type="dxa"/>
                  <w:noWrap w:val="0"/>
                  <w:vAlign w:val="center"/>
                </w:tcPr>
                <w:p>
                  <w:pPr>
                    <w:widowControl/>
                    <w:jc w:val="center"/>
                    <w:textAlignment w:val="center"/>
                    <w:rPr>
                      <w:color w:val="auto"/>
                      <w:szCs w:val="21"/>
                      <w:highlight w:val="none"/>
                    </w:rPr>
                  </w:pPr>
                  <w:r>
                    <w:rPr>
                      <w:color w:val="auto"/>
                      <w:kern w:val="0"/>
                      <w:szCs w:val="21"/>
                      <w:highlight w:val="none"/>
                      <w:lang w:bidi="ar"/>
                    </w:rPr>
                    <w:t>/</w:t>
                  </w:r>
                </w:p>
              </w:tc>
              <w:tc>
                <w:tcPr>
                  <w:tcW w:w="699" w:type="dxa"/>
                  <w:noWrap w:val="0"/>
                  <w:vAlign w:val="center"/>
                </w:tcPr>
                <w:p>
                  <w:pPr>
                    <w:widowControl/>
                    <w:jc w:val="center"/>
                    <w:textAlignment w:val="center"/>
                    <w:rPr>
                      <w:color w:val="auto"/>
                      <w:szCs w:val="21"/>
                      <w:highlight w:val="none"/>
                    </w:rPr>
                  </w:pPr>
                  <w:r>
                    <w:rPr>
                      <w:color w:val="auto"/>
                      <w:kern w:val="0"/>
                      <w:szCs w:val="21"/>
                      <w:highlight w:val="none"/>
                      <w:lang w:bidi="ar"/>
                    </w:rPr>
                    <w:t>达标</w:t>
                  </w:r>
                </w:p>
              </w:tc>
              <w:tc>
                <w:tcPr>
                  <w:tcW w:w="742" w:type="dxa"/>
                  <w:noWrap w:val="0"/>
                  <w:vAlign w:val="center"/>
                </w:tcPr>
                <w:p>
                  <w:pPr>
                    <w:widowControl/>
                    <w:jc w:val="center"/>
                    <w:textAlignment w:val="center"/>
                    <w:rPr>
                      <w:color w:val="auto"/>
                      <w:szCs w:val="21"/>
                      <w:highlight w:val="none"/>
                    </w:rPr>
                  </w:pPr>
                  <w:r>
                    <w:rPr>
                      <w:color w:val="auto"/>
                      <w:kern w:val="0"/>
                      <w:szCs w:val="21"/>
                      <w:highlight w:val="none"/>
                      <w:lang w:bidi="ar"/>
                    </w:rPr>
                    <w:t>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4" w:hRule="atLeast"/>
              </w:trPr>
              <w:tc>
                <w:tcPr>
                  <w:tcW w:w="1217" w:type="dxa"/>
                  <w:noWrap w:val="0"/>
                  <w:vAlign w:val="center"/>
                </w:tcPr>
                <w:p>
                  <w:pPr>
                    <w:kinsoku w:val="0"/>
                    <w:overflowPunct w:val="0"/>
                    <w:autoSpaceDE w:val="0"/>
                    <w:autoSpaceDN w:val="0"/>
                    <w:jc w:val="center"/>
                    <w:rPr>
                      <w:color w:val="auto"/>
                      <w:szCs w:val="21"/>
                      <w:highlight w:val="none"/>
                    </w:rPr>
                  </w:pPr>
                  <w:r>
                    <w:rPr>
                      <w:color w:val="auto"/>
                      <w:szCs w:val="21"/>
                      <w:highlight w:val="none"/>
                    </w:rPr>
                    <w:t>二苯并[a,h]蒽*（mg/kg）</w:t>
                  </w:r>
                </w:p>
              </w:tc>
              <w:tc>
                <w:tcPr>
                  <w:tcW w:w="792" w:type="dxa"/>
                  <w:noWrap w:val="0"/>
                  <w:vAlign w:val="center"/>
                </w:tcPr>
                <w:p>
                  <w:pPr>
                    <w:widowControl/>
                    <w:jc w:val="center"/>
                    <w:textAlignment w:val="center"/>
                    <w:rPr>
                      <w:color w:val="auto"/>
                      <w:szCs w:val="21"/>
                      <w:highlight w:val="none"/>
                    </w:rPr>
                  </w:pPr>
                  <w:r>
                    <w:rPr>
                      <w:color w:val="auto"/>
                      <w:kern w:val="0"/>
                      <w:szCs w:val="21"/>
                      <w:highlight w:val="none"/>
                      <w:lang w:bidi="ar"/>
                    </w:rPr>
                    <w:t>未检出</w:t>
                  </w:r>
                </w:p>
              </w:tc>
              <w:tc>
                <w:tcPr>
                  <w:tcW w:w="689" w:type="dxa"/>
                  <w:noWrap w:val="0"/>
                  <w:vAlign w:val="center"/>
                </w:tcPr>
                <w:p>
                  <w:pPr>
                    <w:widowControl/>
                    <w:jc w:val="center"/>
                    <w:textAlignment w:val="center"/>
                    <w:rPr>
                      <w:color w:val="auto"/>
                      <w:szCs w:val="21"/>
                      <w:highlight w:val="none"/>
                    </w:rPr>
                  </w:pPr>
                  <w:r>
                    <w:rPr>
                      <w:color w:val="auto"/>
                      <w:kern w:val="0"/>
                      <w:szCs w:val="21"/>
                      <w:highlight w:val="none"/>
                      <w:lang w:bidi="ar"/>
                    </w:rPr>
                    <w:t>/</w:t>
                  </w:r>
                </w:p>
              </w:tc>
              <w:tc>
                <w:tcPr>
                  <w:tcW w:w="741" w:type="dxa"/>
                  <w:noWrap w:val="0"/>
                  <w:vAlign w:val="center"/>
                </w:tcPr>
                <w:p>
                  <w:pPr>
                    <w:widowControl/>
                    <w:jc w:val="center"/>
                    <w:textAlignment w:val="center"/>
                    <w:rPr>
                      <w:color w:val="auto"/>
                      <w:szCs w:val="21"/>
                      <w:highlight w:val="none"/>
                    </w:rPr>
                  </w:pPr>
                  <w:r>
                    <w:rPr>
                      <w:color w:val="auto"/>
                      <w:kern w:val="0"/>
                      <w:szCs w:val="21"/>
                      <w:highlight w:val="none"/>
                      <w:lang w:bidi="ar"/>
                    </w:rPr>
                    <w:t>达标</w:t>
                  </w:r>
                </w:p>
              </w:tc>
              <w:tc>
                <w:tcPr>
                  <w:tcW w:w="787" w:type="dxa"/>
                  <w:noWrap w:val="0"/>
                  <w:vAlign w:val="center"/>
                </w:tcPr>
                <w:p>
                  <w:pPr>
                    <w:widowControl/>
                    <w:jc w:val="center"/>
                    <w:textAlignment w:val="center"/>
                    <w:rPr>
                      <w:color w:val="auto"/>
                      <w:szCs w:val="21"/>
                      <w:highlight w:val="none"/>
                    </w:rPr>
                  </w:pPr>
                  <w:r>
                    <w:rPr>
                      <w:color w:val="auto"/>
                      <w:kern w:val="0"/>
                      <w:szCs w:val="21"/>
                      <w:highlight w:val="none"/>
                      <w:lang w:bidi="ar"/>
                    </w:rPr>
                    <w:t>未检出</w:t>
                  </w:r>
                </w:p>
              </w:tc>
              <w:tc>
                <w:tcPr>
                  <w:tcW w:w="591" w:type="dxa"/>
                  <w:noWrap w:val="0"/>
                  <w:vAlign w:val="center"/>
                </w:tcPr>
                <w:p>
                  <w:pPr>
                    <w:widowControl/>
                    <w:jc w:val="center"/>
                    <w:textAlignment w:val="center"/>
                    <w:rPr>
                      <w:color w:val="auto"/>
                      <w:szCs w:val="21"/>
                      <w:highlight w:val="none"/>
                    </w:rPr>
                  </w:pPr>
                  <w:r>
                    <w:rPr>
                      <w:color w:val="auto"/>
                      <w:kern w:val="0"/>
                      <w:szCs w:val="21"/>
                      <w:highlight w:val="none"/>
                      <w:lang w:bidi="ar"/>
                    </w:rPr>
                    <w:t>/</w:t>
                  </w:r>
                </w:p>
              </w:tc>
              <w:tc>
                <w:tcPr>
                  <w:tcW w:w="697" w:type="dxa"/>
                  <w:noWrap w:val="0"/>
                  <w:vAlign w:val="center"/>
                </w:tcPr>
                <w:p>
                  <w:pPr>
                    <w:widowControl/>
                    <w:jc w:val="center"/>
                    <w:textAlignment w:val="center"/>
                    <w:rPr>
                      <w:color w:val="auto"/>
                      <w:szCs w:val="21"/>
                      <w:highlight w:val="none"/>
                    </w:rPr>
                  </w:pPr>
                  <w:r>
                    <w:rPr>
                      <w:color w:val="auto"/>
                      <w:kern w:val="0"/>
                      <w:szCs w:val="21"/>
                      <w:highlight w:val="none"/>
                      <w:lang w:bidi="ar"/>
                    </w:rPr>
                    <w:t>达标</w:t>
                  </w:r>
                </w:p>
              </w:tc>
              <w:tc>
                <w:tcPr>
                  <w:tcW w:w="689" w:type="dxa"/>
                  <w:noWrap w:val="0"/>
                  <w:vAlign w:val="center"/>
                </w:tcPr>
                <w:p>
                  <w:pPr>
                    <w:widowControl/>
                    <w:jc w:val="center"/>
                    <w:textAlignment w:val="center"/>
                    <w:rPr>
                      <w:color w:val="auto"/>
                      <w:szCs w:val="21"/>
                      <w:highlight w:val="none"/>
                    </w:rPr>
                  </w:pPr>
                  <w:r>
                    <w:rPr>
                      <w:color w:val="auto"/>
                      <w:kern w:val="0"/>
                      <w:szCs w:val="21"/>
                      <w:highlight w:val="none"/>
                      <w:lang w:bidi="ar"/>
                    </w:rPr>
                    <w:t>未检出</w:t>
                  </w:r>
                </w:p>
              </w:tc>
              <w:tc>
                <w:tcPr>
                  <w:tcW w:w="689" w:type="dxa"/>
                  <w:noWrap w:val="0"/>
                  <w:vAlign w:val="center"/>
                </w:tcPr>
                <w:p>
                  <w:pPr>
                    <w:widowControl/>
                    <w:jc w:val="center"/>
                    <w:textAlignment w:val="center"/>
                    <w:rPr>
                      <w:color w:val="auto"/>
                      <w:szCs w:val="21"/>
                      <w:highlight w:val="none"/>
                    </w:rPr>
                  </w:pPr>
                  <w:r>
                    <w:rPr>
                      <w:color w:val="auto"/>
                      <w:kern w:val="0"/>
                      <w:szCs w:val="21"/>
                      <w:highlight w:val="none"/>
                      <w:lang w:bidi="ar"/>
                    </w:rPr>
                    <w:t>/</w:t>
                  </w:r>
                </w:p>
              </w:tc>
              <w:tc>
                <w:tcPr>
                  <w:tcW w:w="699" w:type="dxa"/>
                  <w:noWrap w:val="0"/>
                  <w:vAlign w:val="center"/>
                </w:tcPr>
                <w:p>
                  <w:pPr>
                    <w:widowControl/>
                    <w:jc w:val="center"/>
                    <w:textAlignment w:val="center"/>
                    <w:rPr>
                      <w:color w:val="auto"/>
                      <w:szCs w:val="21"/>
                      <w:highlight w:val="none"/>
                    </w:rPr>
                  </w:pPr>
                  <w:r>
                    <w:rPr>
                      <w:color w:val="auto"/>
                      <w:kern w:val="0"/>
                      <w:szCs w:val="21"/>
                      <w:highlight w:val="none"/>
                      <w:lang w:bidi="ar"/>
                    </w:rPr>
                    <w:t>达标</w:t>
                  </w:r>
                </w:p>
              </w:tc>
              <w:tc>
                <w:tcPr>
                  <w:tcW w:w="742" w:type="dxa"/>
                  <w:noWrap w:val="0"/>
                  <w:vAlign w:val="center"/>
                </w:tcPr>
                <w:p>
                  <w:pPr>
                    <w:widowControl/>
                    <w:jc w:val="center"/>
                    <w:textAlignment w:val="center"/>
                    <w:rPr>
                      <w:color w:val="auto"/>
                      <w:szCs w:val="21"/>
                      <w:highlight w:val="none"/>
                    </w:rPr>
                  </w:pPr>
                  <w:r>
                    <w:rPr>
                      <w:color w:val="auto"/>
                      <w:kern w:val="0"/>
                      <w:szCs w:val="21"/>
                      <w:highlight w:val="none"/>
                      <w:lang w:bidi="ar"/>
                    </w:rPr>
                    <w:t>1.5</w:t>
                  </w:r>
                </w:p>
              </w:tc>
            </w:tr>
          </w:tbl>
          <w:p>
            <w:pPr>
              <w:pStyle w:val="16"/>
              <w:spacing w:after="0" w:line="360" w:lineRule="auto"/>
              <w:ind w:firstLine="480"/>
              <w:rPr>
                <w:color w:val="auto"/>
                <w:szCs w:val="22"/>
                <w:highlight w:val="none"/>
              </w:rPr>
            </w:pPr>
            <w:r>
              <w:rPr>
                <w:color w:val="auto"/>
                <w:kern w:val="2"/>
                <w:sz w:val="24"/>
                <w:szCs w:val="24"/>
                <w:highlight w:val="none"/>
              </w:rPr>
              <w:t>检测结果表明：项目地</w:t>
            </w:r>
            <w:r>
              <w:rPr>
                <w:rFonts w:hint="eastAsia"/>
                <w:color w:val="auto"/>
                <w:kern w:val="2"/>
                <w:sz w:val="24"/>
                <w:szCs w:val="24"/>
                <w:highlight w:val="none"/>
              </w:rPr>
              <w:t>T</w:t>
            </w:r>
            <w:r>
              <w:rPr>
                <w:color w:val="auto"/>
                <w:kern w:val="2"/>
                <w:sz w:val="24"/>
                <w:szCs w:val="24"/>
                <w:highlight w:val="none"/>
              </w:rPr>
              <w:t>1、</w:t>
            </w:r>
            <w:r>
              <w:rPr>
                <w:rFonts w:hint="eastAsia"/>
                <w:color w:val="auto"/>
                <w:kern w:val="2"/>
                <w:sz w:val="24"/>
                <w:szCs w:val="24"/>
                <w:highlight w:val="none"/>
              </w:rPr>
              <w:t>T</w:t>
            </w:r>
            <w:r>
              <w:rPr>
                <w:color w:val="auto"/>
                <w:kern w:val="2"/>
                <w:sz w:val="24"/>
                <w:szCs w:val="24"/>
                <w:highlight w:val="none"/>
              </w:rPr>
              <w:t>2、</w:t>
            </w:r>
            <w:r>
              <w:rPr>
                <w:rFonts w:hint="eastAsia"/>
                <w:color w:val="auto"/>
                <w:kern w:val="2"/>
                <w:sz w:val="24"/>
                <w:szCs w:val="24"/>
                <w:highlight w:val="none"/>
              </w:rPr>
              <w:t>T</w:t>
            </w:r>
            <w:r>
              <w:rPr>
                <w:color w:val="auto"/>
                <w:kern w:val="2"/>
                <w:sz w:val="24"/>
                <w:szCs w:val="24"/>
                <w:highlight w:val="none"/>
              </w:rPr>
              <w:t>3检测点土壤环境各监测指标监测值均满足《土壤环境质量建设用地土壤污染风险管控标准（试行）》（GB 36600-2018）的筛选值第二类用地标准限值的要求。</w:t>
            </w:r>
          </w:p>
          <w:p>
            <w:pPr>
              <w:pStyle w:val="14"/>
              <w:spacing w:line="360" w:lineRule="auto"/>
              <w:rPr>
                <w:rFonts w:eastAsia="宋体"/>
                <w:b/>
                <w:bCs/>
                <w:color w:val="auto"/>
                <w:sz w:val="24"/>
                <w:highlight w:val="none"/>
              </w:rPr>
            </w:pPr>
            <w:r>
              <w:rPr>
                <w:rFonts w:hint="eastAsia" w:eastAsia="宋体"/>
                <w:b/>
                <w:bCs/>
                <w:color w:val="auto"/>
                <w:sz w:val="24"/>
                <w:highlight w:val="none"/>
              </w:rPr>
              <w:t>5、生态环境现状</w:t>
            </w:r>
          </w:p>
          <w:p>
            <w:pPr>
              <w:pStyle w:val="14"/>
              <w:spacing w:line="360" w:lineRule="auto"/>
              <w:ind w:firstLine="480" w:firstLineChars="200"/>
              <w:jc w:val="both"/>
              <w:rPr>
                <w:rFonts w:ascii="宋体" w:hAnsi="宋体" w:cs="宋体"/>
                <w:color w:val="auto"/>
                <w:kern w:val="0"/>
                <w:szCs w:val="21"/>
                <w:highlight w:val="none"/>
              </w:rPr>
            </w:pPr>
            <w:r>
              <w:rPr>
                <w:rFonts w:hint="eastAsia" w:eastAsia="宋体"/>
                <w:color w:val="auto"/>
                <w:sz w:val="24"/>
                <w:highlight w:val="none"/>
              </w:rPr>
              <w:t>本项目位于乐山市市中区绵竹乡冷水寺村一组，项目所在区域属农村区域，区域生态环境类型主要表现为农业生态环境，系统生物多样性程度较低，根据现场勘查，项目所在区域不涉及重点生态功能区和生物多样性优先保护区域，评价区陆域内无国家和地方保护的野生动、植物种类，也没有重要野生动物栖息特殊生态敏感区，主要植被为农田植被。</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00" w:hRule="atLeast"/>
          <w:jc w:val="center"/>
        </w:trPr>
        <w:tc>
          <w:tcPr>
            <w:tcW w:w="509" w:type="dxa"/>
            <w:noWrap w:val="0"/>
            <w:vAlign w:val="center"/>
          </w:tcPr>
          <w:p>
            <w:pPr>
              <w:adjustRightInd w:val="0"/>
              <w:snapToGrid w:val="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环境</w:t>
            </w:r>
          </w:p>
          <w:p>
            <w:pPr>
              <w:adjustRightInd w:val="0"/>
              <w:snapToGrid w:val="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保护</w:t>
            </w:r>
          </w:p>
          <w:p>
            <w:pPr>
              <w:adjustRightInd w:val="0"/>
              <w:snapToGrid w:val="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目标</w:t>
            </w:r>
          </w:p>
        </w:tc>
        <w:tc>
          <w:tcPr>
            <w:tcW w:w="8552" w:type="dxa"/>
            <w:noWrap w:val="0"/>
            <w:vAlign w:val="center"/>
          </w:tcPr>
          <w:p>
            <w:pPr>
              <w:numPr>
                <w:ilvl w:val="0"/>
                <w:numId w:val="7"/>
              </w:numPr>
              <w:spacing w:line="360" w:lineRule="auto"/>
              <w:ind w:firstLine="480" w:firstLineChars="200"/>
              <w:rPr>
                <w:rFonts w:hint="eastAsia"/>
                <w:color w:val="auto"/>
                <w:sz w:val="24"/>
                <w:highlight w:val="none"/>
              </w:rPr>
            </w:pPr>
            <w:r>
              <w:rPr>
                <w:rFonts w:hint="eastAsia"/>
                <w:color w:val="auto"/>
                <w:sz w:val="24"/>
                <w:highlight w:val="none"/>
              </w:rPr>
              <w:t>大气环境</w:t>
            </w:r>
          </w:p>
          <w:p>
            <w:pPr>
              <w:spacing w:line="360" w:lineRule="auto"/>
              <w:ind w:firstLine="480" w:firstLineChars="200"/>
              <w:rPr>
                <w:rFonts w:hint="eastAsia"/>
                <w:color w:val="auto"/>
                <w:sz w:val="24"/>
                <w:highlight w:val="none"/>
              </w:rPr>
            </w:pPr>
            <w:r>
              <w:rPr>
                <w:rFonts w:hint="eastAsia"/>
                <w:color w:val="auto"/>
                <w:sz w:val="24"/>
                <w:highlight w:val="none"/>
              </w:rPr>
              <w:t>本次评价调查了500m范围内的环境保护目标，主要为农村散户居民。</w:t>
            </w:r>
          </w:p>
          <w:p>
            <w:pPr>
              <w:numPr>
                <w:ilvl w:val="0"/>
                <w:numId w:val="7"/>
              </w:numPr>
              <w:spacing w:line="360" w:lineRule="auto"/>
              <w:ind w:firstLine="480" w:firstLineChars="200"/>
              <w:rPr>
                <w:color w:val="auto"/>
                <w:sz w:val="24"/>
                <w:highlight w:val="none"/>
              </w:rPr>
            </w:pPr>
            <w:r>
              <w:rPr>
                <w:rFonts w:hint="eastAsia"/>
                <w:color w:val="auto"/>
                <w:sz w:val="24"/>
                <w:highlight w:val="none"/>
              </w:rPr>
              <w:t>地表水环境</w:t>
            </w:r>
          </w:p>
          <w:p>
            <w:pPr>
              <w:spacing w:line="360" w:lineRule="auto"/>
              <w:ind w:firstLine="480" w:firstLineChars="200"/>
              <w:rPr>
                <w:rFonts w:hint="eastAsia"/>
                <w:color w:val="auto"/>
                <w:sz w:val="24"/>
                <w:highlight w:val="none"/>
              </w:rPr>
            </w:pPr>
            <w:r>
              <w:rPr>
                <w:rFonts w:hint="eastAsia"/>
                <w:color w:val="auto"/>
                <w:sz w:val="24"/>
                <w:highlight w:val="none"/>
              </w:rPr>
              <w:t>本项目无生产废水外排，生活污水经化粪池处理后由周边农户农田施肥。距离项目最近的地表水体为青衣江，在项目西南侧1400m处。</w:t>
            </w:r>
          </w:p>
          <w:p>
            <w:pPr>
              <w:numPr>
                <w:ilvl w:val="0"/>
                <w:numId w:val="7"/>
              </w:numPr>
              <w:spacing w:line="360" w:lineRule="auto"/>
              <w:ind w:firstLine="480" w:firstLineChars="200"/>
              <w:rPr>
                <w:color w:val="auto"/>
                <w:sz w:val="24"/>
                <w:highlight w:val="none"/>
              </w:rPr>
            </w:pPr>
            <w:r>
              <w:rPr>
                <w:rFonts w:hint="eastAsia"/>
                <w:color w:val="auto"/>
                <w:sz w:val="24"/>
                <w:highlight w:val="none"/>
              </w:rPr>
              <w:t>声环境</w:t>
            </w:r>
          </w:p>
          <w:p>
            <w:pPr>
              <w:spacing w:line="360" w:lineRule="auto"/>
              <w:ind w:firstLine="480" w:firstLineChars="200"/>
              <w:rPr>
                <w:rFonts w:hint="eastAsia"/>
                <w:color w:val="auto"/>
                <w:sz w:val="24"/>
                <w:highlight w:val="none"/>
              </w:rPr>
            </w:pPr>
            <w:r>
              <w:rPr>
                <w:rFonts w:hint="eastAsia"/>
                <w:color w:val="auto"/>
                <w:sz w:val="24"/>
                <w:highlight w:val="none"/>
              </w:rPr>
              <w:t>本项目场界50m范围内的声环境敏感目标为农村散户2户。</w:t>
            </w:r>
          </w:p>
          <w:p>
            <w:pPr>
              <w:numPr>
                <w:ilvl w:val="0"/>
                <w:numId w:val="7"/>
              </w:numPr>
              <w:spacing w:line="360" w:lineRule="auto"/>
              <w:ind w:firstLine="480" w:firstLineChars="200"/>
              <w:rPr>
                <w:rFonts w:hint="eastAsia"/>
                <w:color w:val="auto"/>
                <w:sz w:val="24"/>
                <w:highlight w:val="none"/>
              </w:rPr>
            </w:pPr>
            <w:r>
              <w:rPr>
                <w:rFonts w:hint="eastAsia"/>
                <w:color w:val="auto"/>
                <w:sz w:val="24"/>
                <w:highlight w:val="none"/>
              </w:rPr>
              <w:t>生态环境</w:t>
            </w:r>
          </w:p>
          <w:p>
            <w:pPr>
              <w:spacing w:line="360" w:lineRule="auto"/>
              <w:ind w:firstLine="480" w:firstLineChars="200"/>
              <w:rPr>
                <w:rFonts w:hint="eastAsia"/>
                <w:color w:val="auto"/>
                <w:sz w:val="24"/>
                <w:highlight w:val="none"/>
              </w:rPr>
            </w:pPr>
            <w:r>
              <w:rPr>
                <w:rFonts w:hint="eastAsia"/>
                <w:color w:val="auto"/>
                <w:sz w:val="24"/>
                <w:highlight w:val="none"/>
              </w:rPr>
              <w:t>项目所在区域不涉及自然保护区、世界文化和自然遗产地等，不涉及风景名胜区、森林公园、地质公园、重要湿地、原始天然林、珍稀濒危野生动植物天然集中分布区、重要水生生物的自然产卵场及索饵场、越冬场和洄游通道、天然渔场等。</w:t>
            </w:r>
          </w:p>
          <w:p>
            <w:pPr>
              <w:numPr>
                <w:ilvl w:val="0"/>
                <w:numId w:val="7"/>
              </w:numPr>
              <w:spacing w:line="360" w:lineRule="auto"/>
              <w:ind w:firstLine="480" w:firstLineChars="200"/>
              <w:rPr>
                <w:rFonts w:hint="eastAsia"/>
                <w:color w:val="auto"/>
                <w:sz w:val="24"/>
                <w:highlight w:val="none"/>
              </w:rPr>
            </w:pPr>
            <w:r>
              <w:rPr>
                <w:rFonts w:hint="eastAsia"/>
                <w:color w:val="auto"/>
                <w:sz w:val="24"/>
                <w:highlight w:val="none"/>
              </w:rPr>
              <w:t>地下水环境保护目标</w:t>
            </w:r>
          </w:p>
          <w:p>
            <w:pPr>
              <w:spacing w:line="360" w:lineRule="auto"/>
              <w:ind w:firstLine="480" w:firstLineChars="200"/>
              <w:rPr>
                <w:color w:val="auto"/>
                <w:sz w:val="24"/>
                <w:highlight w:val="none"/>
              </w:rPr>
            </w:pPr>
            <w:r>
              <w:rPr>
                <w:rFonts w:hint="eastAsia"/>
                <w:color w:val="auto"/>
                <w:sz w:val="24"/>
                <w:highlight w:val="none"/>
              </w:rPr>
              <w:t>本项目地下水环境保护目标为项目区潜水含水层及周边居民饮用水井。</w:t>
            </w:r>
          </w:p>
          <w:p>
            <w:pPr>
              <w:pStyle w:val="2"/>
              <w:ind w:firstLine="0" w:firstLineChars="0"/>
              <w:jc w:val="center"/>
              <w:rPr>
                <w:b/>
                <w:bCs/>
                <w:color w:val="auto"/>
                <w:kern w:val="2"/>
                <w:sz w:val="24"/>
                <w:highlight w:val="none"/>
                <w:lang w:val="en-US"/>
              </w:rPr>
            </w:pPr>
            <w:r>
              <w:rPr>
                <w:b/>
                <w:bCs/>
                <w:color w:val="auto"/>
                <w:kern w:val="2"/>
                <w:sz w:val="24"/>
                <w:highlight w:val="none"/>
                <w:lang w:val="en-US"/>
              </w:rPr>
              <w:t>表</w:t>
            </w:r>
            <w:r>
              <w:rPr>
                <w:rFonts w:hint="eastAsia"/>
                <w:b/>
                <w:bCs/>
                <w:color w:val="auto"/>
                <w:kern w:val="2"/>
                <w:sz w:val="24"/>
                <w:highlight w:val="none"/>
                <w:lang w:val="en-US"/>
              </w:rPr>
              <w:t xml:space="preserve">3-9 </w:t>
            </w:r>
            <w:r>
              <w:rPr>
                <w:b/>
                <w:bCs/>
                <w:color w:val="auto"/>
                <w:kern w:val="2"/>
                <w:sz w:val="24"/>
                <w:highlight w:val="none"/>
                <w:lang w:val="en-US"/>
              </w:rPr>
              <w:t>项目主要环境保护目标表</w:t>
            </w:r>
          </w:p>
          <w:tbl>
            <w:tblPr>
              <w:tblStyle w:val="39"/>
              <w:tblW w:w="0" w:type="auto"/>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545"/>
              <w:gridCol w:w="565"/>
              <w:gridCol w:w="1276"/>
              <w:gridCol w:w="916"/>
              <w:gridCol w:w="726"/>
              <w:gridCol w:w="661"/>
              <w:gridCol w:w="1138"/>
              <w:gridCol w:w="848"/>
              <w:gridCol w:w="1653"/>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545" w:type="dxa"/>
                  <w:vMerge w:val="restart"/>
                  <w:noWrap w:val="0"/>
                  <w:tcMar>
                    <w:top w:w="15" w:type="dxa"/>
                    <w:left w:w="15" w:type="dxa"/>
                    <w:right w:w="15" w:type="dxa"/>
                  </w:tcMar>
                  <w:vAlign w:val="center"/>
                </w:tcPr>
                <w:p>
                  <w:pPr>
                    <w:jc w:val="center"/>
                    <w:textAlignment w:val="top"/>
                    <w:rPr>
                      <w:b/>
                      <w:color w:val="auto"/>
                      <w:szCs w:val="21"/>
                      <w:highlight w:val="none"/>
                    </w:rPr>
                  </w:pPr>
                  <w:r>
                    <w:rPr>
                      <w:b/>
                      <w:color w:val="auto"/>
                      <w:kern w:val="0"/>
                      <w:szCs w:val="21"/>
                      <w:highlight w:val="none"/>
                      <w:lang w:bidi="ar"/>
                    </w:rPr>
                    <w:t>环境要素</w:t>
                  </w:r>
                </w:p>
              </w:tc>
              <w:tc>
                <w:tcPr>
                  <w:tcW w:w="565" w:type="dxa"/>
                  <w:vMerge w:val="restart"/>
                  <w:noWrap w:val="0"/>
                  <w:tcMar>
                    <w:top w:w="15" w:type="dxa"/>
                    <w:left w:w="15" w:type="dxa"/>
                    <w:right w:w="15" w:type="dxa"/>
                  </w:tcMar>
                  <w:vAlign w:val="center"/>
                </w:tcPr>
                <w:p>
                  <w:pPr>
                    <w:jc w:val="center"/>
                    <w:textAlignment w:val="top"/>
                    <w:rPr>
                      <w:bCs/>
                      <w:color w:val="auto"/>
                      <w:kern w:val="0"/>
                      <w:szCs w:val="21"/>
                      <w:highlight w:val="none"/>
                      <w:lang w:bidi="ar"/>
                    </w:rPr>
                  </w:pPr>
                  <w:r>
                    <w:rPr>
                      <w:bCs/>
                      <w:color w:val="auto"/>
                      <w:kern w:val="0"/>
                      <w:szCs w:val="21"/>
                      <w:highlight w:val="none"/>
                      <w:lang w:bidi="ar"/>
                    </w:rPr>
                    <w:t>序号</w:t>
                  </w:r>
                </w:p>
              </w:tc>
              <w:tc>
                <w:tcPr>
                  <w:tcW w:w="1276" w:type="dxa"/>
                  <w:vMerge w:val="restart"/>
                  <w:noWrap w:val="0"/>
                  <w:tcMar>
                    <w:top w:w="15" w:type="dxa"/>
                    <w:left w:w="15" w:type="dxa"/>
                    <w:right w:w="15" w:type="dxa"/>
                  </w:tcMar>
                  <w:vAlign w:val="center"/>
                </w:tcPr>
                <w:p>
                  <w:pPr>
                    <w:jc w:val="center"/>
                    <w:textAlignment w:val="top"/>
                    <w:rPr>
                      <w:bCs/>
                      <w:color w:val="auto"/>
                      <w:szCs w:val="21"/>
                      <w:highlight w:val="none"/>
                    </w:rPr>
                  </w:pPr>
                  <w:r>
                    <w:rPr>
                      <w:bCs/>
                      <w:color w:val="auto"/>
                      <w:kern w:val="0"/>
                      <w:szCs w:val="21"/>
                      <w:highlight w:val="none"/>
                      <w:lang w:bidi="ar"/>
                    </w:rPr>
                    <w:t>目标名称</w:t>
                  </w:r>
                </w:p>
              </w:tc>
              <w:tc>
                <w:tcPr>
                  <w:tcW w:w="1642" w:type="dxa"/>
                  <w:gridSpan w:val="2"/>
                  <w:noWrap w:val="0"/>
                  <w:tcMar>
                    <w:top w:w="15" w:type="dxa"/>
                    <w:left w:w="15" w:type="dxa"/>
                    <w:right w:w="15" w:type="dxa"/>
                  </w:tcMar>
                  <w:vAlign w:val="center"/>
                </w:tcPr>
                <w:p>
                  <w:pPr>
                    <w:jc w:val="center"/>
                    <w:textAlignment w:val="top"/>
                    <w:rPr>
                      <w:b/>
                      <w:color w:val="auto"/>
                      <w:szCs w:val="21"/>
                      <w:highlight w:val="none"/>
                    </w:rPr>
                  </w:pPr>
                  <w:r>
                    <w:rPr>
                      <w:b/>
                      <w:color w:val="auto"/>
                      <w:kern w:val="0"/>
                      <w:szCs w:val="21"/>
                      <w:highlight w:val="none"/>
                      <w:lang w:bidi="ar"/>
                    </w:rPr>
                    <w:t>经纬度</w:t>
                  </w:r>
                </w:p>
              </w:tc>
              <w:tc>
                <w:tcPr>
                  <w:tcW w:w="1799" w:type="dxa"/>
                  <w:gridSpan w:val="2"/>
                  <w:noWrap w:val="0"/>
                  <w:tcMar>
                    <w:top w:w="15" w:type="dxa"/>
                    <w:left w:w="15" w:type="dxa"/>
                    <w:right w:w="15" w:type="dxa"/>
                  </w:tcMar>
                  <w:vAlign w:val="center"/>
                </w:tcPr>
                <w:p>
                  <w:pPr>
                    <w:jc w:val="center"/>
                    <w:textAlignment w:val="top"/>
                    <w:rPr>
                      <w:b/>
                      <w:color w:val="auto"/>
                      <w:szCs w:val="21"/>
                      <w:highlight w:val="none"/>
                    </w:rPr>
                  </w:pPr>
                  <w:r>
                    <w:rPr>
                      <w:b/>
                      <w:color w:val="auto"/>
                      <w:kern w:val="0"/>
                      <w:szCs w:val="21"/>
                      <w:highlight w:val="none"/>
                      <w:lang w:bidi="ar"/>
                    </w:rPr>
                    <w:t>相对位置</w:t>
                  </w:r>
                </w:p>
              </w:tc>
              <w:tc>
                <w:tcPr>
                  <w:tcW w:w="848" w:type="dxa"/>
                  <w:vMerge w:val="restart"/>
                  <w:noWrap w:val="0"/>
                  <w:tcMar>
                    <w:top w:w="15" w:type="dxa"/>
                    <w:left w:w="15" w:type="dxa"/>
                    <w:right w:w="15" w:type="dxa"/>
                  </w:tcMar>
                  <w:vAlign w:val="center"/>
                </w:tcPr>
                <w:p>
                  <w:pPr>
                    <w:jc w:val="center"/>
                    <w:textAlignment w:val="top"/>
                    <w:rPr>
                      <w:b/>
                      <w:color w:val="auto"/>
                      <w:szCs w:val="21"/>
                      <w:highlight w:val="none"/>
                    </w:rPr>
                  </w:pPr>
                  <w:r>
                    <w:rPr>
                      <w:b/>
                      <w:color w:val="auto"/>
                      <w:kern w:val="0"/>
                      <w:szCs w:val="21"/>
                      <w:highlight w:val="none"/>
                      <w:lang w:bidi="ar"/>
                    </w:rPr>
                    <w:t>规模</w:t>
                  </w:r>
                  <w:r>
                    <w:rPr>
                      <w:rStyle w:val="166"/>
                      <w:rFonts w:hint="default" w:ascii="Times New Roman" w:hAnsi="Times New Roman" w:cs="Times New Roman"/>
                      <w:color w:val="auto"/>
                      <w:highlight w:val="none"/>
                      <w:lang w:bidi="ar"/>
                    </w:rPr>
                    <w:t>/</w:t>
                  </w:r>
                  <w:r>
                    <w:rPr>
                      <w:rStyle w:val="189"/>
                      <w:rFonts w:hint="default" w:ascii="Times New Roman" w:hAnsi="Times New Roman" w:cs="Times New Roman"/>
                      <w:color w:val="auto"/>
                      <w:highlight w:val="none"/>
                      <w:lang w:bidi="ar"/>
                    </w:rPr>
                    <w:t>受影响人数</w:t>
                  </w:r>
                </w:p>
              </w:tc>
              <w:tc>
                <w:tcPr>
                  <w:tcW w:w="1653" w:type="dxa"/>
                  <w:vMerge w:val="restart"/>
                  <w:noWrap w:val="0"/>
                  <w:tcMar>
                    <w:top w:w="15" w:type="dxa"/>
                    <w:left w:w="15" w:type="dxa"/>
                    <w:right w:w="15" w:type="dxa"/>
                  </w:tcMar>
                  <w:vAlign w:val="center"/>
                </w:tcPr>
                <w:p>
                  <w:pPr>
                    <w:jc w:val="center"/>
                    <w:textAlignment w:val="top"/>
                    <w:rPr>
                      <w:b/>
                      <w:color w:val="auto"/>
                      <w:szCs w:val="21"/>
                      <w:highlight w:val="none"/>
                    </w:rPr>
                  </w:pPr>
                  <w:r>
                    <w:rPr>
                      <w:b/>
                      <w:color w:val="auto"/>
                      <w:kern w:val="0"/>
                      <w:szCs w:val="21"/>
                      <w:highlight w:val="none"/>
                      <w:lang w:bidi="ar"/>
                    </w:rPr>
                    <w:t>环境保护级别</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545" w:type="dxa"/>
                  <w:vMerge w:val="continue"/>
                  <w:noWrap w:val="0"/>
                  <w:tcMar>
                    <w:top w:w="15" w:type="dxa"/>
                    <w:left w:w="15" w:type="dxa"/>
                    <w:right w:w="15" w:type="dxa"/>
                  </w:tcMar>
                  <w:vAlign w:val="center"/>
                </w:tcPr>
                <w:p>
                  <w:pPr>
                    <w:jc w:val="center"/>
                    <w:rPr>
                      <w:b/>
                      <w:color w:val="auto"/>
                      <w:szCs w:val="21"/>
                      <w:highlight w:val="none"/>
                    </w:rPr>
                  </w:pPr>
                </w:p>
              </w:tc>
              <w:tc>
                <w:tcPr>
                  <w:tcW w:w="565" w:type="dxa"/>
                  <w:vMerge w:val="continue"/>
                  <w:noWrap w:val="0"/>
                  <w:tcMar>
                    <w:top w:w="15" w:type="dxa"/>
                    <w:left w:w="15" w:type="dxa"/>
                    <w:right w:w="15" w:type="dxa"/>
                  </w:tcMar>
                  <w:vAlign w:val="center"/>
                </w:tcPr>
                <w:p>
                  <w:pPr>
                    <w:jc w:val="center"/>
                    <w:rPr>
                      <w:bCs/>
                      <w:color w:val="auto"/>
                      <w:szCs w:val="21"/>
                      <w:highlight w:val="none"/>
                    </w:rPr>
                  </w:pPr>
                </w:p>
              </w:tc>
              <w:tc>
                <w:tcPr>
                  <w:tcW w:w="1276" w:type="dxa"/>
                  <w:vMerge w:val="continue"/>
                  <w:noWrap w:val="0"/>
                  <w:tcMar>
                    <w:top w:w="15" w:type="dxa"/>
                    <w:left w:w="15" w:type="dxa"/>
                    <w:right w:w="15" w:type="dxa"/>
                  </w:tcMar>
                  <w:vAlign w:val="center"/>
                </w:tcPr>
                <w:p>
                  <w:pPr>
                    <w:jc w:val="center"/>
                    <w:rPr>
                      <w:bCs/>
                      <w:color w:val="auto"/>
                      <w:szCs w:val="21"/>
                      <w:highlight w:val="none"/>
                    </w:rPr>
                  </w:pPr>
                </w:p>
              </w:tc>
              <w:tc>
                <w:tcPr>
                  <w:tcW w:w="916" w:type="dxa"/>
                  <w:noWrap w:val="0"/>
                  <w:tcMar>
                    <w:top w:w="15" w:type="dxa"/>
                    <w:left w:w="15" w:type="dxa"/>
                    <w:right w:w="15" w:type="dxa"/>
                  </w:tcMar>
                  <w:vAlign w:val="center"/>
                </w:tcPr>
                <w:p>
                  <w:pPr>
                    <w:jc w:val="center"/>
                    <w:textAlignment w:val="top"/>
                    <w:rPr>
                      <w:color w:val="auto"/>
                      <w:szCs w:val="21"/>
                      <w:highlight w:val="none"/>
                    </w:rPr>
                  </w:pPr>
                  <w:r>
                    <w:rPr>
                      <w:color w:val="auto"/>
                      <w:kern w:val="0"/>
                      <w:szCs w:val="21"/>
                      <w:highlight w:val="none"/>
                      <w:lang w:bidi="ar"/>
                    </w:rPr>
                    <w:t>经度</w:t>
                  </w:r>
                </w:p>
              </w:tc>
              <w:tc>
                <w:tcPr>
                  <w:tcW w:w="726" w:type="dxa"/>
                  <w:noWrap w:val="0"/>
                  <w:tcMar>
                    <w:top w:w="15" w:type="dxa"/>
                    <w:left w:w="15" w:type="dxa"/>
                    <w:right w:w="15" w:type="dxa"/>
                  </w:tcMar>
                  <w:vAlign w:val="center"/>
                </w:tcPr>
                <w:p>
                  <w:pPr>
                    <w:jc w:val="center"/>
                    <w:textAlignment w:val="top"/>
                    <w:rPr>
                      <w:color w:val="auto"/>
                      <w:szCs w:val="21"/>
                      <w:highlight w:val="none"/>
                    </w:rPr>
                  </w:pPr>
                  <w:r>
                    <w:rPr>
                      <w:color w:val="auto"/>
                      <w:szCs w:val="21"/>
                      <w:highlight w:val="none"/>
                    </w:rPr>
                    <w:t>纬度</w:t>
                  </w:r>
                </w:p>
              </w:tc>
              <w:tc>
                <w:tcPr>
                  <w:tcW w:w="661" w:type="dxa"/>
                  <w:noWrap w:val="0"/>
                  <w:tcMar>
                    <w:top w:w="15" w:type="dxa"/>
                    <w:left w:w="15" w:type="dxa"/>
                    <w:right w:w="15" w:type="dxa"/>
                  </w:tcMar>
                  <w:vAlign w:val="center"/>
                </w:tcPr>
                <w:p>
                  <w:pPr>
                    <w:jc w:val="center"/>
                    <w:textAlignment w:val="top"/>
                    <w:rPr>
                      <w:b/>
                      <w:color w:val="auto"/>
                      <w:szCs w:val="21"/>
                      <w:highlight w:val="none"/>
                    </w:rPr>
                  </w:pPr>
                  <w:r>
                    <w:rPr>
                      <w:b/>
                      <w:color w:val="auto"/>
                      <w:kern w:val="0"/>
                      <w:szCs w:val="21"/>
                      <w:highlight w:val="none"/>
                      <w:lang w:bidi="ar"/>
                    </w:rPr>
                    <w:t>方位</w:t>
                  </w:r>
                </w:p>
              </w:tc>
              <w:tc>
                <w:tcPr>
                  <w:tcW w:w="1138" w:type="dxa"/>
                  <w:noWrap w:val="0"/>
                  <w:tcMar>
                    <w:top w:w="15" w:type="dxa"/>
                    <w:left w:w="15" w:type="dxa"/>
                    <w:right w:w="15" w:type="dxa"/>
                  </w:tcMar>
                  <w:vAlign w:val="center"/>
                </w:tcPr>
                <w:p>
                  <w:pPr>
                    <w:jc w:val="center"/>
                    <w:textAlignment w:val="top"/>
                    <w:rPr>
                      <w:b/>
                      <w:color w:val="auto"/>
                      <w:szCs w:val="21"/>
                      <w:highlight w:val="none"/>
                    </w:rPr>
                  </w:pPr>
                  <w:r>
                    <w:rPr>
                      <w:b/>
                      <w:color w:val="auto"/>
                      <w:kern w:val="0"/>
                      <w:szCs w:val="21"/>
                      <w:highlight w:val="none"/>
                      <w:lang w:bidi="ar"/>
                    </w:rPr>
                    <w:t>距离（m）</w:t>
                  </w:r>
                </w:p>
              </w:tc>
              <w:tc>
                <w:tcPr>
                  <w:tcW w:w="848" w:type="dxa"/>
                  <w:vMerge w:val="continue"/>
                  <w:noWrap w:val="0"/>
                  <w:tcMar>
                    <w:top w:w="15" w:type="dxa"/>
                    <w:left w:w="15" w:type="dxa"/>
                    <w:right w:w="15" w:type="dxa"/>
                  </w:tcMar>
                  <w:vAlign w:val="center"/>
                </w:tcPr>
                <w:p>
                  <w:pPr>
                    <w:jc w:val="center"/>
                    <w:rPr>
                      <w:b/>
                      <w:color w:val="auto"/>
                      <w:szCs w:val="21"/>
                      <w:highlight w:val="none"/>
                    </w:rPr>
                  </w:pPr>
                </w:p>
              </w:tc>
              <w:tc>
                <w:tcPr>
                  <w:tcW w:w="1653" w:type="dxa"/>
                  <w:vMerge w:val="continue"/>
                  <w:noWrap w:val="0"/>
                  <w:tcMar>
                    <w:top w:w="15" w:type="dxa"/>
                    <w:left w:w="15" w:type="dxa"/>
                    <w:right w:w="15" w:type="dxa"/>
                  </w:tcMar>
                  <w:vAlign w:val="center"/>
                </w:tcPr>
                <w:p>
                  <w:pPr>
                    <w:jc w:val="center"/>
                    <w:rPr>
                      <w:b/>
                      <w:color w:val="auto"/>
                      <w:szCs w:val="21"/>
                      <w:highlight w:val="none"/>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545" w:type="dxa"/>
                  <w:vMerge w:val="restart"/>
                  <w:noWrap w:val="0"/>
                  <w:tcMar>
                    <w:top w:w="15" w:type="dxa"/>
                    <w:left w:w="15" w:type="dxa"/>
                    <w:right w:w="15" w:type="dxa"/>
                  </w:tcMar>
                  <w:vAlign w:val="center"/>
                </w:tcPr>
                <w:p>
                  <w:pPr>
                    <w:jc w:val="center"/>
                    <w:textAlignment w:val="top"/>
                    <w:rPr>
                      <w:color w:val="auto"/>
                      <w:szCs w:val="21"/>
                      <w:highlight w:val="none"/>
                    </w:rPr>
                  </w:pPr>
                  <w:r>
                    <w:rPr>
                      <w:color w:val="auto"/>
                      <w:kern w:val="0"/>
                      <w:szCs w:val="21"/>
                      <w:highlight w:val="none"/>
                      <w:lang w:bidi="ar"/>
                    </w:rPr>
                    <w:t>大气环境和风险</w:t>
                  </w:r>
                </w:p>
              </w:tc>
              <w:tc>
                <w:tcPr>
                  <w:tcW w:w="565" w:type="dxa"/>
                  <w:noWrap w:val="0"/>
                  <w:tcMar>
                    <w:top w:w="15" w:type="dxa"/>
                    <w:left w:w="15" w:type="dxa"/>
                    <w:right w:w="15" w:type="dxa"/>
                  </w:tcMar>
                  <w:vAlign w:val="center"/>
                </w:tcPr>
                <w:p>
                  <w:pPr>
                    <w:jc w:val="center"/>
                    <w:textAlignment w:val="top"/>
                    <w:rPr>
                      <w:rFonts w:hint="eastAsia"/>
                      <w:bCs/>
                      <w:color w:val="auto"/>
                      <w:kern w:val="0"/>
                      <w:szCs w:val="21"/>
                      <w:highlight w:val="none"/>
                      <w:lang w:bidi="ar"/>
                    </w:rPr>
                  </w:pPr>
                  <w:r>
                    <w:rPr>
                      <w:rFonts w:hint="eastAsia"/>
                      <w:bCs/>
                      <w:color w:val="auto"/>
                      <w:kern w:val="0"/>
                      <w:szCs w:val="21"/>
                      <w:highlight w:val="none"/>
                      <w:lang w:bidi="ar"/>
                    </w:rPr>
                    <w:t>1</w:t>
                  </w:r>
                </w:p>
              </w:tc>
              <w:tc>
                <w:tcPr>
                  <w:tcW w:w="1276" w:type="dxa"/>
                  <w:noWrap w:val="0"/>
                  <w:tcMar>
                    <w:top w:w="15" w:type="dxa"/>
                    <w:left w:w="15" w:type="dxa"/>
                    <w:right w:w="15" w:type="dxa"/>
                  </w:tcMar>
                  <w:vAlign w:val="center"/>
                </w:tcPr>
                <w:p>
                  <w:pPr>
                    <w:jc w:val="center"/>
                    <w:textAlignment w:val="top"/>
                    <w:rPr>
                      <w:bCs/>
                      <w:color w:val="auto"/>
                      <w:szCs w:val="21"/>
                      <w:highlight w:val="none"/>
                    </w:rPr>
                  </w:pPr>
                  <w:r>
                    <w:rPr>
                      <w:rFonts w:hint="eastAsia"/>
                      <w:bCs/>
                      <w:color w:val="auto"/>
                      <w:szCs w:val="21"/>
                      <w:highlight w:val="none"/>
                    </w:rPr>
                    <w:t>罗湾（散户1）</w:t>
                  </w:r>
                </w:p>
              </w:tc>
              <w:tc>
                <w:tcPr>
                  <w:tcW w:w="916" w:type="dxa"/>
                  <w:noWrap w:val="0"/>
                  <w:tcMar>
                    <w:top w:w="15" w:type="dxa"/>
                    <w:left w:w="15" w:type="dxa"/>
                    <w:right w:w="15" w:type="dxa"/>
                  </w:tcMar>
                  <w:vAlign w:val="center"/>
                </w:tcPr>
                <w:p>
                  <w:pPr>
                    <w:jc w:val="center"/>
                    <w:textAlignment w:val="top"/>
                    <w:rPr>
                      <w:color w:val="auto"/>
                      <w:szCs w:val="21"/>
                      <w:highlight w:val="none"/>
                    </w:rPr>
                  </w:pPr>
                  <w:r>
                    <w:rPr>
                      <w:rFonts w:hint="eastAsia"/>
                      <w:color w:val="auto"/>
                      <w:szCs w:val="21"/>
                      <w:highlight w:val="none"/>
                    </w:rPr>
                    <w:t>103.6820</w:t>
                  </w:r>
                </w:p>
              </w:tc>
              <w:tc>
                <w:tcPr>
                  <w:tcW w:w="726" w:type="dxa"/>
                  <w:noWrap w:val="0"/>
                  <w:tcMar>
                    <w:top w:w="15" w:type="dxa"/>
                    <w:left w:w="15" w:type="dxa"/>
                    <w:right w:w="15" w:type="dxa"/>
                  </w:tcMar>
                  <w:vAlign w:val="center"/>
                </w:tcPr>
                <w:p>
                  <w:pPr>
                    <w:jc w:val="center"/>
                    <w:textAlignment w:val="top"/>
                    <w:rPr>
                      <w:color w:val="auto"/>
                      <w:szCs w:val="21"/>
                      <w:highlight w:val="none"/>
                    </w:rPr>
                  </w:pPr>
                  <w:r>
                    <w:rPr>
                      <w:rFonts w:hint="eastAsia"/>
                      <w:color w:val="auto"/>
                      <w:szCs w:val="21"/>
                      <w:highlight w:val="none"/>
                    </w:rPr>
                    <w:t>29.6641</w:t>
                  </w:r>
                </w:p>
              </w:tc>
              <w:tc>
                <w:tcPr>
                  <w:tcW w:w="661" w:type="dxa"/>
                  <w:noWrap w:val="0"/>
                  <w:tcMar>
                    <w:top w:w="15" w:type="dxa"/>
                    <w:left w:w="15" w:type="dxa"/>
                    <w:right w:w="15" w:type="dxa"/>
                  </w:tcMar>
                  <w:vAlign w:val="center"/>
                </w:tcPr>
                <w:p>
                  <w:pPr>
                    <w:jc w:val="center"/>
                    <w:textAlignment w:val="top"/>
                    <w:rPr>
                      <w:rFonts w:hint="eastAsia"/>
                      <w:color w:val="auto"/>
                      <w:szCs w:val="21"/>
                      <w:highlight w:val="none"/>
                    </w:rPr>
                  </w:pPr>
                  <w:r>
                    <w:rPr>
                      <w:rFonts w:hint="eastAsia"/>
                      <w:color w:val="auto"/>
                      <w:szCs w:val="21"/>
                      <w:highlight w:val="none"/>
                    </w:rPr>
                    <w:t>北</w:t>
                  </w:r>
                </w:p>
              </w:tc>
              <w:tc>
                <w:tcPr>
                  <w:tcW w:w="1138" w:type="dxa"/>
                  <w:noWrap w:val="0"/>
                  <w:tcMar>
                    <w:top w:w="15" w:type="dxa"/>
                    <w:left w:w="15" w:type="dxa"/>
                    <w:right w:w="15" w:type="dxa"/>
                  </w:tcMar>
                  <w:vAlign w:val="center"/>
                </w:tcPr>
                <w:p>
                  <w:pPr>
                    <w:jc w:val="center"/>
                    <w:textAlignment w:val="top"/>
                    <w:rPr>
                      <w:color w:val="auto"/>
                      <w:szCs w:val="21"/>
                      <w:highlight w:val="none"/>
                    </w:rPr>
                  </w:pPr>
                  <w:r>
                    <w:rPr>
                      <w:rFonts w:hint="eastAsia"/>
                      <w:color w:val="auto"/>
                      <w:szCs w:val="21"/>
                      <w:highlight w:val="none"/>
                    </w:rPr>
                    <w:t>25~115</w:t>
                  </w:r>
                </w:p>
              </w:tc>
              <w:tc>
                <w:tcPr>
                  <w:tcW w:w="848" w:type="dxa"/>
                  <w:noWrap w:val="0"/>
                  <w:tcMar>
                    <w:top w:w="15" w:type="dxa"/>
                    <w:left w:w="15" w:type="dxa"/>
                    <w:right w:w="15" w:type="dxa"/>
                  </w:tcMar>
                  <w:vAlign w:val="center"/>
                </w:tcPr>
                <w:p>
                  <w:pPr>
                    <w:jc w:val="center"/>
                    <w:textAlignment w:val="top"/>
                    <w:rPr>
                      <w:color w:val="auto"/>
                      <w:szCs w:val="21"/>
                      <w:highlight w:val="none"/>
                    </w:rPr>
                  </w:pPr>
                  <w:r>
                    <w:rPr>
                      <w:rFonts w:hint="eastAsia"/>
                      <w:color w:val="auto"/>
                      <w:szCs w:val="21"/>
                      <w:highlight w:val="none"/>
                    </w:rPr>
                    <w:t>2户</w:t>
                  </w:r>
                </w:p>
              </w:tc>
              <w:tc>
                <w:tcPr>
                  <w:tcW w:w="1653" w:type="dxa"/>
                  <w:vMerge w:val="restart"/>
                  <w:noWrap w:val="0"/>
                  <w:tcMar>
                    <w:top w:w="15" w:type="dxa"/>
                    <w:left w:w="15" w:type="dxa"/>
                    <w:right w:w="15" w:type="dxa"/>
                  </w:tcMar>
                  <w:vAlign w:val="center"/>
                </w:tcPr>
                <w:p>
                  <w:pPr>
                    <w:jc w:val="center"/>
                    <w:textAlignment w:val="top"/>
                    <w:rPr>
                      <w:color w:val="auto"/>
                      <w:szCs w:val="21"/>
                      <w:highlight w:val="none"/>
                    </w:rPr>
                  </w:pPr>
                  <w:r>
                    <w:rPr>
                      <w:color w:val="auto"/>
                      <w:kern w:val="0"/>
                      <w:szCs w:val="21"/>
                      <w:highlight w:val="none"/>
                      <w:lang w:bidi="ar"/>
                    </w:rPr>
                    <w:t>《环境空气质量标准》（</w:t>
                  </w:r>
                  <w:r>
                    <w:rPr>
                      <w:rStyle w:val="83"/>
                      <w:rFonts w:hint="default" w:ascii="Times New Roman" w:hAnsi="Times New Roman" w:cs="Times New Roman"/>
                      <w:color w:val="auto"/>
                      <w:highlight w:val="none"/>
                      <w:lang w:bidi="ar"/>
                    </w:rPr>
                    <w:t>GB3095-2012</w:t>
                  </w:r>
                  <w:r>
                    <w:rPr>
                      <w:rStyle w:val="190"/>
                      <w:rFonts w:hint="default" w:ascii="Times New Roman" w:hAnsi="Times New Roman" w:cs="Times New Roman"/>
                      <w:color w:val="auto"/>
                      <w:highlight w:val="none"/>
                      <w:lang w:bidi="ar"/>
                    </w:rPr>
                    <w:t>）二级</w:t>
                  </w:r>
                  <w:r>
                    <w:rPr>
                      <w:color w:val="auto"/>
                      <w:kern w:val="0"/>
                      <w:szCs w:val="21"/>
                      <w:highlight w:val="none"/>
                      <w:lang w:bidi="ar"/>
                    </w:rPr>
                    <w:t>标准</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545" w:type="dxa"/>
                  <w:vMerge w:val="continue"/>
                  <w:noWrap w:val="0"/>
                  <w:tcMar>
                    <w:top w:w="15" w:type="dxa"/>
                    <w:left w:w="15" w:type="dxa"/>
                    <w:right w:w="15" w:type="dxa"/>
                  </w:tcMar>
                  <w:vAlign w:val="center"/>
                </w:tcPr>
                <w:p>
                  <w:pPr>
                    <w:jc w:val="center"/>
                    <w:textAlignment w:val="top"/>
                    <w:rPr>
                      <w:color w:val="auto"/>
                      <w:szCs w:val="21"/>
                      <w:highlight w:val="none"/>
                    </w:rPr>
                  </w:pPr>
                </w:p>
              </w:tc>
              <w:tc>
                <w:tcPr>
                  <w:tcW w:w="565" w:type="dxa"/>
                  <w:noWrap w:val="0"/>
                  <w:tcMar>
                    <w:top w:w="15" w:type="dxa"/>
                    <w:left w:w="15" w:type="dxa"/>
                    <w:right w:w="15" w:type="dxa"/>
                  </w:tcMar>
                  <w:vAlign w:val="center"/>
                </w:tcPr>
                <w:p>
                  <w:pPr>
                    <w:jc w:val="center"/>
                    <w:textAlignment w:val="top"/>
                    <w:rPr>
                      <w:rFonts w:hint="eastAsia"/>
                      <w:bCs/>
                      <w:color w:val="auto"/>
                      <w:kern w:val="0"/>
                      <w:szCs w:val="21"/>
                      <w:highlight w:val="none"/>
                      <w:lang w:bidi="ar"/>
                    </w:rPr>
                  </w:pPr>
                  <w:r>
                    <w:rPr>
                      <w:rFonts w:hint="eastAsia"/>
                      <w:bCs/>
                      <w:color w:val="auto"/>
                      <w:kern w:val="0"/>
                      <w:szCs w:val="21"/>
                      <w:highlight w:val="none"/>
                      <w:lang w:bidi="ar"/>
                    </w:rPr>
                    <w:t>2</w:t>
                  </w:r>
                </w:p>
              </w:tc>
              <w:tc>
                <w:tcPr>
                  <w:tcW w:w="1276" w:type="dxa"/>
                  <w:noWrap w:val="0"/>
                  <w:tcMar>
                    <w:top w:w="15" w:type="dxa"/>
                    <w:left w:w="15" w:type="dxa"/>
                    <w:right w:w="15" w:type="dxa"/>
                  </w:tcMar>
                  <w:vAlign w:val="center"/>
                </w:tcPr>
                <w:p>
                  <w:pPr>
                    <w:jc w:val="center"/>
                    <w:textAlignment w:val="top"/>
                    <w:rPr>
                      <w:bCs/>
                      <w:color w:val="auto"/>
                      <w:szCs w:val="21"/>
                      <w:highlight w:val="none"/>
                    </w:rPr>
                  </w:pPr>
                  <w:r>
                    <w:rPr>
                      <w:rFonts w:hint="eastAsia"/>
                      <w:bCs/>
                      <w:color w:val="auto"/>
                      <w:szCs w:val="21"/>
                      <w:highlight w:val="none"/>
                    </w:rPr>
                    <w:t>天空山村</w:t>
                  </w:r>
                  <w:r>
                    <w:rPr>
                      <w:bCs/>
                      <w:color w:val="auto"/>
                      <w:szCs w:val="21"/>
                      <w:highlight w:val="none"/>
                    </w:rPr>
                    <w:t>散户</w:t>
                  </w:r>
                  <w:r>
                    <w:rPr>
                      <w:rFonts w:hint="eastAsia"/>
                      <w:bCs/>
                      <w:color w:val="auto"/>
                      <w:szCs w:val="21"/>
                      <w:highlight w:val="none"/>
                    </w:rPr>
                    <w:t>2</w:t>
                  </w:r>
                </w:p>
              </w:tc>
              <w:tc>
                <w:tcPr>
                  <w:tcW w:w="916" w:type="dxa"/>
                  <w:noWrap w:val="0"/>
                  <w:tcMar>
                    <w:top w:w="15" w:type="dxa"/>
                    <w:left w:w="15" w:type="dxa"/>
                    <w:right w:w="15" w:type="dxa"/>
                  </w:tcMar>
                  <w:vAlign w:val="center"/>
                </w:tcPr>
                <w:p>
                  <w:pPr>
                    <w:jc w:val="center"/>
                    <w:textAlignment w:val="top"/>
                    <w:rPr>
                      <w:color w:val="auto"/>
                      <w:szCs w:val="21"/>
                      <w:highlight w:val="none"/>
                    </w:rPr>
                  </w:pPr>
                  <w:r>
                    <w:rPr>
                      <w:rFonts w:hint="eastAsia"/>
                      <w:color w:val="auto"/>
                      <w:szCs w:val="21"/>
                      <w:highlight w:val="none"/>
                    </w:rPr>
                    <w:t>103.6833</w:t>
                  </w:r>
                </w:p>
              </w:tc>
              <w:tc>
                <w:tcPr>
                  <w:tcW w:w="726" w:type="dxa"/>
                  <w:noWrap w:val="0"/>
                  <w:tcMar>
                    <w:top w:w="15" w:type="dxa"/>
                    <w:left w:w="15" w:type="dxa"/>
                    <w:right w:w="15" w:type="dxa"/>
                  </w:tcMar>
                  <w:vAlign w:val="center"/>
                </w:tcPr>
                <w:p>
                  <w:pPr>
                    <w:jc w:val="center"/>
                    <w:textAlignment w:val="top"/>
                    <w:rPr>
                      <w:color w:val="auto"/>
                      <w:szCs w:val="21"/>
                      <w:highlight w:val="none"/>
                    </w:rPr>
                  </w:pPr>
                  <w:r>
                    <w:rPr>
                      <w:rFonts w:hint="eastAsia"/>
                      <w:color w:val="auto"/>
                      <w:szCs w:val="21"/>
                      <w:highlight w:val="none"/>
                    </w:rPr>
                    <w:t>29.6653</w:t>
                  </w:r>
                </w:p>
              </w:tc>
              <w:tc>
                <w:tcPr>
                  <w:tcW w:w="661" w:type="dxa"/>
                  <w:noWrap w:val="0"/>
                  <w:tcMar>
                    <w:top w:w="15" w:type="dxa"/>
                    <w:left w:w="15" w:type="dxa"/>
                    <w:right w:w="15" w:type="dxa"/>
                  </w:tcMar>
                  <w:vAlign w:val="center"/>
                </w:tcPr>
                <w:p>
                  <w:pPr>
                    <w:jc w:val="center"/>
                    <w:textAlignment w:val="top"/>
                    <w:rPr>
                      <w:rFonts w:hint="eastAsia"/>
                      <w:color w:val="auto"/>
                      <w:szCs w:val="21"/>
                      <w:highlight w:val="none"/>
                    </w:rPr>
                  </w:pPr>
                  <w:r>
                    <w:rPr>
                      <w:rFonts w:hint="eastAsia"/>
                      <w:color w:val="auto"/>
                      <w:szCs w:val="21"/>
                      <w:highlight w:val="none"/>
                    </w:rPr>
                    <w:t>北</w:t>
                  </w:r>
                </w:p>
              </w:tc>
              <w:tc>
                <w:tcPr>
                  <w:tcW w:w="1138" w:type="dxa"/>
                  <w:noWrap w:val="0"/>
                  <w:tcMar>
                    <w:top w:w="15" w:type="dxa"/>
                    <w:left w:w="15" w:type="dxa"/>
                    <w:right w:w="15" w:type="dxa"/>
                  </w:tcMar>
                  <w:vAlign w:val="center"/>
                </w:tcPr>
                <w:p>
                  <w:pPr>
                    <w:jc w:val="center"/>
                    <w:textAlignment w:val="top"/>
                    <w:rPr>
                      <w:color w:val="auto"/>
                      <w:szCs w:val="21"/>
                      <w:highlight w:val="none"/>
                    </w:rPr>
                  </w:pPr>
                  <w:r>
                    <w:rPr>
                      <w:rFonts w:hint="eastAsia"/>
                      <w:color w:val="auto"/>
                      <w:szCs w:val="21"/>
                      <w:highlight w:val="none"/>
                    </w:rPr>
                    <w:t>180</w:t>
                  </w:r>
                </w:p>
              </w:tc>
              <w:tc>
                <w:tcPr>
                  <w:tcW w:w="848" w:type="dxa"/>
                  <w:noWrap w:val="0"/>
                  <w:tcMar>
                    <w:top w:w="15" w:type="dxa"/>
                    <w:left w:w="15" w:type="dxa"/>
                    <w:right w:w="15" w:type="dxa"/>
                  </w:tcMar>
                  <w:vAlign w:val="center"/>
                </w:tcPr>
                <w:p>
                  <w:pPr>
                    <w:jc w:val="center"/>
                    <w:textAlignment w:val="top"/>
                    <w:rPr>
                      <w:color w:val="auto"/>
                      <w:szCs w:val="21"/>
                      <w:highlight w:val="none"/>
                    </w:rPr>
                  </w:pPr>
                  <w:r>
                    <w:rPr>
                      <w:color w:val="auto"/>
                      <w:szCs w:val="21"/>
                      <w:highlight w:val="none"/>
                    </w:rPr>
                    <w:t>1户</w:t>
                  </w:r>
                </w:p>
              </w:tc>
              <w:tc>
                <w:tcPr>
                  <w:tcW w:w="1653" w:type="dxa"/>
                  <w:vMerge w:val="continue"/>
                  <w:noWrap w:val="0"/>
                  <w:tcMar>
                    <w:top w:w="15" w:type="dxa"/>
                    <w:left w:w="15" w:type="dxa"/>
                    <w:right w:w="15" w:type="dxa"/>
                  </w:tcMar>
                  <w:vAlign w:val="center"/>
                </w:tcPr>
                <w:p>
                  <w:pPr>
                    <w:jc w:val="center"/>
                    <w:textAlignment w:val="top"/>
                    <w:rPr>
                      <w:color w:val="auto"/>
                      <w:szCs w:val="21"/>
                      <w:highlight w:val="none"/>
                    </w:rPr>
                  </w:pPr>
                </w:p>
              </w:tc>
            </w:tr>
            <w:tr>
              <w:tblPrEx>
                <w:tblCellMar>
                  <w:top w:w="0" w:type="dxa"/>
                  <w:left w:w="0" w:type="dxa"/>
                  <w:bottom w:w="0" w:type="dxa"/>
                  <w:right w:w="0" w:type="dxa"/>
                </w:tblCellMar>
              </w:tblPrEx>
              <w:trPr>
                <w:trHeight w:val="23" w:hRule="atLeast"/>
              </w:trPr>
              <w:tc>
                <w:tcPr>
                  <w:tcW w:w="545" w:type="dxa"/>
                  <w:vMerge w:val="continue"/>
                  <w:noWrap w:val="0"/>
                  <w:tcMar>
                    <w:top w:w="15" w:type="dxa"/>
                    <w:left w:w="15" w:type="dxa"/>
                    <w:right w:w="15" w:type="dxa"/>
                  </w:tcMar>
                  <w:vAlign w:val="center"/>
                </w:tcPr>
                <w:p>
                  <w:pPr>
                    <w:jc w:val="center"/>
                    <w:rPr>
                      <w:color w:val="auto"/>
                      <w:szCs w:val="21"/>
                      <w:highlight w:val="none"/>
                    </w:rPr>
                  </w:pPr>
                </w:p>
              </w:tc>
              <w:tc>
                <w:tcPr>
                  <w:tcW w:w="565" w:type="dxa"/>
                  <w:noWrap w:val="0"/>
                  <w:tcMar>
                    <w:top w:w="15" w:type="dxa"/>
                    <w:left w:w="15" w:type="dxa"/>
                    <w:right w:w="15" w:type="dxa"/>
                  </w:tcMar>
                  <w:vAlign w:val="center"/>
                </w:tcPr>
                <w:p>
                  <w:pPr>
                    <w:jc w:val="center"/>
                    <w:textAlignment w:val="top"/>
                    <w:rPr>
                      <w:rFonts w:hint="eastAsia"/>
                      <w:bCs/>
                      <w:color w:val="auto"/>
                      <w:kern w:val="0"/>
                      <w:szCs w:val="21"/>
                      <w:highlight w:val="none"/>
                      <w:lang w:bidi="ar"/>
                    </w:rPr>
                  </w:pPr>
                  <w:r>
                    <w:rPr>
                      <w:rFonts w:hint="eastAsia"/>
                      <w:bCs/>
                      <w:color w:val="auto"/>
                      <w:kern w:val="0"/>
                      <w:szCs w:val="21"/>
                      <w:highlight w:val="none"/>
                      <w:lang w:bidi="ar"/>
                    </w:rPr>
                    <w:t>3</w:t>
                  </w:r>
                </w:p>
              </w:tc>
              <w:tc>
                <w:tcPr>
                  <w:tcW w:w="1276" w:type="dxa"/>
                  <w:noWrap w:val="0"/>
                  <w:tcMar>
                    <w:top w:w="15" w:type="dxa"/>
                    <w:left w:w="15" w:type="dxa"/>
                    <w:right w:w="15" w:type="dxa"/>
                  </w:tcMar>
                  <w:vAlign w:val="center"/>
                </w:tcPr>
                <w:p>
                  <w:pPr>
                    <w:jc w:val="center"/>
                    <w:textAlignment w:val="top"/>
                    <w:rPr>
                      <w:rFonts w:hint="eastAsia"/>
                      <w:bCs/>
                      <w:color w:val="auto"/>
                      <w:kern w:val="0"/>
                      <w:szCs w:val="21"/>
                      <w:highlight w:val="none"/>
                      <w:lang w:bidi="ar"/>
                    </w:rPr>
                  </w:pPr>
                  <w:r>
                    <w:rPr>
                      <w:rFonts w:hint="eastAsia"/>
                      <w:bCs/>
                      <w:color w:val="auto"/>
                      <w:szCs w:val="21"/>
                      <w:highlight w:val="none"/>
                    </w:rPr>
                    <w:t>天空山村</w:t>
                  </w:r>
                  <w:r>
                    <w:rPr>
                      <w:bCs/>
                      <w:color w:val="auto"/>
                      <w:kern w:val="0"/>
                      <w:szCs w:val="21"/>
                      <w:highlight w:val="none"/>
                      <w:lang w:bidi="ar"/>
                    </w:rPr>
                    <w:t>散户</w:t>
                  </w:r>
                  <w:r>
                    <w:rPr>
                      <w:rFonts w:hint="eastAsia"/>
                      <w:bCs/>
                      <w:color w:val="auto"/>
                      <w:kern w:val="0"/>
                      <w:szCs w:val="21"/>
                      <w:highlight w:val="none"/>
                      <w:lang w:bidi="ar"/>
                    </w:rPr>
                    <w:t>3</w:t>
                  </w:r>
                </w:p>
              </w:tc>
              <w:tc>
                <w:tcPr>
                  <w:tcW w:w="916" w:type="dxa"/>
                  <w:noWrap w:val="0"/>
                  <w:tcMar>
                    <w:top w:w="15" w:type="dxa"/>
                    <w:left w:w="15" w:type="dxa"/>
                    <w:right w:w="15" w:type="dxa"/>
                  </w:tcMar>
                  <w:vAlign w:val="center"/>
                </w:tcPr>
                <w:p>
                  <w:pPr>
                    <w:jc w:val="center"/>
                    <w:textAlignment w:val="top"/>
                    <w:rPr>
                      <w:color w:val="auto"/>
                      <w:szCs w:val="21"/>
                      <w:highlight w:val="none"/>
                    </w:rPr>
                  </w:pPr>
                  <w:r>
                    <w:rPr>
                      <w:rFonts w:hint="eastAsia"/>
                      <w:color w:val="auto"/>
                      <w:szCs w:val="21"/>
                      <w:highlight w:val="none"/>
                    </w:rPr>
                    <w:t>103.6815</w:t>
                  </w:r>
                </w:p>
              </w:tc>
              <w:tc>
                <w:tcPr>
                  <w:tcW w:w="726" w:type="dxa"/>
                  <w:noWrap w:val="0"/>
                  <w:tcMar>
                    <w:top w:w="15" w:type="dxa"/>
                    <w:left w:w="15" w:type="dxa"/>
                    <w:right w:w="15" w:type="dxa"/>
                  </w:tcMar>
                  <w:vAlign w:val="center"/>
                </w:tcPr>
                <w:p>
                  <w:pPr>
                    <w:jc w:val="center"/>
                    <w:textAlignment w:val="top"/>
                    <w:rPr>
                      <w:color w:val="auto"/>
                      <w:szCs w:val="21"/>
                      <w:highlight w:val="none"/>
                    </w:rPr>
                  </w:pPr>
                  <w:r>
                    <w:rPr>
                      <w:rFonts w:hint="eastAsia"/>
                      <w:color w:val="auto"/>
                      <w:szCs w:val="21"/>
                      <w:highlight w:val="none"/>
                    </w:rPr>
                    <w:t>29.6665</w:t>
                  </w:r>
                </w:p>
              </w:tc>
              <w:tc>
                <w:tcPr>
                  <w:tcW w:w="661" w:type="dxa"/>
                  <w:noWrap w:val="0"/>
                  <w:tcMar>
                    <w:top w:w="15" w:type="dxa"/>
                    <w:left w:w="15" w:type="dxa"/>
                    <w:right w:w="15" w:type="dxa"/>
                  </w:tcMar>
                  <w:vAlign w:val="center"/>
                </w:tcPr>
                <w:p>
                  <w:pPr>
                    <w:jc w:val="center"/>
                    <w:textAlignment w:val="top"/>
                    <w:rPr>
                      <w:rFonts w:hint="eastAsia"/>
                      <w:color w:val="auto"/>
                      <w:kern w:val="0"/>
                      <w:szCs w:val="21"/>
                      <w:highlight w:val="none"/>
                      <w:lang w:bidi="ar"/>
                    </w:rPr>
                  </w:pPr>
                  <w:r>
                    <w:rPr>
                      <w:rFonts w:hint="eastAsia"/>
                      <w:color w:val="auto"/>
                      <w:kern w:val="0"/>
                      <w:szCs w:val="21"/>
                      <w:highlight w:val="none"/>
                      <w:lang w:bidi="ar"/>
                    </w:rPr>
                    <w:t>北</w:t>
                  </w:r>
                </w:p>
              </w:tc>
              <w:tc>
                <w:tcPr>
                  <w:tcW w:w="1138" w:type="dxa"/>
                  <w:noWrap w:val="0"/>
                  <w:tcMar>
                    <w:top w:w="15" w:type="dxa"/>
                    <w:left w:w="15" w:type="dxa"/>
                    <w:right w:w="15" w:type="dxa"/>
                  </w:tcMar>
                  <w:vAlign w:val="center"/>
                </w:tcPr>
                <w:p>
                  <w:pPr>
                    <w:jc w:val="center"/>
                    <w:textAlignment w:val="top"/>
                    <w:rPr>
                      <w:color w:val="auto"/>
                      <w:kern w:val="0"/>
                      <w:szCs w:val="21"/>
                      <w:highlight w:val="none"/>
                      <w:lang w:bidi="ar"/>
                    </w:rPr>
                  </w:pPr>
                  <w:r>
                    <w:rPr>
                      <w:rFonts w:hint="eastAsia"/>
                      <w:color w:val="auto"/>
                      <w:kern w:val="0"/>
                      <w:szCs w:val="21"/>
                      <w:highlight w:val="none"/>
                      <w:lang w:bidi="ar"/>
                    </w:rPr>
                    <w:t>290~368</w:t>
                  </w:r>
                </w:p>
              </w:tc>
              <w:tc>
                <w:tcPr>
                  <w:tcW w:w="848" w:type="dxa"/>
                  <w:noWrap w:val="0"/>
                  <w:tcMar>
                    <w:top w:w="15" w:type="dxa"/>
                    <w:left w:w="15" w:type="dxa"/>
                    <w:right w:w="15" w:type="dxa"/>
                  </w:tcMar>
                  <w:vAlign w:val="center"/>
                </w:tcPr>
                <w:p>
                  <w:pPr>
                    <w:jc w:val="center"/>
                    <w:textAlignment w:val="top"/>
                    <w:rPr>
                      <w:color w:val="auto"/>
                      <w:kern w:val="0"/>
                      <w:szCs w:val="21"/>
                      <w:highlight w:val="none"/>
                      <w:lang w:bidi="ar"/>
                    </w:rPr>
                  </w:pPr>
                  <w:r>
                    <w:rPr>
                      <w:rFonts w:hint="eastAsia"/>
                      <w:color w:val="auto"/>
                      <w:kern w:val="0"/>
                      <w:szCs w:val="21"/>
                      <w:highlight w:val="none"/>
                      <w:lang w:bidi="ar"/>
                    </w:rPr>
                    <w:t>3户</w:t>
                  </w:r>
                </w:p>
              </w:tc>
              <w:tc>
                <w:tcPr>
                  <w:tcW w:w="1653" w:type="dxa"/>
                  <w:vMerge w:val="continue"/>
                  <w:noWrap w:val="0"/>
                  <w:tcMar>
                    <w:top w:w="15" w:type="dxa"/>
                    <w:left w:w="15" w:type="dxa"/>
                    <w:right w:w="15" w:type="dxa"/>
                  </w:tcMar>
                  <w:vAlign w:val="center"/>
                </w:tcPr>
                <w:p>
                  <w:pPr>
                    <w:jc w:val="center"/>
                    <w:textAlignment w:val="top"/>
                    <w:rPr>
                      <w:color w:val="auto"/>
                      <w:szCs w:val="21"/>
                      <w:highlight w:val="none"/>
                    </w:rPr>
                  </w:pPr>
                </w:p>
              </w:tc>
            </w:tr>
            <w:tr>
              <w:tblPrEx>
                <w:tblCellMar>
                  <w:top w:w="0" w:type="dxa"/>
                  <w:left w:w="0" w:type="dxa"/>
                  <w:bottom w:w="0" w:type="dxa"/>
                  <w:right w:w="0" w:type="dxa"/>
                </w:tblCellMar>
              </w:tblPrEx>
              <w:trPr>
                <w:trHeight w:val="23" w:hRule="atLeast"/>
              </w:trPr>
              <w:tc>
                <w:tcPr>
                  <w:tcW w:w="545" w:type="dxa"/>
                  <w:vMerge w:val="continue"/>
                  <w:noWrap w:val="0"/>
                  <w:tcMar>
                    <w:top w:w="15" w:type="dxa"/>
                    <w:left w:w="15" w:type="dxa"/>
                    <w:right w:w="15" w:type="dxa"/>
                  </w:tcMar>
                  <w:vAlign w:val="center"/>
                </w:tcPr>
                <w:p>
                  <w:pPr>
                    <w:jc w:val="center"/>
                    <w:rPr>
                      <w:color w:val="auto"/>
                      <w:szCs w:val="21"/>
                      <w:highlight w:val="none"/>
                    </w:rPr>
                  </w:pPr>
                </w:p>
              </w:tc>
              <w:tc>
                <w:tcPr>
                  <w:tcW w:w="565" w:type="dxa"/>
                  <w:noWrap w:val="0"/>
                  <w:tcMar>
                    <w:top w:w="15" w:type="dxa"/>
                    <w:left w:w="15" w:type="dxa"/>
                    <w:right w:w="15" w:type="dxa"/>
                  </w:tcMar>
                  <w:vAlign w:val="center"/>
                </w:tcPr>
                <w:p>
                  <w:pPr>
                    <w:jc w:val="center"/>
                    <w:textAlignment w:val="top"/>
                    <w:rPr>
                      <w:rFonts w:hint="eastAsia"/>
                      <w:bCs/>
                      <w:color w:val="auto"/>
                      <w:kern w:val="0"/>
                      <w:szCs w:val="21"/>
                      <w:highlight w:val="none"/>
                      <w:lang w:bidi="ar"/>
                    </w:rPr>
                  </w:pPr>
                  <w:r>
                    <w:rPr>
                      <w:rFonts w:hint="eastAsia"/>
                      <w:bCs/>
                      <w:color w:val="auto"/>
                      <w:kern w:val="0"/>
                      <w:szCs w:val="21"/>
                      <w:highlight w:val="none"/>
                      <w:lang w:bidi="ar"/>
                    </w:rPr>
                    <w:t>4</w:t>
                  </w:r>
                </w:p>
              </w:tc>
              <w:tc>
                <w:tcPr>
                  <w:tcW w:w="1276" w:type="dxa"/>
                  <w:noWrap w:val="0"/>
                  <w:tcMar>
                    <w:top w:w="15" w:type="dxa"/>
                    <w:left w:w="15" w:type="dxa"/>
                    <w:right w:w="15" w:type="dxa"/>
                  </w:tcMar>
                  <w:vAlign w:val="center"/>
                </w:tcPr>
                <w:p>
                  <w:pPr>
                    <w:jc w:val="center"/>
                    <w:textAlignment w:val="top"/>
                    <w:rPr>
                      <w:rFonts w:hint="eastAsia"/>
                      <w:bCs/>
                      <w:color w:val="auto"/>
                      <w:kern w:val="0"/>
                      <w:szCs w:val="21"/>
                      <w:highlight w:val="none"/>
                      <w:lang w:bidi="ar"/>
                    </w:rPr>
                  </w:pPr>
                  <w:r>
                    <w:rPr>
                      <w:rFonts w:hint="eastAsia"/>
                      <w:bCs/>
                      <w:color w:val="auto"/>
                      <w:szCs w:val="21"/>
                      <w:highlight w:val="none"/>
                    </w:rPr>
                    <w:t>天空山村</w:t>
                  </w:r>
                  <w:r>
                    <w:rPr>
                      <w:bCs/>
                      <w:color w:val="auto"/>
                      <w:kern w:val="0"/>
                      <w:szCs w:val="21"/>
                      <w:highlight w:val="none"/>
                      <w:lang w:bidi="ar"/>
                    </w:rPr>
                    <w:t>散户</w:t>
                  </w:r>
                  <w:r>
                    <w:rPr>
                      <w:rFonts w:hint="eastAsia"/>
                      <w:bCs/>
                      <w:color w:val="auto"/>
                      <w:kern w:val="0"/>
                      <w:szCs w:val="21"/>
                      <w:highlight w:val="none"/>
                      <w:lang w:bidi="ar"/>
                    </w:rPr>
                    <w:t>4</w:t>
                  </w:r>
                </w:p>
              </w:tc>
              <w:tc>
                <w:tcPr>
                  <w:tcW w:w="916" w:type="dxa"/>
                  <w:noWrap w:val="0"/>
                  <w:tcMar>
                    <w:top w:w="15" w:type="dxa"/>
                    <w:left w:w="15" w:type="dxa"/>
                    <w:right w:w="15" w:type="dxa"/>
                  </w:tcMar>
                  <w:vAlign w:val="center"/>
                </w:tcPr>
                <w:p>
                  <w:pPr>
                    <w:jc w:val="center"/>
                    <w:textAlignment w:val="top"/>
                    <w:rPr>
                      <w:color w:val="auto"/>
                      <w:szCs w:val="21"/>
                      <w:highlight w:val="none"/>
                    </w:rPr>
                  </w:pPr>
                  <w:r>
                    <w:rPr>
                      <w:rFonts w:hint="eastAsia"/>
                      <w:color w:val="auto"/>
                      <w:szCs w:val="21"/>
                      <w:highlight w:val="none"/>
                    </w:rPr>
                    <w:t>103.6837</w:t>
                  </w:r>
                </w:p>
              </w:tc>
              <w:tc>
                <w:tcPr>
                  <w:tcW w:w="726" w:type="dxa"/>
                  <w:noWrap w:val="0"/>
                  <w:tcMar>
                    <w:top w:w="15" w:type="dxa"/>
                    <w:left w:w="15" w:type="dxa"/>
                    <w:right w:w="15" w:type="dxa"/>
                  </w:tcMar>
                  <w:vAlign w:val="center"/>
                </w:tcPr>
                <w:p>
                  <w:pPr>
                    <w:jc w:val="center"/>
                    <w:textAlignment w:val="top"/>
                    <w:rPr>
                      <w:color w:val="auto"/>
                      <w:szCs w:val="21"/>
                      <w:highlight w:val="none"/>
                    </w:rPr>
                  </w:pPr>
                  <w:r>
                    <w:rPr>
                      <w:rFonts w:hint="eastAsia"/>
                      <w:color w:val="auto"/>
                      <w:szCs w:val="21"/>
                      <w:highlight w:val="none"/>
                    </w:rPr>
                    <w:t>29.6606</w:t>
                  </w:r>
                </w:p>
              </w:tc>
              <w:tc>
                <w:tcPr>
                  <w:tcW w:w="661" w:type="dxa"/>
                  <w:noWrap w:val="0"/>
                  <w:tcMar>
                    <w:top w:w="15" w:type="dxa"/>
                    <w:left w:w="15" w:type="dxa"/>
                    <w:right w:w="15" w:type="dxa"/>
                  </w:tcMar>
                  <w:vAlign w:val="center"/>
                </w:tcPr>
                <w:p>
                  <w:pPr>
                    <w:jc w:val="center"/>
                    <w:textAlignment w:val="top"/>
                    <w:rPr>
                      <w:color w:val="auto"/>
                      <w:kern w:val="0"/>
                      <w:szCs w:val="21"/>
                      <w:highlight w:val="none"/>
                      <w:lang w:bidi="ar"/>
                    </w:rPr>
                  </w:pPr>
                  <w:r>
                    <w:rPr>
                      <w:color w:val="auto"/>
                      <w:kern w:val="0"/>
                      <w:szCs w:val="21"/>
                      <w:highlight w:val="none"/>
                      <w:lang w:bidi="ar"/>
                    </w:rPr>
                    <w:t>南</w:t>
                  </w:r>
                </w:p>
              </w:tc>
              <w:tc>
                <w:tcPr>
                  <w:tcW w:w="1138" w:type="dxa"/>
                  <w:noWrap w:val="0"/>
                  <w:tcMar>
                    <w:top w:w="15" w:type="dxa"/>
                    <w:left w:w="15" w:type="dxa"/>
                    <w:right w:w="15" w:type="dxa"/>
                  </w:tcMar>
                  <w:vAlign w:val="center"/>
                </w:tcPr>
                <w:p>
                  <w:pPr>
                    <w:jc w:val="center"/>
                    <w:textAlignment w:val="top"/>
                    <w:rPr>
                      <w:color w:val="auto"/>
                      <w:kern w:val="0"/>
                      <w:szCs w:val="21"/>
                      <w:highlight w:val="none"/>
                      <w:lang w:bidi="ar"/>
                    </w:rPr>
                  </w:pPr>
                  <w:r>
                    <w:rPr>
                      <w:rFonts w:hint="eastAsia"/>
                      <w:color w:val="auto"/>
                      <w:kern w:val="0"/>
                      <w:szCs w:val="21"/>
                      <w:highlight w:val="none"/>
                      <w:lang w:bidi="ar"/>
                    </w:rPr>
                    <w:t>180</w:t>
                  </w:r>
                </w:p>
              </w:tc>
              <w:tc>
                <w:tcPr>
                  <w:tcW w:w="848" w:type="dxa"/>
                  <w:noWrap w:val="0"/>
                  <w:tcMar>
                    <w:top w:w="15" w:type="dxa"/>
                    <w:left w:w="15" w:type="dxa"/>
                    <w:right w:w="15" w:type="dxa"/>
                  </w:tcMar>
                  <w:vAlign w:val="center"/>
                </w:tcPr>
                <w:p>
                  <w:pPr>
                    <w:jc w:val="center"/>
                    <w:textAlignment w:val="top"/>
                    <w:rPr>
                      <w:color w:val="auto"/>
                      <w:kern w:val="0"/>
                      <w:szCs w:val="21"/>
                      <w:highlight w:val="none"/>
                      <w:lang w:bidi="ar"/>
                    </w:rPr>
                  </w:pPr>
                  <w:r>
                    <w:rPr>
                      <w:rFonts w:hint="eastAsia"/>
                      <w:color w:val="auto"/>
                      <w:kern w:val="0"/>
                      <w:szCs w:val="21"/>
                      <w:highlight w:val="none"/>
                      <w:lang w:bidi="ar"/>
                    </w:rPr>
                    <w:t>1户</w:t>
                  </w:r>
                </w:p>
              </w:tc>
              <w:tc>
                <w:tcPr>
                  <w:tcW w:w="1653" w:type="dxa"/>
                  <w:vMerge w:val="continue"/>
                  <w:noWrap w:val="0"/>
                  <w:tcMar>
                    <w:top w:w="15" w:type="dxa"/>
                    <w:left w:w="15" w:type="dxa"/>
                    <w:right w:w="15" w:type="dxa"/>
                  </w:tcMar>
                  <w:vAlign w:val="center"/>
                </w:tcPr>
                <w:p>
                  <w:pPr>
                    <w:jc w:val="center"/>
                    <w:textAlignment w:val="top"/>
                    <w:rPr>
                      <w:color w:val="auto"/>
                      <w:szCs w:val="21"/>
                      <w:highlight w:val="none"/>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545" w:type="dxa"/>
                  <w:vMerge w:val="continue"/>
                  <w:noWrap w:val="0"/>
                  <w:tcMar>
                    <w:top w:w="15" w:type="dxa"/>
                    <w:left w:w="15" w:type="dxa"/>
                    <w:right w:w="15" w:type="dxa"/>
                  </w:tcMar>
                  <w:vAlign w:val="center"/>
                </w:tcPr>
                <w:p>
                  <w:pPr>
                    <w:jc w:val="center"/>
                    <w:rPr>
                      <w:color w:val="auto"/>
                      <w:szCs w:val="21"/>
                      <w:highlight w:val="none"/>
                    </w:rPr>
                  </w:pPr>
                </w:p>
              </w:tc>
              <w:tc>
                <w:tcPr>
                  <w:tcW w:w="565" w:type="dxa"/>
                  <w:noWrap w:val="0"/>
                  <w:tcMar>
                    <w:top w:w="15" w:type="dxa"/>
                    <w:left w:w="15" w:type="dxa"/>
                    <w:right w:w="15" w:type="dxa"/>
                  </w:tcMar>
                  <w:vAlign w:val="center"/>
                </w:tcPr>
                <w:p>
                  <w:pPr>
                    <w:jc w:val="center"/>
                    <w:textAlignment w:val="top"/>
                    <w:rPr>
                      <w:rFonts w:hint="eastAsia"/>
                      <w:bCs/>
                      <w:color w:val="auto"/>
                      <w:kern w:val="0"/>
                      <w:szCs w:val="21"/>
                      <w:highlight w:val="none"/>
                      <w:lang w:bidi="ar"/>
                    </w:rPr>
                  </w:pPr>
                  <w:r>
                    <w:rPr>
                      <w:rFonts w:hint="eastAsia"/>
                      <w:bCs/>
                      <w:color w:val="auto"/>
                      <w:kern w:val="0"/>
                      <w:szCs w:val="21"/>
                      <w:highlight w:val="none"/>
                      <w:lang w:bidi="ar"/>
                    </w:rPr>
                    <w:t>5</w:t>
                  </w:r>
                </w:p>
              </w:tc>
              <w:tc>
                <w:tcPr>
                  <w:tcW w:w="1276" w:type="dxa"/>
                  <w:noWrap w:val="0"/>
                  <w:tcMar>
                    <w:top w:w="15" w:type="dxa"/>
                    <w:left w:w="15" w:type="dxa"/>
                    <w:right w:w="15" w:type="dxa"/>
                  </w:tcMar>
                  <w:vAlign w:val="center"/>
                </w:tcPr>
                <w:p>
                  <w:pPr>
                    <w:jc w:val="center"/>
                    <w:textAlignment w:val="top"/>
                    <w:rPr>
                      <w:bCs/>
                      <w:color w:val="auto"/>
                      <w:kern w:val="0"/>
                      <w:szCs w:val="21"/>
                      <w:highlight w:val="none"/>
                      <w:lang w:bidi="ar"/>
                    </w:rPr>
                  </w:pPr>
                  <w:r>
                    <w:rPr>
                      <w:rFonts w:hint="eastAsia"/>
                      <w:bCs/>
                      <w:color w:val="auto"/>
                      <w:szCs w:val="21"/>
                      <w:highlight w:val="none"/>
                    </w:rPr>
                    <w:t>天空山村</w:t>
                  </w:r>
                  <w:r>
                    <w:rPr>
                      <w:rFonts w:hint="eastAsia"/>
                      <w:bCs/>
                      <w:color w:val="auto"/>
                      <w:kern w:val="0"/>
                      <w:szCs w:val="21"/>
                      <w:highlight w:val="none"/>
                      <w:lang w:bidi="ar"/>
                    </w:rPr>
                    <w:t>散户5</w:t>
                  </w:r>
                </w:p>
              </w:tc>
              <w:tc>
                <w:tcPr>
                  <w:tcW w:w="916" w:type="dxa"/>
                  <w:noWrap w:val="0"/>
                  <w:tcMar>
                    <w:top w:w="15" w:type="dxa"/>
                    <w:left w:w="15" w:type="dxa"/>
                    <w:right w:w="15" w:type="dxa"/>
                  </w:tcMar>
                  <w:vAlign w:val="center"/>
                </w:tcPr>
                <w:p>
                  <w:pPr>
                    <w:jc w:val="center"/>
                    <w:textAlignment w:val="top"/>
                    <w:rPr>
                      <w:color w:val="auto"/>
                      <w:szCs w:val="21"/>
                      <w:highlight w:val="none"/>
                    </w:rPr>
                  </w:pPr>
                  <w:r>
                    <w:rPr>
                      <w:rFonts w:hint="eastAsia"/>
                      <w:color w:val="auto"/>
                      <w:szCs w:val="21"/>
                      <w:highlight w:val="none"/>
                    </w:rPr>
                    <w:t>103.6786</w:t>
                  </w:r>
                </w:p>
              </w:tc>
              <w:tc>
                <w:tcPr>
                  <w:tcW w:w="726" w:type="dxa"/>
                  <w:noWrap w:val="0"/>
                  <w:tcMar>
                    <w:top w:w="15" w:type="dxa"/>
                    <w:left w:w="15" w:type="dxa"/>
                    <w:right w:w="15" w:type="dxa"/>
                  </w:tcMar>
                  <w:vAlign w:val="center"/>
                </w:tcPr>
                <w:p>
                  <w:pPr>
                    <w:jc w:val="center"/>
                    <w:textAlignment w:val="top"/>
                    <w:rPr>
                      <w:color w:val="auto"/>
                      <w:szCs w:val="21"/>
                      <w:highlight w:val="none"/>
                    </w:rPr>
                  </w:pPr>
                  <w:r>
                    <w:rPr>
                      <w:rFonts w:hint="eastAsia"/>
                      <w:color w:val="auto"/>
                      <w:szCs w:val="21"/>
                      <w:highlight w:val="none"/>
                    </w:rPr>
                    <w:t>29.6650</w:t>
                  </w:r>
                </w:p>
              </w:tc>
              <w:tc>
                <w:tcPr>
                  <w:tcW w:w="661" w:type="dxa"/>
                  <w:noWrap w:val="0"/>
                  <w:tcMar>
                    <w:top w:w="15" w:type="dxa"/>
                    <w:left w:w="15" w:type="dxa"/>
                    <w:right w:w="15" w:type="dxa"/>
                  </w:tcMar>
                  <w:vAlign w:val="center"/>
                </w:tcPr>
                <w:p>
                  <w:pPr>
                    <w:jc w:val="center"/>
                    <w:textAlignment w:val="top"/>
                    <w:rPr>
                      <w:rFonts w:hint="eastAsia"/>
                      <w:color w:val="auto"/>
                      <w:kern w:val="0"/>
                      <w:szCs w:val="21"/>
                      <w:highlight w:val="none"/>
                      <w:lang w:bidi="ar"/>
                    </w:rPr>
                  </w:pPr>
                  <w:r>
                    <w:rPr>
                      <w:rFonts w:hint="eastAsia"/>
                      <w:color w:val="auto"/>
                      <w:kern w:val="0"/>
                      <w:szCs w:val="21"/>
                      <w:highlight w:val="none"/>
                      <w:lang w:bidi="ar"/>
                    </w:rPr>
                    <w:t>西</w:t>
                  </w:r>
                </w:p>
              </w:tc>
              <w:tc>
                <w:tcPr>
                  <w:tcW w:w="1138" w:type="dxa"/>
                  <w:noWrap w:val="0"/>
                  <w:tcMar>
                    <w:top w:w="15" w:type="dxa"/>
                    <w:left w:w="15" w:type="dxa"/>
                    <w:right w:w="15" w:type="dxa"/>
                  </w:tcMar>
                  <w:vAlign w:val="center"/>
                </w:tcPr>
                <w:p>
                  <w:pPr>
                    <w:jc w:val="center"/>
                    <w:textAlignment w:val="top"/>
                    <w:rPr>
                      <w:color w:val="auto"/>
                      <w:kern w:val="0"/>
                      <w:szCs w:val="21"/>
                      <w:highlight w:val="none"/>
                      <w:lang w:bidi="ar"/>
                    </w:rPr>
                  </w:pPr>
                  <w:r>
                    <w:rPr>
                      <w:rFonts w:hint="eastAsia"/>
                      <w:color w:val="auto"/>
                      <w:kern w:val="0"/>
                      <w:szCs w:val="21"/>
                      <w:highlight w:val="none"/>
                      <w:lang w:bidi="ar"/>
                    </w:rPr>
                    <w:t>339</w:t>
                  </w:r>
                </w:p>
              </w:tc>
              <w:tc>
                <w:tcPr>
                  <w:tcW w:w="848" w:type="dxa"/>
                  <w:noWrap w:val="0"/>
                  <w:tcMar>
                    <w:top w:w="15" w:type="dxa"/>
                    <w:left w:w="15" w:type="dxa"/>
                    <w:right w:w="15" w:type="dxa"/>
                  </w:tcMar>
                  <w:vAlign w:val="center"/>
                </w:tcPr>
                <w:p>
                  <w:pPr>
                    <w:jc w:val="center"/>
                    <w:textAlignment w:val="top"/>
                    <w:rPr>
                      <w:color w:val="auto"/>
                      <w:kern w:val="0"/>
                      <w:szCs w:val="21"/>
                      <w:highlight w:val="none"/>
                      <w:lang w:bidi="ar"/>
                    </w:rPr>
                  </w:pPr>
                  <w:r>
                    <w:rPr>
                      <w:rFonts w:hint="eastAsia"/>
                      <w:color w:val="auto"/>
                      <w:kern w:val="0"/>
                      <w:szCs w:val="21"/>
                      <w:highlight w:val="none"/>
                      <w:lang w:bidi="ar"/>
                    </w:rPr>
                    <w:t>1户</w:t>
                  </w:r>
                </w:p>
              </w:tc>
              <w:tc>
                <w:tcPr>
                  <w:tcW w:w="1653" w:type="dxa"/>
                  <w:vMerge w:val="continue"/>
                  <w:noWrap w:val="0"/>
                  <w:tcMar>
                    <w:top w:w="15" w:type="dxa"/>
                    <w:left w:w="15" w:type="dxa"/>
                    <w:right w:w="15" w:type="dxa"/>
                  </w:tcMar>
                  <w:vAlign w:val="center"/>
                </w:tcPr>
                <w:p>
                  <w:pPr>
                    <w:jc w:val="center"/>
                    <w:textAlignment w:val="top"/>
                    <w:rPr>
                      <w:color w:val="auto"/>
                      <w:szCs w:val="21"/>
                      <w:highlight w:val="none"/>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545" w:type="dxa"/>
                  <w:vMerge w:val="continue"/>
                  <w:noWrap w:val="0"/>
                  <w:tcMar>
                    <w:top w:w="15" w:type="dxa"/>
                    <w:left w:w="15" w:type="dxa"/>
                    <w:right w:w="15" w:type="dxa"/>
                  </w:tcMar>
                  <w:vAlign w:val="center"/>
                </w:tcPr>
                <w:p>
                  <w:pPr>
                    <w:jc w:val="center"/>
                    <w:rPr>
                      <w:color w:val="auto"/>
                      <w:szCs w:val="21"/>
                      <w:highlight w:val="none"/>
                    </w:rPr>
                  </w:pPr>
                </w:p>
              </w:tc>
              <w:tc>
                <w:tcPr>
                  <w:tcW w:w="565" w:type="dxa"/>
                  <w:noWrap w:val="0"/>
                  <w:tcMar>
                    <w:top w:w="15" w:type="dxa"/>
                    <w:left w:w="15" w:type="dxa"/>
                    <w:right w:w="15" w:type="dxa"/>
                  </w:tcMar>
                  <w:vAlign w:val="center"/>
                </w:tcPr>
                <w:p>
                  <w:pPr>
                    <w:jc w:val="center"/>
                    <w:textAlignment w:val="top"/>
                    <w:rPr>
                      <w:rFonts w:hint="eastAsia"/>
                      <w:bCs/>
                      <w:color w:val="auto"/>
                      <w:kern w:val="0"/>
                      <w:szCs w:val="21"/>
                      <w:highlight w:val="none"/>
                      <w:lang w:bidi="ar"/>
                    </w:rPr>
                  </w:pPr>
                  <w:r>
                    <w:rPr>
                      <w:rFonts w:hint="eastAsia"/>
                      <w:bCs/>
                      <w:color w:val="auto"/>
                      <w:kern w:val="0"/>
                      <w:szCs w:val="21"/>
                      <w:highlight w:val="none"/>
                      <w:lang w:bidi="ar"/>
                    </w:rPr>
                    <w:t>6</w:t>
                  </w:r>
                </w:p>
              </w:tc>
              <w:tc>
                <w:tcPr>
                  <w:tcW w:w="1276" w:type="dxa"/>
                  <w:noWrap w:val="0"/>
                  <w:tcMar>
                    <w:top w:w="15" w:type="dxa"/>
                    <w:left w:w="15" w:type="dxa"/>
                    <w:right w:w="15" w:type="dxa"/>
                  </w:tcMar>
                  <w:vAlign w:val="center"/>
                </w:tcPr>
                <w:p>
                  <w:pPr>
                    <w:jc w:val="center"/>
                    <w:textAlignment w:val="top"/>
                    <w:rPr>
                      <w:bCs/>
                      <w:color w:val="auto"/>
                      <w:kern w:val="0"/>
                      <w:szCs w:val="21"/>
                      <w:highlight w:val="none"/>
                      <w:lang w:bidi="ar"/>
                    </w:rPr>
                  </w:pPr>
                  <w:r>
                    <w:rPr>
                      <w:rFonts w:hint="eastAsia"/>
                      <w:bCs/>
                      <w:color w:val="auto"/>
                      <w:szCs w:val="21"/>
                      <w:highlight w:val="none"/>
                    </w:rPr>
                    <w:t>天空山村</w:t>
                  </w:r>
                  <w:r>
                    <w:rPr>
                      <w:rFonts w:hint="eastAsia"/>
                      <w:bCs/>
                      <w:color w:val="auto"/>
                      <w:kern w:val="0"/>
                      <w:szCs w:val="21"/>
                      <w:highlight w:val="none"/>
                      <w:lang w:bidi="ar"/>
                    </w:rPr>
                    <w:t>散户6</w:t>
                  </w:r>
                </w:p>
              </w:tc>
              <w:tc>
                <w:tcPr>
                  <w:tcW w:w="916" w:type="dxa"/>
                  <w:noWrap w:val="0"/>
                  <w:tcMar>
                    <w:top w:w="15" w:type="dxa"/>
                    <w:left w:w="15" w:type="dxa"/>
                    <w:right w:w="15" w:type="dxa"/>
                  </w:tcMar>
                  <w:vAlign w:val="center"/>
                </w:tcPr>
                <w:p>
                  <w:pPr>
                    <w:jc w:val="center"/>
                    <w:textAlignment w:val="top"/>
                    <w:rPr>
                      <w:color w:val="auto"/>
                      <w:szCs w:val="21"/>
                      <w:highlight w:val="none"/>
                    </w:rPr>
                  </w:pPr>
                  <w:r>
                    <w:rPr>
                      <w:rFonts w:hint="eastAsia"/>
                      <w:color w:val="auto"/>
                      <w:szCs w:val="21"/>
                      <w:highlight w:val="none"/>
                    </w:rPr>
                    <w:t>103.6775</w:t>
                  </w:r>
                </w:p>
              </w:tc>
              <w:tc>
                <w:tcPr>
                  <w:tcW w:w="726" w:type="dxa"/>
                  <w:noWrap w:val="0"/>
                  <w:tcMar>
                    <w:top w:w="15" w:type="dxa"/>
                    <w:left w:w="15" w:type="dxa"/>
                    <w:right w:w="15" w:type="dxa"/>
                  </w:tcMar>
                  <w:vAlign w:val="center"/>
                </w:tcPr>
                <w:p>
                  <w:pPr>
                    <w:jc w:val="center"/>
                    <w:textAlignment w:val="top"/>
                    <w:rPr>
                      <w:color w:val="auto"/>
                      <w:szCs w:val="21"/>
                      <w:highlight w:val="none"/>
                    </w:rPr>
                  </w:pPr>
                  <w:r>
                    <w:rPr>
                      <w:rFonts w:hint="eastAsia"/>
                      <w:color w:val="auto"/>
                      <w:szCs w:val="21"/>
                      <w:highlight w:val="none"/>
                    </w:rPr>
                    <w:t>29.6646</w:t>
                  </w:r>
                </w:p>
              </w:tc>
              <w:tc>
                <w:tcPr>
                  <w:tcW w:w="661" w:type="dxa"/>
                  <w:noWrap w:val="0"/>
                  <w:tcMar>
                    <w:top w:w="15" w:type="dxa"/>
                    <w:left w:w="15" w:type="dxa"/>
                    <w:right w:w="15" w:type="dxa"/>
                  </w:tcMar>
                  <w:vAlign w:val="center"/>
                </w:tcPr>
                <w:p>
                  <w:pPr>
                    <w:jc w:val="center"/>
                    <w:textAlignment w:val="top"/>
                    <w:rPr>
                      <w:rFonts w:hint="eastAsia"/>
                      <w:color w:val="auto"/>
                      <w:kern w:val="0"/>
                      <w:szCs w:val="21"/>
                      <w:highlight w:val="none"/>
                      <w:lang w:bidi="ar"/>
                    </w:rPr>
                  </w:pPr>
                  <w:r>
                    <w:rPr>
                      <w:rFonts w:hint="eastAsia"/>
                      <w:color w:val="auto"/>
                      <w:kern w:val="0"/>
                      <w:szCs w:val="21"/>
                      <w:highlight w:val="none"/>
                      <w:lang w:bidi="ar"/>
                    </w:rPr>
                    <w:t>西</w:t>
                  </w:r>
                </w:p>
              </w:tc>
              <w:tc>
                <w:tcPr>
                  <w:tcW w:w="1138" w:type="dxa"/>
                  <w:noWrap w:val="0"/>
                  <w:tcMar>
                    <w:top w:w="15" w:type="dxa"/>
                    <w:left w:w="15" w:type="dxa"/>
                    <w:right w:w="15" w:type="dxa"/>
                  </w:tcMar>
                  <w:vAlign w:val="center"/>
                </w:tcPr>
                <w:p>
                  <w:pPr>
                    <w:jc w:val="center"/>
                    <w:textAlignment w:val="top"/>
                    <w:rPr>
                      <w:color w:val="auto"/>
                      <w:kern w:val="0"/>
                      <w:szCs w:val="21"/>
                      <w:highlight w:val="none"/>
                      <w:lang w:bidi="ar"/>
                    </w:rPr>
                  </w:pPr>
                  <w:r>
                    <w:rPr>
                      <w:rFonts w:hint="eastAsia"/>
                      <w:color w:val="auto"/>
                      <w:kern w:val="0"/>
                      <w:szCs w:val="21"/>
                      <w:highlight w:val="none"/>
                      <w:lang w:bidi="ar"/>
                    </w:rPr>
                    <w:t>363~479</w:t>
                  </w:r>
                </w:p>
              </w:tc>
              <w:tc>
                <w:tcPr>
                  <w:tcW w:w="848" w:type="dxa"/>
                  <w:noWrap w:val="0"/>
                  <w:tcMar>
                    <w:top w:w="15" w:type="dxa"/>
                    <w:left w:w="15" w:type="dxa"/>
                    <w:right w:w="15" w:type="dxa"/>
                  </w:tcMar>
                  <w:vAlign w:val="center"/>
                </w:tcPr>
                <w:p>
                  <w:pPr>
                    <w:jc w:val="center"/>
                    <w:textAlignment w:val="top"/>
                    <w:rPr>
                      <w:color w:val="auto"/>
                      <w:kern w:val="0"/>
                      <w:szCs w:val="21"/>
                      <w:highlight w:val="none"/>
                      <w:lang w:bidi="ar"/>
                    </w:rPr>
                  </w:pPr>
                  <w:r>
                    <w:rPr>
                      <w:rFonts w:hint="eastAsia"/>
                      <w:color w:val="auto"/>
                      <w:kern w:val="0"/>
                      <w:szCs w:val="21"/>
                      <w:highlight w:val="none"/>
                      <w:lang w:bidi="ar"/>
                    </w:rPr>
                    <w:t>6户</w:t>
                  </w:r>
                </w:p>
              </w:tc>
              <w:tc>
                <w:tcPr>
                  <w:tcW w:w="1653" w:type="dxa"/>
                  <w:vMerge w:val="continue"/>
                  <w:noWrap w:val="0"/>
                  <w:tcMar>
                    <w:top w:w="15" w:type="dxa"/>
                    <w:left w:w="15" w:type="dxa"/>
                    <w:right w:w="15" w:type="dxa"/>
                  </w:tcMar>
                  <w:vAlign w:val="center"/>
                </w:tcPr>
                <w:p>
                  <w:pPr>
                    <w:jc w:val="center"/>
                    <w:textAlignment w:val="top"/>
                    <w:rPr>
                      <w:color w:val="auto"/>
                      <w:szCs w:val="21"/>
                      <w:highlight w:val="none"/>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545" w:type="dxa"/>
                  <w:vMerge w:val="continue"/>
                  <w:noWrap/>
                  <w:tcMar>
                    <w:top w:w="15" w:type="dxa"/>
                    <w:left w:w="15" w:type="dxa"/>
                    <w:right w:w="15" w:type="dxa"/>
                  </w:tcMar>
                  <w:vAlign w:val="center"/>
                </w:tcPr>
                <w:p>
                  <w:pPr>
                    <w:jc w:val="center"/>
                    <w:rPr>
                      <w:color w:val="auto"/>
                      <w:szCs w:val="21"/>
                      <w:highlight w:val="none"/>
                    </w:rPr>
                  </w:pPr>
                </w:p>
              </w:tc>
              <w:tc>
                <w:tcPr>
                  <w:tcW w:w="565" w:type="dxa"/>
                  <w:noWrap w:val="0"/>
                  <w:tcMar>
                    <w:top w:w="15" w:type="dxa"/>
                    <w:left w:w="15" w:type="dxa"/>
                    <w:right w:w="15" w:type="dxa"/>
                  </w:tcMar>
                  <w:vAlign w:val="center"/>
                </w:tcPr>
                <w:p>
                  <w:pPr>
                    <w:jc w:val="center"/>
                    <w:textAlignment w:val="top"/>
                    <w:rPr>
                      <w:rFonts w:hint="eastAsia"/>
                      <w:bCs/>
                      <w:color w:val="auto"/>
                      <w:kern w:val="0"/>
                      <w:szCs w:val="21"/>
                      <w:highlight w:val="none"/>
                      <w:lang w:bidi="ar"/>
                    </w:rPr>
                  </w:pPr>
                  <w:r>
                    <w:rPr>
                      <w:rFonts w:hint="eastAsia"/>
                      <w:bCs/>
                      <w:color w:val="auto"/>
                      <w:kern w:val="0"/>
                      <w:szCs w:val="21"/>
                      <w:highlight w:val="none"/>
                      <w:lang w:bidi="ar"/>
                    </w:rPr>
                    <w:t>7</w:t>
                  </w:r>
                </w:p>
              </w:tc>
              <w:tc>
                <w:tcPr>
                  <w:tcW w:w="1276" w:type="dxa"/>
                  <w:noWrap w:val="0"/>
                  <w:tcMar>
                    <w:top w:w="15" w:type="dxa"/>
                    <w:left w:w="15" w:type="dxa"/>
                    <w:right w:w="15" w:type="dxa"/>
                  </w:tcMar>
                  <w:vAlign w:val="center"/>
                </w:tcPr>
                <w:p>
                  <w:pPr>
                    <w:jc w:val="center"/>
                    <w:textAlignment w:val="top"/>
                    <w:rPr>
                      <w:bCs/>
                      <w:color w:val="auto"/>
                      <w:kern w:val="0"/>
                      <w:szCs w:val="21"/>
                      <w:highlight w:val="none"/>
                      <w:lang w:bidi="ar"/>
                    </w:rPr>
                  </w:pPr>
                  <w:r>
                    <w:rPr>
                      <w:rFonts w:hint="eastAsia"/>
                      <w:bCs/>
                      <w:color w:val="auto"/>
                      <w:szCs w:val="21"/>
                      <w:highlight w:val="none"/>
                    </w:rPr>
                    <w:t>天空山村</w:t>
                  </w:r>
                  <w:r>
                    <w:rPr>
                      <w:rFonts w:hint="eastAsia"/>
                      <w:bCs/>
                      <w:color w:val="auto"/>
                      <w:kern w:val="0"/>
                      <w:szCs w:val="21"/>
                      <w:highlight w:val="none"/>
                      <w:lang w:bidi="ar"/>
                    </w:rPr>
                    <w:t>散户7</w:t>
                  </w:r>
                </w:p>
              </w:tc>
              <w:tc>
                <w:tcPr>
                  <w:tcW w:w="916" w:type="dxa"/>
                  <w:noWrap w:val="0"/>
                  <w:tcMar>
                    <w:top w:w="15" w:type="dxa"/>
                    <w:left w:w="15" w:type="dxa"/>
                    <w:right w:w="15" w:type="dxa"/>
                  </w:tcMar>
                  <w:vAlign w:val="center"/>
                </w:tcPr>
                <w:p>
                  <w:pPr>
                    <w:jc w:val="center"/>
                    <w:textAlignment w:val="top"/>
                    <w:rPr>
                      <w:color w:val="auto"/>
                      <w:szCs w:val="21"/>
                      <w:highlight w:val="none"/>
                    </w:rPr>
                  </w:pPr>
                  <w:r>
                    <w:rPr>
                      <w:rFonts w:hint="eastAsia"/>
                      <w:color w:val="auto"/>
                      <w:kern w:val="0"/>
                      <w:szCs w:val="21"/>
                      <w:highlight w:val="none"/>
                      <w:lang w:bidi="ar"/>
                    </w:rPr>
                    <w:t>103.6775</w:t>
                  </w:r>
                </w:p>
              </w:tc>
              <w:tc>
                <w:tcPr>
                  <w:tcW w:w="726" w:type="dxa"/>
                  <w:noWrap w:val="0"/>
                  <w:tcMar>
                    <w:top w:w="15" w:type="dxa"/>
                    <w:left w:w="15" w:type="dxa"/>
                    <w:right w:w="15" w:type="dxa"/>
                  </w:tcMar>
                  <w:vAlign w:val="center"/>
                </w:tcPr>
                <w:p>
                  <w:pPr>
                    <w:jc w:val="center"/>
                    <w:textAlignment w:val="top"/>
                    <w:rPr>
                      <w:color w:val="auto"/>
                      <w:szCs w:val="21"/>
                      <w:highlight w:val="none"/>
                    </w:rPr>
                  </w:pPr>
                  <w:r>
                    <w:rPr>
                      <w:rFonts w:hint="eastAsia"/>
                      <w:color w:val="auto"/>
                      <w:kern w:val="0"/>
                      <w:szCs w:val="21"/>
                      <w:highlight w:val="none"/>
                      <w:lang w:bidi="ar"/>
                    </w:rPr>
                    <w:t>29.6624</w:t>
                  </w:r>
                </w:p>
              </w:tc>
              <w:tc>
                <w:tcPr>
                  <w:tcW w:w="661" w:type="dxa"/>
                  <w:noWrap w:val="0"/>
                  <w:tcMar>
                    <w:top w:w="15" w:type="dxa"/>
                    <w:left w:w="15" w:type="dxa"/>
                    <w:right w:w="15" w:type="dxa"/>
                  </w:tcMar>
                  <w:vAlign w:val="center"/>
                </w:tcPr>
                <w:p>
                  <w:pPr>
                    <w:jc w:val="center"/>
                    <w:textAlignment w:val="top"/>
                    <w:rPr>
                      <w:rFonts w:hint="eastAsia"/>
                      <w:color w:val="auto"/>
                      <w:kern w:val="0"/>
                      <w:szCs w:val="21"/>
                      <w:highlight w:val="none"/>
                      <w:lang w:bidi="ar"/>
                    </w:rPr>
                  </w:pPr>
                  <w:r>
                    <w:rPr>
                      <w:rFonts w:hint="eastAsia"/>
                      <w:color w:val="auto"/>
                      <w:kern w:val="0"/>
                      <w:szCs w:val="21"/>
                      <w:highlight w:val="none"/>
                      <w:lang w:bidi="ar"/>
                    </w:rPr>
                    <w:t>西南</w:t>
                  </w:r>
                </w:p>
              </w:tc>
              <w:tc>
                <w:tcPr>
                  <w:tcW w:w="1138" w:type="dxa"/>
                  <w:noWrap w:val="0"/>
                  <w:tcMar>
                    <w:top w:w="15" w:type="dxa"/>
                    <w:left w:w="15" w:type="dxa"/>
                    <w:right w:w="15" w:type="dxa"/>
                  </w:tcMar>
                  <w:vAlign w:val="center"/>
                </w:tcPr>
                <w:p>
                  <w:pPr>
                    <w:jc w:val="center"/>
                    <w:textAlignment w:val="top"/>
                    <w:rPr>
                      <w:color w:val="auto"/>
                      <w:kern w:val="0"/>
                      <w:szCs w:val="21"/>
                      <w:highlight w:val="none"/>
                      <w:lang w:bidi="ar"/>
                    </w:rPr>
                  </w:pPr>
                  <w:r>
                    <w:rPr>
                      <w:rFonts w:hint="eastAsia"/>
                      <w:color w:val="auto"/>
                      <w:kern w:val="0"/>
                      <w:szCs w:val="21"/>
                      <w:highlight w:val="none"/>
                      <w:lang w:bidi="ar"/>
                    </w:rPr>
                    <w:t>409~455</w:t>
                  </w:r>
                </w:p>
              </w:tc>
              <w:tc>
                <w:tcPr>
                  <w:tcW w:w="848" w:type="dxa"/>
                  <w:noWrap w:val="0"/>
                  <w:tcMar>
                    <w:top w:w="15" w:type="dxa"/>
                    <w:left w:w="15" w:type="dxa"/>
                    <w:right w:w="15" w:type="dxa"/>
                  </w:tcMar>
                  <w:vAlign w:val="center"/>
                </w:tcPr>
                <w:p>
                  <w:pPr>
                    <w:jc w:val="center"/>
                    <w:textAlignment w:val="top"/>
                    <w:rPr>
                      <w:color w:val="auto"/>
                      <w:kern w:val="0"/>
                      <w:szCs w:val="21"/>
                      <w:highlight w:val="none"/>
                      <w:lang w:bidi="ar"/>
                    </w:rPr>
                  </w:pPr>
                  <w:r>
                    <w:rPr>
                      <w:rFonts w:hint="eastAsia"/>
                      <w:color w:val="auto"/>
                      <w:kern w:val="0"/>
                      <w:szCs w:val="21"/>
                      <w:highlight w:val="none"/>
                      <w:lang w:bidi="ar"/>
                    </w:rPr>
                    <w:t>2户</w:t>
                  </w:r>
                </w:p>
              </w:tc>
              <w:tc>
                <w:tcPr>
                  <w:tcW w:w="1653" w:type="dxa"/>
                  <w:vMerge w:val="continue"/>
                  <w:noWrap w:val="0"/>
                  <w:tcMar>
                    <w:top w:w="15" w:type="dxa"/>
                    <w:left w:w="15" w:type="dxa"/>
                    <w:right w:w="15" w:type="dxa"/>
                  </w:tcMar>
                  <w:vAlign w:val="center"/>
                </w:tcPr>
                <w:p>
                  <w:pPr>
                    <w:jc w:val="center"/>
                    <w:textAlignment w:val="top"/>
                    <w:rPr>
                      <w:color w:val="auto"/>
                      <w:szCs w:val="21"/>
                      <w:highlight w:val="none"/>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545" w:type="dxa"/>
                  <w:vMerge w:val="continue"/>
                  <w:noWrap/>
                  <w:tcMar>
                    <w:top w:w="15" w:type="dxa"/>
                    <w:left w:w="15" w:type="dxa"/>
                    <w:right w:w="15" w:type="dxa"/>
                  </w:tcMar>
                  <w:vAlign w:val="center"/>
                </w:tcPr>
                <w:p>
                  <w:pPr>
                    <w:jc w:val="center"/>
                    <w:rPr>
                      <w:color w:val="auto"/>
                      <w:szCs w:val="21"/>
                      <w:highlight w:val="none"/>
                    </w:rPr>
                  </w:pPr>
                </w:p>
              </w:tc>
              <w:tc>
                <w:tcPr>
                  <w:tcW w:w="565" w:type="dxa"/>
                  <w:noWrap w:val="0"/>
                  <w:tcMar>
                    <w:top w:w="15" w:type="dxa"/>
                    <w:left w:w="15" w:type="dxa"/>
                    <w:right w:w="15" w:type="dxa"/>
                  </w:tcMar>
                  <w:vAlign w:val="center"/>
                </w:tcPr>
                <w:p>
                  <w:pPr>
                    <w:jc w:val="center"/>
                    <w:textAlignment w:val="top"/>
                    <w:rPr>
                      <w:rFonts w:hint="eastAsia"/>
                      <w:bCs/>
                      <w:color w:val="auto"/>
                      <w:kern w:val="0"/>
                      <w:szCs w:val="21"/>
                      <w:highlight w:val="none"/>
                      <w:lang w:bidi="ar"/>
                    </w:rPr>
                  </w:pPr>
                  <w:r>
                    <w:rPr>
                      <w:rFonts w:hint="eastAsia"/>
                      <w:bCs/>
                      <w:color w:val="auto"/>
                      <w:kern w:val="0"/>
                      <w:szCs w:val="21"/>
                      <w:highlight w:val="none"/>
                      <w:lang w:bidi="ar"/>
                    </w:rPr>
                    <w:t>8</w:t>
                  </w:r>
                </w:p>
              </w:tc>
              <w:tc>
                <w:tcPr>
                  <w:tcW w:w="1276" w:type="dxa"/>
                  <w:noWrap w:val="0"/>
                  <w:tcMar>
                    <w:top w:w="15" w:type="dxa"/>
                    <w:left w:w="15" w:type="dxa"/>
                    <w:right w:w="15" w:type="dxa"/>
                  </w:tcMar>
                  <w:vAlign w:val="center"/>
                </w:tcPr>
                <w:p>
                  <w:pPr>
                    <w:jc w:val="center"/>
                    <w:textAlignment w:val="top"/>
                    <w:rPr>
                      <w:bCs/>
                      <w:color w:val="auto"/>
                      <w:kern w:val="0"/>
                      <w:szCs w:val="21"/>
                      <w:highlight w:val="none"/>
                      <w:lang w:bidi="ar"/>
                    </w:rPr>
                  </w:pPr>
                  <w:r>
                    <w:rPr>
                      <w:rFonts w:hint="eastAsia"/>
                      <w:bCs/>
                      <w:color w:val="auto"/>
                      <w:kern w:val="0"/>
                      <w:szCs w:val="21"/>
                      <w:highlight w:val="none"/>
                      <w:lang w:bidi="ar"/>
                    </w:rPr>
                    <w:t>杨榜（散户8）</w:t>
                  </w:r>
                </w:p>
              </w:tc>
              <w:tc>
                <w:tcPr>
                  <w:tcW w:w="916" w:type="dxa"/>
                  <w:noWrap w:val="0"/>
                  <w:tcMar>
                    <w:top w:w="15" w:type="dxa"/>
                    <w:left w:w="15" w:type="dxa"/>
                    <w:right w:w="15" w:type="dxa"/>
                  </w:tcMar>
                  <w:vAlign w:val="center"/>
                </w:tcPr>
                <w:p>
                  <w:pPr>
                    <w:jc w:val="center"/>
                    <w:textAlignment w:val="top"/>
                    <w:rPr>
                      <w:color w:val="auto"/>
                      <w:szCs w:val="21"/>
                      <w:highlight w:val="none"/>
                    </w:rPr>
                  </w:pPr>
                  <w:r>
                    <w:rPr>
                      <w:rFonts w:hint="eastAsia"/>
                      <w:color w:val="auto"/>
                      <w:szCs w:val="21"/>
                      <w:highlight w:val="none"/>
                    </w:rPr>
                    <w:t>103.6778</w:t>
                  </w:r>
                </w:p>
              </w:tc>
              <w:tc>
                <w:tcPr>
                  <w:tcW w:w="726" w:type="dxa"/>
                  <w:noWrap w:val="0"/>
                  <w:tcMar>
                    <w:top w:w="15" w:type="dxa"/>
                    <w:left w:w="15" w:type="dxa"/>
                    <w:right w:w="15" w:type="dxa"/>
                  </w:tcMar>
                  <w:vAlign w:val="center"/>
                </w:tcPr>
                <w:p>
                  <w:pPr>
                    <w:jc w:val="center"/>
                    <w:textAlignment w:val="top"/>
                    <w:rPr>
                      <w:color w:val="auto"/>
                      <w:szCs w:val="21"/>
                      <w:highlight w:val="none"/>
                    </w:rPr>
                  </w:pPr>
                  <w:r>
                    <w:rPr>
                      <w:rFonts w:hint="eastAsia"/>
                      <w:color w:val="auto"/>
                      <w:szCs w:val="21"/>
                      <w:highlight w:val="none"/>
                    </w:rPr>
                    <w:t>29.6608</w:t>
                  </w:r>
                </w:p>
              </w:tc>
              <w:tc>
                <w:tcPr>
                  <w:tcW w:w="661" w:type="dxa"/>
                  <w:noWrap w:val="0"/>
                  <w:tcMar>
                    <w:top w:w="15" w:type="dxa"/>
                    <w:left w:w="15" w:type="dxa"/>
                    <w:right w:w="15" w:type="dxa"/>
                  </w:tcMar>
                  <w:vAlign w:val="center"/>
                </w:tcPr>
                <w:p>
                  <w:pPr>
                    <w:jc w:val="center"/>
                    <w:textAlignment w:val="top"/>
                    <w:rPr>
                      <w:rFonts w:hint="eastAsia"/>
                      <w:color w:val="auto"/>
                      <w:kern w:val="0"/>
                      <w:szCs w:val="21"/>
                      <w:highlight w:val="none"/>
                      <w:lang w:bidi="ar"/>
                    </w:rPr>
                  </w:pPr>
                  <w:r>
                    <w:rPr>
                      <w:rFonts w:hint="eastAsia"/>
                      <w:color w:val="auto"/>
                      <w:kern w:val="0"/>
                      <w:szCs w:val="21"/>
                      <w:highlight w:val="none"/>
                      <w:lang w:bidi="ar"/>
                    </w:rPr>
                    <w:t>西南</w:t>
                  </w:r>
                </w:p>
              </w:tc>
              <w:tc>
                <w:tcPr>
                  <w:tcW w:w="1138" w:type="dxa"/>
                  <w:noWrap w:val="0"/>
                  <w:tcMar>
                    <w:top w:w="15" w:type="dxa"/>
                    <w:left w:w="15" w:type="dxa"/>
                    <w:right w:w="15" w:type="dxa"/>
                  </w:tcMar>
                  <w:vAlign w:val="center"/>
                </w:tcPr>
                <w:p>
                  <w:pPr>
                    <w:jc w:val="center"/>
                    <w:textAlignment w:val="top"/>
                    <w:rPr>
                      <w:color w:val="auto"/>
                      <w:kern w:val="0"/>
                      <w:szCs w:val="21"/>
                      <w:highlight w:val="none"/>
                      <w:lang w:bidi="ar"/>
                    </w:rPr>
                  </w:pPr>
                  <w:r>
                    <w:rPr>
                      <w:rFonts w:hint="eastAsia"/>
                      <w:color w:val="auto"/>
                      <w:kern w:val="0"/>
                      <w:szCs w:val="21"/>
                      <w:highlight w:val="none"/>
                      <w:lang w:bidi="ar"/>
                    </w:rPr>
                    <w:t>432~537</w:t>
                  </w:r>
                </w:p>
              </w:tc>
              <w:tc>
                <w:tcPr>
                  <w:tcW w:w="848" w:type="dxa"/>
                  <w:noWrap w:val="0"/>
                  <w:tcMar>
                    <w:top w:w="15" w:type="dxa"/>
                    <w:left w:w="15" w:type="dxa"/>
                    <w:right w:w="15" w:type="dxa"/>
                  </w:tcMar>
                  <w:vAlign w:val="center"/>
                </w:tcPr>
                <w:p>
                  <w:pPr>
                    <w:jc w:val="center"/>
                    <w:textAlignment w:val="top"/>
                    <w:rPr>
                      <w:color w:val="auto"/>
                      <w:kern w:val="0"/>
                      <w:szCs w:val="21"/>
                      <w:highlight w:val="none"/>
                      <w:lang w:bidi="ar"/>
                    </w:rPr>
                  </w:pPr>
                  <w:r>
                    <w:rPr>
                      <w:rFonts w:hint="eastAsia"/>
                      <w:color w:val="auto"/>
                      <w:kern w:val="0"/>
                      <w:szCs w:val="21"/>
                      <w:highlight w:val="none"/>
                      <w:lang w:bidi="ar"/>
                    </w:rPr>
                    <w:t>3户</w:t>
                  </w:r>
                </w:p>
              </w:tc>
              <w:tc>
                <w:tcPr>
                  <w:tcW w:w="1653" w:type="dxa"/>
                  <w:vMerge w:val="continue"/>
                  <w:noWrap w:val="0"/>
                  <w:tcMar>
                    <w:top w:w="15" w:type="dxa"/>
                    <w:left w:w="15" w:type="dxa"/>
                    <w:right w:w="15" w:type="dxa"/>
                  </w:tcMar>
                  <w:vAlign w:val="center"/>
                </w:tcPr>
                <w:p>
                  <w:pPr>
                    <w:jc w:val="center"/>
                    <w:textAlignment w:val="top"/>
                    <w:rPr>
                      <w:color w:val="auto"/>
                      <w:szCs w:val="21"/>
                      <w:highlight w:val="none"/>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545" w:type="dxa"/>
                  <w:vMerge w:val="continue"/>
                  <w:noWrap/>
                  <w:tcMar>
                    <w:top w:w="15" w:type="dxa"/>
                    <w:left w:w="15" w:type="dxa"/>
                    <w:right w:w="15" w:type="dxa"/>
                  </w:tcMar>
                  <w:vAlign w:val="center"/>
                </w:tcPr>
                <w:p>
                  <w:pPr>
                    <w:jc w:val="center"/>
                    <w:rPr>
                      <w:color w:val="auto"/>
                      <w:szCs w:val="21"/>
                      <w:highlight w:val="none"/>
                    </w:rPr>
                  </w:pPr>
                </w:p>
              </w:tc>
              <w:tc>
                <w:tcPr>
                  <w:tcW w:w="565" w:type="dxa"/>
                  <w:noWrap w:val="0"/>
                  <w:tcMar>
                    <w:top w:w="15" w:type="dxa"/>
                    <w:left w:w="15" w:type="dxa"/>
                    <w:right w:w="15" w:type="dxa"/>
                  </w:tcMar>
                  <w:vAlign w:val="center"/>
                </w:tcPr>
                <w:p>
                  <w:pPr>
                    <w:jc w:val="center"/>
                    <w:textAlignment w:val="top"/>
                    <w:rPr>
                      <w:rFonts w:hint="eastAsia"/>
                      <w:bCs/>
                      <w:color w:val="auto"/>
                      <w:kern w:val="0"/>
                      <w:szCs w:val="21"/>
                      <w:highlight w:val="none"/>
                      <w:lang w:bidi="ar"/>
                    </w:rPr>
                  </w:pPr>
                  <w:r>
                    <w:rPr>
                      <w:rFonts w:hint="eastAsia"/>
                      <w:bCs/>
                      <w:color w:val="auto"/>
                      <w:kern w:val="0"/>
                      <w:szCs w:val="21"/>
                      <w:highlight w:val="none"/>
                      <w:lang w:bidi="ar"/>
                    </w:rPr>
                    <w:t>9</w:t>
                  </w:r>
                </w:p>
              </w:tc>
              <w:tc>
                <w:tcPr>
                  <w:tcW w:w="1276" w:type="dxa"/>
                  <w:noWrap w:val="0"/>
                  <w:tcMar>
                    <w:top w:w="15" w:type="dxa"/>
                    <w:left w:w="15" w:type="dxa"/>
                    <w:right w:w="15" w:type="dxa"/>
                  </w:tcMar>
                  <w:vAlign w:val="center"/>
                </w:tcPr>
                <w:p>
                  <w:pPr>
                    <w:jc w:val="center"/>
                    <w:textAlignment w:val="top"/>
                    <w:rPr>
                      <w:bCs/>
                      <w:color w:val="auto"/>
                      <w:szCs w:val="21"/>
                      <w:highlight w:val="none"/>
                    </w:rPr>
                  </w:pPr>
                  <w:r>
                    <w:rPr>
                      <w:rFonts w:hint="eastAsia"/>
                      <w:bCs/>
                      <w:color w:val="auto"/>
                      <w:szCs w:val="21"/>
                      <w:highlight w:val="none"/>
                    </w:rPr>
                    <w:t>天空山村</w:t>
                  </w:r>
                  <w:r>
                    <w:rPr>
                      <w:rFonts w:hint="eastAsia"/>
                      <w:bCs/>
                      <w:color w:val="auto"/>
                      <w:kern w:val="0"/>
                      <w:szCs w:val="21"/>
                      <w:highlight w:val="none"/>
                      <w:lang w:bidi="ar"/>
                    </w:rPr>
                    <w:t>散户9</w:t>
                  </w:r>
                </w:p>
              </w:tc>
              <w:tc>
                <w:tcPr>
                  <w:tcW w:w="916" w:type="dxa"/>
                  <w:noWrap w:val="0"/>
                  <w:tcMar>
                    <w:top w:w="15" w:type="dxa"/>
                    <w:left w:w="15" w:type="dxa"/>
                    <w:right w:w="15" w:type="dxa"/>
                  </w:tcMar>
                  <w:vAlign w:val="center"/>
                </w:tcPr>
                <w:p>
                  <w:pPr>
                    <w:jc w:val="center"/>
                    <w:textAlignment w:val="top"/>
                    <w:rPr>
                      <w:color w:val="auto"/>
                      <w:szCs w:val="21"/>
                      <w:highlight w:val="none"/>
                    </w:rPr>
                  </w:pPr>
                  <w:r>
                    <w:rPr>
                      <w:rFonts w:hint="eastAsia"/>
                      <w:color w:val="auto"/>
                      <w:kern w:val="0"/>
                      <w:szCs w:val="21"/>
                      <w:highlight w:val="none"/>
                      <w:lang w:bidi="ar"/>
                    </w:rPr>
                    <w:t>103.6820</w:t>
                  </w:r>
                </w:p>
              </w:tc>
              <w:tc>
                <w:tcPr>
                  <w:tcW w:w="726" w:type="dxa"/>
                  <w:noWrap w:val="0"/>
                  <w:tcMar>
                    <w:top w:w="15" w:type="dxa"/>
                    <w:left w:w="15" w:type="dxa"/>
                    <w:right w:w="15" w:type="dxa"/>
                  </w:tcMar>
                  <w:vAlign w:val="center"/>
                </w:tcPr>
                <w:p>
                  <w:pPr>
                    <w:jc w:val="center"/>
                    <w:textAlignment w:val="top"/>
                    <w:rPr>
                      <w:color w:val="auto"/>
                      <w:szCs w:val="21"/>
                      <w:highlight w:val="none"/>
                    </w:rPr>
                  </w:pPr>
                  <w:r>
                    <w:rPr>
                      <w:rFonts w:hint="eastAsia"/>
                      <w:color w:val="auto"/>
                      <w:kern w:val="0"/>
                      <w:szCs w:val="21"/>
                      <w:highlight w:val="none"/>
                      <w:lang w:bidi="ar"/>
                    </w:rPr>
                    <w:t>29.6601</w:t>
                  </w:r>
                </w:p>
              </w:tc>
              <w:tc>
                <w:tcPr>
                  <w:tcW w:w="661" w:type="dxa"/>
                  <w:noWrap w:val="0"/>
                  <w:tcMar>
                    <w:top w:w="15" w:type="dxa"/>
                    <w:left w:w="15" w:type="dxa"/>
                    <w:right w:w="15" w:type="dxa"/>
                  </w:tcMar>
                  <w:vAlign w:val="center"/>
                </w:tcPr>
                <w:p>
                  <w:pPr>
                    <w:jc w:val="center"/>
                    <w:textAlignment w:val="top"/>
                    <w:rPr>
                      <w:rFonts w:hint="eastAsia"/>
                      <w:color w:val="auto"/>
                      <w:szCs w:val="21"/>
                      <w:highlight w:val="none"/>
                    </w:rPr>
                  </w:pPr>
                  <w:r>
                    <w:rPr>
                      <w:rFonts w:hint="eastAsia"/>
                      <w:color w:val="auto"/>
                      <w:kern w:val="0"/>
                      <w:szCs w:val="21"/>
                      <w:highlight w:val="none"/>
                      <w:lang w:bidi="ar"/>
                    </w:rPr>
                    <w:t>南</w:t>
                  </w:r>
                </w:p>
              </w:tc>
              <w:tc>
                <w:tcPr>
                  <w:tcW w:w="1138" w:type="dxa"/>
                  <w:noWrap w:val="0"/>
                  <w:tcMar>
                    <w:top w:w="15" w:type="dxa"/>
                    <w:left w:w="15" w:type="dxa"/>
                    <w:right w:w="15" w:type="dxa"/>
                  </w:tcMar>
                  <w:vAlign w:val="center"/>
                </w:tcPr>
                <w:p>
                  <w:pPr>
                    <w:jc w:val="center"/>
                    <w:textAlignment w:val="top"/>
                    <w:rPr>
                      <w:color w:val="auto"/>
                      <w:szCs w:val="21"/>
                      <w:highlight w:val="none"/>
                    </w:rPr>
                  </w:pPr>
                  <w:r>
                    <w:rPr>
                      <w:rFonts w:hint="eastAsia"/>
                      <w:color w:val="auto"/>
                      <w:kern w:val="0"/>
                      <w:szCs w:val="21"/>
                      <w:highlight w:val="none"/>
                      <w:lang w:bidi="ar"/>
                    </w:rPr>
                    <w:t>247~320</w:t>
                  </w:r>
                </w:p>
              </w:tc>
              <w:tc>
                <w:tcPr>
                  <w:tcW w:w="848" w:type="dxa"/>
                  <w:noWrap w:val="0"/>
                  <w:tcMar>
                    <w:top w:w="15" w:type="dxa"/>
                    <w:left w:w="15" w:type="dxa"/>
                    <w:right w:w="15" w:type="dxa"/>
                  </w:tcMar>
                  <w:vAlign w:val="center"/>
                </w:tcPr>
                <w:p>
                  <w:pPr>
                    <w:jc w:val="center"/>
                    <w:textAlignment w:val="top"/>
                    <w:rPr>
                      <w:color w:val="auto"/>
                      <w:szCs w:val="21"/>
                      <w:highlight w:val="none"/>
                    </w:rPr>
                  </w:pPr>
                  <w:r>
                    <w:rPr>
                      <w:rFonts w:hint="eastAsia"/>
                      <w:color w:val="auto"/>
                      <w:kern w:val="0"/>
                      <w:szCs w:val="21"/>
                      <w:highlight w:val="none"/>
                      <w:lang w:bidi="ar"/>
                    </w:rPr>
                    <w:t>4</w:t>
                  </w:r>
                  <w:r>
                    <w:rPr>
                      <w:color w:val="auto"/>
                      <w:kern w:val="0"/>
                      <w:szCs w:val="21"/>
                      <w:highlight w:val="none"/>
                      <w:lang w:bidi="ar"/>
                    </w:rPr>
                    <w:t>户</w:t>
                  </w:r>
                </w:p>
              </w:tc>
              <w:tc>
                <w:tcPr>
                  <w:tcW w:w="1653" w:type="dxa"/>
                  <w:vMerge w:val="continue"/>
                  <w:noWrap w:val="0"/>
                  <w:tcMar>
                    <w:top w:w="15" w:type="dxa"/>
                    <w:left w:w="15" w:type="dxa"/>
                    <w:right w:w="15" w:type="dxa"/>
                  </w:tcMar>
                  <w:vAlign w:val="center"/>
                </w:tcPr>
                <w:p>
                  <w:pPr>
                    <w:jc w:val="center"/>
                    <w:textAlignment w:val="top"/>
                    <w:rPr>
                      <w:color w:val="auto"/>
                      <w:szCs w:val="21"/>
                      <w:highlight w:val="none"/>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545" w:type="dxa"/>
                  <w:vMerge w:val="continue"/>
                  <w:noWrap/>
                  <w:tcMar>
                    <w:top w:w="15" w:type="dxa"/>
                    <w:left w:w="15" w:type="dxa"/>
                    <w:right w:w="15" w:type="dxa"/>
                  </w:tcMar>
                  <w:vAlign w:val="center"/>
                </w:tcPr>
                <w:p>
                  <w:pPr>
                    <w:jc w:val="center"/>
                    <w:rPr>
                      <w:color w:val="auto"/>
                      <w:szCs w:val="21"/>
                      <w:highlight w:val="none"/>
                    </w:rPr>
                  </w:pPr>
                </w:p>
              </w:tc>
              <w:tc>
                <w:tcPr>
                  <w:tcW w:w="565" w:type="dxa"/>
                  <w:noWrap w:val="0"/>
                  <w:tcMar>
                    <w:top w:w="15" w:type="dxa"/>
                    <w:left w:w="15" w:type="dxa"/>
                    <w:right w:w="15" w:type="dxa"/>
                  </w:tcMar>
                  <w:vAlign w:val="center"/>
                </w:tcPr>
                <w:p>
                  <w:pPr>
                    <w:jc w:val="center"/>
                    <w:textAlignment w:val="top"/>
                    <w:rPr>
                      <w:bCs/>
                      <w:color w:val="auto"/>
                      <w:kern w:val="0"/>
                      <w:szCs w:val="21"/>
                      <w:highlight w:val="none"/>
                      <w:lang w:bidi="ar"/>
                    </w:rPr>
                  </w:pPr>
                  <w:r>
                    <w:rPr>
                      <w:rFonts w:hint="eastAsia"/>
                      <w:bCs/>
                      <w:color w:val="auto"/>
                      <w:kern w:val="0"/>
                      <w:szCs w:val="21"/>
                      <w:highlight w:val="none"/>
                      <w:lang w:bidi="ar"/>
                    </w:rPr>
                    <w:t>10</w:t>
                  </w:r>
                </w:p>
              </w:tc>
              <w:tc>
                <w:tcPr>
                  <w:tcW w:w="1276" w:type="dxa"/>
                  <w:noWrap w:val="0"/>
                  <w:tcMar>
                    <w:top w:w="15" w:type="dxa"/>
                    <w:left w:w="15" w:type="dxa"/>
                    <w:right w:w="15" w:type="dxa"/>
                  </w:tcMar>
                  <w:vAlign w:val="center"/>
                </w:tcPr>
                <w:p>
                  <w:pPr>
                    <w:jc w:val="center"/>
                    <w:textAlignment w:val="top"/>
                    <w:rPr>
                      <w:bCs/>
                      <w:color w:val="auto"/>
                      <w:kern w:val="0"/>
                      <w:szCs w:val="21"/>
                      <w:highlight w:val="none"/>
                      <w:lang w:bidi="ar"/>
                    </w:rPr>
                  </w:pPr>
                  <w:r>
                    <w:rPr>
                      <w:rFonts w:hint="eastAsia"/>
                      <w:bCs/>
                      <w:color w:val="auto"/>
                      <w:szCs w:val="21"/>
                      <w:highlight w:val="none"/>
                    </w:rPr>
                    <w:t>天空山村</w:t>
                  </w:r>
                  <w:r>
                    <w:rPr>
                      <w:rFonts w:hint="eastAsia"/>
                      <w:bCs/>
                      <w:color w:val="auto"/>
                      <w:kern w:val="0"/>
                      <w:szCs w:val="21"/>
                      <w:highlight w:val="none"/>
                      <w:lang w:bidi="ar"/>
                    </w:rPr>
                    <w:t>散户10</w:t>
                  </w:r>
                </w:p>
              </w:tc>
              <w:tc>
                <w:tcPr>
                  <w:tcW w:w="916" w:type="dxa"/>
                  <w:noWrap w:val="0"/>
                  <w:tcMar>
                    <w:top w:w="15" w:type="dxa"/>
                    <w:left w:w="15" w:type="dxa"/>
                    <w:right w:w="15" w:type="dxa"/>
                  </w:tcMar>
                  <w:vAlign w:val="center"/>
                </w:tcPr>
                <w:p>
                  <w:pPr>
                    <w:jc w:val="center"/>
                    <w:textAlignment w:val="top"/>
                    <w:rPr>
                      <w:color w:val="auto"/>
                      <w:kern w:val="0"/>
                      <w:szCs w:val="21"/>
                      <w:highlight w:val="none"/>
                      <w:lang w:bidi="ar"/>
                    </w:rPr>
                  </w:pPr>
                  <w:r>
                    <w:rPr>
                      <w:rFonts w:hint="eastAsia"/>
                      <w:color w:val="auto"/>
                      <w:kern w:val="0"/>
                      <w:szCs w:val="21"/>
                      <w:highlight w:val="none"/>
                      <w:lang w:bidi="ar"/>
                    </w:rPr>
                    <w:t>103.6822</w:t>
                  </w:r>
                </w:p>
              </w:tc>
              <w:tc>
                <w:tcPr>
                  <w:tcW w:w="726" w:type="dxa"/>
                  <w:noWrap w:val="0"/>
                  <w:tcMar>
                    <w:top w:w="15" w:type="dxa"/>
                    <w:left w:w="15" w:type="dxa"/>
                    <w:right w:w="15" w:type="dxa"/>
                  </w:tcMar>
                  <w:vAlign w:val="center"/>
                </w:tcPr>
                <w:p>
                  <w:pPr>
                    <w:jc w:val="center"/>
                    <w:textAlignment w:val="top"/>
                    <w:rPr>
                      <w:color w:val="auto"/>
                      <w:kern w:val="0"/>
                      <w:szCs w:val="21"/>
                      <w:highlight w:val="none"/>
                      <w:lang w:bidi="ar"/>
                    </w:rPr>
                  </w:pPr>
                  <w:r>
                    <w:rPr>
                      <w:rFonts w:hint="eastAsia"/>
                      <w:color w:val="auto"/>
                      <w:kern w:val="0"/>
                      <w:szCs w:val="21"/>
                      <w:highlight w:val="none"/>
                      <w:lang w:bidi="ar"/>
                    </w:rPr>
                    <w:t>29.6588</w:t>
                  </w:r>
                </w:p>
              </w:tc>
              <w:tc>
                <w:tcPr>
                  <w:tcW w:w="661" w:type="dxa"/>
                  <w:noWrap w:val="0"/>
                  <w:tcMar>
                    <w:top w:w="15" w:type="dxa"/>
                    <w:left w:w="15" w:type="dxa"/>
                    <w:right w:w="15" w:type="dxa"/>
                  </w:tcMar>
                  <w:vAlign w:val="center"/>
                </w:tcPr>
                <w:p>
                  <w:pPr>
                    <w:jc w:val="center"/>
                    <w:textAlignment w:val="top"/>
                    <w:rPr>
                      <w:rFonts w:hint="eastAsia"/>
                      <w:color w:val="auto"/>
                      <w:kern w:val="0"/>
                      <w:szCs w:val="21"/>
                      <w:highlight w:val="none"/>
                      <w:lang w:bidi="ar"/>
                    </w:rPr>
                  </w:pPr>
                  <w:r>
                    <w:rPr>
                      <w:rFonts w:hint="eastAsia"/>
                      <w:color w:val="auto"/>
                      <w:kern w:val="0"/>
                      <w:szCs w:val="21"/>
                      <w:highlight w:val="none"/>
                      <w:lang w:bidi="ar"/>
                    </w:rPr>
                    <w:t>南</w:t>
                  </w:r>
                </w:p>
              </w:tc>
              <w:tc>
                <w:tcPr>
                  <w:tcW w:w="1138" w:type="dxa"/>
                  <w:noWrap w:val="0"/>
                  <w:tcMar>
                    <w:top w:w="15" w:type="dxa"/>
                    <w:left w:w="15" w:type="dxa"/>
                    <w:right w:w="15" w:type="dxa"/>
                  </w:tcMar>
                  <w:vAlign w:val="center"/>
                </w:tcPr>
                <w:p>
                  <w:pPr>
                    <w:jc w:val="center"/>
                    <w:textAlignment w:val="top"/>
                    <w:rPr>
                      <w:color w:val="auto"/>
                      <w:kern w:val="0"/>
                      <w:szCs w:val="21"/>
                      <w:highlight w:val="none"/>
                      <w:lang w:bidi="ar"/>
                    </w:rPr>
                  </w:pPr>
                  <w:r>
                    <w:rPr>
                      <w:rFonts w:hint="eastAsia"/>
                      <w:color w:val="auto"/>
                      <w:kern w:val="0"/>
                      <w:szCs w:val="21"/>
                      <w:highlight w:val="none"/>
                      <w:lang w:bidi="ar"/>
                    </w:rPr>
                    <w:t>376~475</w:t>
                  </w:r>
                </w:p>
              </w:tc>
              <w:tc>
                <w:tcPr>
                  <w:tcW w:w="848" w:type="dxa"/>
                  <w:noWrap w:val="0"/>
                  <w:tcMar>
                    <w:top w:w="15" w:type="dxa"/>
                    <w:left w:w="15" w:type="dxa"/>
                    <w:right w:w="15" w:type="dxa"/>
                  </w:tcMar>
                  <w:vAlign w:val="center"/>
                </w:tcPr>
                <w:p>
                  <w:pPr>
                    <w:jc w:val="center"/>
                    <w:textAlignment w:val="top"/>
                    <w:rPr>
                      <w:color w:val="auto"/>
                      <w:kern w:val="0"/>
                      <w:szCs w:val="21"/>
                      <w:highlight w:val="none"/>
                      <w:lang w:bidi="ar"/>
                    </w:rPr>
                  </w:pPr>
                  <w:r>
                    <w:rPr>
                      <w:rFonts w:hint="eastAsia"/>
                      <w:color w:val="auto"/>
                      <w:kern w:val="0"/>
                      <w:szCs w:val="21"/>
                      <w:highlight w:val="none"/>
                      <w:lang w:bidi="ar"/>
                    </w:rPr>
                    <w:t>4户</w:t>
                  </w:r>
                </w:p>
              </w:tc>
              <w:tc>
                <w:tcPr>
                  <w:tcW w:w="1653" w:type="dxa"/>
                  <w:vMerge w:val="continue"/>
                  <w:noWrap w:val="0"/>
                  <w:tcMar>
                    <w:top w:w="15" w:type="dxa"/>
                    <w:left w:w="15" w:type="dxa"/>
                    <w:right w:w="15" w:type="dxa"/>
                  </w:tcMar>
                  <w:vAlign w:val="center"/>
                </w:tcPr>
                <w:p>
                  <w:pPr>
                    <w:jc w:val="center"/>
                    <w:textAlignment w:val="top"/>
                    <w:rPr>
                      <w:color w:val="auto"/>
                      <w:szCs w:val="21"/>
                      <w:highlight w:val="none"/>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545" w:type="dxa"/>
                  <w:vMerge w:val="continue"/>
                  <w:noWrap w:val="0"/>
                  <w:tcMar>
                    <w:top w:w="15" w:type="dxa"/>
                    <w:left w:w="15" w:type="dxa"/>
                    <w:right w:w="15" w:type="dxa"/>
                  </w:tcMar>
                  <w:vAlign w:val="center"/>
                </w:tcPr>
                <w:p>
                  <w:pPr>
                    <w:jc w:val="center"/>
                    <w:textAlignment w:val="top"/>
                    <w:rPr>
                      <w:color w:val="auto"/>
                      <w:kern w:val="0"/>
                      <w:szCs w:val="21"/>
                      <w:highlight w:val="none"/>
                      <w:lang w:bidi="ar"/>
                    </w:rPr>
                  </w:pPr>
                </w:p>
              </w:tc>
              <w:tc>
                <w:tcPr>
                  <w:tcW w:w="565" w:type="dxa"/>
                  <w:noWrap w:val="0"/>
                  <w:tcMar>
                    <w:top w:w="15" w:type="dxa"/>
                    <w:left w:w="15" w:type="dxa"/>
                    <w:right w:w="15" w:type="dxa"/>
                  </w:tcMar>
                  <w:vAlign w:val="center"/>
                </w:tcPr>
                <w:p>
                  <w:pPr>
                    <w:jc w:val="center"/>
                    <w:textAlignment w:val="top"/>
                    <w:rPr>
                      <w:bCs/>
                      <w:color w:val="auto"/>
                      <w:kern w:val="0"/>
                      <w:szCs w:val="21"/>
                      <w:highlight w:val="none"/>
                      <w:lang w:bidi="ar"/>
                    </w:rPr>
                  </w:pPr>
                  <w:r>
                    <w:rPr>
                      <w:rFonts w:hint="eastAsia"/>
                      <w:bCs/>
                      <w:color w:val="auto"/>
                      <w:kern w:val="0"/>
                      <w:szCs w:val="21"/>
                      <w:highlight w:val="none"/>
                      <w:lang w:bidi="ar"/>
                    </w:rPr>
                    <w:t>11</w:t>
                  </w:r>
                </w:p>
              </w:tc>
              <w:tc>
                <w:tcPr>
                  <w:tcW w:w="1276" w:type="dxa"/>
                  <w:noWrap w:val="0"/>
                  <w:tcMar>
                    <w:top w:w="15" w:type="dxa"/>
                    <w:left w:w="15" w:type="dxa"/>
                    <w:right w:w="15" w:type="dxa"/>
                  </w:tcMar>
                  <w:vAlign w:val="center"/>
                </w:tcPr>
                <w:p>
                  <w:pPr>
                    <w:jc w:val="center"/>
                    <w:textAlignment w:val="top"/>
                    <w:rPr>
                      <w:bCs/>
                      <w:color w:val="auto"/>
                      <w:kern w:val="0"/>
                      <w:szCs w:val="21"/>
                      <w:highlight w:val="none"/>
                      <w:lang w:bidi="ar"/>
                    </w:rPr>
                  </w:pPr>
                  <w:r>
                    <w:rPr>
                      <w:rFonts w:hint="eastAsia"/>
                      <w:bCs/>
                      <w:color w:val="auto"/>
                      <w:szCs w:val="21"/>
                      <w:highlight w:val="none"/>
                    </w:rPr>
                    <w:t>天空山村</w:t>
                  </w:r>
                  <w:r>
                    <w:rPr>
                      <w:rFonts w:hint="eastAsia"/>
                      <w:bCs/>
                      <w:color w:val="auto"/>
                      <w:kern w:val="0"/>
                      <w:szCs w:val="21"/>
                      <w:highlight w:val="none"/>
                      <w:lang w:bidi="ar"/>
                    </w:rPr>
                    <w:t>散户11</w:t>
                  </w:r>
                </w:p>
              </w:tc>
              <w:tc>
                <w:tcPr>
                  <w:tcW w:w="916" w:type="dxa"/>
                  <w:noWrap w:val="0"/>
                  <w:tcMar>
                    <w:top w:w="15" w:type="dxa"/>
                    <w:left w:w="15" w:type="dxa"/>
                    <w:right w:w="15" w:type="dxa"/>
                  </w:tcMar>
                  <w:vAlign w:val="center"/>
                </w:tcPr>
                <w:p>
                  <w:pPr>
                    <w:jc w:val="center"/>
                    <w:textAlignment w:val="top"/>
                    <w:rPr>
                      <w:color w:val="auto"/>
                      <w:kern w:val="0"/>
                      <w:szCs w:val="21"/>
                      <w:highlight w:val="none"/>
                      <w:lang w:bidi="ar"/>
                    </w:rPr>
                  </w:pPr>
                  <w:r>
                    <w:rPr>
                      <w:rFonts w:hint="eastAsia"/>
                      <w:color w:val="auto"/>
                      <w:kern w:val="0"/>
                      <w:szCs w:val="21"/>
                      <w:highlight w:val="none"/>
                      <w:lang w:bidi="ar"/>
                    </w:rPr>
                    <w:t>103.6868</w:t>
                  </w:r>
                </w:p>
              </w:tc>
              <w:tc>
                <w:tcPr>
                  <w:tcW w:w="726" w:type="dxa"/>
                  <w:noWrap w:val="0"/>
                  <w:tcMar>
                    <w:top w:w="15" w:type="dxa"/>
                    <w:left w:w="15" w:type="dxa"/>
                    <w:right w:w="15" w:type="dxa"/>
                  </w:tcMar>
                  <w:vAlign w:val="center"/>
                </w:tcPr>
                <w:p>
                  <w:pPr>
                    <w:jc w:val="center"/>
                    <w:textAlignment w:val="top"/>
                    <w:rPr>
                      <w:color w:val="auto"/>
                      <w:kern w:val="0"/>
                      <w:szCs w:val="21"/>
                      <w:highlight w:val="none"/>
                      <w:lang w:bidi="ar"/>
                    </w:rPr>
                  </w:pPr>
                  <w:r>
                    <w:rPr>
                      <w:rFonts w:hint="eastAsia"/>
                      <w:color w:val="auto"/>
                      <w:kern w:val="0"/>
                      <w:szCs w:val="21"/>
                      <w:highlight w:val="none"/>
                      <w:lang w:bidi="ar"/>
                    </w:rPr>
                    <w:t>29.6642</w:t>
                  </w:r>
                </w:p>
              </w:tc>
              <w:tc>
                <w:tcPr>
                  <w:tcW w:w="661" w:type="dxa"/>
                  <w:noWrap w:val="0"/>
                  <w:tcMar>
                    <w:top w:w="15" w:type="dxa"/>
                    <w:left w:w="15" w:type="dxa"/>
                    <w:right w:w="15" w:type="dxa"/>
                  </w:tcMar>
                  <w:vAlign w:val="center"/>
                </w:tcPr>
                <w:p>
                  <w:pPr>
                    <w:jc w:val="center"/>
                    <w:textAlignment w:val="top"/>
                    <w:rPr>
                      <w:rFonts w:hint="eastAsia"/>
                      <w:color w:val="auto"/>
                      <w:kern w:val="0"/>
                      <w:szCs w:val="21"/>
                      <w:highlight w:val="none"/>
                      <w:lang w:bidi="ar"/>
                    </w:rPr>
                  </w:pPr>
                  <w:r>
                    <w:rPr>
                      <w:rFonts w:hint="eastAsia"/>
                      <w:color w:val="auto"/>
                      <w:kern w:val="0"/>
                      <w:szCs w:val="21"/>
                      <w:highlight w:val="none"/>
                      <w:lang w:bidi="ar"/>
                    </w:rPr>
                    <w:t>东</w:t>
                  </w:r>
                </w:p>
              </w:tc>
              <w:tc>
                <w:tcPr>
                  <w:tcW w:w="1138" w:type="dxa"/>
                  <w:noWrap w:val="0"/>
                  <w:tcMar>
                    <w:top w:w="15" w:type="dxa"/>
                    <w:left w:w="15" w:type="dxa"/>
                    <w:right w:w="15" w:type="dxa"/>
                  </w:tcMar>
                  <w:vAlign w:val="center"/>
                </w:tcPr>
                <w:p>
                  <w:pPr>
                    <w:jc w:val="center"/>
                    <w:textAlignment w:val="top"/>
                    <w:rPr>
                      <w:color w:val="auto"/>
                      <w:kern w:val="0"/>
                      <w:szCs w:val="21"/>
                      <w:highlight w:val="none"/>
                      <w:lang w:bidi="ar"/>
                    </w:rPr>
                  </w:pPr>
                  <w:r>
                    <w:rPr>
                      <w:rFonts w:hint="eastAsia"/>
                      <w:color w:val="auto"/>
                      <w:kern w:val="0"/>
                      <w:szCs w:val="21"/>
                      <w:highlight w:val="none"/>
                      <w:lang w:bidi="ar"/>
                    </w:rPr>
                    <w:t>271~366</w:t>
                  </w:r>
                </w:p>
              </w:tc>
              <w:tc>
                <w:tcPr>
                  <w:tcW w:w="848" w:type="dxa"/>
                  <w:noWrap w:val="0"/>
                  <w:tcMar>
                    <w:top w:w="15" w:type="dxa"/>
                    <w:left w:w="15" w:type="dxa"/>
                    <w:right w:w="15" w:type="dxa"/>
                  </w:tcMar>
                  <w:vAlign w:val="center"/>
                </w:tcPr>
                <w:p>
                  <w:pPr>
                    <w:jc w:val="center"/>
                    <w:textAlignment w:val="top"/>
                    <w:rPr>
                      <w:color w:val="auto"/>
                      <w:kern w:val="0"/>
                      <w:szCs w:val="21"/>
                      <w:highlight w:val="none"/>
                      <w:lang w:bidi="ar"/>
                    </w:rPr>
                  </w:pPr>
                  <w:r>
                    <w:rPr>
                      <w:rFonts w:hint="eastAsia"/>
                      <w:color w:val="auto"/>
                      <w:kern w:val="0"/>
                      <w:szCs w:val="21"/>
                      <w:highlight w:val="none"/>
                      <w:lang w:bidi="ar"/>
                    </w:rPr>
                    <w:t>8户</w:t>
                  </w:r>
                </w:p>
              </w:tc>
              <w:tc>
                <w:tcPr>
                  <w:tcW w:w="1653" w:type="dxa"/>
                  <w:vMerge w:val="continue"/>
                  <w:noWrap w:val="0"/>
                  <w:tcMar>
                    <w:top w:w="15" w:type="dxa"/>
                    <w:left w:w="15" w:type="dxa"/>
                    <w:right w:w="15" w:type="dxa"/>
                  </w:tcMar>
                  <w:vAlign w:val="center"/>
                </w:tcPr>
                <w:p>
                  <w:pPr>
                    <w:jc w:val="center"/>
                    <w:textAlignment w:val="top"/>
                    <w:rPr>
                      <w:color w:val="auto"/>
                      <w:kern w:val="0"/>
                      <w:szCs w:val="21"/>
                      <w:highlight w:val="none"/>
                      <w:lang w:bidi="ar"/>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545" w:type="dxa"/>
                  <w:vMerge w:val="continue"/>
                  <w:noWrap w:val="0"/>
                  <w:tcMar>
                    <w:top w:w="15" w:type="dxa"/>
                    <w:left w:w="15" w:type="dxa"/>
                    <w:right w:w="15" w:type="dxa"/>
                  </w:tcMar>
                  <w:vAlign w:val="center"/>
                </w:tcPr>
                <w:p>
                  <w:pPr>
                    <w:jc w:val="center"/>
                    <w:textAlignment w:val="top"/>
                    <w:rPr>
                      <w:color w:val="auto"/>
                      <w:kern w:val="0"/>
                      <w:szCs w:val="21"/>
                      <w:highlight w:val="none"/>
                      <w:lang w:bidi="ar"/>
                    </w:rPr>
                  </w:pPr>
                </w:p>
              </w:tc>
              <w:tc>
                <w:tcPr>
                  <w:tcW w:w="565" w:type="dxa"/>
                  <w:noWrap w:val="0"/>
                  <w:tcMar>
                    <w:top w:w="15" w:type="dxa"/>
                    <w:left w:w="15" w:type="dxa"/>
                    <w:right w:w="15" w:type="dxa"/>
                  </w:tcMar>
                  <w:vAlign w:val="center"/>
                </w:tcPr>
                <w:p>
                  <w:pPr>
                    <w:jc w:val="center"/>
                    <w:textAlignment w:val="top"/>
                    <w:rPr>
                      <w:bCs/>
                      <w:color w:val="auto"/>
                      <w:szCs w:val="21"/>
                      <w:highlight w:val="none"/>
                    </w:rPr>
                  </w:pPr>
                  <w:r>
                    <w:rPr>
                      <w:rFonts w:hint="eastAsia"/>
                      <w:bCs/>
                      <w:color w:val="auto"/>
                      <w:szCs w:val="21"/>
                      <w:highlight w:val="none"/>
                    </w:rPr>
                    <w:t>12</w:t>
                  </w:r>
                </w:p>
              </w:tc>
              <w:tc>
                <w:tcPr>
                  <w:tcW w:w="1276" w:type="dxa"/>
                  <w:noWrap w:val="0"/>
                  <w:tcMar>
                    <w:top w:w="15" w:type="dxa"/>
                    <w:left w:w="15" w:type="dxa"/>
                    <w:right w:w="15" w:type="dxa"/>
                  </w:tcMar>
                  <w:vAlign w:val="center"/>
                </w:tcPr>
                <w:p>
                  <w:pPr>
                    <w:jc w:val="center"/>
                    <w:textAlignment w:val="top"/>
                    <w:rPr>
                      <w:rFonts w:hint="eastAsia"/>
                      <w:color w:val="auto"/>
                      <w:szCs w:val="21"/>
                      <w:highlight w:val="none"/>
                    </w:rPr>
                  </w:pPr>
                  <w:r>
                    <w:rPr>
                      <w:rFonts w:hint="eastAsia"/>
                      <w:bCs/>
                      <w:color w:val="auto"/>
                      <w:szCs w:val="21"/>
                      <w:highlight w:val="none"/>
                    </w:rPr>
                    <w:t>唐湾</w:t>
                  </w:r>
                  <w:r>
                    <w:rPr>
                      <w:rFonts w:hint="eastAsia"/>
                      <w:bCs/>
                      <w:color w:val="auto"/>
                      <w:kern w:val="0"/>
                      <w:szCs w:val="21"/>
                      <w:highlight w:val="none"/>
                      <w:lang w:bidi="ar"/>
                    </w:rPr>
                    <w:t>散户12</w:t>
                  </w:r>
                </w:p>
              </w:tc>
              <w:tc>
                <w:tcPr>
                  <w:tcW w:w="916" w:type="dxa"/>
                  <w:noWrap w:val="0"/>
                  <w:tcMar>
                    <w:top w:w="15" w:type="dxa"/>
                    <w:left w:w="15" w:type="dxa"/>
                    <w:right w:w="15" w:type="dxa"/>
                  </w:tcMar>
                  <w:vAlign w:val="center"/>
                </w:tcPr>
                <w:p>
                  <w:pPr>
                    <w:jc w:val="center"/>
                    <w:textAlignment w:val="top"/>
                    <w:rPr>
                      <w:color w:val="auto"/>
                      <w:szCs w:val="21"/>
                      <w:highlight w:val="none"/>
                    </w:rPr>
                  </w:pPr>
                  <w:r>
                    <w:rPr>
                      <w:rFonts w:hint="eastAsia"/>
                      <w:color w:val="auto"/>
                      <w:szCs w:val="21"/>
                      <w:highlight w:val="none"/>
                    </w:rPr>
                    <w:t>103.6823</w:t>
                  </w:r>
                </w:p>
              </w:tc>
              <w:tc>
                <w:tcPr>
                  <w:tcW w:w="726" w:type="dxa"/>
                  <w:noWrap w:val="0"/>
                  <w:tcMar>
                    <w:top w:w="15" w:type="dxa"/>
                    <w:left w:w="15" w:type="dxa"/>
                    <w:right w:w="15" w:type="dxa"/>
                  </w:tcMar>
                  <w:vAlign w:val="center"/>
                </w:tcPr>
                <w:p>
                  <w:pPr>
                    <w:jc w:val="center"/>
                    <w:textAlignment w:val="top"/>
                    <w:rPr>
                      <w:color w:val="auto"/>
                      <w:szCs w:val="21"/>
                      <w:highlight w:val="none"/>
                    </w:rPr>
                  </w:pPr>
                  <w:r>
                    <w:rPr>
                      <w:rFonts w:hint="eastAsia"/>
                      <w:color w:val="auto"/>
                      <w:szCs w:val="21"/>
                      <w:highlight w:val="none"/>
                    </w:rPr>
                    <w:t>29.6586</w:t>
                  </w:r>
                </w:p>
              </w:tc>
              <w:tc>
                <w:tcPr>
                  <w:tcW w:w="661" w:type="dxa"/>
                  <w:noWrap w:val="0"/>
                  <w:tcMar>
                    <w:top w:w="15" w:type="dxa"/>
                    <w:left w:w="15" w:type="dxa"/>
                    <w:right w:w="15" w:type="dxa"/>
                  </w:tcMar>
                  <w:vAlign w:val="center"/>
                </w:tcPr>
                <w:p>
                  <w:pPr>
                    <w:jc w:val="center"/>
                    <w:textAlignment w:val="top"/>
                    <w:rPr>
                      <w:rFonts w:hint="eastAsia"/>
                      <w:color w:val="auto"/>
                      <w:szCs w:val="21"/>
                      <w:highlight w:val="none"/>
                    </w:rPr>
                  </w:pPr>
                  <w:r>
                    <w:rPr>
                      <w:rFonts w:hint="eastAsia"/>
                      <w:color w:val="auto"/>
                      <w:szCs w:val="21"/>
                      <w:highlight w:val="none"/>
                    </w:rPr>
                    <w:t>南</w:t>
                  </w:r>
                </w:p>
              </w:tc>
              <w:tc>
                <w:tcPr>
                  <w:tcW w:w="1138" w:type="dxa"/>
                  <w:noWrap w:val="0"/>
                  <w:tcMar>
                    <w:top w:w="15" w:type="dxa"/>
                    <w:left w:w="15" w:type="dxa"/>
                    <w:right w:w="15" w:type="dxa"/>
                  </w:tcMar>
                  <w:vAlign w:val="center"/>
                </w:tcPr>
                <w:p>
                  <w:pPr>
                    <w:jc w:val="center"/>
                    <w:textAlignment w:val="top"/>
                    <w:rPr>
                      <w:color w:val="auto"/>
                      <w:szCs w:val="21"/>
                      <w:highlight w:val="none"/>
                    </w:rPr>
                  </w:pPr>
                  <w:r>
                    <w:rPr>
                      <w:rFonts w:hint="eastAsia"/>
                      <w:color w:val="auto"/>
                      <w:szCs w:val="21"/>
                      <w:highlight w:val="none"/>
                    </w:rPr>
                    <w:t>396~481</w:t>
                  </w:r>
                </w:p>
              </w:tc>
              <w:tc>
                <w:tcPr>
                  <w:tcW w:w="848" w:type="dxa"/>
                  <w:noWrap w:val="0"/>
                  <w:tcMar>
                    <w:top w:w="15" w:type="dxa"/>
                    <w:left w:w="15" w:type="dxa"/>
                    <w:right w:w="15" w:type="dxa"/>
                  </w:tcMar>
                  <w:vAlign w:val="center"/>
                </w:tcPr>
                <w:p>
                  <w:pPr>
                    <w:jc w:val="center"/>
                    <w:textAlignment w:val="top"/>
                    <w:rPr>
                      <w:bCs/>
                      <w:color w:val="auto"/>
                      <w:szCs w:val="21"/>
                      <w:highlight w:val="none"/>
                    </w:rPr>
                  </w:pPr>
                  <w:r>
                    <w:rPr>
                      <w:rFonts w:hint="eastAsia"/>
                      <w:bCs/>
                      <w:color w:val="auto"/>
                      <w:szCs w:val="21"/>
                      <w:highlight w:val="none"/>
                    </w:rPr>
                    <w:t>4户</w:t>
                  </w:r>
                </w:p>
              </w:tc>
              <w:tc>
                <w:tcPr>
                  <w:tcW w:w="1653" w:type="dxa"/>
                  <w:vMerge w:val="continue"/>
                  <w:noWrap w:val="0"/>
                  <w:tcMar>
                    <w:top w:w="15" w:type="dxa"/>
                    <w:left w:w="15" w:type="dxa"/>
                    <w:right w:w="15" w:type="dxa"/>
                  </w:tcMar>
                  <w:vAlign w:val="center"/>
                </w:tcPr>
                <w:p>
                  <w:pPr>
                    <w:jc w:val="center"/>
                    <w:textAlignment w:val="top"/>
                    <w:rPr>
                      <w:color w:val="auto"/>
                      <w:kern w:val="0"/>
                      <w:szCs w:val="21"/>
                      <w:highlight w:val="none"/>
                      <w:lang w:bidi="ar"/>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545" w:type="dxa"/>
                  <w:vMerge w:val="continue"/>
                  <w:noWrap w:val="0"/>
                  <w:tcMar>
                    <w:top w:w="15" w:type="dxa"/>
                    <w:left w:w="15" w:type="dxa"/>
                    <w:right w:w="15" w:type="dxa"/>
                  </w:tcMar>
                  <w:vAlign w:val="center"/>
                </w:tcPr>
                <w:p>
                  <w:pPr>
                    <w:jc w:val="center"/>
                    <w:textAlignment w:val="top"/>
                    <w:rPr>
                      <w:color w:val="auto"/>
                      <w:kern w:val="0"/>
                      <w:szCs w:val="21"/>
                      <w:highlight w:val="none"/>
                      <w:lang w:bidi="ar"/>
                    </w:rPr>
                  </w:pPr>
                </w:p>
              </w:tc>
              <w:tc>
                <w:tcPr>
                  <w:tcW w:w="565" w:type="dxa"/>
                  <w:noWrap w:val="0"/>
                  <w:tcMar>
                    <w:top w:w="15" w:type="dxa"/>
                    <w:left w:w="15" w:type="dxa"/>
                    <w:right w:w="15" w:type="dxa"/>
                  </w:tcMar>
                  <w:vAlign w:val="center"/>
                </w:tcPr>
                <w:p>
                  <w:pPr>
                    <w:jc w:val="center"/>
                    <w:textAlignment w:val="top"/>
                    <w:rPr>
                      <w:bCs/>
                      <w:color w:val="auto"/>
                      <w:szCs w:val="21"/>
                      <w:highlight w:val="none"/>
                    </w:rPr>
                  </w:pPr>
                  <w:r>
                    <w:rPr>
                      <w:rFonts w:hint="eastAsia"/>
                      <w:bCs/>
                      <w:color w:val="auto"/>
                      <w:szCs w:val="21"/>
                      <w:highlight w:val="none"/>
                    </w:rPr>
                    <w:t>13</w:t>
                  </w:r>
                </w:p>
              </w:tc>
              <w:tc>
                <w:tcPr>
                  <w:tcW w:w="1276" w:type="dxa"/>
                  <w:noWrap w:val="0"/>
                  <w:tcMar>
                    <w:top w:w="15" w:type="dxa"/>
                    <w:left w:w="15" w:type="dxa"/>
                    <w:right w:w="15" w:type="dxa"/>
                  </w:tcMar>
                  <w:vAlign w:val="center"/>
                </w:tcPr>
                <w:p>
                  <w:pPr>
                    <w:jc w:val="center"/>
                    <w:textAlignment w:val="top"/>
                    <w:rPr>
                      <w:color w:val="auto"/>
                      <w:szCs w:val="21"/>
                      <w:highlight w:val="none"/>
                    </w:rPr>
                  </w:pPr>
                  <w:r>
                    <w:rPr>
                      <w:rFonts w:hint="eastAsia"/>
                      <w:color w:val="auto"/>
                      <w:szCs w:val="21"/>
                      <w:highlight w:val="none"/>
                    </w:rPr>
                    <w:t>界牌村散户13</w:t>
                  </w:r>
                </w:p>
              </w:tc>
              <w:tc>
                <w:tcPr>
                  <w:tcW w:w="916" w:type="dxa"/>
                  <w:noWrap w:val="0"/>
                  <w:tcMar>
                    <w:top w:w="15" w:type="dxa"/>
                    <w:left w:w="15" w:type="dxa"/>
                    <w:right w:w="15" w:type="dxa"/>
                  </w:tcMar>
                  <w:vAlign w:val="center"/>
                </w:tcPr>
                <w:p>
                  <w:pPr>
                    <w:jc w:val="center"/>
                    <w:textAlignment w:val="top"/>
                    <w:rPr>
                      <w:color w:val="auto"/>
                      <w:szCs w:val="21"/>
                      <w:highlight w:val="none"/>
                    </w:rPr>
                  </w:pPr>
                  <w:r>
                    <w:rPr>
                      <w:rFonts w:hint="eastAsia"/>
                      <w:color w:val="auto"/>
                      <w:szCs w:val="21"/>
                      <w:highlight w:val="none"/>
                    </w:rPr>
                    <w:t>103.6813</w:t>
                  </w:r>
                </w:p>
              </w:tc>
              <w:tc>
                <w:tcPr>
                  <w:tcW w:w="726" w:type="dxa"/>
                  <w:noWrap w:val="0"/>
                  <w:tcMar>
                    <w:top w:w="15" w:type="dxa"/>
                    <w:left w:w="15" w:type="dxa"/>
                    <w:right w:w="15" w:type="dxa"/>
                  </w:tcMar>
                  <w:vAlign w:val="center"/>
                </w:tcPr>
                <w:p>
                  <w:pPr>
                    <w:jc w:val="center"/>
                    <w:textAlignment w:val="top"/>
                    <w:rPr>
                      <w:color w:val="auto"/>
                      <w:szCs w:val="21"/>
                      <w:highlight w:val="none"/>
                    </w:rPr>
                  </w:pPr>
                  <w:r>
                    <w:rPr>
                      <w:rFonts w:hint="eastAsia"/>
                      <w:color w:val="auto"/>
                      <w:szCs w:val="21"/>
                      <w:highlight w:val="none"/>
                    </w:rPr>
                    <w:t>29.6676</w:t>
                  </w:r>
                </w:p>
              </w:tc>
              <w:tc>
                <w:tcPr>
                  <w:tcW w:w="661" w:type="dxa"/>
                  <w:noWrap w:val="0"/>
                  <w:tcMar>
                    <w:top w:w="15" w:type="dxa"/>
                    <w:left w:w="15" w:type="dxa"/>
                    <w:right w:w="15" w:type="dxa"/>
                  </w:tcMar>
                  <w:vAlign w:val="center"/>
                </w:tcPr>
                <w:p>
                  <w:pPr>
                    <w:jc w:val="center"/>
                    <w:textAlignment w:val="top"/>
                    <w:rPr>
                      <w:rFonts w:hint="eastAsia"/>
                      <w:color w:val="auto"/>
                      <w:szCs w:val="21"/>
                      <w:highlight w:val="none"/>
                    </w:rPr>
                  </w:pPr>
                  <w:r>
                    <w:rPr>
                      <w:rFonts w:hint="eastAsia"/>
                      <w:color w:val="auto"/>
                      <w:szCs w:val="21"/>
                      <w:highlight w:val="none"/>
                    </w:rPr>
                    <w:t>北</w:t>
                  </w:r>
                </w:p>
              </w:tc>
              <w:tc>
                <w:tcPr>
                  <w:tcW w:w="1138" w:type="dxa"/>
                  <w:noWrap w:val="0"/>
                  <w:tcMar>
                    <w:top w:w="15" w:type="dxa"/>
                    <w:left w:w="15" w:type="dxa"/>
                    <w:right w:w="15" w:type="dxa"/>
                  </w:tcMar>
                  <w:vAlign w:val="center"/>
                </w:tcPr>
                <w:p>
                  <w:pPr>
                    <w:jc w:val="center"/>
                    <w:textAlignment w:val="top"/>
                    <w:rPr>
                      <w:color w:val="auto"/>
                      <w:szCs w:val="21"/>
                      <w:highlight w:val="none"/>
                    </w:rPr>
                  </w:pPr>
                  <w:r>
                    <w:rPr>
                      <w:rFonts w:hint="eastAsia"/>
                      <w:color w:val="auto"/>
                      <w:szCs w:val="21"/>
                      <w:highlight w:val="none"/>
                    </w:rPr>
                    <w:t>465~536</w:t>
                  </w:r>
                </w:p>
              </w:tc>
              <w:tc>
                <w:tcPr>
                  <w:tcW w:w="848" w:type="dxa"/>
                  <w:noWrap w:val="0"/>
                  <w:tcMar>
                    <w:top w:w="15" w:type="dxa"/>
                    <w:left w:w="15" w:type="dxa"/>
                    <w:right w:w="15" w:type="dxa"/>
                  </w:tcMar>
                  <w:vAlign w:val="center"/>
                </w:tcPr>
                <w:p>
                  <w:pPr>
                    <w:jc w:val="center"/>
                    <w:textAlignment w:val="top"/>
                    <w:rPr>
                      <w:bCs/>
                      <w:color w:val="auto"/>
                      <w:szCs w:val="21"/>
                      <w:highlight w:val="none"/>
                    </w:rPr>
                  </w:pPr>
                  <w:r>
                    <w:rPr>
                      <w:rFonts w:hint="eastAsia"/>
                      <w:bCs/>
                      <w:color w:val="auto"/>
                      <w:szCs w:val="21"/>
                      <w:highlight w:val="none"/>
                    </w:rPr>
                    <w:t>7户</w:t>
                  </w:r>
                </w:p>
              </w:tc>
              <w:tc>
                <w:tcPr>
                  <w:tcW w:w="1653" w:type="dxa"/>
                  <w:vMerge w:val="continue"/>
                  <w:noWrap w:val="0"/>
                  <w:tcMar>
                    <w:top w:w="15" w:type="dxa"/>
                    <w:left w:w="15" w:type="dxa"/>
                    <w:right w:w="15" w:type="dxa"/>
                  </w:tcMar>
                  <w:vAlign w:val="center"/>
                </w:tcPr>
                <w:p>
                  <w:pPr>
                    <w:jc w:val="center"/>
                    <w:textAlignment w:val="top"/>
                    <w:rPr>
                      <w:color w:val="auto"/>
                      <w:kern w:val="0"/>
                      <w:szCs w:val="21"/>
                      <w:highlight w:val="none"/>
                      <w:lang w:bidi="ar"/>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545" w:type="dxa"/>
                  <w:vMerge w:val="continue"/>
                  <w:noWrap w:val="0"/>
                  <w:tcMar>
                    <w:top w:w="15" w:type="dxa"/>
                    <w:left w:w="15" w:type="dxa"/>
                    <w:right w:w="15" w:type="dxa"/>
                  </w:tcMar>
                  <w:vAlign w:val="center"/>
                </w:tcPr>
                <w:p>
                  <w:pPr>
                    <w:jc w:val="center"/>
                    <w:textAlignment w:val="top"/>
                    <w:rPr>
                      <w:color w:val="auto"/>
                      <w:kern w:val="0"/>
                      <w:szCs w:val="21"/>
                      <w:highlight w:val="none"/>
                      <w:lang w:bidi="ar"/>
                    </w:rPr>
                  </w:pPr>
                </w:p>
              </w:tc>
              <w:tc>
                <w:tcPr>
                  <w:tcW w:w="565" w:type="dxa"/>
                  <w:noWrap w:val="0"/>
                  <w:tcMar>
                    <w:top w:w="15" w:type="dxa"/>
                    <w:left w:w="15" w:type="dxa"/>
                    <w:right w:w="15" w:type="dxa"/>
                  </w:tcMar>
                  <w:vAlign w:val="center"/>
                </w:tcPr>
                <w:p>
                  <w:pPr>
                    <w:jc w:val="center"/>
                    <w:textAlignment w:val="top"/>
                    <w:rPr>
                      <w:rFonts w:hint="default" w:eastAsia="宋体"/>
                      <w:bCs/>
                      <w:color w:val="auto"/>
                      <w:szCs w:val="21"/>
                      <w:highlight w:val="none"/>
                      <w:lang w:val="en-US" w:eastAsia="zh-CN"/>
                    </w:rPr>
                  </w:pPr>
                  <w:r>
                    <w:rPr>
                      <w:rFonts w:hint="eastAsia"/>
                      <w:bCs/>
                      <w:color w:val="auto"/>
                      <w:szCs w:val="21"/>
                      <w:highlight w:val="none"/>
                      <w:lang w:val="en-US" w:eastAsia="zh-CN"/>
                    </w:rPr>
                    <w:t>14</w:t>
                  </w:r>
                </w:p>
              </w:tc>
              <w:tc>
                <w:tcPr>
                  <w:tcW w:w="1276" w:type="dxa"/>
                  <w:noWrap w:val="0"/>
                  <w:tcMar>
                    <w:top w:w="15" w:type="dxa"/>
                    <w:left w:w="15" w:type="dxa"/>
                    <w:right w:w="15" w:type="dxa"/>
                  </w:tcMar>
                  <w:vAlign w:val="center"/>
                </w:tcPr>
                <w:p>
                  <w:pPr>
                    <w:jc w:val="center"/>
                    <w:textAlignment w:val="top"/>
                    <w:rPr>
                      <w:rFonts w:hint="eastAsia" w:eastAsia="宋体"/>
                      <w:color w:val="auto"/>
                      <w:szCs w:val="21"/>
                      <w:highlight w:val="none"/>
                      <w:lang w:val="en-US" w:eastAsia="zh-CN"/>
                    </w:rPr>
                  </w:pPr>
                  <w:r>
                    <w:rPr>
                      <w:rFonts w:hint="eastAsia"/>
                      <w:color w:val="auto"/>
                      <w:szCs w:val="21"/>
                      <w:highlight w:val="none"/>
                      <w:lang w:val="en-US" w:eastAsia="zh-CN"/>
                    </w:rPr>
                    <w:t>桂花园</w:t>
                  </w:r>
                </w:p>
              </w:tc>
              <w:tc>
                <w:tcPr>
                  <w:tcW w:w="916" w:type="dxa"/>
                  <w:noWrap w:val="0"/>
                  <w:tcMar>
                    <w:top w:w="15" w:type="dxa"/>
                    <w:left w:w="15" w:type="dxa"/>
                    <w:right w:w="15" w:type="dxa"/>
                  </w:tcMar>
                  <w:vAlign w:val="center"/>
                </w:tcPr>
                <w:p>
                  <w:pPr>
                    <w:jc w:val="center"/>
                    <w:textAlignment w:val="top"/>
                    <w:rPr>
                      <w:rFonts w:hint="default" w:eastAsia="宋体"/>
                      <w:color w:val="auto"/>
                      <w:szCs w:val="21"/>
                      <w:highlight w:val="none"/>
                      <w:lang w:val="en-US" w:eastAsia="zh-CN"/>
                    </w:rPr>
                  </w:pPr>
                  <w:r>
                    <w:rPr>
                      <w:rFonts w:hint="eastAsia"/>
                      <w:color w:val="auto"/>
                      <w:szCs w:val="21"/>
                      <w:highlight w:val="none"/>
                      <w:lang w:val="en-US" w:eastAsia="zh-CN"/>
                    </w:rPr>
                    <w:t>103.6758</w:t>
                  </w:r>
                </w:p>
              </w:tc>
              <w:tc>
                <w:tcPr>
                  <w:tcW w:w="726" w:type="dxa"/>
                  <w:noWrap w:val="0"/>
                  <w:tcMar>
                    <w:top w:w="15" w:type="dxa"/>
                    <w:left w:w="15" w:type="dxa"/>
                    <w:right w:w="15" w:type="dxa"/>
                  </w:tcMar>
                  <w:vAlign w:val="center"/>
                </w:tcPr>
                <w:p>
                  <w:pPr>
                    <w:jc w:val="center"/>
                    <w:textAlignment w:val="top"/>
                    <w:rPr>
                      <w:rFonts w:hint="default" w:eastAsia="宋体"/>
                      <w:color w:val="auto"/>
                      <w:szCs w:val="21"/>
                      <w:highlight w:val="none"/>
                      <w:lang w:val="en-US" w:eastAsia="zh-CN"/>
                    </w:rPr>
                  </w:pPr>
                  <w:r>
                    <w:rPr>
                      <w:rFonts w:hint="eastAsia"/>
                      <w:color w:val="auto"/>
                      <w:szCs w:val="21"/>
                      <w:highlight w:val="none"/>
                      <w:lang w:val="en-US" w:eastAsia="zh-CN"/>
                    </w:rPr>
                    <w:t>29.6677</w:t>
                  </w:r>
                </w:p>
              </w:tc>
              <w:tc>
                <w:tcPr>
                  <w:tcW w:w="661" w:type="dxa"/>
                  <w:noWrap w:val="0"/>
                  <w:tcMar>
                    <w:top w:w="15" w:type="dxa"/>
                    <w:left w:w="15" w:type="dxa"/>
                    <w:right w:w="15" w:type="dxa"/>
                  </w:tcMar>
                  <w:vAlign w:val="center"/>
                </w:tcPr>
                <w:p>
                  <w:pPr>
                    <w:jc w:val="center"/>
                    <w:textAlignment w:val="top"/>
                    <w:rPr>
                      <w:rFonts w:hint="eastAsia" w:eastAsia="宋体"/>
                      <w:color w:val="auto"/>
                      <w:szCs w:val="21"/>
                      <w:highlight w:val="none"/>
                      <w:lang w:val="en-US" w:eastAsia="zh-CN"/>
                    </w:rPr>
                  </w:pPr>
                  <w:r>
                    <w:rPr>
                      <w:rFonts w:hint="eastAsia"/>
                      <w:color w:val="auto"/>
                      <w:szCs w:val="21"/>
                      <w:highlight w:val="none"/>
                      <w:lang w:val="en-US" w:eastAsia="zh-CN"/>
                    </w:rPr>
                    <w:t>西北</w:t>
                  </w:r>
                </w:p>
              </w:tc>
              <w:tc>
                <w:tcPr>
                  <w:tcW w:w="1138" w:type="dxa"/>
                  <w:noWrap w:val="0"/>
                  <w:tcMar>
                    <w:top w:w="15" w:type="dxa"/>
                    <w:left w:w="15" w:type="dxa"/>
                    <w:right w:w="15" w:type="dxa"/>
                  </w:tcMar>
                  <w:vAlign w:val="center"/>
                </w:tcPr>
                <w:p>
                  <w:pPr>
                    <w:jc w:val="center"/>
                    <w:textAlignment w:val="top"/>
                    <w:rPr>
                      <w:rFonts w:hint="default" w:eastAsia="宋体"/>
                      <w:color w:val="auto"/>
                      <w:szCs w:val="21"/>
                      <w:highlight w:val="none"/>
                      <w:lang w:val="en-US" w:eastAsia="zh-CN"/>
                    </w:rPr>
                  </w:pPr>
                  <w:r>
                    <w:rPr>
                      <w:rFonts w:hint="eastAsia"/>
                      <w:color w:val="auto"/>
                      <w:szCs w:val="21"/>
                      <w:highlight w:val="none"/>
                      <w:lang w:val="en-US" w:eastAsia="zh-CN"/>
                    </w:rPr>
                    <w:t>553~621</w:t>
                  </w:r>
                </w:p>
              </w:tc>
              <w:tc>
                <w:tcPr>
                  <w:tcW w:w="848" w:type="dxa"/>
                  <w:noWrap w:val="0"/>
                  <w:tcMar>
                    <w:top w:w="15" w:type="dxa"/>
                    <w:left w:w="15" w:type="dxa"/>
                    <w:right w:w="15" w:type="dxa"/>
                  </w:tcMar>
                  <w:vAlign w:val="center"/>
                </w:tcPr>
                <w:p>
                  <w:pPr>
                    <w:jc w:val="center"/>
                    <w:textAlignment w:val="top"/>
                    <w:rPr>
                      <w:rFonts w:hint="default" w:eastAsia="宋体"/>
                      <w:bCs/>
                      <w:color w:val="auto"/>
                      <w:szCs w:val="21"/>
                      <w:highlight w:val="none"/>
                      <w:lang w:val="en-US" w:eastAsia="zh-CN"/>
                    </w:rPr>
                  </w:pPr>
                  <w:r>
                    <w:rPr>
                      <w:rFonts w:hint="eastAsia"/>
                      <w:bCs/>
                      <w:color w:val="auto"/>
                      <w:szCs w:val="21"/>
                      <w:highlight w:val="none"/>
                      <w:lang w:val="en-US" w:eastAsia="zh-CN"/>
                    </w:rPr>
                    <w:t>5户</w:t>
                  </w:r>
                </w:p>
              </w:tc>
              <w:tc>
                <w:tcPr>
                  <w:tcW w:w="1653" w:type="dxa"/>
                  <w:vMerge w:val="continue"/>
                  <w:noWrap w:val="0"/>
                  <w:tcMar>
                    <w:top w:w="15" w:type="dxa"/>
                    <w:left w:w="15" w:type="dxa"/>
                    <w:right w:w="15" w:type="dxa"/>
                  </w:tcMar>
                  <w:vAlign w:val="center"/>
                </w:tcPr>
                <w:p>
                  <w:pPr>
                    <w:jc w:val="center"/>
                    <w:textAlignment w:val="top"/>
                    <w:rPr>
                      <w:color w:val="auto"/>
                      <w:kern w:val="0"/>
                      <w:szCs w:val="21"/>
                      <w:highlight w:val="none"/>
                      <w:lang w:bidi="ar"/>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545" w:type="dxa"/>
                  <w:noWrap w:val="0"/>
                  <w:tcMar>
                    <w:top w:w="15" w:type="dxa"/>
                    <w:left w:w="15" w:type="dxa"/>
                    <w:right w:w="15" w:type="dxa"/>
                  </w:tcMar>
                  <w:vAlign w:val="center"/>
                </w:tcPr>
                <w:p>
                  <w:pPr>
                    <w:jc w:val="center"/>
                    <w:textAlignment w:val="top"/>
                    <w:rPr>
                      <w:color w:val="auto"/>
                      <w:szCs w:val="21"/>
                      <w:highlight w:val="none"/>
                    </w:rPr>
                  </w:pPr>
                  <w:r>
                    <w:rPr>
                      <w:color w:val="auto"/>
                      <w:kern w:val="0"/>
                      <w:szCs w:val="21"/>
                      <w:highlight w:val="none"/>
                      <w:lang w:bidi="ar"/>
                    </w:rPr>
                    <w:t>声环境</w:t>
                  </w:r>
                </w:p>
              </w:tc>
              <w:tc>
                <w:tcPr>
                  <w:tcW w:w="565" w:type="dxa"/>
                  <w:noWrap w:val="0"/>
                  <w:tcMar>
                    <w:top w:w="15" w:type="dxa"/>
                    <w:left w:w="15" w:type="dxa"/>
                    <w:right w:w="15" w:type="dxa"/>
                  </w:tcMar>
                  <w:vAlign w:val="center"/>
                </w:tcPr>
                <w:p>
                  <w:pPr>
                    <w:jc w:val="center"/>
                    <w:textAlignment w:val="top"/>
                    <w:rPr>
                      <w:color w:val="auto"/>
                      <w:kern w:val="0"/>
                      <w:szCs w:val="21"/>
                      <w:highlight w:val="none"/>
                      <w:lang w:bidi="ar"/>
                    </w:rPr>
                  </w:pPr>
                  <w:r>
                    <w:rPr>
                      <w:rFonts w:hint="eastAsia"/>
                      <w:bCs/>
                      <w:color w:val="auto"/>
                      <w:szCs w:val="21"/>
                      <w:highlight w:val="none"/>
                    </w:rPr>
                    <w:t>罗湾（散户1）</w:t>
                  </w:r>
                </w:p>
              </w:tc>
              <w:tc>
                <w:tcPr>
                  <w:tcW w:w="1276" w:type="dxa"/>
                  <w:noWrap w:val="0"/>
                  <w:tcMar>
                    <w:top w:w="15" w:type="dxa"/>
                    <w:left w:w="15" w:type="dxa"/>
                    <w:right w:w="15" w:type="dxa"/>
                  </w:tcMar>
                  <w:vAlign w:val="center"/>
                </w:tcPr>
                <w:p>
                  <w:pPr>
                    <w:jc w:val="center"/>
                    <w:textAlignment w:val="top"/>
                    <w:rPr>
                      <w:color w:val="auto"/>
                      <w:szCs w:val="21"/>
                      <w:highlight w:val="none"/>
                    </w:rPr>
                  </w:pPr>
                  <w:r>
                    <w:rPr>
                      <w:rFonts w:hint="eastAsia"/>
                      <w:color w:val="auto"/>
                      <w:szCs w:val="21"/>
                      <w:highlight w:val="none"/>
                    </w:rPr>
                    <w:t>103.6820</w:t>
                  </w:r>
                </w:p>
              </w:tc>
              <w:tc>
                <w:tcPr>
                  <w:tcW w:w="916" w:type="dxa"/>
                  <w:noWrap w:val="0"/>
                  <w:tcMar>
                    <w:top w:w="15" w:type="dxa"/>
                    <w:left w:w="15" w:type="dxa"/>
                    <w:right w:w="15" w:type="dxa"/>
                  </w:tcMar>
                  <w:vAlign w:val="center"/>
                </w:tcPr>
                <w:p>
                  <w:pPr>
                    <w:jc w:val="center"/>
                    <w:textAlignment w:val="top"/>
                    <w:rPr>
                      <w:color w:val="auto"/>
                      <w:szCs w:val="21"/>
                      <w:highlight w:val="none"/>
                    </w:rPr>
                  </w:pPr>
                  <w:r>
                    <w:rPr>
                      <w:rFonts w:hint="eastAsia"/>
                      <w:color w:val="auto"/>
                      <w:szCs w:val="21"/>
                      <w:highlight w:val="none"/>
                    </w:rPr>
                    <w:t>29.6641</w:t>
                  </w:r>
                </w:p>
              </w:tc>
              <w:tc>
                <w:tcPr>
                  <w:tcW w:w="726" w:type="dxa"/>
                  <w:noWrap w:val="0"/>
                  <w:tcMar>
                    <w:top w:w="15" w:type="dxa"/>
                    <w:left w:w="15" w:type="dxa"/>
                    <w:right w:w="15" w:type="dxa"/>
                  </w:tcMar>
                  <w:vAlign w:val="center"/>
                </w:tcPr>
                <w:p>
                  <w:pPr>
                    <w:jc w:val="center"/>
                    <w:textAlignment w:val="top"/>
                    <w:rPr>
                      <w:color w:val="auto"/>
                      <w:szCs w:val="21"/>
                      <w:highlight w:val="none"/>
                    </w:rPr>
                  </w:pPr>
                  <w:r>
                    <w:rPr>
                      <w:rFonts w:hint="eastAsia"/>
                      <w:color w:val="auto"/>
                      <w:szCs w:val="21"/>
                      <w:highlight w:val="none"/>
                    </w:rPr>
                    <w:t>北</w:t>
                  </w:r>
                </w:p>
              </w:tc>
              <w:tc>
                <w:tcPr>
                  <w:tcW w:w="661" w:type="dxa"/>
                  <w:noWrap w:val="0"/>
                  <w:tcMar>
                    <w:top w:w="15" w:type="dxa"/>
                    <w:left w:w="15" w:type="dxa"/>
                    <w:right w:w="15" w:type="dxa"/>
                  </w:tcMar>
                  <w:vAlign w:val="center"/>
                </w:tcPr>
                <w:p>
                  <w:pPr>
                    <w:jc w:val="center"/>
                    <w:textAlignment w:val="top"/>
                    <w:rPr>
                      <w:color w:val="auto"/>
                      <w:szCs w:val="21"/>
                      <w:highlight w:val="none"/>
                    </w:rPr>
                  </w:pPr>
                  <w:r>
                    <w:rPr>
                      <w:rFonts w:hint="eastAsia"/>
                      <w:color w:val="auto"/>
                      <w:szCs w:val="21"/>
                      <w:highlight w:val="none"/>
                    </w:rPr>
                    <w:t>25~115</w:t>
                  </w:r>
                </w:p>
              </w:tc>
              <w:tc>
                <w:tcPr>
                  <w:tcW w:w="1138" w:type="dxa"/>
                  <w:noWrap w:val="0"/>
                  <w:tcMar>
                    <w:top w:w="15" w:type="dxa"/>
                    <w:left w:w="15" w:type="dxa"/>
                    <w:right w:w="15" w:type="dxa"/>
                  </w:tcMar>
                  <w:vAlign w:val="center"/>
                </w:tcPr>
                <w:p>
                  <w:pPr>
                    <w:jc w:val="center"/>
                    <w:textAlignment w:val="top"/>
                    <w:rPr>
                      <w:color w:val="auto"/>
                      <w:szCs w:val="21"/>
                      <w:highlight w:val="none"/>
                    </w:rPr>
                  </w:pPr>
                  <w:r>
                    <w:rPr>
                      <w:rFonts w:hint="eastAsia"/>
                      <w:color w:val="auto"/>
                      <w:szCs w:val="21"/>
                      <w:highlight w:val="none"/>
                    </w:rPr>
                    <w:t>2户</w:t>
                  </w:r>
                </w:p>
              </w:tc>
              <w:tc>
                <w:tcPr>
                  <w:tcW w:w="848" w:type="dxa"/>
                  <w:noWrap w:val="0"/>
                  <w:tcMar>
                    <w:top w:w="15" w:type="dxa"/>
                    <w:left w:w="15" w:type="dxa"/>
                    <w:right w:w="15" w:type="dxa"/>
                  </w:tcMar>
                  <w:vAlign w:val="center"/>
                </w:tcPr>
                <w:p>
                  <w:pPr>
                    <w:jc w:val="center"/>
                    <w:textAlignment w:val="top"/>
                    <w:rPr>
                      <w:color w:val="auto"/>
                      <w:szCs w:val="21"/>
                      <w:highlight w:val="none"/>
                    </w:rPr>
                  </w:pPr>
                  <w:r>
                    <w:rPr>
                      <w:rFonts w:hint="eastAsia"/>
                      <w:bCs/>
                      <w:color w:val="auto"/>
                      <w:szCs w:val="21"/>
                      <w:highlight w:val="none"/>
                    </w:rPr>
                    <w:t>罗湾（散户1）</w:t>
                  </w:r>
                </w:p>
              </w:tc>
              <w:tc>
                <w:tcPr>
                  <w:tcW w:w="1653" w:type="dxa"/>
                  <w:noWrap w:val="0"/>
                  <w:tcMar>
                    <w:top w:w="15" w:type="dxa"/>
                    <w:left w:w="15" w:type="dxa"/>
                    <w:right w:w="15" w:type="dxa"/>
                  </w:tcMar>
                  <w:vAlign w:val="center"/>
                </w:tcPr>
                <w:p>
                  <w:pPr>
                    <w:jc w:val="center"/>
                    <w:textAlignment w:val="top"/>
                    <w:rPr>
                      <w:color w:val="auto"/>
                      <w:szCs w:val="21"/>
                      <w:highlight w:val="none"/>
                    </w:rPr>
                  </w:pPr>
                  <w:r>
                    <w:rPr>
                      <w:color w:val="auto"/>
                      <w:kern w:val="0"/>
                      <w:szCs w:val="21"/>
                      <w:highlight w:val="none"/>
                      <w:lang w:bidi="ar"/>
                    </w:rPr>
                    <w:t>《声环境质量标准》（</w:t>
                  </w:r>
                  <w:r>
                    <w:rPr>
                      <w:rStyle w:val="83"/>
                      <w:rFonts w:hint="default" w:ascii="Times New Roman" w:hAnsi="Times New Roman" w:cs="Times New Roman"/>
                      <w:color w:val="auto"/>
                      <w:highlight w:val="none"/>
                      <w:lang w:bidi="ar"/>
                    </w:rPr>
                    <w:t>GB3096-2008</w:t>
                  </w:r>
                  <w:r>
                    <w:rPr>
                      <w:rStyle w:val="190"/>
                      <w:rFonts w:hint="default" w:ascii="Times New Roman" w:hAnsi="Times New Roman" w:cs="Times New Roman"/>
                      <w:color w:val="auto"/>
                      <w:highlight w:val="none"/>
                      <w:lang w:bidi="ar"/>
                    </w:rPr>
                    <w:t>）2类标准</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652" w:hRule="atLeast"/>
              </w:trPr>
              <w:tc>
                <w:tcPr>
                  <w:tcW w:w="1110" w:type="dxa"/>
                  <w:gridSpan w:val="2"/>
                  <w:noWrap w:val="0"/>
                  <w:vAlign w:val="center"/>
                </w:tcPr>
                <w:p>
                  <w:pPr>
                    <w:jc w:val="center"/>
                    <w:textAlignment w:val="top"/>
                    <w:rPr>
                      <w:color w:val="auto"/>
                      <w:kern w:val="0"/>
                      <w:szCs w:val="21"/>
                      <w:highlight w:val="none"/>
                      <w:lang w:bidi="ar"/>
                    </w:rPr>
                  </w:pPr>
                  <w:r>
                    <w:rPr>
                      <w:color w:val="auto"/>
                      <w:kern w:val="0"/>
                      <w:szCs w:val="21"/>
                      <w:highlight w:val="none"/>
                      <w:lang w:bidi="ar"/>
                    </w:rPr>
                    <w:t>地表水环境和风险</w:t>
                  </w:r>
                </w:p>
              </w:tc>
              <w:tc>
                <w:tcPr>
                  <w:tcW w:w="1276" w:type="dxa"/>
                  <w:noWrap w:val="0"/>
                  <w:vAlign w:val="center"/>
                </w:tcPr>
                <w:p>
                  <w:pPr>
                    <w:jc w:val="center"/>
                    <w:textAlignment w:val="top"/>
                    <w:rPr>
                      <w:color w:val="auto"/>
                      <w:kern w:val="0"/>
                      <w:szCs w:val="21"/>
                      <w:highlight w:val="none"/>
                      <w:lang w:bidi="ar"/>
                    </w:rPr>
                  </w:pPr>
                  <w:r>
                    <w:rPr>
                      <w:rFonts w:hint="eastAsia"/>
                      <w:color w:val="auto"/>
                      <w:kern w:val="0"/>
                      <w:szCs w:val="21"/>
                      <w:highlight w:val="none"/>
                      <w:lang w:bidi="ar"/>
                    </w:rPr>
                    <w:t>青衣江</w:t>
                  </w:r>
                </w:p>
              </w:tc>
              <w:tc>
                <w:tcPr>
                  <w:tcW w:w="1642" w:type="dxa"/>
                  <w:gridSpan w:val="2"/>
                  <w:noWrap w:val="0"/>
                  <w:vAlign w:val="center"/>
                </w:tcPr>
                <w:p>
                  <w:pPr>
                    <w:jc w:val="center"/>
                    <w:textAlignment w:val="top"/>
                    <w:rPr>
                      <w:color w:val="auto"/>
                      <w:kern w:val="0"/>
                      <w:szCs w:val="21"/>
                      <w:highlight w:val="none"/>
                      <w:lang w:bidi="ar"/>
                    </w:rPr>
                  </w:pPr>
                  <w:r>
                    <w:rPr>
                      <w:rFonts w:hint="eastAsia"/>
                      <w:color w:val="auto"/>
                      <w:kern w:val="0"/>
                      <w:szCs w:val="21"/>
                      <w:highlight w:val="none"/>
                      <w:lang w:bidi="ar"/>
                    </w:rPr>
                    <w:t>/</w:t>
                  </w:r>
                </w:p>
              </w:tc>
              <w:tc>
                <w:tcPr>
                  <w:tcW w:w="661" w:type="dxa"/>
                  <w:noWrap w:val="0"/>
                  <w:vAlign w:val="center"/>
                </w:tcPr>
                <w:p>
                  <w:pPr>
                    <w:jc w:val="center"/>
                    <w:textAlignment w:val="top"/>
                    <w:rPr>
                      <w:rFonts w:hint="eastAsia"/>
                      <w:color w:val="auto"/>
                      <w:kern w:val="0"/>
                      <w:szCs w:val="21"/>
                      <w:highlight w:val="none"/>
                      <w:lang w:bidi="ar"/>
                    </w:rPr>
                  </w:pPr>
                  <w:r>
                    <w:rPr>
                      <w:rFonts w:hint="eastAsia"/>
                      <w:color w:val="auto"/>
                      <w:kern w:val="0"/>
                      <w:szCs w:val="21"/>
                      <w:highlight w:val="none"/>
                      <w:lang w:bidi="ar"/>
                    </w:rPr>
                    <w:t>西南</w:t>
                  </w:r>
                </w:p>
              </w:tc>
              <w:tc>
                <w:tcPr>
                  <w:tcW w:w="1986" w:type="dxa"/>
                  <w:gridSpan w:val="2"/>
                  <w:noWrap w:val="0"/>
                  <w:vAlign w:val="center"/>
                </w:tcPr>
                <w:p>
                  <w:pPr>
                    <w:jc w:val="center"/>
                    <w:textAlignment w:val="top"/>
                    <w:rPr>
                      <w:color w:val="auto"/>
                      <w:kern w:val="0"/>
                      <w:szCs w:val="21"/>
                      <w:highlight w:val="none"/>
                      <w:lang w:bidi="ar"/>
                    </w:rPr>
                  </w:pPr>
                  <w:r>
                    <w:rPr>
                      <w:rFonts w:hint="eastAsia"/>
                      <w:color w:val="auto"/>
                      <w:kern w:val="0"/>
                      <w:szCs w:val="21"/>
                      <w:highlight w:val="none"/>
                      <w:lang w:bidi="ar"/>
                    </w:rPr>
                    <w:t>1400m</w:t>
                  </w:r>
                </w:p>
              </w:tc>
              <w:tc>
                <w:tcPr>
                  <w:tcW w:w="1653" w:type="dxa"/>
                  <w:noWrap w:val="0"/>
                  <w:vAlign w:val="center"/>
                </w:tcPr>
                <w:p>
                  <w:pPr>
                    <w:jc w:val="center"/>
                    <w:rPr>
                      <w:color w:val="auto"/>
                      <w:szCs w:val="21"/>
                      <w:highlight w:val="none"/>
                    </w:rPr>
                  </w:pPr>
                  <w:r>
                    <w:rPr>
                      <w:color w:val="auto"/>
                      <w:szCs w:val="21"/>
                      <w:highlight w:val="none"/>
                    </w:rPr>
                    <w:t>《地表水环境质量标准》（GB3838-2002）III类水域标准</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652" w:hRule="atLeast"/>
              </w:trPr>
              <w:tc>
                <w:tcPr>
                  <w:tcW w:w="1110" w:type="dxa"/>
                  <w:gridSpan w:val="2"/>
                  <w:noWrap w:val="0"/>
                  <w:vAlign w:val="center"/>
                </w:tcPr>
                <w:p>
                  <w:pPr>
                    <w:jc w:val="center"/>
                    <w:textAlignment w:val="top"/>
                    <w:rPr>
                      <w:rFonts w:hint="eastAsia"/>
                      <w:color w:val="auto"/>
                      <w:kern w:val="0"/>
                      <w:szCs w:val="21"/>
                      <w:highlight w:val="none"/>
                      <w:lang w:bidi="ar"/>
                    </w:rPr>
                  </w:pPr>
                  <w:r>
                    <w:rPr>
                      <w:rFonts w:hint="eastAsia"/>
                      <w:color w:val="auto"/>
                      <w:kern w:val="0"/>
                      <w:szCs w:val="21"/>
                      <w:highlight w:val="none"/>
                      <w:lang w:bidi="ar"/>
                    </w:rPr>
                    <w:t>地下水</w:t>
                  </w:r>
                </w:p>
              </w:tc>
              <w:tc>
                <w:tcPr>
                  <w:tcW w:w="7218" w:type="dxa"/>
                  <w:gridSpan w:val="7"/>
                  <w:noWrap w:val="0"/>
                  <w:vAlign w:val="center"/>
                </w:tcPr>
                <w:p>
                  <w:pPr>
                    <w:jc w:val="center"/>
                    <w:rPr>
                      <w:color w:val="auto"/>
                      <w:szCs w:val="21"/>
                      <w:highlight w:val="none"/>
                    </w:rPr>
                  </w:pPr>
                  <w:r>
                    <w:rPr>
                      <w:rFonts w:hint="eastAsia"/>
                      <w:color w:val="auto"/>
                      <w:szCs w:val="21"/>
                      <w:highlight w:val="none"/>
                    </w:rPr>
                    <w:t>项目区潜水含水层及周边居民饮用水井</w:t>
                  </w:r>
                </w:p>
              </w:tc>
            </w:tr>
          </w:tbl>
          <w:p>
            <w:pPr>
              <w:adjustRightInd w:val="0"/>
              <w:snapToGrid w:val="0"/>
              <w:jc w:val="center"/>
              <w:rPr>
                <w:rFonts w:ascii="宋体" w:hAnsi="宋体" w:cs="宋体"/>
                <w:color w:val="auto"/>
                <w:kern w:val="0"/>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75" w:hRule="atLeast"/>
          <w:jc w:val="center"/>
        </w:trPr>
        <w:tc>
          <w:tcPr>
            <w:tcW w:w="509" w:type="dxa"/>
            <w:noWrap w:val="0"/>
            <w:tcMar>
              <w:left w:w="28" w:type="dxa"/>
              <w:right w:w="28" w:type="dxa"/>
            </w:tcMar>
            <w:vAlign w:val="center"/>
          </w:tcPr>
          <w:p>
            <w:pPr>
              <w:adjustRightInd w:val="0"/>
              <w:snapToGrid w:val="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污染</w:t>
            </w:r>
          </w:p>
          <w:p>
            <w:pPr>
              <w:adjustRightInd w:val="0"/>
              <w:snapToGrid w:val="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物排</w:t>
            </w:r>
          </w:p>
          <w:p>
            <w:pPr>
              <w:adjustRightInd w:val="0"/>
              <w:snapToGrid w:val="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放控</w:t>
            </w:r>
          </w:p>
          <w:p>
            <w:pPr>
              <w:adjustRightInd w:val="0"/>
              <w:snapToGrid w:val="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制标</w:t>
            </w:r>
          </w:p>
          <w:p>
            <w:pPr>
              <w:adjustRightInd w:val="0"/>
              <w:snapToGrid w:val="0"/>
              <w:jc w:val="center"/>
              <w:rPr>
                <w:rFonts w:ascii="宋体" w:hAnsi="宋体" w:cs="宋体"/>
                <w:color w:val="auto"/>
                <w:kern w:val="0"/>
                <w:szCs w:val="21"/>
                <w:highlight w:val="none"/>
              </w:rPr>
            </w:pPr>
            <w:r>
              <w:rPr>
                <w:rFonts w:hint="eastAsia" w:ascii="宋体" w:hAnsi="宋体" w:cs="宋体"/>
                <w:color w:val="auto"/>
                <w:kern w:val="0"/>
                <w:szCs w:val="21"/>
                <w:highlight w:val="none"/>
              </w:rPr>
              <w:t>准</w:t>
            </w:r>
          </w:p>
        </w:tc>
        <w:tc>
          <w:tcPr>
            <w:tcW w:w="8552" w:type="dxa"/>
            <w:noWrap w:val="0"/>
            <w:vAlign w:val="center"/>
          </w:tcPr>
          <w:p>
            <w:pPr>
              <w:pStyle w:val="50"/>
              <w:rPr>
                <w:rFonts w:ascii="Times New Roman" w:hAnsi="Times New Roman"/>
                <w:color w:val="auto"/>
                <w:szCs w:val="24"/>
                <w:highlight w:val="none"/>
              </w:rPr>
            </w:pPr>
            <w:r>
              <w:rPr>
                <w:rFonts w:ascii="Times New Roman" w:hAnsi="Times New Roman"/>
                <w:color w:val="auto"/>
                <w:szCs w:val="24"/>
                <w:highlight w:val="none"/>
              </w:rPr>
              <w:t>1、噪声排放标准:</w:t>
            </w:r>
          </w:p>
          <w:p>
            <w:pPr>
              <w:pStyle w:val="50"/>
              <w:rPr>
                <w:rFonts w:ascii="Times New Roman" w:hAnsi="Times New Roman"/>
                <w:color w:val="auto"/>
                <w:szCs w:val="24"/>
                <w:highlight w:val="none"/>
              </w:rPr>
            </w:pPr>
            <w:r>
              <w:rPr>
                <w:rFonts w:ascii="Times New Roman" w:hAnsi="Times New Roman"/>
                <w:color w:val="auto"/>
                <w:szCs w:val="24"/>
                <w:highlight w:val="none"/>
              </w:rPr>
              <w:t>本项目所在地属于声环境功能二类区，厂界噪声执行《工业企业厂界环境噪声排放标准》(GB12348—2008）中二类标准，标准值见表</w:t>
            </w:r>
            <w:r>
              <w:rPr>
                <w:rFonts w:hint="eastAsia" w:ascii="Times New Roman" w:hAnsi="Times New Roman"/>
                <w:color w:val="auto"/>
                <w:szCs w:val="24"/>
                <w:highlight w:val="none"/>
              </w:rPr>
              <w:t>3-10</w:t>
            </w:r>
            <w:r>
              <w:rPr>
                <w:rFonts w:ascii="Times New Roman" w:hAnsi="Times New Roman"/>
                <w:color w:val="auto"/>
                <w:szCs w:val="24"/>
                <w:highlight w:val="none"/>
              </w:rPr>
              <w:t>。</w:t>
            </w:r>
          </w:p>
          <w:p>
            <w:pPr>
              <w:pStyle w:val="50"/>
              <w:jc w:val="center"/>
              <w:rPr>
                <w:rFonts w:ascii="Times New Roman" w:hAnsi="Times New Roman"/>
                <w:b/>
                <w:bCs/>
                <w:color w:val="auto"/>
                <w:szCs w:val="24"/>
                <w:highlight w:val="none"/>
              </w:rPr>
            </w:pPr>
            <w:r>
              <w:rPr>
                <w:rFonts w:ascii="Times New Roman" w:hAnsi="Times New Roman"/>
                <w:b/>
                <w:bCs/>
                <w:color w:val="auto"/>
                <w:szCs w:val="24"/>
                <w:highlight w:val="none"/>
              </w:rPr>
              <w:t>表</w:t>
            </w:r>
            <w:r>
              <w:rPr>
                <w:rFonts w:hint="eastAsia" w:ascii="Times New Roman" w:hAnsi="Times New Roman"/>
                <w:b/>
                <w:bCs/>
                <w:color w:val="auto"/>
                <w:szCs w:val="24"/>
                <w:highlight w:val="none"/>
              </w:rPr>
              <w:t>3-10</w:t>
            </w:r>
            <w:r>
              <w:rPr>
                <w:rFonts w:ascii="Times New Roman" w:hAnsi="Times New Roman"/>
                <w:b/>
                <w:bCs/>
                <w:color w:val="auto"/>
                <w:szCs w:val="24"/>
                <w:highlight w:val="none"/>
              </w:rPr>
              <w:t xml:space="preserve"> 工业企业厂界环境噪声排放标准</w:t>
            </w:r>
          </w:p>
          <w:tbl>
            <w:tblPr>
              <w:tblStyle w:val="39"/>
              <w:tblW w:w="0" w:type="auto"/>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15" w:type="dxa"/>
                <w:left w:w="15" w:type="dxa"/>
                <w:bottom w:w="15" w:type="dxa"/>
                <w:right w:w="15" w:type="dxa"/>
              </w:tblCellMar>
            </w:tblPr>
            <w:tblGrid>
              <w:gridCol w:w="5809"/>
              <w:gridCol w:w="1262"/>
              <w:gridCol w:w="1262"/>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330" w:hRule="atLeast"/>
              </w:trPr>
              <w:tc>
                <w:tcPr>
                  <w:tcW w:w="5809" w:type="dxa"/>
                  <w:noWrap/>
                  <w:vAlign w:val="bottom"/>
                </w:tcPr>
                <w:p>
                  <w:pPr>
                    <w:widowControl/>
                    <w:jc w:val="center"/>
                    <w:textAlignment w:val="bottom"/>
                    <w:rPr>
                      <w:rFonts w:ascii="Calibri" w:hAnsi="Calibri" w:cs="Calibri"/>
                      <w:color w:val="auto"/>
                      <w:szCs w:val="21"/>
                      <w:highlight w:val="none"/>
                    </w:rPr>
                  </w:pPr>
                  <w:r>
                    <w:rPr>
                      <w:rFonts w:ascii="Calibri" w:hAnsi="Calibri" w:cs="Calibri"/>
                      <w:color w:val="auto"/>
                      <w:kern w:val="0"/>
                      <w:szCs w:val="21"/>
                      <w:highlight w:val="none"/>
                      <w:lang w:bidi="ar"/>
                    </w:rPr>
                    <w:t>时段</w:t>
                  </w:r>
                </w:p>
              </w:tc>
              <w:tc>
                <w:tcPr>
                  <w:tcW w:w="1262" w:type="dxa"/>
                  <w:noWrap/>
                  <w:vAlign w:val="bottom"/>
                </w:tcPr>
                <w:p>
                  <w:pPr>
                    <w:widowControl/>
                    <w:jc w:val="center"/>
                    <w:textAlignment w:val="bottom"/>
                    <w:rPr>
                      <w:rFonts w:ascii="Calibri" w:hAnsi="Calibri" w:cs="Calibri"/>
                      <w:color w:val="auto"/>
                      <w:szCs w:val="21"/>
                      <w:highlight w:val="none"/>
                    </w:rPr>
                  </w:pPr>
                  <w:r>
                    <w:rPr>
                      <w:rFonts w:ascii="Calibri" w:hAnsi="Calibri" w:cs="Calibri"/>
                      <w:color w:val="auto"/>
                      <w:kern w:val="0"/>
                      <w:szCs w:val="21"/>
                      <w:highlight w:val="none"/>
                      <w:lang w:bidi="ar"/>
                    </w:rPr>
                    <w:t>昼间</w:t>
                  </w:r>
                </w:p>
              </w:tc>
              <w:tc>
                <w:tcPr>
                  <w:tcW w:w="1262" w:type="dxa"/>
                  <w:noWrap/>
                  <w:vAlign w:val="bottom"/>
                </w:tcPr>
                <w:p>
                  <w:pPr>
                    <w:widowControl/>
                    <w:jc w:val="center"/>
                    <w:textAlignment w:val="bottom"/>
                    <w:rPr>
                      <w:rFonts w:ascii="Calibri" w:hAnsi="Calibri" w:cs="Calibri"/>
                      <w:color w:val="auto"/>
                      <w:szCs w:val="21"/>
                      <w:highlight w:val="none"/>
                    </w:rPr>
                  </w:pPr>
                  <w:r>
                    <w:rPr>
                      <w:rFonts w:ascii="Calibri" w:hAnsi="Calibri" w:cs="Calibri"/>
                      <w:color w:val="auto"/>
                      <w:kern w:val="0"/>
                      <w:szCs w:val="21"/>
                      <w:highlight w:val="none"/>
                      <w:lang w:bidi="ar"/>
                    </w:rPr>
                    <w:t>夜间</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330" w:hRule="atLeast"/>
              </w:trPr>
              <w:tc>
                <w:tcPr>
                  <w:tcW w:w="5809" w:type="dxa"/>
                  <w:noWrap/>
                  <w:vAlign w:val="bottom"/>
                </w:tcPr>
                <w:p>
                  <w:pPr>
                    <w:widowControl/>
                    <w:jc w:val="center"/>
                    <w:textAlignment w:val="bottom"/>
                    <w:rPr>
                      <w:rFonts w:ascii="Calibri" w:hAnsi="Calibri" w:cs="Calibri"/>
                      <w:color w:val="auto"/>
                      <w:szCs w:val="21"/>
                      <w:highlight w:val="none"/>
                    </w:rPr>
                  </w:pPr>
                  <w:r>
                    <w:rPr>
                      <w:rFonts w:ascii="Calibri" w:hAnsi="Calibri" w:cs="Calibri"/>
                      <w:color w:val="auto"/>
                      <w:kern w:val="0"/>
                      <w:szCs w:val="21"/>
                      <w:highlight w:val="none"/>
                      <w:lang w:bidi="ar"/>
                    </w:rPr>
                    <w:t>2类标准限值dB（A）</w:t>
                  </w:r>
                </w:p>
              </w:tc>
              <w:tc>
                <w:tcPr>
                  <w:tcW w:w="1262" w:type="dxa"/>
                  <w:noWrap/>
                  <w:vAlign w:val="bottom"/>
                </w:tcPr>
                <w:p>
                  <w:pPr>
                    <w:widowControl/>
                    <w:jc w:val="center"/>
                    <w:textAlignment w:val="bottom"/>
                    <w:rPr>
                      <w:rFonts w:ascii="Calibri" w:hAnsi="Calibri" w:cs="Calibri"/>
                      <w:color w:val="auto"/>
                      <w:szCs w:val="21"/>
                      <w:highlight w:val="none"/>
                    </w:rPr>
                  </w:pPr>
                  <w:r>
                    <w:rPr>
                      <w:rFonts w:hint="eastAsia" w:ascii="Calibri" w:hAnsi="Calibri" w:cs="Calibri"/>
                      <w:color w:val="auto"/>
                      <w:kern w:val="0"/>
                      <w:szCs w:val="21"/>
                      <w:highlight w:val="none"/>
                      <w:lang w:bidi="ar"/>
                    </w:rPr>
                    <w:t>60</w:t>
                  </w:r>
                </w:p>
              </w:tc>
              <w:tc>
                <w:tcPr>
                  <w:tcW w:w="1262" w:type="dxa"/>
                  <w:noWrap/>
                  <w:vAlign w:val="bottom"/>
                </w:tcPr>
                <w:p>
                  <w:pPr>
                    <w:widowControl/>
                    <w:jc w:val="center"/>
                    <w:textAlignment w:val="bottom"/>
                    <w:rPr>
                      <w:rFonts w:ascii="Calibri" w:hAnsi="Calibri" w:cs="Calibri"/>
                      <w:color w:val="auto"/>
                      <w:szCs w:val="21"/>
                      <w:highlight w:val="none"/>
                    </w:rPr>
                  </w:pPr>
                  <w:r>
                    <w:rPr>
                      <w:rFonts w:hint="eastAsia" w:ascii="Calibri" w:hAnsi="Calibri" w:cs="Calibri"/>
                      <w:color w:val="auto"/>
                      <w:kern w:val="0"/>
                      <w:szCs w:val="21"/>
                      <w:highlight w:val="none"/>
                      <w:lang w:bidi="ar"/>
                    </w:rPr>
                    <w:t>50</w:t>
                  </w:r>
                </w:p>
              </w:tc>
            </w:tr>
          </w:tbl>
          <w:p>
            <w:pPr>
              <w:pStyle w:val="50"/>
              <w:rPr>
                <w:rFonts w:hint="eastAsia" w:ascii="Times New Roman" w:hAnsi="Times New Roman"/>
                <w:color w:val="auto"/>
                <w:szCs w:val="24"/>
                <w:highlight w:val="none"/>
              </w:rPr>
            </w:pPr>
            <w:r>
              <w:rPr>
                <w:rFonts w:hint="eastAsia" w:ascii="Times New Roman" w:hAnsi="Times New Roman"/>
                <w:color w:val="auto"/>
                <w:szCs w:val="24"/>
                <w:highlight w:val="none"/>
              </w:rPr>
              <w:t>项目施工期执行《建筑施工场界环境噪声排放标准》（GB12523-2011）中相关标准，见表3-11;</w:t>
            </w:r>
          </w:p>
          <w:p>
            <w:pPr>
              <w:pStyle w:val="50"/>
              <w:jc w:val="center"/>
              <w:rPr>
                <w:rFonts w:hint="eastAsia" w:ascii="Times New Roman" w:hAnsi="Times New Roman"/>
                <w:b/>
                <w:bCs/>
                <w:color w:val="auto"/>
                <w:szCs w:val="24"/>
                <w:highlight w:val="none"/>
              </w:rPr>
            </w:pPr>
            <w:r>
              <w:rPr>
                <w:rFonts w:hint="eastAsia" w:ascii="Times New Roman" w:hAnsi="Times New Roman"/>
                <w:b/>
                <w:bCs/>
                <w:color w:val="auto"/>
                <w:szCs w:val="24"/>
                <w:highlight w:val="none"/>
              </w:rPr>
              <w:t>表3-11  建筑施工场界环境噪声排放标准单位dB(A)</w:t>
            </w:r>
          </w:p>
          <w:tbl>
            <w:tblPr>
              <w:tblStyle w:val="39"/>
              <w:tblW w:w="0" w:type="auto"/>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15" w:type="dxa"/>
                <w:left w:w="15" w:type="dxa"/>
                <w:bottom w:w="15" w:type="dxa"/>
                <w:right w:w="15" w:type="dxa"/>
              </w:tblCellMar>
            </w:tblPr>
            <w:tblGrid>
              <w:gridCol w:w="1384"/>
              <w:gridCol w:w="714"/>
              <w:gridCol w:w="383"/>
              <w:gridCol w:w="714"/>
              <w:gridCol w:w="387"/>
              <w:gridCol w:w="4752"/>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345" w:hRule="atLeast"/>
              </w:trPr>
              <w:tc>
                <w:tcPr>
                  <w:tcW w:w="1384" w:type="dxa"/>
                  <w:noWrap/>
                  <w:vAlign w:val="center"/>
                </w:tcPr>
                <w:p>
                  <w:pPr>
                    <w:widowControl/>
                    <w:jc w:val="center"/>
                    <w:textAlignment w:val="bottom"/>
                    <w:rPr>
                      <w:rFonts w:ascii="Calibri" w:hAnsi="Calibri" w:cs="Calibri"/>
                      <w:color w:val="auto"/>
                      <w:szCs w:val="21"/>
                      <w:highlight w:val="none"/>
                    </w:rPr>
                  </w:pPr>
                  <w:r>
                    <w:rPr>
                      <w:rFonts w:ascii="Calibri" w:hAnsi="Calibri" w:cs="Calibri"/>
                      <w:color w:val="auto"/>
                      <w:kern w:val="0"/>
                      <w:szCs w:val="21"/>
                      <w:highlight w:val="none"/>
                      <w:lang w:bidi="ar"/>
                    </w:rPr>
                    <w:t>排污类别</w:t>
                  </w:r>
                </w:p>
              </w:tc>
              <w:tc>
                <w:tcPr>
                  <w:tcW w:w="2198" w:type="dxa"/>
                  <w:gridSpan w:val="4"/>
                  <w:noWrap/>
                  <w:vAlign w:val="center"/>
                </w:tcPr>
                <w:p>
                  <w:pPr>
                    <w:widowControl/>
                    <w:jc w:val="center"/>
                    <w:textAlignment w:val="bottom"/>
                    <w:rPr>
                      <w:rFonts w:ascii="Calibri" w:hAnsi="Calibri" w:cs="Calibri"/>
                      <w:color w:val="auto"/>
                      <w:szCs w:val="21"/>
                      <w:highlight w:val="none"/>
                    </w:rPr>
                  </w:pPr>
                  <w:r>
                    <w:rPr>
                      <w:rFonts w:ascii="Calibri" w:hAnsi="Calibri" w:cs="Calibri"/>
                      <w:color w:val="auto"/>
                      <w:kern w:val="0"/>
                      <w:szCs w:val="21"/>
                      <w:highlight w:val="none"/>
                      <w:lang w:bidi="ar"/>
                    </w:rPr>
                    <w:t>标准限值</w:t>
                  </w:r>
                </w:p>
              </w:tc>
              <w:tc>
                <w:tcPr>
                  <w:tcW w:w="4752" w:type="dxa"/>
                  <w:noWrap/>
                  <w:vAlign w:val="center"/>
                </w:tcPr>
                <w:p>
                  <w:pPr>
                    <w:widowControl/>
                    <w:jc w:val="center"/>
                    <w:textAlignment w:val="bottom"/>
                    <w:rPr>
                      <w:rFonts w:ascii="Calibri" w:hAnsi="Calibri" w:cs="Calibri"/>
                      <w:color w:val="auto"/>
                      <w:szCs w:val="21"/>
                      <w:highlight w:val="none"/>
                    </w:rPr>
                  </w:pPr>
                  <w:r>
                    <w:rPr>
                      <w:rFonts w:ascii="Calibri" w:hAnsi="Calibri" w:cs="Calibri"/>
                      <w:color w:val="auto"/>
                      <w:kern w:val="0"/>
                      <w:szCs w:val="21"/>
                      <w:highlight w:val="none"/>
                      <w:lang w:bidi="ar"/>
                    </w:rPr>
                    <w:t>标准来源</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615" w:hRule="atLeast"/>
              </w:trPr>
              <w:tc>
                <w:tcPr>
                  <w:tcW w:w="1384" w:type="dxa"/>
                  <w:noWrap/>
                  <w:vAlign w:val="center"/>
                </w:tcPr>
                <w:p>
                  <w:pPr>
                    <w:widowControl/>
                    <w:jc w:val="center"/>
                    <w:textAlignment w:val="bottom"/>
                    <w:rPr>
                      <w:rFonts w:ascii="Calibri" w:hAnsi="Calibri" w:cs="Calibri"/>
                      <w:color w:val="auto"/>
                      <w:szCs w:val="21"/>
                      <w:highlight w:val="none"/>
                    </w:rPr>
                  </w:pPr>
                  <w:r>
                    <w:rPr>
                      <w:rFonts w:ascii="Calibri" w:hAnsi="Calibri" w:cs="Calibri"/>
                      <w:color w:val="auto"/>
                      <w:kern w:val="0"/>
                      <w:szCs w:val="21"/>
                      <w:highlight w:val="none"/>
                      <w:lang w:bidi="ar"/>
                    </w:rPr>
                    <w:t>噪声</w:t>
                  </w:r>
                </w:p>
              </w:tc>
              <w:tc>
                <w:tcPr>
                  <w:tcW w:w="714" w:type="dxa"/>
                  <w:noWrap/>
                  <w:vAlign w:val="center"/>
                </w:tcPr>
                <w:p>
                  <w:pPr>
                    <w:widowControl/>
                    <w:jc w:val="center"/>
                    <w:textAlignment w:val="bottom"/>
                    <w:rPr>
                      <w:rFonts w:ascii="Calibri" w:hAnsi="Calibri" w:cs="Calibri"/>
                      <w:color w:val="auto"/>
                      <w:szCs w:val="21"/>
                      <w:highlight w:val="none"/>
                    </w:rPr>
                  </w:pPr>
                  <w:r>
                    <w:rPr>
                      <w:rFonts w:ascii="Calibri" w:hAnsi="Calibri" w:cs="Calibri"/>
                      <w:color w:val="auto"/>
                      <w:kern w:val="0"/>
                      <w:szCs w:val="21"/>
                      <w:highlight w:val="none"/>
                      <w:lang w:bidi="ar"/>
                    </w:rPr>
                    <w:t>昼间</w:t>
                  </w:r>
                </w:p>
              </w:tc>
              <w:tc>
                <w:tcPr>
                  <w:tcW w:w="383" w:type="dxa"/>
                  <w:noWrap/>
                  <w:vAlign w:val="center"/>
                </w:tcPr>
                <w:p>
                  <w:pPr>
                    <w:widowControl/>
                    <w:jc w:val="center"/>
                    <w:textAlignment w:val="bottom"/>
                    <w:rPr>
                      <w:rFonts w:ascii="Calibri" w:hAnsi="Calibri" w:cs="Calibri"/>
                      <w:color w:val="auto"/>
                      <w:szCs w:val="21"/>
                      <w:highlight w:val="none"/>
                    </w:rPr>
                  </w:pPr>
                  <w:r>
                    <w:rPr>
                      <w:rFonts w:ascii="Calibri" w:hAnsi="Calibri" w:cs="Calibri"/>
                      <w:color w:val="auto"/>
                      <w:kern w:val="0"/>
                      <w:szCs w:val="21"/>
                      <w:highlight w:val="none"/>
                      <w:lang w:bidi="ar"/>
                    </w:rPr>
                    <w:t>70</w:t>
                  </w:r>
                </w:p>
              </w:tc>
              <w:tc>
                <w:tcPr>
                  <w:tcW w:w="714" w:type="dxa"/>
                  <w:noWrap/>
                  <w:vAlign w:val="center"/>
                </w:tcPr>
                <w:p>
                  <w:pPr>
                    <w:widowControl/>
                    <w:jc w:val="center"/>
                    <w:textAlignment w:val="bottom"/>
                    <w:rPr>
                      <w:rFonts w:ascii="Calibri" w:hAnsi="Calibri" w:cs="Calibri"/>
                      <w:color w:val="auto"/>
                      <w:szCs w:val="21"/>
                      <w:highlight w:val="none"/>
                    </w:rPr>
                  </w:pPr>
                  <w:r>
                    <w:rPr>
                      <w:rFonts w:ascii="Calibri" w:hAnsi="Calibri" w:cs="Calibri"/>
                      <w:color w:val="auto"/>
                      <w:kern w:val="0"/>
                      <w:szCs w:val="21"/>
                      <w:highlight w:val="none"/>
                      <w:lang w:bidi="ar"/>
                    </w:rPr>
                    <w:t>夜间</w:t>
                  </w:r>
                </w:p>
              </w:tc>
              <w:tc>
                <w:tcPr>
                  <w:tcW w:w="387" w:type="dxa"/>
                  <w:noWrap/>
                  <w:vAlign w:val="center"/>
                </w:tcPr>
                <w:p>
                  <w:pPr>
                    <w:widowControl/>
                    <w:jc w:val="center"/>
                    <w:textAlignment w:val="bottom"/>
                    <w:rPr>
                      <w:rFonts w:ascii="Calibri" w:hAnsi="Calibri" w:cs="Calibri"/>
                      <w:color w:val="auto"/>
                      <w:szCs w:val="21"/>
                      <w:highlight w:val="none"/>
                    </w:rPr>
                  </w:pPr>
                  <w:r>
                    <w:rPr>
                      <w:rFonts w:ascii="Calibri" w:hAnsi="Calibri" w:cs="Calibri"/>
                      <w:color w:val="auto"/>
                      <w:kern w:val="0"/>
                      <w:szCs w:val="21"/>
                      <w:highlight w:val="none"/>
                      <w:lang w:bidi="ar"/>
                    </w:rPr>
                    <w:t>55</w:t>
                  </w:r>
                </w:p>
              </w:tc>
              <w:tc>
                <w:tcPr>
                  <w:tcW w:w="4752" w:type="dxa"/>
                  <w:noWrap/>
                  <w:vAlign w:val="center"/>
                </w:tcPr>
                <w:p>
                  <w:pPr>
                    <w:widowControl/>
                    <w:jc w:val="center"/>
                    <w:textAlignment w:val="bottom"/>
                    <w:rPr>
                      <w:rFonts w:ascii="Calibri" w:hAnsi="Calibri" w:cs="Calibri"/>
                      <w:color w:val="auto"/>
                      <w:szCs w:val="21"/>
                      <w:highlight w:val="none"/>
                    </w:rPr>
                  </w:pPr>
                  <w:r>
                    <w:rPr>
                      <w:rFonts w:ascii="Calibri" w:hAnsi="Calibri" w:cs="Calibri"/>
                      <w:color w:val="auto"/>
                      <w:kern w:val="0"/>
                      <w:szCs w:val="21"/>
                      <w:highlight w:val="none"/>
                      <w:lang w:bidi="ar"/>
                    </w:rPr>
                    <w:t>《建筑施工场界噪声排放标准》</w:t>
                  </w:r>
                  <w:r>
                    <w:rPr>
                      <w:rFonts w:ascii="Calibri" w:hAnsi="Calibri" w:cs="Calibri"/>
                      <w:color w:val="auto"/>
                      <w:kern w:val="0"/>
                      <w:szCs w:val="21"/>
                      <w:highlight w:val="none"/>
                      <w:lang w:bidi="ar"/>
                    </w:rPr>
                    <w:br w:type="textWrapping"/>
                  </w:r>
                  <w:r>
                    <w:rPr>
                      <w:rFonts w:ascii="Calibri" w:hAnsi="Calibri" w:cs="Calibri"/>
                      <w:color w:val="auto"/>
                      <w:kern w:val="0"/>
                      <w:szCs w:val="21"/>
                      <w:highlight w:val="none"/>
                      <w:lang w:bidi="ar"/>
                    </w:rPr>
                    <w:t>(GB12523-2011)</w:t>
                  </w:r>
                </w:p>
              </w:tc>
            </w:tr>
          </w:tbl>
          <w:p>
            <w:pPr>
              <w:pStyle w:val="50"/>
              <w:rPr>
                <w:rFonts w:hint="eastAsia"/>
                <w:color w:val="auto"/>
                <w:szCs w:val="24"/>
                <w:highlight w:val="none"/>
              </w:rPr>
            </w:pPr>
            <w:r>
              <w:rPr>
                <w:rFonts w:hint="eastAsia"/>
                <w:color w:val="auto"/>
                <w:szCs w:val="24"/>
                <w:highlight w:val="none"/>
              </w:rPr>
              <w:t>2、废气排放标准</w:t>
            </w:r>
          </w:p>
          <w:p>
            <w:pPr>
              <w:pStyle w:val="50"/>
              <w:rPr>
                <w:rFonts w:hint="eastAsia"/>
                <w:color w:val="auto"/>
                <w:szCs w:val="24"/>
                <w:highlight w:val="none"/>
              </w:rPr>
            </w:pPr>
            <w:r>
              <w:rPr>
                <w:rFonts w:hint="eastAsia"/>
                <w:color w:val="auto"/>
                <w:szCs w:val="24"/>
                <w:highlight w:val="none"/>
              </w:rPr>
              <w:t>(1）大气污染物综合排放标准</w:t>
            </w:r>
          </w:p>
          <w:p>
            <w:pPr>
              <w:pStyle w:val="50"/>
              <w:rPr>
                <w:rFonts w:hint="eastAsia"/>
                <w:color w:val="auto"/>
                <w:szCs w:val="24"/>
                <w:highlight w:val="none"/>
              </w:rPr>
            </w:pPr>
            <w:r>
              <w:rPr>
                <w:rFonts w:hint="eastAsia"/>
                <w:color w:val="auto"/>
                <w:szCs w:val="24"/>
                <w:highlight w:val="none"/>
              </w:rPr>
              <w:t>沥青拌合站沥青烟、苯并[a]芘、沥青储罐呼吸孔、轻质柴油储罐呼吸孔、非甲烷总</w:t>
            </w:r>
            <w:r>
              <w:rPr>
                <w:rFonts w:hint="eastAsia"/>
                <w:color w:val="auto"/>
                <w:szCs w:val="24"/>
                <w:highlight w:val="none"/>
                <w:lang w:val="en-US" w:eastAsia="zh-CN"/>
              </w:rPr>
              <w:t>烃</w:t>
            </w:r>
            <w:r>
              <w:rPr>
                <w:rFonts w:hint="eastAsia"/>
                <w:color w:val="auto"/>
                <w:szCs w:val="24"/>
                <w:highlight w:val="none"/>
              </w:rPr>
              <w:t>及粉料筒库颗粒物排放执行《大气污染物综合排放标准》(GB16297-1996）中二级标准。见表3-12;</w:t>
            </w:r>
          </w:p>
          <w:p>
            <w:pPr>
              <w:pStyle w:val="50"/>
              <w:jc w:val="center"/>
              <w:rPr>
                <w:rFonts w:hint="eastAsia"/>
                <w:b/>
                <w:bCs/>
                <w:color w:val="auto"/>
                <w:szCs w:val="24"/>
                <w:highlight w:val="none"/>
              </w:rPr>
            </w:pPr>
            <w:r>
              <w:rPr>
                <w:rFonts w:hint="eastAsia"/>
                <w:b/>
                <w:bCs/>
                <w:color w:val="auto"/>
                <w:szCs w:val="24"/>
                <w:highlight w:val="none"/>
              </w:rPr>
              <w:t>表3-12 大气污染物综合排放标准</w:t>
            </w:r>
          </w:p>
          <w:tbl>
            <w:tblPr>
              <w:tblStyle w:val="39"/>
              <w:tblW w:w="0" w:type="auto"/>
              <w:tblInd w:w="0" w:type="dxa"/>
              <w:tblLayout w:type="fixed"/>
              <w:tblCellMar>
                <w:top w:w="15" w:type="dxa"/>
                <w:left w:w="15" w:type="dxa"/>
                <w:bottom w:w="15" w:type="dxa"/>
                <w:right w:w="15" w:type="dxa"/>
              </w:tblCellMar>
            </w:tblPr>
            <w:tblGrid>
              <w:gridCol w:w="870"/>
              <w:gridCol w:w="1768"/>
              <w:gridCol w:w="1765"/>
              <w:gridCol w:w="1409"/>
              <w:gridCol w:w="2521"/>
            </w:tblGrid>
            <w:tr>
              <w:tblPrEx>
                <w:tblCellMar>
                  <w:top w:w="15" w:type="dxa"/>
                  <w:left w:w="15" w:type="dxa"/>
                  <w:bottom w:w="15" w:type="dxa"/>
                  <w:right w:w="15" w:type="dxa"/>
                </w:tblCellMar>
              </w:tblPrEx>
              <w:trPr>
                <w:trHeight w:val="345" w:hRule="atLeast"/>
              </w:trPr>
              <w:tc>
                <w:tcPr>
                  <w:tcW w:w="870" w:type="dxa"/>
                  <w:vMerge w:val="restart"/>
                  <w:tcBorders>
                    <w:top w:val="single" w:color="000000" w:sz="12" w:space="0"/>
                    <w:left w:val="nil"/>
                    <w:bottom w:val="single" w:color="000000" w:sz="4" w:space="0"/>
                    <w:right w:val="single" w:color="000000" w:sz="4" w:space="0"/>
                  </w:tcBorders>
                  <w:noWrap/>
                  <w:vAlign w:val="center"/>
                </w:tcPr>
                <w:p>
                  <w:pPr>
                    <w:widowControl/>
                    <w:jc w:val="center"/>
                    <w:textAlignment w:val="bottom"/>
                    <w:rPr>
                      <w:color w:val="auto"/>
                      <w:szCs w:val="21"/>
                      <w:highlight w:val="none"/>
                    </w:rPr>
                  </w:pPr>
                  <w:r>
                    <w:rPr>
                      <w:color w:val="auto"/>
                      <w:kern w:val="0"/>
                      <w:szCs w:val="21"/>
                      <w:highlight w:val="none"/>
                      <w:lang w:bidi="ar"/>
                    </w:rPr>
                    <w:t>污染物</w:t>
                  </w:r>
                </w:p>
              </w:tc>
              <w:tc>
                <w:tcPr>
                  <w:tcW w:w="1768" w:type="dxa"/>
                  <w:vMerge w:val="restart"/>
                  <w:tcBorders>
                    <w:top w:val="single" w:color="000000" w:sz="12" w:space="0"/>
                    <w:left w:val="single" w:color="000000" w:sz="4" w:space="0"/>
                    <w:bottom w:val="single" w:color="000000" w:sz="4" w:space="0"/>
                    <w:right w:val="single" w:color="000000" w:sz="4" w:space="0"/>
                  </w:tcBorders>
                  <w:noWrap/>
                  <w:vAlign w:val="center"/>
                </w:tcPr>
                <w:p>
                  <w:pPr>
                    <w:widowControl/>
                    <w:jc w:val="center"/>
                    <w:textAlignment w:val="bottom"/>
                    <w:rPr>
                      <w:color w:val="auto"/>
                      <w:szCs w:val="21"/>
                      <w:highlight w:val="none"/>
                    </w:rPr>
                  </w:pPr>
                  <w:r>
                    <w:rPr>
                      <w:color w:val="auto"/>
                      <w:kern w:val="0"/>
                      <w:szCs w:val="21"/>
                      <w:highlight w:val="none"/>
                      <w:lang w:bidi="ar"/>
                    </w:rPr>
                    <w:t>最高允许排放浓</w:t>
                  </w:r>
                  <w:r>
                    <w:rPr>
                      <w:color w:val="auto"/>
                      <w:kern w:val="0"/>
                      <w:szCs w:val="21"/>
                      <w:highlight w:val="none"/>
                      <w:lang w:bidi="ar"/>
                    </w:rPr>
                    <w:br w:type="textWrapping"/>
                  </w:r>
                  <w:r>
                    <w:rPr>
                      <w:color w:val="auto"/>
                      <w:kern w:val="0"/>
                      <w:szCs w:val="21"/>
                      <w:highlight w:val="none"/>
                      <w:lang w:bidi="ar"/>
                    </w:rPr>
                    <w:t>度（mg/m3)</w:t>
                  </w:r>
                </w:p>
              </w:tc>
              <w:tc>
                <w:tcPr>
                  <w:tcW w:w="3174" w:type="dxa"/>
                  <w:gridSpan w:val="2"/>
                  <w:tcBorders>
                    <w:top w:val="single" w:color="000000" w:sz="12" w:space="0"/>
                    <w:left w:val="single" w:color="000000" w:sz="4" w:space="0"/>
                    <w:bottom w:val="single" w:color="000000" w:sz="4" w:space="0"/>
                    <w:right w:val="single" w:color="000000" w:sz="4" w:space="0"/>
                  </w:tcBorders>
                  <w:noWrap/>
                  <w:vAlign w:val="center"/>
                </w:tcPr>
                <w:p>
                  <w:pPr>
                    <w:widowControl/>
                    <w:jc w:val="center"/>
                    <w:textAlignment w:val="bottom"/>
                    <w:rPr>
                      <w:color w:val="auto"/>
                      <w:szCs w:val="21"/>
                      <w:highlight w:val="none"/>
                    </w:rPr>
                  </w:pPr>
                  <w:r>
                    <w:rPr>
                      <w:color w:val="auto"/>
                      <w:kern w:val="0"/>
                      <w:szCs w:val="21"/>
                      <w:highlight w:val="none"/>
                      <w:lang w:bidi="ar"/>
                    </w:rPr>
                    <w:t>最高允许排放速率kg/h(二级)</w:t>
                  </w:r>
                </w:p>
              </w:tc>
              <w:tc>
                <w:tcPr>
                  <w:tcW w:w="2521" w:type="dxa"/>
                  <w:vMerge w:val="restart"/>
                  <w:tcBorders>
                    <w:top w:val="single" w:color="000000" w:sz="12" w:space="0"/>
                    <w:left w:val="single" w:color="000000" w:sz="4" w:space="0"/>
                    <w:bottom w:val="single" w:color="000000" w:sz="4" w:space="0"/>
                    <w:right w:val="nil"/>
                  </w:tcBorders>
                  <w:noWrap/>
                  <w:vAlign w:val="center"/>
                </w:tcPr>
                <w:p>
                  <w:pPr>
                    <w:widowControl/>
                    <w:jc w:val="center"/>
                    <w:textAlignment w:val="bottom"/>
                    <w:rPr>
                      <w:color w:val="auto"/>
                      <w:szCs w:val="21"/>
                      <w:highlight w:val="none"/>
                    </w:rPr>
                  </w:pPr>
                  <w:r>
                    <w:rPr>
                      <w:color w:val="auto"/>
                      <w:kern w:val="0"/>
                      <w:szCs w:val="21"/>
                      <w:highlight w:val="none"/>
                      <w:lang w:bidi="ar"/>
                    </w:rPr>
                    <w:t>无组织排放监控浓度限</w:t>
                  </w:r>
                  <w:r>
                    <w:rPr>
                      <w:color w:val="auto"/>
                      <w:kern w:val="0"/>
                      <w:szCs w:val="21"/>
                      <w:highlight w:val="none"/>
                      <w:lang w:bidi="ar"/>
                    </w:rPr>
                    <w:br w:type="textWrapping"/>
                  </w:r>
                  <w:r>
                    <w:rPr>
                      <w:color w:val="auto"/>
                      <w:kern w:val="0"/>
                      <w:szCs w:val="21"/>
                      <w:highlight w:val="none"/>
                      <w:lang w:bidi="ar"/>
                    </w:rPr>
                    <w:t>值(mg/m3)</w:t>
                  </w:r>
                </w:p>
              </w:tc>
            </w:tr>
            <w:tr>
              <w:tblPrEx>
                <w:tblCellMar>
                  <w:top w:w="15" w:type="dxa"/>
                  <w:left w:w="15" w:type="dxa"/>
                  <w:bottom w:w="15" w:type="dxa"/>
                  <w:right w:w="15" w:type="dxa"/>
                </w:tblCellMar>
              </w:tblPrEx>
              <w:trPr>
                <w:trHeight w:val="360" w:hRule="atLeast"/>
              </w:trPr>
              <w:tc>
                <w:tcPr>
                  <w:tcW w:w="870" w:type="dxa"/>
                  <w:vMerge w:val="continue"/>
                  <w:tcBorders>
                    <w:top w:val="single" w:color="000000" w:sz="4" w:space="0"/>
                    <w:left w:val="nil"/>
                    <w:bottom w:val="single" w:color="000000" w:sz="4" w:space="0"/>
                    <w:right w:val="single" w:color="000000" w:sz="4" w:space="0"/>
                  </w:tcBorders>
                  <w:noWrap/>
                  <w:vAlign w:val="center"/>
                </w:tcPr>
                <w:p>
                  <w:pPr>
                    <w:jc w:val="center"/>
                    <w:rPr>
                      <w:color w:val="auto"/>
                      <w:szCs w:val="21"/>
                      <w:highlight w:val="none"/>
                    </w:rPr>
                  </w:pPr>
                </w:p>
              </w:tc>
              <w:tc>
                <w:tcPr>
                  <w:tcW w:w="1768"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color w:val="auto"/>
                      <w:szCs w:val="21"/>
                      <w:highlight w:val="none"/>
                    </w:rPr>
                  </w:pPr>
                </w:p>
              </w:tc>
              <w:tc>
                <w:tcPr>
                  <w:tcW w:w="1765"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bottom"/>
                    <w:rPr>
                      <w:color w:val="auto"/>
                      <w:szCs w:val="21"/>
                      <w:highlight w:val="none"/>
                    </w:rPr>
                  </w:pPr>
                  <w:r>
                    <w:rPr>
                      <w:color w:val="auto"/>
                      <w:kern w:val="0"/>
                      <w:szCs w:val="21"/>
                      <w:highlight w:val="none"/>
                      <w:lang w:bidi="ar"/>
                    </w:rPr>
                    <w:t>烟囱高度m</w:t>
                  </w:r>
                </w:p>
              </w:tc>
              <w:tc>
                <w:tcPr>
                  <w:tcW w:w="140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bottom"/>
                    <w:rPr>
                      <w:color w:val="auto"/>
                      <w:szCs w:val="21"/>
                      <w:highlight w:val="none"/>
                    </w:rPr>
                  </w:pPr>
                  <w:r>
                    <w:rPr>
                      <w:color w:val="auto"/>
                      <w:kern w:val="0"/>
                      <w:szCs w:val="21"/>
                      <w:highlight w:val="none"/>
                      <w:lang w:bidi="ar"/>
                    </w:rPr>
                    <w:t>排放限值</w:t>
                  </w:r>
                </w:p>
              </w:tc>
              <w:tc>
                <w:tcPr>
                  <w:tcW w:w="2521" w:type="dxa"/>
                  <w:vMerge w:val="continue"/>
                  <w:tcBorders>
                    <w:top w:val="single" w:color="000000" w:sz="4" w:space="0"/>
                    <w:left w:val="single" w:color="000000" w:sz="4" w:space="0"/>
                    <w:bottom w:val="single" w:color="000000" w:sz="4" w:space="0"/>
                    <w:right w:val="nil"/>
                  </w:tcBorders>
                  <w:noWrap/>
                  <w:vAlign w:val="center"/>
                </w:tcPr>
                <w:p>
                  <w:pPr>
                    <w:jc w:val="center"/>
                    <w:rPr>
                      <w:color w:val="auto"/>
                      <w:szCs w:val="21"/>
                      <w:highlight w:val="none"/>
                    </w:rPr>
                  </w:pPr>
                </w:p>
              </w:tc>
            </w:tr>
            <w:tr>
              <w:tblPrEx>
                <w:tblCellMar>
                  <w:top w:w="15" w:type="dxa"/>
                  <w:left w:w="15" w:type="dxa"/>
                  <w:bottom w:w="15" w:type="dxa"/>
                  <w:right w:w="15" w:type="dxa"/>
                </w:tblCellMar>
              </w:tblPrEx>
              <w:trPr>
                <w:trHeight w:val="360" w:hRule="atLeast"/>
              </w:trPr>
              <w:tc>
                <w:tcPr>
                  <w:tcW w:w="870" w:type="dxa"/>
                  <w:tcBorders>
                    <w:top w:val="single" w:color="000000" w:sz="4" w:space="0"/>
                    <w:left w:val="nil"/>
                    <w:bottom w:val="single" w:color="000000" w:sz="4" w:space="0"/>
                    <w:right w:val="single" w:color="000000" w:sz="4" w:space="0"/>
                  </w:tcBorders>
                  <w:noWrap/>
                  <w:vAlign w:val="center"/>
                </w:tcPr>
                <w:p>
                  <w:pPr>
                    <w:widowControl/>
                    <w:jc w:val="center"/>
                    <w:textAlignment w:val="bottom"/>
                    <w:rPr>
                      <w:color w:val="auto"/>
                      <w:szCs w:val="21"/>
                      <w:highlight w:val="none"/>
                    </w:rPr>
                  </w:pPr>
                  <w:r>
                    <w:rPr>
                      <w:color w:val="auto"/>
                      <w:kern w:val="0"/>
                      <w:szCs w:val="21"/>
                      <w:highlight w:val="none"/>
                      <w:lang w:bidi="ar"/>
                    </w:rPr>
                    <w:t>颗粒物</w:t>
                  </w:r>
                </w:p>
              </w:tc>
              <w:tc>
                <w:tcPr>
                  <w:tcW w:w="176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bottom"/>
                    <w:rPr>
                      <w:color w:val="auto"/>
                      <w:szCs w:val="21"/>
                      <w:highlight w:val="none"/>
                    </w:rPr>
                  </w:pPr>
                  <w:r>
                    <w:rPr>
                      <w:color w:val="auto"/>
                      <w:kern w:val="0"/>
                      <w:szCs w:val="21"/>
                      <w:highlight w:val="none"/>
                      <w:lang w:bidi="ar"/>
                    </w:rPr>
                    <w:t>120</w:t>
                  </w:r>
                </w:p>
              </w:tc>
              <w:tc>
                <w:tcPr>
                  <w:tcW w:w="1765"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bottom"/>
                    <w:rPr>
                      <w:color w:val="auto"/>
                      <w:szCs w:val="21"/>
                      <w:highlight w:val="none"/>
                    </w:rPr>
                  </w:pPr>
                  <w:r>
                    <w:rPr>
                      <w:color w:val="auto"/>
                      <w:kern w:val="0"/>
                      <w:szCs w:val="21"/>
                      <w:highlight w:val="none"/>
                      <w:lang w:bidi="ar"/>
                    </w:rPr>
                    <w:t>15</w:t>
                  </w:r>
                </w:p>
              </w:tc>
              <w:tc>
                <w:tcPr>
                  <w:tcW w:w="140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bottom"/>
                    <w:rPr>
                      <w:color w:val="auto"/>
                      <w:szCs w:val="21"/>
                      <w:highlight w:val="none"/>
                    </w:rPr>
                  </w:pPr>
                  <w:r>
                    <w:rPr>
                      <w:color w:val="auto"/>
                      <w:kern w:val="0"/>
                      <w:szCs w:val="21"/>
                      <w:highlight w:val="none"/>
                      <w:lang w:bidi="ar"/>
                    </w:rPr>
                    <w:t>3.5</w:t>
                  </w:r>
                </w:p>
              </w:tc>
              <w:tc>
                <w:tcPr>
                  <w:tcW w:w="2521" w:type="dxa"/>
                  <w:tcBorders>
                    <w:top w:val="single" w:color="000000" w:sz="4" w:space="0"/>
                    <w:left w:val="single" w:color="000000" w:sz="4" w:space="0"/>
                    <w:bottom w:val="single" w:color="000000" w:sz="4" w:space="0"/>
                    <w:right w:val="nil"/>
                  </w:tcBorders>
                  <w:noWrap/>
                  <w:vAlign w:val="center"/>
                </w:tcPr>
                <w:p>
                  <w:pPr>
                    <w:widowControl/>
                    <w:jc w:val="center"/>
                    <w:textAlignment w:val="bottom"/>
                    <w:rPr>
                      <w:color w:val="auto"/>
                      <w:szCs w:val="21"/>
                      <w:highlight w:val="none"/>
                    </w:rPr>
                  </w:pPr>
                  <w:r>
                    <w:rPr>
                      <w:color w:val="auto"/>
                      <w:kern w:val="0"/>
                      <w:szCs w:val="21"/>
                      <w:highlight w:val="none"/>
                      <w:lang w:bidi="ar"/>
                    </w:rPr>
                    <w:t>1</w:t>
                  </w:r>
                </w:p>
              </w:tc>
            </w:tr>
            <w:tr>
              <w:tblPrEx>
                <w:tblCellMar>
                  <w:top w:w="15" w:type="dxa"/>
                  <w:left w:w="15" w:type="dxa"/>
                  <w:bottom w:w="15" w:type="dxa"/>
                  <w:right w:w="15" w:type="dxa"/>
                </w:tblCellMar>
              </w:tblPrEx>
              <w:trPr>
                <w:trHeight w:val="690" w:hRule="atLeast"/>
              </w:trPr>
              <w:tc>
                <w:tcPr>
                  <w:tcW w:w="870" w:type="dxa"/>
                  <w:tcBorders>
                    <w:top w:val="single" w:color="000000" w:sz="4" w:space="0"/>
                    <w:left w:val="nil"/>
                    <w:bottom w:val="single" w:color="000000" w:sz="4" w:space="0"/>
                    <w:right w:val="single" w:color="000000" w:sz="4" w:space="0"/>
                  </w:tcBorders>
                  <w:noWrap/>
                  <w:vAlign w:val="center"/>
                </w:tcPr>
                <w:p>
                  <w:pPr>
                    <w:widowControl/>
                    <w:jc w:val="center"/>
                    <w:textAlignment w:val="bottom"/>
                    <w:rPr>
                      <w:color w:val="auto"/>
                      <w:kern w:val="0"/>
                      <w:szCs w:val="21"/>
                      <w:highlight w:val="none"/>
                      <w:lang w:bidi="ar"/>
                    </w:rPr>
                  </w:pPr>
                  <w:r>
                    <w:rPr>
                      <w:rFonts w:hint="eastAsia"/>
                      <w:color w:val="auto"/>
                      <w:kern w:val="0"/>
                      <w:szCs w:val="21"/>
                      <w:highlight w:val="none"/>
                      <w:lang w:bidi="ar"/>
                    </w:rPr>
                    <w:t>二氧化硫</w:t>
                  </w:r>
                </w:p>
              </w:tc>
              <w:tc>
                <w:tcPr>
                  <w:tcW w:w="176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bottom"/>
                    <w:rPr>
                      <w:color w:val="auto"/>
                      <w:kern w:val="0"/>
                      <w:szCs w:val="21"/>
                      <w:highlight w:val="none"/>
                      <w:lang w:bidi="ar"/>
                    </w:rPr>
                  </w:pPr>
                  <w:r>
                    <w:rPr>
                      <w:rFonts w:hint="eastAsia"/>
                      <w:color w:val="auto"/>
                      <w:kern w:val="0"/>
                      <w:szCs w:val="21"/>
                      <w:highlight w:val="none"/>
                      <w:lang w:bidi="ar"/>
                    </w:rPr>
                    <w:t>550</w:t>
                  </w:r>
                </w:p>
              </w:tc>
              <w:tc>
                <w:tcPr>
                  <w:tcW w:w="1765"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bottom"/>
                    <w:rPr>
                      <w:color w:val="auto"/>
                      <w:kern w:val="0"/>
                      <w:szCs w:val="21"/>
                      <w:highlight w:val="none"/>
                      <w:lang w:bidi="ar"/>
                    </w:rPr>
                  </w:pPr>
                  <w:r>
                    <w:rPr>
                      <w:rFonts w:hint="eastAsia"/>
                      <w:color w:val="auto"/>
                      <w:kern w:val="0"/>
                      <w:szCs w:val="21"/>
                      <w:highlight w:val="none"/>
                      <w:lang w:bidi="ar"/>
                    </w:rPr>
                    <w:t>15</w:t>
                  </w:r>
                </w:p>
              </w:tc>
              <w:tc>
                <w:tcPr>
                  <w:tcW w:w="140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bottom"/>
                    <w:rPr>
                      <w:color w:val="auto"/>
                      <w:kern w:val="0"/>
                      <w:szCs w:val="21"/>
                      <w:highlight w:val="none"/>
                      <w:lang w:bidi="ar"/>
                    </w:rPr>
                  </w:pPr>
                  <w:r>
                    <w:rPr>
                      <w:rFonts w:hint="eastAsia"/>
                      <w:color w:val="auto"/>
                      <w:kern w:val="0"/>
                      <w:szCs w:val="21"/>
                      <w:highlight w:val="none"/>
                      <w:lang w:bidi="ar"/>
                    </w:rPr>
                    <w:t>2.6</w:t>
                  </w:r>
                </w:p>
              </w:tc>
              <w:tc>
                <w:tcPr>
                  <w:tcW w:w="2521" w:type="dxa"/>
                  <w:tcBorders>
                    <w:top w:val="single" w:color="000000" w:sz="4" w:space="0"/>
                    <w:left w:val="single" w:color="000000" w:sz="4" w:space="0"/>
                    <w:bottom w:val="single" w:color="000000" w:sz="4" w:space="0"/>
                    <w:right w:val="nil"/>
                  </w:tcBorders>
                  <w:noWrap/>
                  <w:vAlign w:val="center"/>
                </w:tcPr>
                <w:p>
                  <w:pPr>
                    <w:widowControl/>
                    <w:jc w:val="center"/>
                    <w:textAlignment w:val="bottom"/>
                    <w:rPr>
                      <w:color w:val="auto"/>
                      <w:kern w:val="0"/>
                      <w:szCs w:val="21"/>
                      <w:highlight w:val="none"/>
                      <w:lang w:bidi="ar"/>
                    </w:rPr>
                  </w:pPr>
                  <w:r>
                    <w:rPr>
                      <w:rFonts w:hint="eastAsia"/>
                      <w:color w:val="auto"/>
                      <w:kern w:val="0"/>
                      <w:szCs w:val="21"/>
                      <w:highlight w:val="none"/>
                      <w:lang w:bidi="ar"/>
                    </w:rPr>
                    <w:t>0.4</w:t>
                  </w:r>
                </w:p>
              </w:tc>
            </w:tr>
            <w:tr>
              <w:tblPrEx>
                <w:tblCellMar>
                  <w:top w:w="15" w:type="dxa"/>
                  <w:left w:w="15" w:type="dxa"/>
                  <w:bottom w:w="15" w:type="dxa"/>
                  <w:right w:w="15" w:type="dxa"/>
                </w:tblCellMar>
              </w:tblPrEx>
              <w:trPr>
                <w:trHeight w:val="690" w:hRule="atLeast"/>
              </w:trPr>
              <w:tc>
                <w:tcPr>
                  <w:tcW w:w="870" w:type="dxa"/>
                  <w:tcBorders>
                    <w:top w:val="single" w:color="000000" w:sz="4" w:space="0"/>
                    <w:left w:val="nil"/>
                    <w:bottom w:val="single" w:color="000000" w:sz="4" w:space="0"/>
                    <w:right w:val="single" w:color="000000" w:sz="4" w:space="0"/>
                  </w:tcBorders>
                  <w:noWrap/>
                  <w:vAlign w:val="center"/>
                </w:tcPr>
                <w:p>
                  <w:pPr>
                    <w:widowControl/>
                    <w:jc w:val="center"/>
                    <w:textAlignment w:val="bottom"/>
                    <w:rPr>
                      <w:color w:val="auto"/>
                      <w:kern w:val="0"/>
                      <w:szCs w:val="21"/>
                      <w:highlight w:val="none"/>
                      <w:lang w:bidi="ar"/>
                    </w:rPr>
                  </w:pPr>
                  <w:r>
                    <w:rPr>
                      <w:rFonts w:hint="eastAsia"/>
                      <w:color w:val="auto"/>
                      <w:kern w:val="0"/>
                      <w:szCs w:val="21"/>
                      <w:highlight w:val="none"/>
                      <w:lang w:bidi="ar"/>
                    </w:rPr>
                    <w:t>氮氧化物</w:t>
                  </w:r>
                </w:p>
              </w:tc>
              <w:tc>
                <w:tcPr>
                  <w:tcW w:w="176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bottom"/>
                    <w:rPr>
                      <w:color w:val="auto"/>
                      <w:kern w:val="0"/>
                      <w:szCs w:val="21"/>
                      <w:highlight w:val="none"/>
                      <w:lang w:bidi="ar"/>
                    </w:rPr>
                  </w:pPr>
                  <w:r>
                    <w:rPr>
                      <w:rFonts w:hint="eastAsia"/>
                      <w:color w:val="auto"/>
                      <w:kern w:val="0"/>
                      <w:szCs w:val="21"/>
                      <w:highlight w:val="none"/>
                      <w:lang w:bidi="ar"/>
                    </w:rPr>
                    <w:t>240</w:t>
                  </w:r>
                </w:p>
              </w:tc>
              <w:tc>
                <w:tcPr>
                  <w:tcW w:w="1765"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bottom"/>
                    <w:rPr>
                      <w:color w:val="auto"/>
                      <w:kern w:val="0"/>
                      <w:szCs w:val="21"/>
                      <w:highlight w:val="none"/>
                      <w:lang w:bidi="ar"/>
                    </w:rPr>
                  </w:pPr>
                  <w:r>
                    <w:rPr>
                      <w:rFonts w:hint="eastAsia"/>
                      <w:color w:val="auto"/>
                      <w:kern w:val="0"/>
                      <w:szCs w:val="21"/>
                      <w:highlight w:val="none"/>
                      <w:lang w:bidi="ar"/>
                    </w:rPr>
                    <w:t>15</w:t>
                  </w:r>
                </w:p>
              </w:tc>
              <w:tc>
                <w:tcPr>
                  <w:tcW w:w="140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bottom"/>
                    <w:rPr>
                      <w:color w:val="auto"/>
                      <w:kern w:val="0"/>
                      <w:szCs w:val="21"/>
                      <w:highlight w:val="none"/>
                      <w:lang w:bidi="ar"/>
                    </w:rPr>
                  </w:pPr>
                  <w:r>
                    <w:rPr>
                      <w:rFonts w:hint="eastAsia"/>
                      <w:color w:val="auto"/>
                      <w:kern w:val="0"/>
                      <w:szCs w:val="21"/>
                      <w:highlight w:val="none"/>
                      <w:lang w:bidi="ar"/>
                    </w:rPr>
                    <w:t>0.77</w:t>
                  </w:r>
                </w:p>
              </w:tc>
              <w:tc>
                <w:tcPr>
                  <w:tcW w:w="2521" w:type="dxa"/>
                  <w:tcBorders>
                    <w:top w:val="single" w:color="000000" w:sz="4" w:space="0"/>
                    <w:left w:val="single" w:color="000000" w:sz="4" w:space="0"/>
                    <w:bottom w:val="single" w:color="000000" w:sz="4" w:space="0"/>
                    <w:right w:val="nil"/>
                  </w:tcBorders>
                  <w:noWrap/>
                  <w:vAlign w:val="center"/>
                </w:tcPr>
                <w:p>
                  <w:pPr>
                    <w:widowControl/>
                    <w:jc w:val="center"/>
                    <w:textAlignment w:val="bottom"/>
                    <w:rPr>
                      <w:color w:val="auto"/>
                      <w:kern w:val="0"/>
                      <w:szCs w:val="21"/>
                      <w:highlight w:val="none"/>
                      <w:lang w:bidi="ar"/>
                    </w:rPr>
                  </w:pPr>
                  <w:r>
                    <w:rPr>
                      <w:rFonts w:hint="eastAsia"/>
                      <w:color w:val="auto"/>
                      <w:kern w:val="0"/>
                      <w:szCs w:val="21"/>
                      <w:highlight w:val="none"/>
                      <w:lang w:bidi="ar"/>
                    </w:rPr>
                    <w:t>0.12</w:t>
                  </w:r>
                </w:p>
              </w:tc>
            </w:tr>
            <w:tr>
              <w:tblPrEx>
                <w:tblCellMar>
                  <w:top w:w="15" w:type="dxa"/>
                  <w:left w:w="15" w:type="dxa"/>
                  <w:bottom w:w="15" w:type="dxa"/>
                  <w:right w:w="15" w:type="dxa"/>
                </w:tblCellMar>
              </w:tblPrEx>
              <w:trPr>
                <w:trHeight w:val="690" w:hRule="atLeast"/>
              </w:trPr>
              <w:tc>
                <w:tcPr>
                  <w:tcW w:w="870" w:type="dxa"/>
                  <w:tcBorders>
                    <w:top w:val="single" w:color="000000" w:sz="4" w:space="0"/>
                    <w:left w:val="nil"/>
                    <w:bottom w:val="single" w:color="000000" w:sz="4" w:space="0"/>
                    <w:right w:val="single" w:color="000000" w:sz="4" w:space="0"/>
                  </w:tcBorders>
                  <w:noWrap/>
                  <w:vAlign w:val="center"/>
                </w:tcPr>
                <w:p>
                  <w:pPr>
                    <w:widowControl/>
                    <w:jc w:val="center"/>
                    <w:textAlignment w:val="bottom"/>
                    <w:rPr>
                      <w:color w:val="auto"/>
                      <w:szCs w:val="21"/>
                      <w:highlight w:val="none"/>
                    </w:rPr>
                  </w:pPr>
                  <w:r>
                    <w:rPr>
                      <w:color w:val="auto"/>
                      <w:kern w:val="0"/>
                      <w:szCs w:val="21"/>
                      <w:highlight w:val="none"/>
                      <w:lang w:bidi="ar"/>
                    </w:rPr>
                    <w:t>沥青烟</w:t>
                  </w:r>
                </w:p>
              </w:tc>
              <w:tc>
                <w:tcPr>
                  <w:tcW w:w="176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bottom"/>
                    <w:rPr>
                      <w:color w:val="auto"/>
                      <w:szCs w:val="21"/>
                      <w:highlight w:val="none"/>
                    </w:rPr>
                  </w:pPr>
                  <w:r>
                    <w:rPr>
                      <w:color w:val="auto"/>
                      <w:kern w:val="0"/>
                      <w:szCs w:val="21"/>
                      <w:highlight w:val="none"/>
                      <w:lang w:bidi="ar"/>
                    </w:rPr>
                    <w:t>75</w:t>
                  </w:r>
                </w:p>
              </w:tc>
              <w:tc>
                <w:tcPr>
                  <w:tcW w:w="1765"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bottom"/>
                    <w:rPr>
                      <w:color w:val="auto"/>
                      <w:szCs w:val="21"/>
                      <w:highlight w:val="none"/>
                    </w:rPr>
                  </w:pPr>
                  <w:r>
                    <w:rPr>
                      <w:color w:val="auto"/>
                      <w:kern w:val="0"/>
                      <w:szCs w:val="21"/>
                      <w:highlight w:val="none"/>
                      <w:lang w:bidi="ar"/>
                    </w:rPr>
                    <w:t>15</w:t>
                  </w:r>
                </w:p>
              </w:tc>
              <w:tc>
                <w:tcPr>
                  <w:tcW w:w="140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bottom"/>
                    <w:rPr>
                      <w:color w:val="auto"/>
                      <w:szCs w:val="21"/>
                      <w:highlight w:val="none"/>
                    </w:rPr>
                  </w:pPr>
                  <w:r>
                    <w:rPr>
                      <w:color w:val="auto"/>
                      <w:kern w:val="0"/>
                      <w:szCs w:val="21"/>
                      <w:highlight w:val="none"/>
                      <w:lang w:bidi="ar"/>
                    </w:rPr>
                    <w:t>0.18</w:t>
                  </w:r>
                </w:p>
              </w:tc>
              <w:tc>
                <w:tcPr>
                  <w:tcW w:w="2521" w:type="dxa"/>
                  <w:tcBorders>
                    <w:top w:val="single" w:color="000000" w:sz="4" w:space="0"/>
                    <w:left w:val="single" w:color="000000" w:sz="4" w:space="0"/>
                    <w:bottom w:val="single" w:color="000000" w:sz="4" w:space="0"/>
                    <w:right w:val="nil"/>
                  </w:tcBorders>
                  <w:noWrap/>
                  <w:vAlign w:val="center"/>
                </w:tcPr>
                <w:p>
                  <w:pPr>
                    <w:widowControl/>
                    <w:jc w:val="center"/>
                    <w:textAlignment w:val="bottom"/>
                    <w:rPr>
                      <w:color w:val="auto"/>
                      <w:szCs w:val="21"/>
                      <w:highlight w:val="none"/>
                    </w:rPr>
                  </w:pPr>
                  <w:r>
                    <w:rPr>
                      <w:color w:val="auto"/>
                      <w:kern w:val="0"/>
                      <w:szCs w:val="21"/>
                      <w:highlight w:val="none"/>
                      <w:lang w:bidi="ar"/>
                    </w:rPr>
                    <w:t>生产设备不得有明显的</w:t>
                  </w:r>
                  <w:r>
                    <w:rPr>
                      <w:color w:val="auto"/>
                      <w:kern w:val="0"/>
                      <w:szCs w:val="21"/>
                      <w:highlight w:val="none"/>
                      <w:lang w:bidi="ar"/>
                    </w:rPr>
                    <w:br w:type="textWrapping"/>
                  </w:r>
                  <w:r>
                    <w:rPr>
                      <w:color w:val="auto"/>
                      <w:kern w:val="0"/>
                      <w:szCs w:val="21"/>
                      <w:highlight w:val="none"/>
                      <w:lang w:bidi="ar"/>
                    </w:rPr>
                    <w:t>无组织排放存在</w:t>
                  </w:r>
                </w:p>
              </w:tc>
            </w:tr>
            <w:tr>
              <w:tblPrEx>
                <w:tblCellMar>
                  <w:top w:w="15" w:type="dxa"/>
                  <w:left w:w="15" w:type="dxa"/>
                  <w:bottom w:w="15" w:type="dxa"/>
                  <w:right w:w="15" w:type="dxa"/>
                </w:tblCellMar>
              </w:tblPrEx>
              <w:trPr>
                <w:trHeight w:val="690" w:hRule="atLeast"/>
              </w:trPr>
              <w:tc>
                <w:tcPr>
                  <w:tcW w:w="870" w:type="dxa"/>
                  <w:tcBorders>
                    <w:top w:val="single" w:color="000000" w:sz="4" w:space="0"/>
                    <w:left w:val="nil"/>
                    <w:bottom w:val="single" w:color="000000" w:sz="4" w:space="0"/>
                    <w:right w:val="single" w:color="000000" w:sz="4" w:space="0"/>
                  </w:tcBorders>
                  <w:noWrap/>
                  <w:vAlign w:val="center"/>
                </w:tcPr>
                <w:p>
                  <w:pPr>
                    <w:widowControl/>
                    <w:jc w:val="center"/>
                    <w:textAlignment w:val="bottom"/>
                    <w:rPr>
                      <w:rFonts w:hint="eastAsia" w:eastAsia="宋体"/>
                      <w:color w:val="auto"/>
                      <w:szCs w:val="21"/>
                      <w:highlight w:val="none"/>
                      <w:lang w:eastAsia="zh-CN"/>
                    </w:rPr>
                  </w:pPr>
                  <w:r>
                    <w:rPr>
                      <w:color w:val="auto"/>
                      <w:kern w:val="0"/>
                      <w:szCs w:val="21"/>
                      <w:highlight w:val="none"/>
                      <w:lang w:bidi="ar"/>
                    </w:rPr>
                    <w:t>非甲烷</w:t>
                  </w:r>
                  <w:r>
                    <w:rPr>
                      <w:color w:val="auto"/>
                      <w:kern w:val="0"/>
                      <w:szCs w:val="21"/>
                      <w:highlight w:val="none"/>
                      <w:lang w:bidi="ar"/>
                    </w:rPr>
                    <w:br w:type="textWrapping"/>
                  </w:r>
                  <w:r>
                    <w:rPr>
                      <w:color w:val="auto"/>
                      <w:kern w:val="0"/>
                      <w:szCs w:val="21"/>
                      <w:highlight w:val="none"/>
                      <w:lang w:bidi="ar"/>
                    </w:rPr>
                    <w:t>总</w:t>
                  </w:r>
                  <w:r>
                    <w:rPr>
                      <w:rFonts w:hint="eastAsia"/>
                      <w:color w:val="auto"/>
                      <w:kern w:val="0"/>
                      <w:szCs w:val="21"/>
                      <w:highlight w:val="none"/>
                      <w:lang w:val="en-US" w:eastAsia="zh-CN" w:bidi="ar"/>
                    </w:rPr>
                    <w:t>烃</w:t>
                  </w:r>
                </w:p>
              </w:tc>
              <w:tc>
                <w:tcPr>
                  <w:tcW w:w="176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bottom"/>
                    <w:rPr>
                      <w:color w:val="auto"/>
                      <w:szCs w:val="21"/>
                      <w:highlight w:val="none"/>
                    </w:rPr>
                  </w:pPr>
                  <w:r>
                    <w:rPr>
                      <w:color w:val="auto"/>
                      <w:kern w:val="0"/>
                      <w:szCs w:val="21"/>
                      <w:highlight w:val="none"/>
                      <w:lang w:bidi="ar"/>
                    </w:rPr>
                    <w:t>120</w:t>
                  </w:r>
                </w:p>
              </w:tc>
              <w:tc>
                <w:tcPr>
                  <w:tcW w:w="176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color w:val="auto"/>
                      <w:szCs w:val="21"/>
                      <w:highlight w:val="none"/>
                    </w:rPr>
                  </w:pPr>
                  <w:r>
                    <w:rPr>
                      <w:rFonts w:hint="eastAsia"/>
                      <w:color w:val="auto"/>
                      <w:szCs w:val="21"/>
                      <w:highlight w:val="none"/>
                    </w:rPr>
                    <w:t>/</w:t>
                  </w:r>
                </w:p>
              </w:tc>
              <w:tc>
                <w:tcPr>
                  <w:tcW w:w="1409"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color w:val="auto"/>
                      <w:szCs w:val="21"/>
                      <w:highlight w:val="none"/>
                    </w:rPr>
                  </w:pPr>
                  <w:r>
                    <w:rPr>
                      <w:rFonts w:hint="eastAsia"/>
                      <w:color w:val="auto"/>
                      <w:szCs w:val="21"/>
                      <w:highlight w:val="none"/>
                    </w:rPr>
                    <w:t>/</w:t>
                  </w:r>
                </w:p>
              </w:tc>
              <w:tc>
                <w:tcPr>
                  <w:tcW w:w="2521" w:type="dxa"/>
                  <w:tcBorders>
                    <w:top w:val="single" w:color="000000" w:sz="4" w:space="0"/>
                    <w:left w:val="single" w:color="000000" w:sz="4" w:space="0"/>
                    <w:bottom w:val="single" w:color="000000" w:sz="4" w:space="0"/>
                    <w:right w:val="nil"/>
                  </w:tcBorders>
                  <w:noWrap/>
                  <w:vAlign w:val="center"/>
                </w:tcPr>
                <w:p>
                  <w:pPr>
                    <w:widowControl/>
                    <w:jc w:val="center"/>
                    <w:textAlignment w:val="bottom"/>
                    <w:rPr>
                      <w:color w:val="auto"/>
                      <w:szCs w:val="21"/>
                      <w:highlight w:val="none"/>
                    </w:rPr>
                  </w:pPr>
                  <w:r>
                    <w:rPr>
                      <w:color w:val="auto"/>
                      <w:kern w:val="0"/>
                      <w:szCs w:val="21"/>
                      <w:highlight w:val="none"/>
                      <w:lang w:bidi="ar"/>
                    </w:rPr>
                    <w:t>4</w:t>
                  </w:r>
                </w:p>
              </w:tc>
            </w:tr>
            <w:tr>
              <w:tblPrEx>
                <w:tblCellMar>
                  <w:top w:w="15" w:type="dxa"/>
                  <w:left w:w="15" w:type="dxa"/>
                  <w:bottom w:w="15" w:type="dxa"/>
                  <w:right w:w="15" w:type="dxa"/>
                </w:tblCellMar>
              </w:tblPrEx>
              <w:trPr>
                <w:trHeight w:val="690" w:hRule="atLeast"/>
              </w:trPr>
              <w:tc>
                <w:tcPr>
                  <w:tcW w:w="870" w:type="dxa"/>
                  <w:tcBorders>
                    <w:top w:val="single" w:color="000000" w:sz="4" w:space="0"/>
                    <w:left w:val="nil"/>
                    <w:bottom w:val="single" w:color="000000" w:sz="12" w:space="0"/>
                    <w:right w:val="single" w:color="000000" w:sz="4" w:space="0"/>
                  </w:tcBorders>
                  <w:noWrap/>
                  <w:vAlign w:val="center"/>
                </w:tcPr>
                <w:p>
                  <w:pPr>
                    <w:widowControl/>
                    <w:jc w:val="center"/>
                    <w:textAlignment w:val="bottom"/>
                    <w:rPr>
                      <w:color w:val="auto"/>
                      <w:kern w:val="0"/>
                      <w:szCs w:val="21"/>
                      <w:highlight w:val="none"/>
                      <w:lang w:bidi="ar"/>
                    </w:rPr>
                  </w:pPr>
                  <w:r>
                    <w:rPr>
                      <w:rFonts w:hint="eastAsia"/>
                      <w:color w:val="auto"/>
                      <w:kern w:val="0"/>
                      <w:szCs w:val="21"/>
                      <w:highlight w:val="none"/>
                      <w:lang w:bidi="ar"/>
                    </w:rPr>
                    <w:t>苯并芘</w:t>
                  </w:r>
                </w:p>
              </w:tc>
              <w:tc>
                <w:tcPr>
                  <w:tcW w:w="1768" w:type="dxa"/>
                  <w:tcBorders>
                    <w:top w:val="single" w:color="000000" w:sz="4" w:space="0"/>
                    <w:left w:val="single" w:color="000000" w:sz="4" w:space="0"/>
                    <w:bottom w:val="single" w:color="000000" w:sz="12" w:space="0"/>
                    <w:right w:val="single" w:color="000000" w:sz="4" w:space="0"/>
                  </w:tcBorders>
                  <w:noWrap/>
                  <w:vAlign w:val="center"/>
                </w:tcPr>
                <w:p>
                  <w:pPr>
                    <w:widowControl/>
                    <w:jc w:val="center"/>
                    <w:textAlignment w:val="bottom"/>
                    <w:rPr>
                      <w:color w:val="auto"/>
                      <w:kern w:val="0"/>
                      <w:szCs w:val="21"/>
                      <w:highlight w:val="none"/>
                      <w:lang w:bidi="ar"/>
                    </w:rPr>
                  </w:pPr>
                  <w:r>
                    <w:rPr>
                      <w:rFonts w:hint="eastAsia"/>
                      <w:color w:val="auto"/>
                      <w:kern w:val="0"/>
                      <w:szCs w:val="21"/>
                      <w:highlight w:val="none"/>
                      <w:lang w:bidi="ar"/>
                    </w:rPr>
                    <w:t>0.30*10</w:t>
                  </w:r>
                  <w:r>
                    <w:rPr>
                      <w:rFonts w:hint="eastAsia"/>
                      <w:color w:val="auto"/>
                      <w:kern w:val="0"/>
                      <w:szCs w:val="21"/>
                      <w:highlight w:val="none"/>
                      <w:vertAlign w:val="superscript"/>
                      <w:lang w:bidi="ar"/>
                    </w:rPr>
                    <w:t>-3</w:t>
                  </w:r>
                </w:p>
              </w:tc>
              <w:tc>
                <w:tcPr>
                  <w:tcW w:w="1765" w:type="dxa"/>
                  <w:tcBorders>
                    <w:top w:val="single" w:color="000000" w:sz="4" w:space="0"/>
                    <w:left w:val="single" w:color="000000" w:sz="4" w:space="0"/>
                    <w:bottom w:val="single" w:color="000000" w:sz="12" w:space="0"/>
                    <w:right w:val="single" w:color="000000" w:sz="4" w:space="0"/>
                  </w:tcBorders>
                  <w:noWrap/>
                  <w:vAlign w:val="center"/>
                </w:tcPr>
                <w:p>
                  <w:pPr>
                    <w:jc w:val="center"/>
                    <w:rPr>
                      <w:color w:val="auto"/>
                      <w:szCs w:val="21"/>
                      <w:highlight w:val="none"/>
                    </w:rPr>
                  </w:pPr>
                  <w:r>
                    <w:rPr>
                      <w:rFonts w:hint="eastAsia"/>
                      <w:color w:val="auto"/>
                      <w:szCs w:val="21"/>
                      <w:highlight w:val="none"/>
                    </w:rPr>
                    <w:t>15</w:t>
                  </w:r>
                </w:p>
              </w:tc>
              <w:tc>
                <w:tcPr>
                  <w:tcW w:w="1409" w:type="dxa"/>
                  <w:tcBorders>
                    <w:top w:val="single" w:color="000000" w:sz="4" w:space="0"/>
                    <w:left w:val="single" w:color="000000" w:sz="4" w:space="0"/>
                    <w:bottom w:val="single" w:color="000000" w:sz="12" w:space="0"/>
                    <w:right w:val="single" w:color="000000" w:sz="4" w:space="0"/>
                  </w:tcBorders>
                  <w:noWrap/>
                  <w:vAlign w:val="center"/>
                </w:tcPr>
                <w:p>
                  <w:pPr>
                    <w:jc w:val="center"/>
                    <w:rPr>
                      <w:color w:val="auto"/>
                      <w:szCs w:val="21"/>
                      <w:highlight w:val="none"/>
                    </w:rPr>
                  </w:pPr>
                  <w:r>
                    <w:rPr>
                      <w:rFonts w:hint="eastAsia"/>
                      <w:color w:val="auto"/>
                      <w:szCs w:val="21"/>
                      <w:highlight w:val="none"/>
                    </w:rPr>
                    <w:t>0.05</w:t>
                  </w:r>
                  <w:r>
                    <w:rPr>
                      <w:rFonts w:hint="eastAsia"/>
                      <w:color w:val="auto"/>
                      <w:kern w:val="0"/>
                      <w:szCs w:val="21"/>
                      <w:highlight w:val="none"/>
                      <w:lang w:bidi="ar"/>
                    </w:rPr>
                    <w:t>*10</w:t>
                  </w:r>
                  <w:r>
                    <w:rPr>
                      <w:rFonts w:hint="eastAsia"/>
                      <w:color w:val="auto"/>
                      <w:kern w:val="0"/>
                      <w:szCs w:val="21"/>
                      <w:highlight w:val="none"/>
                      <w:vertAlign w:val="superscript"/>
                      <w:lang w:bidi="ar"/>
                    </w:rPr>
                    <w:t>-3</w:t>
                  </w:r>
                </w:p>
              </w:tc>
              <w:tc>
                <w:tcPr>
                  <w:tcW w:w="2521" w:type="dxa"/>
                  <w:tcBorders>
                    <w:top w:val="single" w:color="000000" w:sz="4" w:space="0"/>
                    <w:left w:val="single" w:color="000000" w:sz="4" w:space="0"/>
                    <w:bottom w:val="single" w:color="000000" w:sz="12" w:space="0"/>
                    <w:right w:val="nil"/>
                  </w:tcBorders>
                  <w:noWrap/>
                  <w:vAlign w:val="center"/>
                </w:tcPr>
                <w:p>
                  <w:pPr>
                    <w:widowControl/>
                    <w:jc w:val="center"/>
                    <w:textAlignment w:val="bottom"/>
                    <w:rPr>
                      <w:color w:val="auto"/>
                      <w:kern w:val="0"/>
                      <w:szCs w:val="21"/>
                      <w:highlight w:val="none"/>
                      <w:lang w:bidi="ar"/>
                    </w:rPr>
                  </w:pPr>
                  <w:r>
                    <w:rPr>
                      <w:rFonts w:hint="eastAsia"/>
                      <w:color w:val="auto"/>
                      <w:kern w:val="0"/>
                      <w:szCs w:val="21"/>
                      <w:highlight w:val="none"/>
                      <w:lang w:bidi="ar"/>
                    </w:rPr>
                    <w:t>0.008*10</w:t>
                  </w:r>
                  <w:r>
                    <w:rPr>
                      <w:rFonts w:hint="eastAsia"/>
                      <w:color w:val="auto"/>
                      <w:kern w:val="0"/>
                      <w:szCs w:val="21"/>
                      <w:highlight w:val="none"/>
                      <w:vertAlign w:val="superscript"/>
                      <w:lang w:bidi="ar"/>
                    </w:rPr>
                    <w:t>-3</w:t>
                  </w:r>
                </w:p>
              </w:tc>
            </w:tr>
          </w:tbl>
          <w:p>
            <w:pPr>
              <w:pStyle w:val="50"/>
              <w:rPr>
                <w:rFonts w:hint="eastAsia"/>
                <w:color w:val="auto"/>
                <w:szCs w:val="24"/>
                <w:highlight w:val="none"/>
              </w:rPr>
            </w:pPr>
            <w:r>
              <w:rPr>
                <w:rFonts w:hint="eastAsia"/>
                <w:color w:val="auto"/>
                <w:szCs w:val="24"/>
                <w:highlight w:val="none"/>
              </w:rPr>
              <w:t>项目运营期烘干系统（燃天然气）燃烧器，经引风机将热量用于加热及干燥石料，功能等同于热风炉。废气排放执行《工业炉窑大气污染物排放标准》（GB9078-1996）中1997年1月1日后新改扩建的二级标准，具体建表3-13；项目导热油炉（有机热载体锅炉）燃气废气执行《锅炉大气污染物排放标准》(GB13271-2014)表3中燃气(天然气）锅炉大气污染物排放标准浓度限值，标准限值见下表3-14。</w:t>
            </w:r>
          </w:p>
          <w:p>
            <w:pPr>
              <w:pStyle w:val="50"/>
              <w:jc w:val="center"/>
              <w:rPr>
                <w:b/>
                <w:bCs/>
                <w:color w:val="auto"/>
                <w:szCs w:val="24"/>
                <w:highlight w:val="none"/>
              </w:rPr>
            </w:pPr>
            <w:r>
              <w:rPr>
                <w:rFonts w:hint="eastAsia"/>
                <w:b/>
                <w:bCs/>
                <w:color w:val="auto"/>
                <w:szCs w:val="24"/>
                <w:highlight w:val="none"/>
              </w:rPr>
              <w:t>表3-13 《工业炉窑大气污染物排放标准》新污染源二级排放标准</w:t>
            </w:r>
          </w:p>
          <w:tbl>
            <w:tblPr>
              <w:tblStyle w:val="39"/>
              <w:tblW w:w="0" w:type="auto"/>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665"/>
              <w:gridCol w:w="1665"/>
              <w:gridCol w:w="1665"/>
              <w:gridCol w:w="1665"/>
              <w:gridCol w:w="166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665" w:type="dxa"/>
                  <w:vMerge w:val="restart"/>
                  <w:noWrap w:val="0"/>
                  <w:vAlign w:val="center"/>
                </w:tcPr>
                <w:p>
                  <w:pPr>
                    <w:widowControl/>
                    <w:jc w:val="center"/>
                    <w:textAlignment w:val="bottom"/>
                    <w:rPr>
                      <w:color w:val="auto"/>
                      <w:kern w:val="0"/>
                      <w:szCs w:val="21"/>
                      <w:highlight w:val="none"/>
                      <w:lang w:bidi="ar"/>
                    </w:rPr>
                  </w:pPr>
                  <w:r>
                    <w:rPr>
                      <w:rFonts w:hint="eastAsia"/>
                      <w:color w:val="auto"/>
                      <w:kern w:val="0"/>
                      <w:szCs w:val="21"/>
                      <w:highlight w:val="none"/>
                      <w:lang w:bidi="ar"/>
                    </w:rPr>
                    <w:t>炉窑类型</w:t>
                  </w:r>
                </w:p>
              </w:tc>
              <w:tc>
                <w:tcPr>
                  <w:tcW w:w="3330" w:type="dxa"/>
                  <w:gridSpan w:val="2"/>
                  <w:noWrap w:val="0"/>
                  <w:vAlign w:val="center"/>
                </w:tcPr>
                <w:p>
                  <w:pPr>
                    <w:widowControl/>
                    <w:jc w:val="center"/>
                    <w:textAlignment w:val="bottom"/>
                    <w:rPr>
                      <w:color w:val="auto"/>
                      <w:kern w:val="0"/>
                      <w:szCs w:val="21"/>
                      <w:highlight w:val="none"/>
                      <w:lang w:bidi="ar"/>
                    </w:rPr>
                  </w:pPr>
                  <w:r>
                    <w:rPr>
                      <w:rFonts w:hint="eastAsia"/>
                      <w:color w:val="auto"/>
                      <w:kern w:val="0"/>
                      <w:szCs w:val="21"/>
                      <w:highlight w:val="none"/>
                      <w:lang w:bidi="ar"/>
                    </w:rPr>
                    <w:t>烟（粉）尘（mg/m</w:t>
                  </w:r>
                  <w:r>
                    <w:rPr>
                      <w:rFonts w:hint="eastAsia"/>
                      <w:color w:val="auto"/>
                      <w:kern w:val="0"/>
                      <w:szCs w:val="21"/>
                      <w:highlight w:val="none"/>
                      <w:vertAlign w:val="superscript"/>
                      <w:lang w:bidi="ar"/>
                    </w:rPr>
                    <w:t>3</w:t>
                  </w:r>
                  <w:r>
                    <w:rPr>
                      <w:rFonts w:hint="eastAsia"/>
                      <w:color w:val="auto"/>
                      <w:kern w:val="0"/>
                      <w:szCs w:val="21"/>
                      <w:highlight w:val="none"/>
                      <w:lang w:bidi="ar"/>
                    </w:rPr>
                    <w:t>）</w:t>
                  </w:r>
                </w:p>
              </w:tc>
              <w:tc>
                <w:tcPr>
                  <w:tcW w:w="1665" w:type="dxa"/>
                  <w:vMerge w:val="restart"/>
                  <w:noWrap w:val="0"/>
                  <w:vAlign w:val="center"/>
                </w:tcPr>
                <w:p>
                  <w:pPr>
                    <w:widowControl/>
                    <w:jc w:val="center"/>
                    <w:textAlignment w:val="bottom"/>
                    <w:rPr>
                      <w:color w:val="auto"/>
                      <w:kern w:val="0"/>
                      <w:szCs w:val="21"/>
                      <w:highlight w:val="none"/>
                      <w:lang w:bidi="ar"/>
                    </w:rPr>
                  </w:pPr>
                  <w:r>
                    <w:rPr>
                      <w:rFonts w:hint="eastAsia"/>
                      <w:color w:val="auto"/>
                      <w:kern w:val="0"/>
                      <w:szCs w:val="21"/>
                      <w:highlight w:val="none"/>
                      <w:lang w:bidi="ar"/>
                    </w:rPr>
                    <w:t>SO</w:t>
                  </w:r>
                  <w:r>
                    <w:rPr>
                      <w:rFonts w:hint="eastAsia"/>
                      <w:color w:val="auto"/>
                      <w:kern w:val="0"/>
                      <w:szCs w:val="21"/>
                      <w:highlight w:val="none"/>
                      <w:vertAlign w:val="subscript"/>
                      <w:lang w:bidi="ar"/>
                    </w:rPr>
                    <w:t>2</w:t>
                  </w:r>
                  <w:r>
                    <w:rPr>
                      <w:rFonts w:hint="eastAsia"/>
                      <w:color w:val="auto"/>
                      <w:kern w:val="0"/>
                      <w:szCs w:val="21"/>
                      <w:highlight w:val="none"/>
                      <w:lang w:bidi="ar"/>
                    </w:rPr>
                    <w:t>（mg/m</w:t>
                  </w:r>
                  <w:r>
                    <w:rPr>
                      <w:rFonts w:hint="eastAsia"/>
                      <w:color w:val="auto"/>
                      <w:kern w:val="0"/>
                      <w:szCs w:val="21"/>
                      <w:highlight w:val="none"/>
                      <w:vertAlign w:val="superscript"/>
                      <w:lang w:bidi="ar"/>
                    </w:rPr>
                    <w:t>3</w:t>
                  </w:r>
                  <w:r>
                    <w:rPr>
                      <w:rFonts w:hint="eastAsia"/>
                      <w:color w:val="auto"/>
                      <w:kern w:val="0"/>
                      <w:szCs w:val="21"/>
                      <w:highlight w:val="none"/>
                      <w:lang w:bidi="ar"/>
                    </w:rPr>
                    <w:t>）</w:t>
                  </w:r>
                </w:p>
              </w:tc>
              <w:tc>
                <w:tcPr>
                  <w:tcW w:w="1666" w:type="dxa"/>
                  <w:vMerge w:val="restart"/>
                  <w:noWrap w:val="0"/>
                  <w:vAlign w:val="center"/>
                </w:tcPr>
                <w:p>
                  <w:pPr>
                    <w:widowControl/>
                    <w:jc w:val="center"/>
                    <w:textAlignment w:val="bottom"/>
                    <w:rPr>
                      <w:color w:val="auto"/>
                      <w:kern w:val="0"/>
                      <w:szCs w:val="21"/>
                      <w:highlight w:val="none"/>
                      <w:lang w:bidi="ar"/>
                    </w:rPr>
                  </w:pPr>
                  <w:r>
                    <w:rPr>
                      <w:rFonts w:hint="eastAsia"/>
                      <w:color w:val="auto"/>
                      <w:kern w:val="0"/>
                      <w:szCs w:val="21"/>
                      <w:highlight w:val="none"/>
                      <w:lang w:bidi="ar"/>
                    </w:rPr>
                    <w:t>烟囱最低允许高度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665" w:type="dxa"/>
                  <w:vMerge w:val="continue"/>
                  <w:noWrap w:val="0"/>
                  <w:vAlign w:val="center"/>
                </w:tcPr>
                <w:p>
                  <w:pPr>
                    <w:widowControl/>
                    <w:jc w:val="center"/>
                    <w:textAlignment w:val="bottom"/>
                    <w:rPr>
                      <w:rFonts w:hint="eastAsia"/>
                      <w:color w:val="auto"/>
                      <w:kern w:val="0"/>
                      <w:szCs w:val="21"/>
                      <w:highlight w:val="none"/>
                      <w:lang w:bidi="ar"/>
                    </w:rPr>
                  </w:pPr>
                </w:p>
              </w:tc>
              <w:tc>
                <w:tcPr>
                  <w:tcW w:w="1665" w:type="dxa"/>
                  <w:noWrap w:val="0"/>
                  <w:vAlign w:val="center"/>
                </w:tcPr>
                <w:p>
                  <w:pPr>
                    <w:widowControl/>
                    <w:jc w:val="center"/>
                    <w:textAlignment w:val="bottom"/>
                    <w:rPr>
                      <w:color w:val="auto"/>
                      <w:kern w:val="0"/>
                      <w:szCs w:val="21"/>
                      <w:highlight w:val="none"/>
                      <w:lang w:bidi="ar"/>
                    </w:rPr>
                  </w:pPr>
                  <w:r>
                    <w:rPr>
                      <w:rFonts w:hint="eastAsia"/>
                      <w:color w:val="auto"/>
                      <w:kern w:val="0"/>
                      <w:szCs w:val="21"/>
                      <w:highlight w:val="none"/>
                      <w:lang w:bidi="ar"/>
                    </w:rPr>
                    <w:t>有组织</w:t>
                  </w:r>
                </w:p>
              </w:tc>
              <w:tc>
                <w:tcPr>
                  <w:tcW w:w="1665" w:type="dxa"/>
                  <w:noWrap w:val="0"/>
                  <w:vAlign w:val="center"/>
                </w:tcPr>
                <w:p>
                  <w:pPr>
                    <w:widowControl/>
                    <w:jc w:val="center"/>
                    <w:textAlignment w:val="bottom"/>
                    <w:rPr>
                      <w:color w:val="auto"/>
                      <w:kern w:val="0"/>
                      <w:szCs w:val="21"/>
                      <w:highlight w:val="none"/>
                      <w:lang w:bidi="ar"/>
                    </w:rPr>
                  </w:pPr>
                  <w:r>
                    <w:rPr>
                      <w:rFonts w:hint="eastAsia"/>
                      <w:color w:val="auto"/>
                      <w:kern w:val="0"/>
                      <w:szCs w:val="21"/>
                      <w:highlight w:val="none"/>
                      <w:lang w:bidi="ar"/>
                    </w:rPr>
                    <w:t>无组织</w:t>
                  </w:r>
                </w:p>
              </w:tc>
              <w:tc>
                <w:tcPr>
                  <w:tcW w:w="1665" w:type="dxa"/>
                  <w:vMerge w:val="continue"/>
                  <w:noWrap w:val="0"/>
                  <w:vAlign w:val="center"/>
                </w:tcPr>
                <w:p>
                  <w:pPr>
                    <w:widowControl/>
                    <w:jc w:val="center"/>
                    <w:textAlignment w:val="bottom"/>
                    <w:rPr>
                      <w:rFonts w:hint="eastAsia"/>
                      <w:color w:val="auto"/>
                      <w:kern w:val="0"/>
                      <w:szCs w:val="21"/>
                      <w:highlight w:val="none"/>
                      <w:lang w:bidi="ar"/>
                    </w:rPr>
                  </w:pPr>
                </w:p>
              </w:tc>
              <w:tc>
                <w:tcPr>
                  <w:tcW w:w="1666" w:type="dxa"/>
                  <w:vMerge w:val="continue"/>
                  <w:noWrap w:val="0"/>
                  <w:vAlign w:val="center"/>
                </w:tcPr>
                <w:p>
                  <w:pPr>
                    <w:widowControl/>
                    <w:jc w:val="center"/>
                    <w:textAlignment w:val="bottom"/>
                    <w:rPr>
                      <w:rFonts w:hint="eastAsia"/>
                      <w:color w:val="auto"/>
                      <w:kern w:val="0"/>
                      <w:szCs w:val="21"/>
                      <w:highlight w:val="none"/>
                      <w:lang w:bidi="ar"/>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1665" w:type="dxa"/>
                  <w:noWrap w:val="0"/>
                  <w:vAlign w:val="center"/>
                </w:tcPr>
                <w:p>
                  <w:pPr>
                    <w:widowControl/>
                    <w:jc w:val="center"/>
                    <w:textAlignment w:val="bottom"/>
                    <w:rPr>
                      <w:color w:val="auto"/>
                      <w:kern w:val="0"/>
                      <w:szCs w:val="21"/>
                      <w:highlight w:val="none"/>
                      <w:lang w:bidi="ar"/>
                    </w:rPr>
                  </w:pPr>
                  <w:r>
                    <w:rPr>
                      <w:rFonts w:hint="eastAsia"/>
                      <w:color w:val="auto"/>
                      <w:kern w:val="0"/>
                      <w:szCs w:val="21"/>
                      <w:highlight w:val="none"/>
                      <w:lang w:bidi="ar"/>
                    </w:rPr>
                    <w:t>干燥炉</w:t>
                  </w:r>
                </w:p>
              </w:tc>
              <w:tc>
                <w:tcPr>
                  <w:tcW w:w="1665" w:type="dxa"/>
                  <w:noWrap w:val="0"/>
                  <w:vAlign w:val="center"/>
                </w:tcPr>
                <w:p>
                  <w:pPr>
                    <w:widowControl/>
                    <w:jc w:val="center"/>
                    <w:textAlignment w:val="bottom"/>
                    <w:rPr>
                      <w:color w:val="auto"/>
                      <w:kern w:val="0"/>
                      <w:szCs w:val="21"/>
                      <w:highlight w:val="none"/>
                      <w:lang w:bidi="ar"/>
                    </w:rPr>
                  </w:pPr>
                  <w:r>
                    <w:rPr>
                      <w:rFonts w:hint="eastAsia"/>
                      <w:color w:val="auto"/>
                      <w:kern w:val="0"/>
                      <w:szCs w:val="21"/>
                      <w:highlight w:val="none"/>
                      <w:lang w:bidi="ar"/>
                    </w:rPr>
                    <w:t>200</w:t>
                  </w:r>
                </w:p>
              </w:tc>
              <w:tc>
                <w:tcPr>
                  <w:tcW w:w="1665" w:type="dxa"/>
                  <w:noWrap w:val="0"/>
                  <w:vAlign w:val="center"/>
                </w:tcPr>
                <w:p>
                  <w:pPr>
                    <w:widowControl/>
                    <w:jc w:val="center"/>
                    <w:textAlignment w:val="bottom"/>
                    <w:rPr>
                      <w:color w:val="auto"/>
                      <w:kern w:val="0"/>
                      <w:szCs w:val="21"/>
                      <w:highlight w:val="none"/>
                      <w:lang w:bidi="ar"/>
                    </w:rPr>
                  </w:pPr>
                  <w:r>
                    <w:rPr>
                      <w:rFonts w:hint="eastAsia"/>
                      <w:color w:val="auto"/>
                      <w:kern w:val="0"/>
                      <w:szCs w:val="21"/>
                      <w:highlight w:val="none"/>
                      <w:lang w:bidi="ar"/>
                    </w:rPr>
                    <w:t>5</w:t>
                  </w:r>
                </w:p>
              </w:tc>
              <w:tc>
                <w:tcPr>
                  <w:tcW w:w="1665" w:type="dxa"/>
                  <w:noWrap w:val="0"/>
                  <w:vAlign w:val="center"/>
                </w:tcPr>
                <w:p>
                  <w:pPr>
                    <w:widowControl/>
                    <w:jc w:val="center"/>
                    <w:textAlignment w:val="bottom"/>
                    <w:rPr>
                      <w:color w:val="auto"/>
                      <w:kern w:val="0"/>
                      <w:szCs w:val="21"/>
                      <w:highlight w:val="none"/>
                      <w:lang w:bidi="ar"/>
                    </w:rPr>
                  </w:pPr>
                  <w:r>
                    <w:rPr>
                      <w:rFonts w:hint="eastAsia"/>
                      <w:color w:val="auto"/>
                      <w:kern w:val="0"/>
                      <w:szCs w:val="21"/>
                      <w:highlight w:val="none"/>
                      <w:lang w:bidi="ar"/>
                    </w:rPr>
                    <w:t>850</w:t>
                  </w:r>
                </w:p>
              </w:tc>
              <w:tc>
                <w:tcPr>
                  <w:tcW w:w="1666" w:type="dxa"/>
                  <w:noWrap w:val="0"/>
                  <w:vAlign w:val="center"/>
                </w:tcPr>
                <w:p>
                  <w:pPr>
                    <w:widowControl/>
                    <w:jc w:val="center"/>
                    <w:textAlignment w:val="bottom"/>
                    <w:rPr>
                      <w:color w:val="auto"/>
                      <w:kern w:val="0"/>
                      <w:szCs w:val="21"/>
                      <w:highlight w:val="none"/>
                      <w:lang w:bidi="ar"/>
                    </w:rPr>
                  </w:pPr>
                  <w:r>
                    <w:rPr>
                      <w:rFonts w:hint="eastAsia"/>
                      <w:color w:val="auto"/>
                      <w:kern w:val="0"/>
                      <w:szCs w:val="21"/>
                      <w:highlight w:val="none"/>
                      <w:lang w:bidi="ar"/>
                    </w:rPr>
                    <w:t>15m</w:t>
                  </w:r>
                </w:p>
              </w:tc>
            </w:tr>
          </w:tbl>
          <w:p>
            <w:pPr>
              <w:pStyle w:val="50"/>
              <w:jc w:val="center"/>
              <w:rPr>
                <w:rFonts w:hint="eastAsia"/>
                <w:b/>
                <w:bCs/>
                <w:color w:val="auto"/>
                <w:szCs w:val="24"/>
                <w:highlight w:val="none"/>
              </w:rPr>
            </w:pPr>
          </w:p>
          <w:p>
            <w:pPr>
              <w:pStyle w:val="50"/>
              <w:jc w:val="center"/>
              <w:rPr>
                <w:b/>
                <w:bCs/>
                <w:color w:val="auto"/>
                <w:szCs w:val="24"/>
                <w:highlight w:val="none"/>
              </w:rPr>
            </w:pPr>
            <w:r>
              <w:rPr>
                <w:rFonts w:hint="eastAsia"/>
                <w:b/>
                <w:bCs/>
                <w:color w:val="auto"/>
                <w:szCs w:val="24"/>
                <w:highlight w:val="none"/>
              </w:rPr>
              <w:t>表3-14 锅炉大气污染物排放标准  mg/m</w:t>
            </w:r>
            <w:r>
              <w:rPr>
                <w:rFonts w:hint="eastAsia"/>
                <w:b/>
                <w:bCs/>
                <w:color w:val="auto"/>
                <w:szCs w:val="24"/>
                <w:highlight w:val="none"/>
                <w:vertAlign w:val="superscript"/>
              </w:rPr>
              <w:t>3</w:t>
            </w:r>
          </w:p>
          <w:tbl>
            <w:tblPr>
              <w:tblStyle w:val="39"/>
              <w:tblW w:w="0" w:type="auto"/>
              <w:tblInd w:w="5"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15" w:type="dxa"/>
                <w:left w:w="15" w:type="dxa"/>
                <w:bottom w:w="15" w:type="dxa"/>
                <w:right w:w="15" w:type="dxa"/>
              </w:tblCellMar>
            </w:tblPr>
            <w:tblGrid>
              <w:gridCol w:w="3871"/>
              <w:gridCol w:w="2772"/>
              <w:gridCol w:w="1690"/>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23" w:hRule="atLeast"/>
              </w:trPr>
              <w:tc>
                <w:tcPr>
                  <w:tcW w:w="3871" w:type="dxa"/>
                  <w:vMerge w:val="restart"/>
                  <w:noWrap/>
                  <w:vAlign w:val="center"/>
                </w:tcPr>
                <w:p>
                  <w:pPr>
                    <w:widowControl/>
                    <w:jc w:val="center"/>
                    <w:textAlignment w:val="bottom"/>
                    <w:rPr>
                      <w:b/>
                      <w:bCs/>
                      <w:color w:val="auto"/>
                      <w:szCs w:val="21"/>
                      <w:highlight w:val="none"/>
                    </w:rPr>
                  </w:pPr>
                  <w:r>
                    <w:rPr>
                      <w:b/>
                      <w:bCs/>
                      <w:color w:val="auto"/>
                      <w:kern w:val="0"/>
                      <w:szCs w:val="21"/>
                      <w:highlight w:val="none"/>
                      <w:lang w:bidi="ar"/>
                    </w:rPr>
                    <w:t>污染物项目</w:t>
                  </w:r>
                </w:p>
              </w:tc>
              <w:tc>
                <w:tcPr>
                  <w:tcW w:w="2772" w:type="dxa"/>
                  <w:noWrap/>
                  <w:vAlign w:val="center"/>
                </w:tcPr>
                <w:p>
                  <w:pPr>
                    <w:widowControl/>
                    <w:jc w:val="center"/>
                    <w:textAlignment w:val="bottom"/>
                    <w:rPr>
                      <w:b/>
                      <w:bCs/>
                      <w:color w:val="auto"/>
                      <w:szCs w:val="21"/>
                      <w:highlight w:val="none"/>
                    </w:rPr>
                  </w:pPr>
                  <w:r>
                    <w:rPr>
                      <w:b/>
                      <w:bCs/>
                      <w:color w:val="auto"/>
                      <w:kern w:val="0"/>
                      <w:szCs w:val="21"/>
                      <w:highlight w:val="none"/>
                      <w:lang w:bidi="ar"/>
                    </w:rPr>
                    <w:t>限值</w:t>
                  </w:r>
                </w:p>
              </w:tc>
              <w:tc>
                <w:tcPr>
                  <w:tcW w:w="1690" w:type="dxa"/>
                  <w:vMerge w:val="restart"/>
                  <w:noWrap/>
                  <w:vAlign w:val="center"/>
                </w:tcPr>
                <w:p>
                  <w:pPr>
                    <w:widowControl/>
                    <w:jc w:val="center"/>
                    <w:textAlignment w:val="bottom"/>
                    <w:rPr>
                      <w:b/>
                      <w:bCs/>
                      <w:color w:val="auto"/>
                      <w:szCs w:val="21"/>
                      <w:highlight w:val="none"/>
                    </w:rPr>
                  </w:pPr>
                  <w:r>
                    <w:rPr>
                      <w:b/>
                      <w:bCs/>
                      <w:color w:val="auto"/>
                      <w:kern w:val="0"/>
                      <w:szCs w:val="21"/>
                      <w:highlight w:val="none"/>
                      <w:lang w:bidi="ar"/>
                    </w:rPr>
                    <w:t>污染物排放</w:t>
                  </w:r>
                  <w:r>
                    <w:rPr>
                      <w:b/>
                      <w:bCs/>
                      <w:color w:val="auto"/>
                      <w:kern w:val="0"/>
                      <w:szCs w:val="21"/>
                      <w:highlight w:val="none"/>
                      <w:lang w:bidi="ar"/>
                    </w:rPr>
                    <w:br w:type="textWrapping"/>
                  </w:r>
                  <w:r>
                    <w:rPr>
                      <w:b/>
                      <w:bCs/>
                      <w:color w:val="auto"/>
                      <w:kern w:val="0"/>
                      <w:szCs w:val="21"/>
                      <w:highlight w:val="none"/>
                      <w:lang w:bidi="ar"/>
                    </w:rPr>
                    <w:t>监控位置</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23" w:hRule="atLeast"/>
              </w:trPr>
              <w:tc>
                <w:tcPr>
                  <w:tcW w:w="3871" w:type="dxa"/>
                  <w:vMerge w:val="continue"/>
                  <w:noWrap/>
                  <w:vAlign w:val="center"/>
                </w:tcPr>
                <w:p>
                  <w:pPr>
                    <w:jc w:val="center"/>
                    <w:rPr>
                      <w:color w:val="auto"/>
                      <w:szCs w:val="21"/>
                      <w:highlight w:val="none"/>
                    </w:rPr>
                  </w:pPr>
                </w:p>
              </w:tc>
              <w:tc>
                <w:tcPr>
                  <w:tcW w:w="2772" w:type="dxa"/>
                  <w:noWrap/>
                  <w:vAlign w:val="center"/>
                </w:tcPr>
                <w:p>
                  <w:pPr>
                    <w:widowControl/>
                    <w:jc w:val="center"/>
                    <w:textAlignment w:val="bottom"/>
                    <w:rPr>
                      <w:color w:val="auto"/>
                      <w:szCs w:val="21"/>
                      <w:highlight w:val="none"/>
                    </w:rPr>
                  </w:pPr>
                  <w:r>
                    <w:rPr>
                      <w:b/>
                      <w:bCs/>
                      <w:color w:val="auto"/>
                      <w:kern w:val="0"/>
                      <w:szCs w:val="21"/>
                      <w:highlight w:val="none"/>
                      <w:lang w:bidi="ar"/>
                    </w:rPr>
                    <w:t>燃气锅炉</w:t>
                  </w:r>
                </w:p>
              </w:tc>
              <w:tc>
                <w:tcPr>
                  <w:tcW w:w="1690" w:type="dxa"/>
                  <w:vMerge w:val="continue"/>
                  <w:noWrap/>
                  <w:vAlign w:val="center"/>
                </w:tcPr>
                <w:p>
                  <w:pPr>
                    <w:jc w:val="center"/>
                    <w:rPr>
                      <w:color w:val="auto"/>
                      <w:szCs w:val="21"/>
                      <w:highlight w:val="none"/>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23" w:hRule="atLeast"/>
              </w:trPr>
              <w:tc>
                <w:tcPr>
                  <w:tcW w:w="3871" w:type="dxa"/>
                  <w:noWrap/>
                  <w:vAlign w:val="center"/>
                </w:tcPr>
                <w:p>
                  <w:pPr>
                    <w:widowControl/>
                    <w:jc w:val="center"/>
                    <w:textAlignment w:val="bottom"/>
                    <w:rPr>
                      <w:color w:val="auto"/>
                      <w:szCs w:val="21"/>
                      <w:highlight w:val="none"/>
                    </w:rPr>
                  </w:pPr>
                  <w:r>
                    <w:rPr>
                      <w:color w:val="auto"/>
                      <w:kern w:val="0"/>
                      <w:szCs w:val="21"/>
                      <w:highlight w:val="none"/>
                      <w:lang w:bidi="ar"/>
                    </w:rPr>
                    <w:t>颗粒物</w:t>
                  </w:r>
                </w:p>
              </w:tc>
              <w:tc>
                <w:tcPr>
                  <w:tcW w:w="2772" w:type="dxa"/>
                  <w:noWrap/>
                  <w:vAlign w:val="center"/>
                </w:tcPr>
                <w:p>
                  <w:pPr>
                    <w:widowControl/>
                    <w:jc w:val="center"/>
                    <w:textAlignment w:val="bottom"/>
                    <w:rPr>
                      <w:color w:val="auto"/>
                      <w:szCs w:val="21"/>
                      <w:highlight w:val="none"/>
                    </w:rPr>
                  </w:pPr>
                  <w:r>
                    <w:rPr>
                      <w:color w:val="auto"/>
                      <w:kern w:val="0"/>
                      <w:szCs w:val="21"/>
                      <w:highlight w:val="none"/>
                      <w:lang w:bidi="ar"/>
                    </w:rPr>
                    <w:t>20</w:t>
                  </w:r>
                </w:p>
              </w:tc>
              <w:tc>
                <w:tcPr>
                  <w:tcW w:w="1690" w:type="dxa"/>
                  <w:vMerge w:val="restart"/>
                  <w:noWrap/>
                  <w:vAlign w:val="center"/>
                </w:tcPr>
                <w:p>
                  <w:pPr>
                    <w:widowControl/>
                    <w:jc w:val="center"/>
                    <w:textAlignment w:val="bottom"/>
                    <w:rPr>
                      <w:color w:val="auto"/>
                      <w:szCs w:val="21"/>
                      <w:highlight w:val="none"/>
                    </w:rPr>
                  </w:pPr>
                  <w:r>
                    <w:rPr>
                      <w:color w:val="auto"/>
                      <w:kern w:val="0"/>
                      <w:szCs w:val="21"/>
                      <w:highlight w:val="none"/>
                      <w:lang w:bidi="ar"/>
                    </w:rPr>
                    <w:t>烟囱或烟道</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23" w:hRule="atLeast"/>
              </w:trPr>
              <w:tc>
                <w:tcPr>
                  <w:tcW w:w="3871" w:type="dxa"/>
                  <w:noWrap/>
                  <w:vAlign w:val="center"/>
                </w:tcPr>
                <w:p>
                  <w:pPr>
                    <w:widowControl/>
                    <w:jc w:val="center"/>
                    <w:textAlignment w:val="bottom"/>
                    <w:rPr>
                      <w:color w:val="auto"/>
                      <w:szCs w:val="21"/>
                      <w:highlight w:val="none"/>
                    </w:rPr>
                  </w:pPr>
                  <w:r>
                    <w:rPr>
                      <w:color w:val="auto"/>
                      <w:kern w:val="0"/>
                      <w:szCs w:val="21"/>
                      <w:highlight w:val="none"/>
                      <w:lang w:bidi="ar"/>
                    </w:rPr>
                    <w:t>二氧化硫</w:t>
                  </w:r>
                </w:p>
              </w:tc>
              <w:tc>
                <w:tcPr>
                  <w:tcW w:w="2772" w:type="dxa"/>
                  <w:noWrap/>
                  <w:vAlign w:val="center"/>
                </w:tcPr>
                <w:p>
                  <w:pPr>
                    <w:widowControl/>
                    <w:jc w:val="center"/>
                    <w:textAlignment w:val="bottom"/>
                    <w:rPr>
                      <w:color w:val="auto"/>
                      <w:szCs w:val="21"/>
                      <w:highlight w:val="none"/>
                    </w:rPr>
                  </w:pPr>
                  <w:r>
                    <w:rPr>
                      <w:color w:val="auto"/>
                      <w:kern w:val="0"/>
                      <w:szCs w:val="21"/>
                      <w:highlight w:val="none"/>
                      <w:lang w:bidi="ar"/>
                    </w:rPr>
                    <w:t>50</w:t>
                  </w:r>
                </w:p>
              </w:tc>
              <w:tc>
                <w:tcPr>
                  <w:tcW w:w="1690" w:type="dxa"/>
                  <w:vMerge w:val="continue"/>
                  <w:noWrap/>
                  <w:vAlign w:val="center"/>
                </w:tcPr>
                <w:p>
                  <w:pPr>
                    <w:jc w:val="center"/>
                    <w:rPr>
                      <w:color w:val="auto"/>
                      <w:szCs w:val="21"/>
                      <w:highlight w:val="none"/>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23" w:hRule="atLeast"/>
              </w:trPr>
              <w:tc>
                <w:tcPr>
                  <w:tcW w:w="3871" w:type="dxa"/>
                  <w:noWrap/>
                  <w:vAlign w:val="center"/>
                </w:tcPr>
                <w:p>
                  <w:pPr>
                    <w:widowControl/>
                    <w:jc w:val="center"/>
                    <w:textAlignment w:val="bottom"/>
                    <w:rPr>
                      <w:color w:val="auto"/>
                      <w:szCs w:val="21"/>
                      <w:highlight w:val="none"/>
                    </w:rPr>
                  </w:pPr>
                  <w:r>
                    <w:rPr>
                      <w:color w:val="auto"/>
                      <w:kern w:val="0"/>
                      <w:szCs w:val="21"/>
                      <w:highlight w:val="none"/>
                      <w:lang w:bidi="ar"/>
                    </w:rPr>
                    <w:t>氮氧化物</w:t>
                  </w:r>
                </w:p>
              </w:tc>
              <w:tc>
                <w:tcPr>
                  <w:tcW w:w="2772" w:type="dxa"/>
                  <w:noWrap/>
                  <w:vAlign w:val="center"/>
                </w:tcPr>
                <w:p>
                  <w:pPr>
                    <w:widowControl/>
                    <w:jc w:val="center"/>
                    <w:textAlignment w:val="bottom"/>
                    <w:rPr>
                      <w:color w:val="auto"/>
                      <w:szCs w:val="21"/>
                      <w:highlight w:val="none"/>
                    </w:rPr>
                  </w:pPr>
                  <w:r>
                    <w:rPr>
                      <w:color w:val="auto"/>
                      <w:kern w:val="0"/>
                      <w:szCs w:val="21"/>
                      <w:highlight w:val="none"/>
                      <w:lang w:bidi="ar"/>
                    </w:rPr>
                    <w:t>150</w:t>
                  </w:r>
                </w:p>
              </w:tc>
              <w:tc>
                <w:tcPr>
                  <w:tcW w:w="1690" w:type="dxa"/>
                  <w:vMerge w:val="continue"/>
                  <w:noWrap/>
                  <w:vAlign w:val="center"/>
                </w:tcPr>
                <w:p>
                  <w:pPr>
                    <w:jc w:val="center"/>
                    <w:rPr>
                      <w:color w:val="auto"/>
                      <w:szCs w:val="21"/>
                      <w:highlight w:val="none"/>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23" w:hRule="atLeast"/>
              </w:trPr>
              <w:tc>
                <w:tcPr>
                  <w:tcW w:w="3871" w:type="dxa"/>
                  <w:noWrap/>
                  <w:vAlign w:val="center"/>
                </w:tcPr>
                <w:p>
                  <w:pPr>
                    <w:widowControl/>
                    <w:jc w:val="center"/>
                    <w:textAlignment w:val="bottom"/>
                    <w:rPr>
                      <w:color w:val="auto"/>
                      <w:szCs w:val="21"/>
                      <w:highlight w:val="none"/>
                    </w:rPr>
                  </w:pPr>
                  <w:r>
                    <w:rPr>
                      <w:color w:val="auto"/>
                      <w:kern w:val="0"/>
                      <w:szCs w:val="21"/>
                      <w:highlight w:val="none"/>
                      <w:lang w:bidi="ar"/>
                    </w:rPr>
                    <w:t>汞及其化合物</w:t>
                  </w:r>
                </w:p>
              </w:tc>
              <w:tc>
                <w:tcPr>
                  <w:tcW w:w="2772" w:type="dxa"/>
                  <w:noWrap/>
                  <w:vAlign w:val="center"/>
                </w:tcPr>
                <w:p>
                  <w:pPr>
                    <w:jc w:val="center"/>
                    <w:rPr>
                      <w:color w:val="auto"/>
                      <w:szCs w:val="21"/>
                      <w:highlight w:val="none"/>
                    </w:rPr>
                  </w:pPr>
                  <w:r>
                    <w:rPr>
                      <w:color w:val="auto"/>
                      <w:kern w:val="0"/>
                      <w:szCs w:val="21"/>
                      <w:highlight w:val="none"/>
                      <w:lang w:bidi="ar"/>
                    </w:rPr>
                    <w:t>/</w:t>
                  </w:r>
                </w:p>
              </w:tc>
              <w:tc>
                <w:tcPr>
                  <w:tcW w:w="1690" w:type="dxa"/>
                  <w:vMerge w:val="continue"/>
                  <w:noWrap/>
                  <w:vAlign w:val="center"/>
                </w:tcPr>
                <w:p>
                  <w:pPr>
                    <w:jc w:val="center"/>
                    <w:rPr>
                      <w:color w:val="auto"/>
                      <w:szCs w:val="21"/>
                      <w:highlight w:val="none"/>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23" w:hRule="atLeast"/>
              </w:trPr>
              <w:tc>
                <w:tcPr>
                  <w:tcW w:w="3871" w:type="dxa"/>
                  <w:noWrap/>
                  <w:vAlign w:val="center"/>
                </w:tcPr>
                <w:p>
                  <w:pPr>
                    <w:widowControl/>
                    <w:jc w:val="center"/>
                    <w:textAlignment w:val="bottom"/>
                    <w:rPr>
                      <w:color w:val="auto"/>
                      <w:szCs w:val="21"/>
                      <w:highlight w:val="none"/>
                    </w:rPr>
                  </w:pPr>
                  <w:r>
                    <w:rPr>
                      <w:color w:val="auto"/>
                      <w:kern w:val="0"/>
                      <w:szCs w:val="21"/>
                      <w:highlight w:val="none"/>
                      <w:lang w:bidi="ar"/>
                    </w:rPr>
                    <w:t>烟气黑度(林格曼黑度，级)</w:t>
                  </w:r>
                </w:p>
              </w:tc>
              <w:tc>
                <w:tcPr>
                  <w:tcW w:w="2772" w:type="dxa"/>
                  <w:noWrap/>
                  <w:vAlign w:val="center"/>
                </w:tcPr>
                <w:p>
                  <w:pPr>
                    <w:widowControl/>
                    <w:jc w:val="center"/>
                    <w:textAlignment w:val="bottom"/>
                    <w:rPr>
                      <w:color w:val="auto"/>
                      <w:szCs w:val="21"/>
                      <w:highlight w:val="none"/>
                    </w:rPr>
                  </w:pPr>
                  <w:r>
                    <w:rPr>
                      <w:color w:val="auto"/>
                      <w:kern w:val="0"/>
                      <w:szCs w:val="21"/>
                      <w:highlight w:val="none"/>
                      <w:lang w:bidi="ar"/>
                    </w:rPr>
                    <w:t>≤1</w:t>
                  </w:r>
                </w:p>
              </w:tc>
              <w:tc>
                <w:tcPr>
                  <w:tcW w:w="1690" w:type="dxa"/>
                  <w:noWrap/>
                  <w:vAlign w:val="center"/>
                </w:tcPr>
                <w:p>
                  <w:pPr>
                    <w:widowControl/>
                    <w:jc w:val="center"/>
                    <w:textAlignment w:val="bottom"/>
                    <w:rPr>
                      <w:color w:val="auto"/>
                      <w:szCs w:val="21"/>
                      <w:highlight w:val="none"/>
                    </w:rPr>
                  </w:pPr>
                  <w:r>
                    <w:rPr>
                      <w:color w:val="auto"/>
                      <w:kern w:val="0"/>
                      <w:szCs w:val="21"/>
                      <w:highlight w:val="none"/>
                      <w:lang w:bidi="ar"/>
                    </w:rPr>
                    <w:t>烟囱排放口</w:t>
                  </w:r>
                </w:p>
              </w:tc>
            </w:tr>
          </w:tbl>
          <w:p>
            <w:pPr>
              <w:pStyle w:val="50"/>
              <w:ind w:firstLine="0"/>
              <w:jc w:val="left"/>
              <w:rPr>
                <w:color w:val="auto"/>
                <w:sz w:val="28"/>
                <w:highlight w:val="none"/>
              </w:rPr>
            </w:pPr>
            <w:r>
              <w:rPr>
                <w:rFonts w:hint="eastAsia"/>
                <w:b/>
                <w:bCs/>
                <w:color w:val="auto"/>
                <w:sz w:val="21"/>
                <w:szCs w:val="21"/>
                <w:highlight w:val="none"/>
              </w:rPr>
              <w:t>*项目位于乐山市市中区，属于大气污染物重点防控区，应执行大气污染物特别排放限值。</w:t>
            </w:r>
          </w:p>
          <w:p>
            <w:pPr>
              <w:pStyle w:val="50"/>
              <w:rPr>
                <w:rFonts w:hint="eastAsia"/>
                <w:color w:val="auto"/>
                <w:szCs w:val="24"/>
                <w:highlight w:val="none"/>
              </w:rPr>
            </w:pPr>
            <w:r>
              <w:rPr>
                <w:rFonts w:hint="eastAsia"/>
                <w:color w:val="auto"/>
                <w:szCs w:val="24"/>
                <w:highlight w:val="none"/>
              </w:rPr>
              <w:t>3、废水</w:t>
            </w:r>
          </w:p>
          <w:p>
            <w:pPr>
              <w:pStyle w:val="50"/>
              <w:rPr>
                <w:rFonts w:hint="eastAsia"/>
                <w:color w:val="auto"/>
                <w:szCs w:val="24"/>
                <w:highlight w:val="none"/>
              </w:rPr>
            </w:pPr>
            <w:r>
              <w:rPr>
                <w:rFonts w:hint="eastAsia"/>
                <w:color w:val="auto"/>
                <w:szCs w:val="24"/>
                <w:highlight w:val="none"/>
              </w:rPr>
              <w:t>项目生活污水经化粪池处理后用于农田施肥，不外排；项目无生产废水产生。</w:t>
            </w:r>
          </w:p>
          <w:p>
            <w:pPr>
              <w:pStyle w:val="50"/>
              <w:rPr>
                <w:rFonts w:hint="eastAsia"/>
                <w:color w:val="auto"/>
                <w:szCs w:val="24"/>
                <w:highlight w:val="none"/>
              </w:rPr>
            </w:pPr>
            <w:r>
              <w:rPr>
                <w:rFonts w:hint="eastAsia"/>
                <w:color w:val="auto"/>
                <w:szCs w:val="24"/>
                <w:highlight w:val="none"/>
              </w:rPr>
              <w:t>综上，项目废水不外排自然水体。</w:t>
            </w:r>
          </w:p>
          <w:p>
            <w:pPr>
              <w:pStyle w:val="50"/>
              <w:rPr>
                <w:rFonts w:hint="eastAsia"/>
                <w:color w:val="auto"/>
                <w:szCs w:val="24"/>
                <w:highlight w:val="none"/>
              </w:rPr>
            </w:pPr>
            <w:r>
              <w:rPr>
                <w:rFonts w:hint="eastAsia"/>
                <w:color w:val="auto"/>
                <w:szCs w:val="24"/>
                <w:highlight w:val="none"/>
              </w:rPr>
              <w:t>4、固体废物</w:t>
            </w:r>
          </w:p>
          <w:p>
            <w:pPr>
              <w:pStyle w:val="50"/>
              <w:rPr>
                <w:rFonts w:hint="eastAsia"/>
                <w:color w:val="auto"/>
                <w:szCs w:val="24"/>
                <w:highlight w:val="none"/>
              </w:rPr>
            </w:pPr>
            <w:r>
              <w:rPr>
                <w:rFonts w:hint="eastAsia"/>
                <w:color w:val="auto"/>
                <w:szCs w:val="24"/>
                <w:highlight w:val="none"/>
              </w:rPr>
              <w:t>一般固体废弃物暂存执行《一般工业固体废物贮存和填埋污染控制标准》(GB18599-2020）的相关规定妥善处理;危险废物执行《危险废物贮存污染控制标准》(GB8597-2001）中相应标准及其修改单内容，不得形成二次污染。</w:t>
            </w:r>
          </w:p>
          <w:p>
            <w:pPr>
              <w:adjustRightInd w:val="0"/>
              <w:snapToGrid w:val="0"/>
              <w:jc w:val="center"/>
              <w:rPr>
                <w:rFonts w:ascii="宋体" w:hAnsi="宋体" w:cs="宋体"/>
                <w:color w:val="auto"/>
                <w:kern w:val="0"/>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30" w:hRule="atLeast"/>
          <w:jc w:val="center"/>
        </w:trPr>
        <w:tc>
          <w:tcPr>
            <w:tcW w:w="509" w:type="dxa"/>
            <w:noWrap w:val="0"/>
            <w:vAlign w:val="center"/>
          </w:tcPr>
          <w:p>
            <w:pPr>
              <w:adjustRightInd w:val="0"/>
              <w:snapToGrid w:val="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总量</w:t>
            </w:r>
          </w:p>
          <w:p>
            <w:pPr>
              <w:adjustRightInd w:val="0"/>
              <w:snapToGrid w:val="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控制</w:t>
            </w:r>
          </w:p>
          <w:p>
            <w:pPr>
              <w:adjustRightInd w:val="0"/>
              <w:snapToGrid w:val="0"/>
              <w:jc w:val="center"/>
              <w:rPr>
                <w:rFonts w:ascii="宋体" w:hAnsi="宋体" w:cs="宋体"/>
                <w:color w:val="auto"/>
                <w:kern w:val="0"/>
                <w:szCs w:val="21"/>
                <w:highlight w:val="none"/>
              </w:rPr>
            </w:pPr>
            <w:r>
              <w:rPr>
                <w:rFonts w:hint="eastAsia" w:ascii="宋体" w:hAnsi="宋体" w:cs="宋体"/>
                <w:color w:val="auto"/>
                <w:kern w:val="0"/>
                <w:szCs w:val="21"/>
                <w:highlight w:val="none"/>
              </w:rPr>
              <w:t>指标</w:t>
            </w:r>
          </w:p>
        </w:tc>
        <w:tc>
          <w:tcPr>
            <w:tcW w:w="8552" w:type="dxa"/>
            <w:noWrap w:val="0"/>
            <w:vAlign w:val="center"/>
          </w:tcPr>
          <w:p>
            <w:pPr>
              <w:pStyle w:val="50"/>
              <w:rPr>
                <w:rFonts w:hint="eastAsia"/>
                <w:color w:val="auto"/>
                <w:szCs w:val="24"/>
                <w:highlight w:val="none"/>
              </w:rPr>
            </w:pPr>
            <w:r>
              <w:rPr>
                <w:color w:val="auto"/>
                <w:szCs w:val="24"/>
                <w:highlight w:val="none"/>
              </w:rPr>
              <w:t>本项目的办公、生活污水经厂区内化粪池处理后</w:t>
            </w:r>
            <w:r>
              <w:rPr>
                <w:rFonts w:hint="eastAsia"/>
                <w:color w:val="auto"/>
                <w:szCs w:val="24"/>
                <w:highlight w:val="none"/>
              </w:rPr>
              <w:t>周边农田施肥</w:t>
            </w:r>
            <w:r>
              <w:rPr>
                <w:color w:val="auto"/>
                <w:szCs w:val="24"/>
                <w:highlight w:val="none"/>
              </w:rPr>
              <w:t>，</w:t>
            </w:r>
            <w:r>
              <w:rPr>
                <w:rFonts w:hint="eastAsia"/>
                <w:color w:val="auto"/>
                <w:szCs w:val="24"/>
                <w:highlight w:val="none"/>
              </w:rPr>
              <w:t>无生产废水排放，因此，本环评不计算污水排放总量。</w:t>
            </w:r>
            <w:r>
              <w:rPr>
                <w:color w:val="auto"/>
                <w:szCs w:val="24"/>
                <w:highlight w:val="none"/>
              </w:rPr>
              <w:t>本项目仅列成项目大气污染物排放指标，以供参考。</w:t>
            </w:r>
            <w:r>
              <w:rPr>
                <w:rFonts w:hint="eastAsia"/>
                <w:color w:val="auto"/>
                <w:szCs w:val="24"/>
                <w:highlight w:val="none"/>
              </w:rPr>
              <w:t>本项目所在区域为不达标区，需进行污染物倍量替代。</w:t>
            </w:r>
          </w:p>
          <w:p>
            <w:pPr>
              <w:pStyle w:val="50"/>
              <w:rPr>
                <w:rFonts w:ascii="Times New Roman" w:hAnsi="Times New Roman"/>
                <w:color w:val="auto"/>
                <w:szCs w:val="24"/>
                <w:highlight w:val="none"/>
              </w:rPr>
            </w:pPr>
            <w:r>
              <w:rPr>
                <w:rFonts w:hint="eastAsia"/>
                <w:color w:val="auto"/>
                <w:szCs w:val="24"/>
                <w:highlight w:val="none"/>
              </w:rPr>
              <w:t>大气污染物总量计算过程如下：</w:t>
            </w:r>
          </w:p>
          <w:p>
            <w:pPr>
              <w:widowControl/>
              <w:spacing w:line="360" w:lineRule="auto"/>
              <w:ind w:firstLine="480"/>
              <w:jc w:val="left"/>
              <w:rPr>
                <w:color w:val="auto"/>
                <w:sz w:val="24"/>
                <w:highlight w:val="none"/>
              </w:rPr>
            </w:pPr>
            <w:r>
              <w:rPr>
                <w:rFonts w:hint="eastAsia"/>
                <w:color w:val="auto"/>
                <w:sz w:val="24"/>
                <w:highlight w:val="none"/>
              </w:rPr>
              <w:t>①燃气烟气</w:t>
            </w:r>
          </w:p>
          <w:p>
            <w:pPr>
              <w:snapToGrid w:val="0"/>
              <w:spacing w:line="360" w:lineRule="auto"/>
              <w:ind w:firstLine="480" w:firstLineChars="200"/>
              <w:rPr>
                <w:color w:val="auto"/>
                <w:sz w:val="24"/>
                <w:highlight w:val="none"/>
              </w:rPr>
            </w:pPr>
            <w:r>
              <w:rPr>
                <w:color w:val="auto"/>
                <w:sz w:val="24"/>
                <w:highlight w:val="none"/>
              </w:rPr>
              <w:t>本项目燃气烟气主要产生于加热沥青储罐的导热油炉、干燥滚筒的燃烧机燃烧天然气。其中烘干筒配备重力除尘器+布袋除尘器。</w:t>
            </w:r>
          </w:p>
          <w:p>
            <w:pPr>
              <w:snapToGrid w:val="0"/>
              <w:spacing w:line="360" w:lineRule="auto"/>
              <w:ind w:firstLine="480" w:firstLineChars="200"/>
              <w:rPr>
                <w:color w:val="auto"/>
                <w:sz w:val="24"/>
                <w:highlight w:val="none"/>
              </w:rPr>
            </w:pPr>
            <w:r>
              <w:rPr>
                <w:color w:val="auto"/>
                <w:sz w:val="24"/>
                <w:highlight w:val="none"/>
              </w:rPr>
              <w:t>据业主提供资料，本项目导热油炉使用天然气30000Nm</w:t>
            </w:r>
            <w:r>
              <w:rPr>
                <w:color w:val="auto"/>
                <w:sz w:val="24"/>
                <w:highlight w:val="none"/>
                <w:vertAlign w:val="superscript"/>
              </w:rPr>
              <w:t>3</w:t>
            </w:r>
            <w:r>
              <w:rPr>
                <w:color w:val="auto"/>
                <w:sz w:val="24"/>
                <w:highlight w:val="none"/>
              </w:rPr>
              <w:t>/a，导热油炉燃烧时间根据业主提供资料按照600h计，即燃烧时间为600h/a。烘干筒机使用天然气50000Nm</w:t>
            </w:r>
            <w:r>
              <w:rPr>
                <w:color w:val="auto"/>
                <w:sz w:val="24"/>
                <w:highlight w:val="none"/>
                <w:vertAlign w:val="superscript"/>
              </w:rPr>
              <w:t>3</w:t>
            </w:r>
            <w:r>
              <w:rPr>
                <w:color w:val="auto"/>
                <w:sz w:val="24"/>
                <w:highlight w:val="none"/>
              </w:rPr>
              <w:t>/a，烘干筒燃烧时间</w:t>
            </w:r>
            <w:r>
              <w:rPr>
                <w:rFonts w:hint="eastAsia"/>
                <w:color w:val="auto"/>
                <w:sz w:val="24"/>
                <w:highlight w:val="none"/>
              </w:rPr>
              <w:t>为800</w:t>
            </w:r>
            <w:r>
              <w:rPr>
                <w:color w:val="auto"/>
                <w:sz w:val="24"/>
                <w:highlight w:val="none"/>
              </w:rPr>
              <w:t>h/a。</w:t>
            </w:r>
          </w:p>
          <w:p>
            <w:pPr>
              <w:snapToGrid w:val="0"/>
              <w:spacing w:line="360" w:lineRule="auto"/>
              <w:ind w:firstLine="480" w:firstLineChars="200"/>
              <w:rPr>
                <w:color w:val="auto"/>
                <w:sz w:val="24"/>
                <w:highlight w:val="none"/>
              </w:rPr>
            </w:pPr>
            <w:r>
              <w:rPr>
                <w:color w:val="auto"/>
                <w:sz w:val="24"/>
                <w:highlight w:val="none"/>
              </w:rPr>
              <w:t>参照《</w:t>
            </w:r>
            <w:r>
              <w:rPr>
                <w:rFonts w:hint="eastAsia"/>
                <w:color w:val="auto"/>
                <w:sz w:val="24"/>
                <w:highlight w:val="none"/>
              </w:rPr>
              <w:t>锅炉产排污量系数手册</w:t>
            </w:r>
            <w:r>
              <w:rPr>
                <w:color w:val="auto"/>
                <w:sz w:val="24"/>
                <w:highlight w:val="none"/>
              </w:rPr>
              <w:t>（20</w:t>
            </w:r>
            <w:r>
              <w:rPr>
                <w:rFonts w:hint="eastAsia"/>
                <w:color w:val="auto"/>
                <w:sz w:val="24"/>
                <w:highlight w:val="none"/>
              </w:rPr>
              <w:t>21</w:t>
            </w:r>
            <w:r>
              <w:rPr>
                <w:color w:val="auto"/>
                <w:sz w:val="24"/>
                <w:highlight w:val="none"/>
              </w:rPr>
              <w:t>)》中的燃天然气工业锅炉排污系数: SO</w:t>
            </w:r>
            <w:r>
              <w:rPr>
                <w:color w:val="auto"/>
                <w:sz w:val="24"/>
                <w:highlight w:val="none"/>
                <w:vertAlign w:val="subscript"/>
              </w:rPr>
              <w:t>2</w:t>
            </w:r>
            <w:r>
              <w:rPr>
                <w:color w:val="auto"/>
                <w:sz w:val="24"/>
                <w:highlight w:val="none"/>
              </w:rPr>
              <w:t>为0.02S kg/万 m</w:t>
            </w:r>
            <w:r>
              <w:rPr>
                <w:color w:val="auto"/>
                <w:sz w:val="24"/>
                <w:highlight w:val="none"/>
                <w:vertAlign w:val="superscript"/>
              </w:rPr>
              <w:t>3</w:t>
            </w:r>
            <w:r>
              <w:rPr>
                <w:color w:val="auto"/>
                <w:sz w:val="24"/>
                <w:highlight w:val="none"/>
              </w:rPr>
              <w:t>(含硫量S是指燃气收到基硫分含量，单位为mg/m</w:t>
            </w:r>
            <w:r>
              <w:rPr>
                <w:color w:val="auto"/>
                <w:sz w:val="24"/>
                <w:highlight w:val="none"/>
                <w:vertAlign w:val="superscript"/>
              </w:rPr>
              <w:t>3</w:t>
            </w:r>
            <w:r>
              <w:rPr>
                <w:color w:val="auto"/>
                <w:sz w:val="24"/>
                <w:highlight w:val="none"/>
              </w:rPr>
              <w:t>)、NOx为</w:t>
            </w:r>
            <w:r>
              <w:rPr>
                <w:rFonts w:hint="eastAsia"/>
                <w:color w:val="auto"/>
                <w:sz w:val="24"/>
                <w:highlight w:val="none"/>
              </w:rPr>
              <w:t>15.87</w:t>
            </w:r>
            <w:r>
              <w:rPr>
                <w:color w:val="auto"/>
                <w:sz w:val="24"/>
                <w:highlight w:val="none"/>
              </w:rPr>
              <w:t>kg/万m</w:t>
            </w:r>
            <w:r>
              <w:rPr>
                <w:color w:val="auto"/>
                <w:sz w:val="24"/>
                <w:highlight w:val="none"/>
                <w:vertAlign w:val="superscript"/>
              </w:rPr>
              <w:t>3</w:t>
            </w:r>
            <w:r>
              <w:rPr>
                <w:color w:val="auto"/>
                <w:sz w:val="24"/>
                <w:highlight w:val="none"/>
              </w:rPr>
              <w:t>、废气量为</w:t>
            </w:r>
            <w:r>
              <w:rPr>
                <w:rFonts w:hint="eastAsia"/>
                <w:color w:val="auto"/>
                <w:sz w:val="24"/>
                <w:highlight w:val="none"/>
              </w:rPr>
              <w:t>107753</w:t>
            </w:r>
            <w:r>
              <w:rPr>
                <w:color w:val="auto"/>
                <w:sz w:val="24"/>
                <w:highlight w:val="none"/>
              </w:rPr>
              <w:t>Nm</w:t>
            </w:r>
            <w:r>
              <w:rPr>
                <w:color w:val="auto"/>
                <w:sz w:val="24"/>
                <w:highlight w:val="none"/>
                <w:vertAlign w:val="superscript"/>
              </w:rPr>
              <w:t>3</w:t>
            </w:r>
            <w:r>
              <w:rPr>
                <w:color w:val="auto"/>
                <w:sz w:val="24"/>
                <w:highlight w:val="none"/>
              </w:rPr>
              <w:t>/万m</w:t>
            </w:r>
            <w:r>
              <w:rPr>
                <w:color w:val="auto"/>
                <w:sz w:val="24"/>
                <w:highlight w:val="none"/>
                <w:vertAlign w:val="superscript"/>
              </w:rPr>
              <w:t>3</w:t>
            </w:r>
            <w:r>
              <w:rPr>
                <w:color w:val="auto"/>
                <w:sz w:val="24"/>
                <w:highlight w:val="none"/>
              </w:rPr>
              <w:t>天然气。根据《煤、天然气燃烧的污染物产生系数》，每万m</w:t>
            </w:r>
            <w:r>
              <w:rPr>
                <w:color w:val="auto"/>
                <w:sz w:val="24"/>
                <w:highlight w:val="none"/>
                <w:vertAlign w:val="superscript"/>
              </w:rPr>
              <w:t>3</w:t>
            </w:r>
            <w:r>
              <w:rPr>
                <w:color w:val="auto"/>
                <w:sz w:val="24"/>
                <w:highlight w:val="none"/>
              </w:rPr>
              <w:t>天然气燃烧产生烟尘约为2.4kg。根据《强制性国家标准&lt;天然气&gt;》(GB17820-2012)，项目所用天然气（二类）含硫率不高于200mg/m</w:t>
            </w:r>
            <w:r>
              <w:rPr>
                <w:color w:val="auto"/>
                <w:sz w:val="24"/>
                <w:highlight w:val="none"/>
                <w:vertAlign w:val="superscript"/>
              </w:rPr>
              <w:t>3</w:t>
            </w:r>
            <w:r>
              <w:rPr>
                <w:color w:val="auto"/>
                <w:sz w:val="24"/>
                <w:highlight w:val="none"/>
              </w:rPr>
              <w:t>，本项目天然气含硫率按200mg/m</w:t>
            </w:r>
            <w:r>
              <w:rPr>
                <w:color w:val="auto"/>
                <w:sz w:val="24"/>
                <w:highlight w:val="none"/>
                <w:vertAlign w:val="superscript"/>
              </w:rPr>
              <w:t>3</w:t>
            </w:r>
            <w:r>
              <w:rPr>
                <w:color w:val="auto"/>
                <w:sz w:val="24"/>
                <w:highlight w:val="none"/>
              </w:rPr>
              <w:t>进行核算。</w:t>
            </w:r>
          </w:p>
          <w:p>
            <w:pPr>
              <w:snapToGrid w:val="0"/>
              <w:spacing w:line="360" w:lineRule="auto"/>
              <w:ind w:firstLine="480" w:firstLineChars="200"/>
              <w:rPr>
                <w:color w:val="auto"/>
                <w:sz w:val="24"/>
                <w:highlight w:val="none"/>
              </w:rPr>
            </w:pPr>
            <w:r>
              <w:rPr>
                <w:color w:val="auto"/>
                <w:sz w:val="24"/>
                <w:highlight w:val="none"/>
              </w:rPr>
              <w:t>故本项目天然气燃烧污染物产排情况如下:</w:t>
            </w:r>
          </w:p>
          <w:p>
            <w:pPr>
              <w:spacing w:line="360" w:lineRule="auto"/>
              <w:jc w:val="center"/>
              <w:rPr>
                <w:color w:val="auto"/>
                <w:sz w:val="24"/>
                <w:highlight w:val="none"/>
              </w:rPr>
            </w:pPr>
            <w:r>
              <w:rPr>
                <w:color w:val="auto"/>
                <w:sz w:val="24"/>
                <w:highlight w:val="none"/>
              </w:rPr>
              <w:t>表</w:t>
            </w:r>
            <w:r>
              <w:rPr>
                <w:rFonts w:hint="eastAsia"/>
                <w:color w:val="auto"/>
                <w:sz w:val="24"/>
                <w:highlight w:val="none"/>
              </w:rPr>
              <w:t>3-15</w:t>
            </w:r>
            <w:r>
              <w:rPr>
                <w:color w:val="auto"/>
                <w:sz w:val="24"/>
                <w:highlight w:val="none"/>
              </w:rPr>
              <w:t xml:space="preserve"> 项目燃气废气产生情况</w:t>
            </w:r>
          </w:p>
          <w:tbl>
            <w:tblPr>
              <w:tblStyle w:val="39"/>
              <w:tblW w:w="0" w:type="auto"/>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15" w:type="dxa"/>
                <w:left w:w="15" w:type="dxa"/>
                <w:bottom w:w="15" w:type="dxa"/>
                <w:right w:w="15" w:type="dxa"/>
              </w:tblCellMar>
            </w:tblPr>
            <w:tblGrid>
              <w:gridCol w:w="660"/>
              <w:gridCol w:w="1013"/>
              <w:gridCol w:w="1011"/>
              <w:gridCol w:w="3180"/>
              <w:gridCol w:w="1456"/>
              <w:gridCol w:w="1011"/>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675" w:hRule="atLeast"/>
              </w:trPr>
              <w:tc>
                <w:tcPr>
                  <w:tcW w:w="660" w:type="dxa"/>
                  <w:noWrap/>
                  <w:vAlign w:val="center"/>
                </w:tcPr>
                <w:p>
                  <w:pPr>
                    <w:widowControl/>
                    <w:jc w:val="center"/>
                    <w:textAlignment w:val="bottom"/>
                    <w:rPr>
                      <w:b/>
                      <w:bCs/>
                      <w:color w:val="auto"/>
                      <w:szCs w:val="21"/>
                      <w:highlight w:val="none"/>
                    </w:rPr>
                  </w:pPr>
                  <w:r>
                    <w:rPr>
                      <w:b/>
                      <w:bCs/>
                      <w:color w:val="auto"/>
                      <w:kern w:val="0"/>
                      <w:szCs w:val="21"/>
                      <w:highlight w:val="none"/>
                      <w:lang w:bidi="ar"/>
                    </w:rPr>
                    <w:t>名称</w:t>
                  </w:r>
                </w:p>
              </w:tc>
              <w:tc>
                <w:tcPr>
                  <w:tcW w:w="1013" w:type="dxa"/>
                  <w:noWrap/>
                  <w:vAlign w:val="center"/>
                </w:tcPr>
                <w:p>
                  <w:pPr>
                    <w:widowControl/>
                    <w:jc w:val="center"/>
                    <w:textAlignment w:val="bottom"/>
                    <w:rPr>
                      <w:b/>
                      <w:bCs/>
                      <w:color w:val="auto"/>
                      <w:szCs w:val="21"/>
                      <w:highlight w:val="none"/>
                    </w:rPr>
                  </w:pPr>
                  <w:r>
                    <w:rPr>
                      <w:b/>
                      <w:bCs/>
                      <w:color w:val="auto"/>
                      <w:kern w:val="0"/>
                      <w:szCs w:val="21"/>
                      <w:highlight w:val="none"/>
                      <w:lang w:bidi="ar"/>
                    </w:rPr>
                    <w:t>燃料用量</w:t>
                  </w:r>
                </w:p>
              </w:tc>
              <w:tc>
                <w:tcPr>
                  <w:tcW w:w="1011" w:type="dxa"/>
                  <w:noWrap/>
                  <w:vAlign w:val="center"/>
                </w:tcPr>
                <w:p>
                  <w:pPr>
                    <w:widowControl/>
                    <w:jc w:val="center"/>
                    <w:textAlignment w:val="bottom"/>
                    <w:rPr>
                      <w:b/>
                      <w:bCs/>
                      <w:color w:val="auto"/>
                      <w:szCs w:val="21"/>
                      <w:highlight w:val="none"/>
                    </w:rPr>
                  </w:pPr>
                  <w:r>
                    <w:rPr>
                      <w:b/>
                      <w:bCs/>
                      <w:color w:val="auto"/>
                      <w:kern w:val="0"/>
                      <w:szCs w:val="21"/>
                      <w:highlight w:val="none"/>
                      <w:lang w:bidi="ar"/>
                    </w:rPr>
                    <w:t>污染物指</w:t>
                  </w:r>
                  <w:r>
                    <w:rPr>
                      <w:b/>
                      <w:bCs/>
                      <w:color w:val="auto"/>
                      <w:kern w:val="0"/>
                      <w:szCs w:val="21"/>
                      <w:highlight w:val="none"/>
                      <w:lang w:bidi="ar"/>
                    </w:rPr>
                    <w:br w:type="textWrapping"/>
                  </w:r>
                  <w:r>
                    <w:rPr>
                      <w:b/>
                      <w:bCs/>
                      <w:color w:val="auto"/>
                      <w:kern w:val="0"/>
                      <w:szCs w:val="21"/>
                      <w:highlight w:val="none"/>
                      <w:lang w:bidi="ar"/>
                    </w:rPr>
                    <w:t>标</w:t>
                  </w:r>
                </w:p>
              </w:tc>
              <w:tc>
                <w:tcPr>
                  <w:tcW w:w="3180" w:type="dxa"/>
                  <w:noWrap/>
                  <w:vAlign w:val="center"/>
                </w:tcPr>
                <w:p>
                  <w:pPr>
                    <w:widowControl/>
                    <w:jc w:val="center"/>
                    <w:textAlignment w:val="bottom"/>
                    <w:rPr>
                      <w:b/>
                      <w:bCs/>
                      <w:color w:val="auto"/>
                      <w:szCs w:val="21"/>
                      <w:highlight w:val="none"/>
                    </w:rPr>
                  </w:pPr>
                  <w:r>
                    <w:rPr>
                      <w:b/>
                      <w:bCs/>
                      <w:color w:val="auto"/>
                      <w:kern w:val="0"/>
                      <w:szCs w:val="21"/>
                      <w:highlight w:val="none"/>
                      <w:lang w:bidi="ar"/>
                    </w:rPr>
                    <w:t>产污系数</w:t>
                  </w:r>
                </w:p>
              </w:tc>
              <w:tc>
                <w:tcPr>
                  <w:tcW w:w="1456" w:type="dxa"/>
                  <w:noWrap/>
                  <w:vAlign w:val="center"/>
                </w:tcPr>
                <w:p>
                  <w:pPr>
                    <w:widowControl/>
                    <w:jc w:val="center"/>
                    <w:textAlignment w:val="bottom"/>
                    <w:rPr>
                      <w:b/>
                      <w:bCs/>
                      <w:color w:val="auto"/>
                      <w:szCs w:val="21"/>
                      <w:highlight w:val="none"/>
                    </w:rPr>
                  </w:pPr>
                  <w:r>
                    <w:rPr>
                      <w:b/>
                      <w:bCs/>
                      <w:color w:val="auto"/>
                      <w:kern w:val="0"/>
                      <w:szCs w:val="21"/>
                      <w:highlight w:val="none"/>
                      <w:lang w:bidi="ar"/>
                    </w:rPr>
                    <w:t>产生量</w:t>
                  </w:r>
                </w:p>
              </w:tc>
              <w:tc>
                <w:tcPr>
                  <w:tcW w:w="1011" w:type="dxa"/>
                  <w:noWrap/>
                  <w:vAlign w:val="center"/>
                </w:tcPr>
                <w:p>
                  <w:pPr>
                    <w:widowControl/>
                    <w:jc w:val="center"/>
                    <w:textAlignment w:val="bottom"/>
                    <w:rPr>
                      <w:b/>
                      <w:bCs/>
                      <w:color w:val="auto"/>
                      <w:szCs w:val="21"/>
                      <w:highlight w:val="none"/>
                    </w:rPr>
                  </w:pPr>
                  <w:r>
                    <w:rPr>
                      <w:b/>
                      <w:bCs/>
                      <w:color w:val="auto"/>
                      <w:kern w:val="0"/>
                      <w:szCs w:val="21"/>
                      <w:highlight w:val="none"/>
                      <w:lang w:bidi="ar"/>
                    </w:rPr>
                    <w:t>产生浓度</w:t>
                  </w:r>
                  <w:r>
                    <w:rPr>
                      <w:b/>
                      <w:bCs/>
                      <w:color w:val="auto"/>
                      <w:kern w:val="0"/>
                      <w:szCs w:val="21"/>
                      <w:highlight w:val="none"/>
                      <w:lang w:bidi="ar"/>
                    </w:rPr>
                    <w:br w:type="textWrapping"/>
                  </w:r>
                  <w:r>
                    <w:rPr>
                      <w:b/>
                      <w:bCs/>
                      <w:color w:val="auto"/>
                      <w:kern w:val="0"/>
                      <w:szCs w:val="21"/>
                      <w:highlight w:val="none"/>
                      <w:lang w:bidi="ar"/>
                    </w:rPr>
                    <w:t>( mg/m</w:t>
                  </w:r>
                  <w:r>
                    <w:rPr>
                      <w:b/>
                      <w:bCs/>
                      <w:color w:val="auto"/>
                      <w:kern w:val="0"/>
                      <w:szCs w:val="21"/>
                      <w:highlight w:val="none"/>
                      <w:vertAlign w:val="superscript"/>
                      <w:lang w:bidi="ar"/>
                    </w:rPr>
                    <w:t>3</w:t>
                  </w:r>
                  <w:r>
                    <w:rPr>
                      <w:b/>
                      <w:bCs/>
                      <w:color w:val="auto"/>
                      <w:kern w:val="0"/>
                      <w:szCs w:val="21"/>
                      <w:highlight w:val="none"/>
                      <w:lang w:bidi="ar"/>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390" w:hRule="atLeast"/>
              </w:trPr>
              <w:tc>
                <w:tcPr>
                  <w:tcW w:w="660" w:type="dxa"/>
                  <w:vMerge w:val="restart"/>
                  <w:noWrap/>
                  <w:vAlign w:val="center"/>
                </w:tcPr>
                <w:p>
                  <w:pPr>
                    <w:widowControl/>
                    <w:jc w:val="center"/>
                    <w:textAlignment w:val="bottom"/>
                    <w:rPr>
                      <w:color w:val="auto"/>
                      <w:szCs w:val="21"/>
                      <w:highlight w:val="none"/>
                    </w:rPr>
                  </w:pPr>
                  <w:r>
                    <w:rPr>
                      <w:color w:val="auto"/>
                      <w:kern w:val="0"/>
                      <w:szCs w:val="21"/>
                      <w:highlight w:val="none"/>
                      <w:lang w:bidi="ar"/>
                    </w:rPr>
                    <w:t>导热油</w:t>
                  </w:r>
                  <w:r>
                    <w:rPr>
                      <w:color w:val="auto"/>
                      <w:kern w:val="0"/>
                      <w:szCs w:val="21"/>
                      <w:highlight w:val="none"/>
                      <w:lang w:bidi="ar"/>
                    </w:rPr>
                    <w:br w:type="textWrapping"/>
                  </w:r>
                  <w:r>
                    <w:rPr>
                      <w:color w:val="auto"/>
                      <w:kern w:val="0"/>
                      <w:szCs w:val="21"/>
                      <w:highlight w:val="none"/>
                      <w:lang w:bidi="ar"/>
                    </w:rPr>
                    <w:t>炉废气</w:t>
                  </w:r>
                </w:p>
              </w:tc>
              <w:tc>
                <w:tcPr>
                  <w:tcW w:w="1013" w:type="dxa"/>
                  <w:vMerge w:val="restart"/>
                  <w:noWrap/>
                  <w:vAlign w:val="center"/>
                </w:tcPr>
                <w:p>
                  <w:pPr>
                    <w:widowControl/>
                    <w:jc w:val="center"/>
                    <w:textAlignment w:val="bottom"/>
                    <w:rPr>
                      <w:color w:val="auto"/>
                      <w:szCs w:val="21"/>
                      <w:highlight w:val="none"/>
                    </w:rPr>
                  </w:pPr>
                  <w:r>
                    <w:rPr>
                      <w:color w:val="auto"/>
                      <w:kern w:val="0"/>
                      <w:szCs w:val="21"/>
                      <w:highlight w:val="none"/>
                      <w:lang w:bidi="ar"/>
                    </w:rPr>
                    <w:t>3 万m</w:t>
                  </w:r>
                  <w:r>
                    <w:rPr>
                      <w:rFonts w:hint="eastAsia"/>
                      <w:color w:val="auto"/>
                      <w:kern w:val="0"/>
                      <w:szCs w:val="21"/>
                      <w:highlight w:val="none"/>
                      <w:vertAlign w:val="superscript"/>
                      <w:lang w:bidi="ar"/>
                    </w:rPr>
                    <w:t>3</w:t>
                  </w:r>
                  <w:r>
                    <w:rPr>
                      <w:color w:val="auto"/>
                      <w:kern w:val="0"/>
                      <w:szCs w:val="21"/>
                      <w:highlight w:val="none"/>
                      <w:lang w:bidi="ar"/>
                    </w:rPr>
                    <w:t>/a</w:t>
                  </w:r>
                </w:p>
              </w:tc>
              <w:tc>
                <w:tcPr>
                  <w:tcW w:w="1011" w:type="dxa"/>
                  <w:noWrap/>
                  <w:vAlign w:val="center"/>
                </w:tcPr>
                <w:p>
                  <w:pPr>
                    <w:widowControl/>
                    <w:jc w:val="center"/>
                    <w:textAlignment w:val="bottom"/>
                    <w:rPr>
                      <w:color w:val="auto"/>
                      <w:szCs w:val="21"/>
                      <w:highlight w:val="none"/>
                    </w:rPr>
                  </w:pPr>
                  <w:r>
                    <w:rPr>
                      <w:color w:val="auto"/>
                      <w:kern w:val="0"/>
                      <w:szCs w:val="21"/>
                      <w:highlight w:val="none"/>
                      <w:lang w:bidi="ar"/>
                    </w:rPr>
                    <w:t>废气量</w:t>
                  </w:r>
                </w:p>
              </w:tc>
              <w:tc>
                <w:tcPr>
                  <w:tcW w:w="3180" w:type="dxa"/>
                  <w:noWrap/>
                  <w:vAlign w:val="center"/>
                </w:tcPr>
                <w:p>
                  <w:pPr>
                    <w:widowControl/>
                    <w:jc w:val="center"/>
                    <w:textAlignment w:val="bottom"/>
                    <w:rPr>
                      <w:color w:val="auto"/>
                      <w:szCs w:val="21"/>
                      <w:highlight w:val="none"/>
                    </w:rPr>
                  </w:pPr>
                  <w:r>
                    <w:rPr>
                      <w:rFonts w:hint="eastAsia"/>
                      <w:color w:val="auto"/>
                      <w:kern w:val="0"/>
                      <w:szCs w:val="21"/>
                      <w:highlight w:val="none"/>
                      <w:lang w:bidi="ar"/>
                    </w:rPr>
                    <w:t>107753</w:t>
                  </w:r>
                  <w:r>
                    <w:rPr>
                      <w:color w:val="auto"/>
                      <w:kern w:val="0"/>
                      <w:szCs w:val="21"/>
                      <w:highlight w:val="none"/>
                      <w:lang w:bidi="ar"/>
                    </w:rPr>
                    <w:t>Nm</w:t>
                  </w:r>
                  <w:r>
                    <w:rPr>
                      <w:color w:val="auto"/>
                      <w:kern w:val="0"/>
                      <w:szCs w:val="21"/>
                      <w:highlight w:val="none"/>
                      <w:vertAlign w:val="superscript"/>
                      <w:lang w:bidi="ar"/>
                    </w:rPr>
                    <w:t>3</w:t>
                  </w:r>
                  <w:r>
                    <w:rPr>
                      <w:color w:val="auto"/>
                      <w:kern w:val="0"/>
                      <w:szCs w:val="21"/>
                      <w:highlight w:val="none"/>
                      <w:lang w:bidi="ar"/>
                    </w:rPr>
                    <w:t>/万立方米-原料</w:t>
                  </w:r>
                </w:p>
              </w:tc>
              <w:tc>
                <w:tcPr>
                  <w:tcW w:w="1456" w:type="dxa"/>
                  <w:noWrap/>
                  <w:vAlign w:val="center"/>
                </w:tcPr>
                <w:p>
                  <w:pPr>
                    <w:widowControl/>
                    <w:jc w:val="center"/>
                    <w:textAlignment w:val="bottom"/>
                    <w:rPr>
                      <w:color w:val="auto"/>
                      <w:szCs w:val="21"/>
                      <w:highlight w:val="none"/>
                    </w:rPr>
                  </w:pPr>
                  <w:r>
                    <w:rPr>
                      <w:rFonts w:hint="eastAsia"/>
                      <w:color w:val="auto"/>
                      <w:kern w:val="0"/>
                      <w:szCs w:val="21"/>
                      <w:highlight w:val="none"/>
                      <w:lang w:bidi="ar"/>
                    </w:rPr>
                    <w:t>323259</w:t>
                  </w:r>
                  <w:r>
                    <w:rPr>
                      <w:color w:val="auto"/>
                      <w:kern w:val="0"/>
                      <w:szCs w:val="21"/>
                      <w:highlight w:val="none"/>
                      <w:lang w:bidi="ar"/>
                    </w:rPr>
                    <w:t>Nm</w:t>
                  </w:r>
                  <w:r>
                    <w:rPr>
                      <w:color w:val="auto"/>
                      <w:kern w:val="0"/>
                      <w:szCs w:val="21"/>
                      <w:highlight w:val="none"/>
                      <w:vertAlign w:val="superscript"/>
                      <w:lang w:bidi="ar"/>
                    </w:rPr>
                    <w:t>3</w:t>
                  </w:r>
                  <w:r>
                    <w:rPr>
                      <w:color w:val="auto"/>
                      <w:kern w:val="0"/>
                      <w:szCs w:val="21"/>
                      <w:highlight w:val="none"/>
                      <w:lang w:bidi="ar"/>
                    </w:rPr>
                    <w:t>/a</w:t>
                  </w:r>
                </w:p>
              </w:tc>
              <w:tc>
                <w:tcPr>
                  <w:tcW w:w="1011" w:type="dxa"/>
                  <w:noWrap/>
                  <w:vAlign w:val="center"/>
                </w:tcPr>
                <w:p>
                  <w:pPr>
                    <w:widowControl/>
                    <w:jc w:val="center"/>
                    <w:textAlignment w:val="bottom"/>
                    <w:rPr>
                      <w:color w:val="auto"/>
                      <w:szCs w:val="21"/>
                      <w:highlight w:val="none"/>
                    </w:rPr>
                  </w:pPr>
                  <w:r>
                    <w:rPr>
                      <w:color w:val="auto"/>
                      <w:kern w:val="0"/>
                      <w:szCs w:val="21"/>
                      <w:highlight w:val="none"/>
                      <w:lang w:bidi="ar"/>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90" w:hRule="atLeast"/>
              </w:trPr>
              <w:tc>
                <w:tcPr>
                  <w:tcW w:w="660" w:type="dxa"/>
                  <w:vMerge w:val="continue"/>
                  <w:noWrap/>
                  <w:vAlign w:val="center"/>
                </w:tcPr>
                <w:p>
                  <w:pPr>
                    <w:jc w:val="center"/>
                    <w:rPr>
                      <w:color w:val="auto"/>
                      <w:szCs w:val="21"/>
                      <w:highlight w:val="none"/>
                    </w:rPr>
                  </w:pPr>
                </w:p>
              </w:tc>
              <w:tc>
                <w:tcPr>
                  <w:tcW w:w="1013" w:type="dxa"/>
                  <w:vMerge w:val="continue"/>
                  <w:noWrap/>
                  <w:vAlign w:val="center"/>
                </w:tcPr>
                <w:p>
                  <w:pPr>
                    <w:jc w:val="center"/>
                    <w:rPr>
                      <w:color w:val="auto"/>
                      <w:szCs w:val="21"/>
                      <w:highlight w:val="none"/>
                    </w:rPr>
                  </w:pPr>
                </w:p>
              </w:tc>
              <w:tc>
                <w:tcPr>
                  <w:tcW w:w="1011" w:type="dxa"/>
                  <w:noWrap/>
                  <w:vAlign w:val="center"/>
                </w:tcPr>
                <w:p>
                  <w:pPr>
                    <w:widowControl/>
                    <w:jc w:val="center"/>
                    <w:textAlignment w:val="bottom"/>
                    <w:rPr>
                      <w:color w:val="auto"/>
                      <w:kern w:val="0"/>
                      <w:szCs w:val="21"/>
                      <w:highlight w:val="none"/>
                      <w:lang w:bidi="ar"/>
                    </w:rPr>
                  </w:pPr>
                  <w:r>
                    <w:rPr>
                      <w:color w:val="auto"/>
                      <w:kern w:val="0"/>
                      <w:szCs w:val="21"/>
                      <w:highlight w:val="none"/>
                      <w:lang w:bidi="ar"/>
                    </w:rPr>
                    <w:t>烟尘</w:t>
                  </w:r>
                </w:p>
              </w:tc>
              <w:tc>
                <w:tcPr>
                  <w:tcW w:w="3180" w:type="dxa"/>
                  <w:noWrap/>
                  <w:vAlign w:val="center"/>
                </w:tcPr>
                <w:p>
                  <w:pPr>
                    <w:widowControl/>
                    <w:jc w:val="center"/>
                    <w:textAlignment w:val="bottom"/>
                    <w:rPr>
                      <w:color w:val="auto"/>
                      <w:kern w:val="0"/>
                      <w:szCs w:val="21"/>
                      <w:highlight w:val="none"/>
                      <w:lang w:bidi="ar"/>
                    </w:rPr>
                  </w:pPr>
                  <w:r>
                    <w:rPr>
                      <w:color w:val="auto"/>
                      <w:kern w:val="0"/>
                      <w:szCs w:val="21"/>
                      <w:highlight w:val="none"/>
                      <w:lang w:bidi="ar"/>
                    </w:rPr>
                    <w:t>2.4kg//万立方米-原料</w:t>
                  </w:r>
                </w:p>
              </w:tc>
              <w:tc>
                <w:tcPr>
                  <w:tcW w:w="1456" w:type="dxa"/>
                  <w:noWrap/>
                  <w:vAlign w:val="center"/>
                </w:tcPr>
                <w:p>
                  <w:pPr>
                    <w:widowControl/>
                    <w:jc w:val="center"/>
                    <w:textAlignment w:val="bottom"/>
                    <w:rPr>
                      <w:color w:val="auto"/>
                      <w:kern w:val="0"/>
                      <w:szCs w:val="21"/>
                      <w:highlight w:val="none"/>
                      <w:lang w:bidi="ar"/>
                    </w:rPr>
                  </w:pPr>
                  <w:r>
                    <w:rPr>
                      <w:color w:val="auto"/>
                      <w:kern w:val="0"/>
                      <w:szCs w:val="21"/>
                      <w:highlight w:val="none"/>
                      <w:lang w:bidi="ar"/>
                    </w:rPr>
                    <w:t>0.0072t/a</w:t>
                  </w:r>
                </w:p>
              </w:tc>
              <w:tc>
                <w:tcPr>
                  <w:tcW w:w="1011" w:type="dxa"/>
                  <w:noWrap/>
                  <w:vAlign w:val="center"/>
                </w:tcPr>
                <w:p>
                  <w:pPr>
                    <w:widowControl/>
                    <w:jc w:val="center"/>
                    <w:textAlignment w:val="bottom"/>
                    <w:rPr>
                      <w:color w:val="auto"/>
                      <w:kern w:val="0"/>
                      <w:szCs w:val="21"/>
                      <w:highlight w:val="none"/>
                      <w:lang w:bidi="ar"/>
                    </w:rPr>
                  </w:pPr>
                  <w:r>
                    <w:rPr>
                      <w:rFonts w:hint="eastAsia"/>
                      <w:color w:val="auto"/>
                      <w:kern w:val="0"/>
                      <w:szCs w:val="21"/>
                      <w:highlight w:val="none"/>
                      <w:lang w:bidi="ar"/>
                    </w:rPr>
                    <w:t>22.27</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405" w:hRule="atLeast"/>
              </w:trPr>
              <w:tc>
                <w:tcPr>
                  <w:tcW w:w="660" w:type="dxa"/>
                  <w:vMerge w:val="continue"/>
                  <w:noWrap/>
                  <w:vAlign w:val="center"/>
                </w:tcPr>
                <w:p>
                  <w:pPr>
                    <w:jc w:val="center"/>
                    <w:rPr>
                      <w:color w:val="auto"/>
                      <w:szCs w:val="21"/>
                      <w:highlight w:val="none"/>
                    </w:rPr>
                  </w:pPr>
                </w:p>
              </w:tc>
              <w:tc>
                <w:tcPr>
                  <w:tcW w:w="1013" w:type="dxa"/>
                  <w:vMerge w:val="continue"/>
                  <w:noWrap/>
                  <w:vAlign w:val="center"/>
                </w:tcPr>
                <w:p>
                  <w:pPr>
                    <w:jc w:val="center"/>
                    <w:rPr>
                      <w:color w:val="auto"/>
                      <w:szCs w:val="21"/>
                      <w:highlight w:val="none"/>
                    </w:rPr>
                  </w:pPr>
                </w:p>
              </w:tc>
              <w:tc>
                <w:tcPr>
                  <w:tcW w:w="1011" w:type="dxa"/>
                  <w:noWrap/>
                  <w:vAlign w:val="center"/>
                </w:tcPr>
                <w:p>
                  <w:pPr>
                    <w:widowControl/>
                    <w:jc w:val="center"/>
                    <w:textAlignment w:val="bottom"/>
                    <w:rPr>
                      <w:color w:val="auto"/>
                      <w:szCs w:val="21"/>
                      <w:highlight w:val="none"/>
                    </w:rPr>
                  </w:pPr>
                  <w:r>
                    <w:rPr>
                      <w:color w:val="auto"/>
                      <w:kern w:val="0"/>
                      <w:szCs w:val="21"/>
                      <w:highlight w:val="none"/>
                      <w:lang w:bidi="ar"/>
                    </w:rPr>
                    <w:t>SO</w:t>
                  </w:r>
                  <w:r>
                    <w:rPr>
                      <w:color w:val="auto"/>
                      <w:kern w:val="0"/>
                      <w:szCs w:val="21"/>
                      <w:highlight w:val="none"/>
                      <w:vertAlign w:val="subscript"/>
                      <w:lang w:bidi="ar"/>
                    </w:rPr>
                    <w:t>2</w:t>
                  </w:r>
                </w:p>
              </w:tc>
              <w:tc>
                <w:tcPr>
                  <w:tcW w:w="3180" w:type="dxa"/>
                  <w:noWrap/>
                  <w:vAlign w:val="center"/>
                </w:tcPr>
                <w:p>
                  <w:pPr>
                    <w:widowControl/>
                    <w:jc w:val="center"/>
                    <w:textAlignment w:val="bottom"/>
                    <w:rPr>
                      <w:color w:val="auto"/>
                      <w:szCs w:val="21"/>
                      <w:highlight w:val="none"/>
                    </w:rPr>
                  </w:pPr>
                  <w:r>
                    <w:rPr>
                      <w:color w:val="auto"/>
                      <w:kern w:val="0"/>
                      <w:szCs w:val="21"/>
                      <w:highlight w:val="none"/>
                      <w:lang w:bidi="ar"/>
                    </w:rPr>
                    <w:t>4 kg/万立方米-原料</w:t>
                  </w:r>
                </w:p>
              </w:tc>
              <w:tc>
                <w:tcPr>
                  <w:tcW w:w="1456" w:type="dxa"/>
                  <w:noWrap/>
                  <w:vAlign w:val="center"/>
                </w:tcPr>
                <w:p>
                  <w:pPr>
                    <w:widowControl/>
                    <w:jc w:val="center"/>
                    <w:textAlignment w:val="bottom"/>
                    <w:rPr>
                      <w:color w:val="auto"/>
                      <w:szCs w:val="21"/>
                      <w:highlight w:val="none"/>
                    </w:rPr>
                  </w:pPr>
                  <w:r>
                    <w:rPr>
                      <w:color w:val="auto"/>
                      <w:kern w:val="0"/>
                      <w:szCs w:val="21"/>
                      <w:highlight w:val="none"/>
                      <w:lang w:bidi="ar"/>
                    </w:rPr>
                    <w:t>0.012t/a</w:t>
                  </w:r>
                </w:p>
              </w:tc>
              <w:tc>
                <w:tcPr>
                  <w:tcW w:w="1011" w:type="dxa"/>
                  <w:noWrap/>
                  <w:vAlign w:val="center"/>
                </w:tcPr>
                <w:p>
                  <w:pPr>
                    <w:widowControl/>
                    <w:jc w:val="center"/>
                    <w:textAlignment w:val="bottom"/>
                    <w:rPr>
                      <w:color w:val="auto"/>
                      <w:szCs w:val="21"/>
                      <w:highlight w:val="none"/>
                    </w:rPr>
                  </w:pPr>
                  <w:r>
                    <w:rPr>
                      <w:rFonts w:hint="eastAsia"/>
                      <w:color w:val="auto"/>
                      <w:kern w:val="0"/>
                      <w:szCs w:val="21"/>
                      <w:highlight w:val="none"/>
                      <w:lang w:bidi="ar"/>
                    </w:rPr>
                    <w:t>37.12</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405" w:hRule="atLeast"/>
              </w:trPr>
              <w:tc>
                <w:tcPr>
                  <w:tcW w:w="660" w:type="dxa"/>
                  <w:vMerge w:val="continue"/>
                  <w:noWrap/>
                  <w:vAlign w:val="center"/>
                </w:tcPr>
                <w:p>
                  <w:pPr>
                    <w:jc w:val="center"/>
                    <w:rPr>
                      <w:color w:val="auto"/>
                      <w:szCs w:val="21"/>
                      <w:highlight w:val="none"/>
                    </w:rPr>
                  </w:pPr>
                </w:p>
              </w:tc>
              <w:tc>
                <w:tcPr>
                  <w:tcW w:w="1013" w:type="dxa"/>
                  <w:vMerge w:val="continue"/>
                  <w:noWrap/>
                  <w:vAlign w:val="center"/>
                </w:tcPr>
                <w:p>
                  <w:pPr>
                    <w:jc w:val="center"/>
                    <w:rPr>
                      <w:color w:val="auto"/>
                      <w:szCs w:val="21"/>
                      <w:highlight w:val="none"/>
                    </w:rPr>
                  </w:pPr>
                </w:p>
              </w:tc>
              <w:tc>
                <w:tcPr>
                  <w:tcW w:w="1011" w:type="dxa"/>
                  <w:noWrap/>
                  <w:vAlign w:val="center"/>
                </w:tcPr>
                <w:p>
                  <w:pPr>
                    <w:widowControl/>
                    <w:jc w:val="center"/>
                    <w:textAlignment w:val="bottom"/>
                    <w:rPr>
                      <w:color w:val="auto"/>
                      <w:szCs w:val="21"/>
                      <w:highlight w:val="none"/>
                    </w:rPr>
                  </w:pPr>
                  <w:r>
                    <w:rPr>
                      <w:color w:val="auto"/>
                      <w:kern w:val="0"/>
                      <w:szCs w:val="21"/>
                      <w:highlight w:val="none"/>
                      <w:lang w:bidi="ar"/>
                    </w:rPr>
                    <w:t>NOx</w:t>
                  </w:r>
                </w:p>
              </w:tc>
              <w:tc>
                <w:tcPr>
                  <w:tcW w:w="3180" w:type="dxa"/>
                  <w:noWrap/>
                  <w:vAlign w:val="center"/>
                </w:tcPr>
                <w:p>
                  <w:pPr>
                    <w:widowControl/>
                    <w:jc w:val="center"/>
                    <w:textAlignment w:val="bottom"/>
                    <w:rPr>
                      <w:color w:val="auto"/>
                      <w:szCs w:val="21"/>
                      <w:highlight w:val="none"/>
                    </w:rPr>
                  </w:pPr>
                  <w:r>
                    <w:rPr>
                      <w:rFonts w:hint="eastAsia"/>
                      <w:color w:val="auto"/>
                      <w:kern w:val="0"/>
                      <w:szCs w:val="21"/>
                      <w:highlight w:val="none"/>
                      <w:lang w:bidi="ar"/>
                    </w:rPr>
                    <w:t>15.87</w:t>
                  </w:r>
                  <w:r>
                    <w:rPr>
                      <w:color w:val="auto"/>
                      <w:kern w:val="0"/>
                      <w:szCs w:val="21"/>
                      <w:highlight w:val="none"/>
                      <w:lang w:bidi="ar"/>
                    </w:rPr>
                    <w:t>kg/万立方米-原料</w:t>
                  </w:r>
                </w:p>
              </w:tc>
              <w:tc>
                <w:tcPr>
                  <w:tcW w:w="1456" w:type="dxa"/>
                  <w:noWrap/>
                  <w:vAlign w:val="center"/>
                </w:tcPr>
                <w:p>
                  <w:pPr>
                    <w:widowControl/>
                    <w:jc w:val="center"/>
                    <w:textAlignment w:val="bottom"/>
                    <w:rPr>
                      <w:color w:val="auto"/>
                      <w:szCs w:val="21"/>
                      <w:highlight w:val="none"/>
                    </w:rPr>
                  </w:pPr>
                  <w:r>
                    <w:rPr>
                      <w:color w:val="auto"/>
                      <w:kern w:val="0"/>
                      <w:szCs w:val="21"/>
                      <w:highlight w:val="none"/>
                      <w:lang w:bidi="ar"/>
                    </w:rPr>
                    <w:t>0.0</w:t>
                  </w:r>
                  <w:r>
                    <w:rPr>
                      <w:rFonts w:hint="eastAsia"/>
                      <w:color w:val="auto"/>
                      <w:kern w:val="0"/>
                      <w:szCs w:val="21"/>
                      <w:highlight w:val="none"/>
                      <w:lang w:bidi="ar"/>
                    </w:rPr>
                    <w:t>4761</w:t>
                  </w:r>
                  <w:r>
                    <w:rPr>
                      <w:color w:val="auto"/>
                      <w:kern w:val="0"/>
                      <w:szCs w:val="21"/>
                      <w:highlight w:val="none"/>
                      <w:lang w:bidi="ar"/>
                    </w:rPr>
                    <w:t>t/a</w:t>
                  </w:r>
                </w:p>
              </w:tc>
              <w:tc>
                <w:tcPr>
                  <w:tcW w:w="1011" w:type="dxa"/>
                  <w:noWrap/>
                  <w:vAlign w:val="center"/>
                </w:tcPr>
                <w:p>
                  <w:pPr>
                    <w:widowControl/>
                    <w:jc w:val="center"/>
                    <w:textAlignment w:val="bottom"/>
                    <w:rPr>
                      <w:color w:val="auto"/>
                      <w:szCs w:val="21"/>
                      <w:highlight w:val="none"/>
                    </w:rPr>
                  </w:pPr>
                  <w:r>
                    <w:rPr>
                      <w:rFonts w:hint="eastAsia"/>
                      <w:color w:val="auto"/>
                      <w:kern w:val="0"/>
                      <w:szCs w:val="21"/>
                      <w:highlight w:val="none"/>
                      <w:lang w:bidi="ar"/>
                    </w:rPr>
                    <w:t>147.28</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405" w:hRule="atLeast"/>
              </w:trPr>
              <w:tc>
                <w:tcPr>
                  <w:tcW w:w="660" w:type="dxa"/>
                  <w:vMerge w:val="restart"/>
                  <w:noWrap/>
                  <w:vAlign w:val="center"/>
                </w:tcPr>
                <w:p>
                  <w:pPr>
                    <w:widowControl/>
                    <w:jc w:val="center"/>
                    <w:textAlignment w:val="bottom"/>
                    <w:rPr>
                      <w:color w:val="auto"/>
                      <w:szCs w:val="21"/>
                      <w:highlight w:val="none"/>
                    </w:rPr>
                  </w:pPr>
                  <w:r>
                    <w:rPr>
                      <w:color w:val="auto"/>
                      <w:kern w:val="0"/>
                      <w:szCs w:val="21"/>
                      <w:highlight w:val="none"/>
                      <w:lang w:bidi="ar"/>
                    </w:rPr>
                    <w:t>干燥滚</w:t>
                  </w:r>
                  <w:r>
                    <w:rPr>
                      <w:color w:val="auto"/>
                      <w:kern w:val="0"/>
                      <w:szCs w:val="21"/>
                      <w:highlight w:val="none"/>
                      <w:lang w:bidi="ar"/>
                    </w:rPr>
                    <w:br w:type="textWrapping"/>
                  </w:r>
                  <w:r>
                    <w:rPr>
                      <w:color w:val="auto"/>
                      <w:kern w:val="0"/>
                      <w:szCs w:val="21"/>
                      <w:highlight w:val="none"/>
                      <w:lang w:bidi="ar"/>
                    </w:rPr>
                    <w:t>筒燃烧</w:t>
                  </w:r>
                  <w:r>
                    <w:rPr>
                      <w:color w:val="auto"/>
                      <w:kern w:val="0"/>
                      <w:szCs w:val="21"/>
                      <w:highlight w:val="none"/>
                      <w:lang w:bidi="ar"/>
                    </w:rPr>
                    <w:br w:type="textWrapping"/>
                  </w:r>
                  <w:r>
                    <w:rPr>
                      <w:color w:val="auto"/>
                      <w:kern w:val="0"/>
                      <w:szCs w:val="21"/>
                      <w:highlight w:val="none"/>
                      <w:lang w:bidi="ar"/>
                    </w:rPr>
                    <w:t>废气</w:t>
                  </w:r>
                </w:p>
              </w:tc>
              <w:tc>
                <w:tcPr>
                  <w:tcW w:w="1013" w:type="dxa"/>
                  <w:vMerge w:val="restart"/>
                  <w:noWrap/>
                  <w:vAlign w:val="center"/>
                </w:tcPr>
                <w:p>
                  <w:pPr>
                    <w:widowControl/>
                    <w:jc w:val="center"/>
                    <w:textAlignment w:val="bottom"/>
                    <w:rPr>
                      <w:color w:val="auto"/>
                      <w:szCs w:val="21"/>
                      <w:highlight w:val="none"/>
                    </w:rPr>
                  </w:pPr>
                  <w:r>
                    <w:rPr>
                      <w:color w:val="auto"/>
                      <w:kern w:val="0"/>
                      <w:szCs w:val="21"/>
                      <w:highlight w:val="none"/>
                      <w:lang w:bidi="ar"/>
                    </w:rPr>
                    <w:t>5万m</w:t>
                  </w:r>
                  <w:r>
                    <w:rPr>
                      <w:rFonts w:hint="eastAsia"/>
                      <w:color w:val="auto"/>
                      <w:kern w:val="0"/>
                      <w:szCs w:val="21"/>
                      <w:highlight w:val="none"/>
                      <w:vertAlign w:val="superscript"/>
                      <w:lang w:bidi="ar"/>
                    </w:rPr>
                    <w:t>3</w:t>
                  </w:r>
                  <w:r>
                    <w:rPr>
                      <w:color w:val="auto"/>
                      <w:kern w:val="0"/>
                      <w:szCs w:val="21"/>
                      <w:highlight w:val="none"/>
                      <w:lang w:bidi="ar"/>
                    </w:rPr>
                    <w:t>/a</w:t>
                  </w:r>
                </w:p>
              </w:tc>
              <w:tc>
                <w:tcPr>
                  <w:tcW w:w="1011" w:type="dxa"/>
                  <w:noWrap/>
                  <w:vAlign w:val="center"/>
                </w:tcPr>
                <w:p>
                  <w:pPr>
                    <w:widowControl/>
                    <w:jc w:val="center"/>
                    <w:textAlignment w:val="bottom"/>
                    <w:rPr>
                      <w:color w:val="auto"/>
                      <w:szCs w:val="21"/>
                      <w:highlight w:val="none"/>
                    </w:rPr>
                  </w:pPr>
                  <w:r>
                    <w:rPr>
                      <w:color w:val="auto"/>
                      <w:kern w:val="0"/>
                      <w:szCs w:val="21"/>
                      <w:highlight w:val="none"/>
                      <w:lang w:bidi="ar"/>
                    </w:rPr>
                    <w:t>废气量</w:t>
                  </w:r>
                </w:p>
              </w:tc>
              <w:tc>
                <w:tcPr>
                  <w:tcW w:w="3180" w:type="dxa"/>
                  <w:noWrap/>
                  <w:vAlign w:val="center"/>
                </w:tcPr>
                <w:p>
                  <w:pPr>
                    <w:widowControl/>
                    <w:jc w:val="center"/>
                    <w:textAlignment w:val="bottom"/>
                    <w:rPr>
                      <w:color w:val="auto"/>
                      <w:szCs w:val="21"/>
                      <w:highlight w:val="none"/>
                    </w:rPr>
                  </w:pPr>
                  <w:r>
                    <w:rPr>
                      <w:rFonts w:hint="eastAsia"/>
                      <w:color w:val="auto"/>
                      <w:kern w:val="0"/>
                      <w:szCs w:val="21"/>
                      <w:highlight w:val="none"/>
                      <w:lang w:bidi="ar"/>
                    </w:rPr>
                    <w:t>107753</w:t>
                  </w:r>
                  <w:r>
                    <w:rPr>
                      <w:color w:val="auto"/>
                      <w:kern w:val="0"/>
                      <w:szCs w:val="21"/>
                      <w:highlight w:val="none"/>
                      <w:lang w:bidi="ar"/>
                    </w:rPr>
                    <w:t>Nm</w:t>
                  </w:r>
                  <w:r>
                    <w:rPr>
                      <w:color w:val="auto"/>
                      <w:kern w:val="0"/>
                      <w:szCs w:val="21"/>
                      <w:highlight w:val="none"/>
                      <w:vertAlign w:val="superscript"/>
                      <w:lang w:bidi="ar"/>
                    </w:rPr>
                    <w:t>3</w:t>
                  </w:r>
                  <w:r>
                    <w:rPr>
                      <w:color w:val="auto"/>
                      <w:kern w:val="0"/>
                      <w:szCs w:val="21"/>
                      <w:highlight w:val="none"/>
                      <w:lang w:bidi="ar"/>
                    </w:rPr>
                    <w:t>/万立方米-原料</w:t>
                  </w:r>
                </w:p>
              </w:tc>
              <w:tc>
                <w:tcPr>
                  <w:tcW w:w="1456" w:type="dxa"/>
                  <w:noWrap/>
                  <w:vAlign w:val="center"/>
                </w:tcPr>
                <w:p>
                  <w:pPr>
                    <w:widowControl/>
                    <w:jc w:val="center"/>
                    <w:textAlignment w:val="bottom"/>
                    <w:rPr>
                      <w:color w:val="auto"/>
                      <w:szCs w:val="21"/>
                      <w:highlight w:val="none"/>
                    </w:rPr>
                  </w:pPr>
                  <w:r>
                    <w:rPr>
                      <w:rFonts w:hint="eastAsia"/>
                      <w:color w:val="auto"/>
                      <w:kern w:val="0"/>
                      <w:szCs w:val="21"/>
                      <w:highlight w:val="none"/>
                      <w:lang w:bidi="ar"/>
                    </w:rPr>
                    <w:t>538765</w:t>
                  </w:r>
                  <w:r>
                    <w:rPr>
                      <w:color w:val="auto"/>
                      <w:kern w:val="0"/>
                      <w:szCs w:val="21"/>
                      <w:highlight w:val="none"/>
                      <w:lang w:bidi="ar"/>
                    </w:rPr>
                    <w:t>Nm</w:t>
                  </w:r>
                  <w:r>
                    <w:rPr>
                      <w:color w:val="auto"/>
                      <w:kern w:val="0"/>
                      <w:szCs w:val="21"/>
                      <w:highlight w:val="none"/>
                      <w:vertAlign w:val="superscript"/>
                      <w:lang w:bidi="ar"/>
                    </w:rPr>
                    <w:t>3</w:t>
                  </w:r>
                  <w:r>
                    <w:rPr>
                      <w:color w:val="auto"/>
                      <w:kern w:val="0"/>
                      <w:szCs w:val="21"/>
                      <w:highlight w:val="none"/>
                      <w:lang w:bidi="ar"/>
                    </w:rPr>
                    <w:t>/a</w:t>
                  </w:r>
                </w:p>
              </w:tc>
              <w:tc>
                <w:tcPr>
                  <w:tcW w:w="1011" w:type="dxa"/>
                  <w:noWrap/>
                  <w:vAlign w:val="center"/>
                </w:tcPr>
                <w:p>
                  <w:pPr>
                    <w:widowControl/>
                    <w:jc w:val="center"/>
                    <w:textAlignment w:val="bottom"/>
                    <w:rPr>
                      <w:color w:val="auto"/>
                      <w:szCs w:val="21"/>
                      <w:highlight w:val="none"/>
                    </w:rPr>
                  </w:pPr>
                  <w:r>
                    <w:rPr>
                      <w:color w:val="auto"/>
                      <w:kern w:val="0"/>
                      <w:szCs w:val="21"/>
                      <w:highlight w:val="none"/>
                      <w:lang w:bidi="ar"/>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390" w:hRule="atLeast"/>
              </w:trPr>
              <w:tc>
                <w:tcPr>
                  <w:tcW w:w="660" w:type="dxa"/>
                  <w:vMerge w:val="continue"/>
                  <w:noWrap/>
                  <w:vAlign w:val="center"/>
                </w:tcPr>
                <w:p>
                  <w:pPr>
                    <w:jc w:val="center"/>
                    <w:rPr>
                      <w:color w:val="auto"/>
                      <w:szCs w:val="21"/>
                      <w:highlight w:val="none"/>
                    </w:rPr>
                  </w:pPr>
                </w:p>
              </w:tc>
              <w:tc>
                <w:tcPr>
                  <w:tcW w:w="1013" w:type="dxa"/>
                  <w:vMerge w:val="continue"/>
                  <w:noWrap/>
                  <w:vAlign w:val="center"/>
                </w:tcPr>
                <w:p>
                  <w:pPr>
                    <w:jc w:val="center"/>
                    <w:rPr>
                      <w:color w:val="auto"/>
                      <w:szCs w:val="21"/>
                      <w:highlight w:val="none"/>
                    </w:rPr>
                  </w:pPr>
                </w:p>
              </w:tc>
              <w:tc>
                <w:tcPr>
                  <w:tcW w:w="1011" w:type="dxa"/>
                  <w:noWrap/>
                  <w:vAlign w:val="center"/>
                </w:tcPr>
                <w:p>
                  <w:pPr>
                    <w:widowControl/>
                    <w:jc w:val="center"/>
                    <w:textAlignment w:val="bottom"/>
                    <w:rPr>
                      <w:color w:val="auto"/>
                      <w:kern w:val="0"/>
                      <w:szCs w:val="21"/>
                      <w:highlight w:val="none"/>
                      <w:lang w:bidi="ar"/>
                    </w:rPr>
                  </w:pPr>
                  <w:r>
                    <w:rPr>
                      <w:color w:val="auto"/>
                      <w:kern w:val="0"/>
                      <w:szCs w:val="21"/>
                      <w:highlight w:val="none"/>
                      <w:lang w:bidi="ar"/>
                    </w:rPr>
                    <w:t>烟尘</w:t>
                  </w:r>
                </w:p>
              </w:tc>
              <w:tc>
                <w:tcPr>
                  <w:tcW w:w="3180" w:type="dxa"/>
                  <w:noWrap/>
                  <w:vAlign w:val="center"/>
                </w:tcPr>
                <w:p>
                  <w:pPr>
                    <w:widowControl/>
                    <w:jc w:val="center"/>
                    <w:textAlignment w:val="bottom"/>
                    <w:rPr>
                      <w:color w:val="auto"/>
                      <w:kern w:val="0"/>
                      <w:szCs w:val="21"/>
                      <w:highlight w:val="none"/>
                      <w:lang w:bidi="ar"/>
                    </w:rPr>
                  </w:pPr>
                  <w:r>
                    <w:rPr>
                      <w:color w:val="auto"/>
                      <w:kern w:val="0"/>
                      <w:szCs w:val="21"/>
                      <w:highlight w:val="none"/>
                      <w:lang w:bidi="ar"/>
                    </w:rPr>
                    <w:t>2.4kg//万立方米-原料</w:t>
                  </w:r>
                </w:p>
              </w:tc>
              <w:tc>
                <w:tcPr>
                  <w:tcW w:w="1456" w:type="dxa"/>
                  <w:noWrap/>
                  <w:vAlign w:val="center"/>
                </w:tcPr>
                <w:p>
                  <w:pPr>
                    <w:widowControl/>
                    <w:jc w:val="center"/>
                    <w:textAlignment w:val="bottom"/>
                    <w:rPr>
                      <w:color w:val="auto"/>
                      <w:kern w:val="0"/>
                      <w:szCs w:val="21"/>
                      <w:highlight w:val="none"/>
                      <w:lang w:bidi="ar"/>
                    </w:rPr>
                  </w:pPr>
                  <w:r>
                    <w:rPr>
                      <w:color w:val="auto"/>
                      <w:kern w:val="0"/>
                      <w:szCs w:val="21"/>
                      <w:highlight w:val="none"/>
                      <w:lang w:bidi="ar"/>
                    </w:rPr>
                    <w:t>0.012t/a</w:t>
                  </w:r>
                </w:p>
              </w:tc>
              <w:tc>
                <w:tcPr>
                  <w:tcW w:w="1011" w:type="dxa"/>
                  <w:noWrap/>
                  <w:vAlign w:val="center"/>
                </w:tcPr>
                <w:p>
                  <w:pPr>
                    <w:widowControl/>
                    <w:jc w:val="center"/>
                    <w:textAlignment w:val="bottom"/>
                    <w:rPr>
                      <w:color w:val="auto"/>
                      <w:kern w:val="0"/>
                      <w:szCs w:val="21"/>
                      <w:highlight w:val="none"/>
                      <w:lang w:bidi="ar"/>
                    </w:rPr>
                  </w:pPr>
                  <w:r>
                    <w:rPr>
                      <w:rFonts w:hint="eastAsia"/>
                      <w:color w:val="auto"/>
                      <w:kern w:val="0"/>
                      <w:szCs w:val="21"/>
                      <w:highlight w:val="none"/>
                      <w:lang w:bidi="ar"/>
                    </w:rPr>
                    <w:t>22.27</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390" w:hRule="atLeast"/>
              </w:trPr>
              <w:tc>
                <w:tcPr>
                  <w:tcW w:w="660" w:type="dxa"/>
                  <w:vMerge w:val="continue"/>
                  <w:noWrap/>
                  <w:vAlign w:val="center"/>
                </w:tcPr>
                <w:p>
                  <w:pPr>
                    <w:jc w:val="center"/>
                    <w:rPr>
                      <w:color w:val="auto"/>
                      <w:szCs w:val="21"/>
                      <w:highlight w:val="none"/>
                    </w:rPr>
                  </w:pPr>
                </w:p>
              </w:tc>
              <w:tc>
                <w:tcPr>
                  <w:tcW w:w="1013" w:type="dxa"/>
                  <w:vMerge w:val="continue"/>
                  <w:noWrap/>
                  <w:vAlign w:val="center"/>
                </w:tcPr>
                <w:p>
                  <w:pPr>
                    <w:jc w:val="center"/>
                    <w:rPr>
                      <w:color w:val="auto"/>
                      <w:szCs w:val="21"/>
                      <w:highlight w:val="none"/>
                    </w:rPr>
                  </w:pPr>
                </w:p>
              </w:tc>
              <w:tc>
                <w:tcPr>
                  <w:tcW w:w="1011" w:type="dxa"/>
                  <w:noWrap/>
                  <w:vAlign w:val="center"/>
                </w:tcPr>
                <w:p>
                  <w:pPr>
                    <w:widowControl/>
                    <w:jc w:val="center"/>
                    <w:textAlignment w:val="bottom"/>
                    <w:rPr>
                      <w:color w:val="auto"/>
                      <w:szCs w:val="21"/>
                      <w:highlight w:val="none"/>
                    </w:rPr>
                  </w:pPr>
                  <w:r>
                    <w:rPr>
                      <w:color w:val="auto"/>
                      <w:kern w:val="0"/>
                      <w:szCs w:val="21"/>
                      <w:highlight w:val="none"/>
                      <w:lang w:bidi="ar"/>
                    </w:rPr>
                    <w:t>SO</w:t>
                  </w:r>
                  <w:r>
                    <w:rPr>
                      <w:color w:val="auto"/>
                      <w:kern w:val="0"/>
                      <w:szCs w:val="21"/>
                      <w:highlight w:val="none"/>
                      <w:vertAlign w:val="subscript"/>
                      <w:lang w:bidi="ar"/>
                    </w:rPr>
                    <w:t>2</w:t>
                  </w:r>
                </w:p>
              </w:tc>
              <w:tc>
                <w:tcPr>
                  <w:tcW w:w="3180" w:type="dxa"/>
                  <w:noWrap/>
                  <w:vAlign w:val="center"/>
                </w:tcPr>
                <w:p>
                  <w:pPr>
                    <w:widowControl/>
                    <w:jc w:val="center"/>
                    <w:textAlignment w:val="bottom"/>
                    <w:rPr>
                      <w:color w:val="auto"/>
                      <w:szCs w:val="21"/>
                      <w:highlight w:val="none"/>
                    </w:rPr>
                  </w:pPr>
                  <w:r>
                    <w:rPr>
                      <w:color w:val="auto"/>
                      <w:kern w:val="0"/>
                      <w:szCs w:val="21"/>
                      <w:highlight w:val="none"/>
                      <w:lang w:bidi="ar"/>
                    </w:rPr>
                    <w:t>4 kg/万立方米-原料</w:t>
                  </w:r>
                </w:p>
              </w:tc>
              <w:tc>
                <w:tcPr>
                  <w:tcW w:w="1456" w:type="dxa"/>
                  <w:noWrap/>
                  <w:vAlign w:val="center"/>
                </w:tcPr>
                <w:p>
                  <w:pPr>
                    <w:widowControl/>
                    <w:jc w:val="center"/>
                    <w:textAlignment w:val="bottom"/>
                    <w:rPr>
                      <w:color w:val="auto"/>
                      <w:szCs w:val="21"/>
                      <w:highlight w:val="none"/>
                    </w:rPr>
                  </w:pPr>
                  <w:r>
                    <w:rPr>
                      <w:color w:val="auto"/>
                      <w:kern w:val="0"/>
                      <w:szCs w:val="21"/>
                      <w:highlight w:val="none"/>
                      <w:lang w:bidi="ar"/>
                    </w:rPr>
                    <w:t>0.02t/a</w:t>
                  </w:r>
                </w:p>
              </w:tc>
              <w:tc>
                <w:tcPr>
                  <w:tcW w:w="1011" w:type="dxa"/>
                  <w:noWrap/>
                  <w:vAlign w:val="center"/>
                </w:tcPr>
                <w:p>
                  <w:pPr>
                    <w:widowControl/>
                    <w:jc w:val="center"/>
                    <w:textAlignment w:val="bottom"/>
                    <w:rPr>
                      <w:color w:val="auto"/>
                      <w:szCs w:val="21"/>
                      <w:highlight w:val="none"/>
                    </w:rPr>
                  </w:pPr>
                  <w:r>
                    <w:rPr>
                      <w:rFonts w:hint="eastAsia"/>
                      <w:color w:val="auto"/>
                      <w:kern w:val="0"/>
                      <w:szCs w:val="21"/>
                      <w:highlight w:val="none"/>
                      <w:lang w:bidi="ar"/>
                    </w:rPr>
                    <w:t>37.12</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405" w:hRule="atLeast"/>
              </w:trPr>
              <w:tc>
                <w:tcPr>
                  <w:tcW w:w="660" w:type="dxa"/>
                  <w:vMerge w:val="continue"/>
                  <w:noWrap/>
                  <w:vAlign w:val="center"/>
                </w:tcPr>
                <w:p>
                  <w:pPr>
                    <w:jc w:val="center"/>
                    <w:rPr>
                      <w:color w:val="auto"/>
                      <w:szCs w:val="21"/>
                      <w:highlight w:val="none"/>
                    </w:rPr>
                  </w:pPr>
                </w:p>
              </w:tc>
              <w:tc>
                <w:tcPr>
                  <w:tcW w:w="1013" w:type="dxa"/>
                  <w:vMerge w:val="continue"/>
                  <w:noWrap/>
                  <w:vAlign w:val="center"/>
                </w:tcPr>
                <w:p>
                  <w:pPr>
                    <w:jc w:val="center"/>
                    <w:rPr>
                      <w:color w:val="auto"/>
                      <w:szCs w:val="21"/>
                      <w:highlight w:val="none"/>
                    </w:rPr>
                  </w:pPr>
                </w:p>
              </w:tc>
              <w:tc>
                <w:tcPr>
                  <w:tcW w:w="1011" w:type="dxa"/>
                  <w:noWrap/>
                  <w:vAlign w:val="center"/>
                </w:tcPr>
                <w:p>
                  <w:pPr>
                    <w:widowControl/>
                    <w:jc w:val="center"/>
                    <w:textAlignment w:val="bottom"/>
                    <w:rPr>
                      <w:color w:val="auto"/>
                      <w:szCs w:val="21"/>
                      <w:highlight w:val="none"/>
                    </w:rPr>
                  </w:pPr>
                  <w:r>
                    <w:rPr>
                      <w:color w:val="auto"/>
                      <w:kern w:val="0"/>
                      <w:szCs w:val="21"/>
                      <w:highlight w:val="none"/>
                      <w:lang w:bidi="ar"/>
                    </w:rPr>
                    <w:t>NOx</w:t>
                  </w:r>
                </w:p>
              </w:tc>
              <w:tc>
                <w:tcPr>
                  <w:tcW w:w="3180" w:type="dxa"/>
                  <w:noWrap/>
                  <w:vAlign w:val="center"/>
                </w:tcPr>
                <w:p>
                  <w:pPr>
                    <w:widowControl/>
                    <w:jc w:val="center"/>
                    <w:textAlignment w:val="bottom"/>
                    <w:rPr>
                      <w:color w:val="auto"/>
                      <w:szCs w:val="21"/>
                      <w:highlight w:val="none"/>
                    </w:rPr>
                  </w:pPr>
                  <w:r>
                    <w:rPr>
                      <w:rFonts w:hint="eastAsia"/>
                      <w:color w:val="auto"/>
                      <w:kern w:val="0"/>
                      <w:szCs w:val="21"/>
                      <w:highlight w:val="none"/>
                      <w:lang w:bidi="ar"/>
                    </w:rPr>
                    <w:t>15.87</w:t>
                  </w:r>
                  <w:r>
                    <w:rPr>
                      <w:color w:val="auto"/>
                      <w:kern w:val="0"/>
                      <w:szCs w:val="21"/>
                      <w:highlight w:val="none"/>
                      <w:lang w:bidi="ar"/>
                    </w:rPr>
                    <w:t>kg/万立方米-原料</w:t>
                  </w:r>
                </w:p>
              </w:tc>
              <w:tc>
                <w:tcPr>
                  <w:tcW w:w="1456" w:type="dxa"/>
                  <w:noWrap/>
                  <w:vAlign w:val="center"/>
                </w:tcPr>
                <w:p>
                  <w:pPr>
                    <w:widowControl/>
                    <w:jc w:val="center"/>
                    <w:textAlignment w:val="bottom"/>
                    <w:rPr>
                      <w:color w:val="auto"/>
                      <w:szCs w:val="21"/>
                      <w:highlight w:val="none"/>
                    </w:rPr>
                  </w:pPr>
                  <w:r>
                    <w:rPr>
                      <w:rFonts w:hint="eastAsia"/>
                      <w:color w:val="auto"/>
                      <w:kern w:val="0"/>
                      <w:szCs w:val="21"/>
                      <w:highlight w:val="none"/>
                      <w:lang w:bidi="ar"/>
                    </w:rPr>
                    <w:t>0.07935</w:t>
                  </w:r>
                  <w:r>
                    <w:rPr>
                      <w:color w:val="auto"/>
                      <w:kern w:val="0"/>
                      <w:szCs w:val="21"/>
                      <w:highlight w:val="none"/>
                      <w:lang w:bidi="ar"/>
                    </w:rPr>
                    <w:t>t/a</w:t>
                  </w:r>
                </w:p>
              </w:tc>
              <w:tc>
                <w:tcPr>
                  <w:tcW w:w="1011" w:type="dxa"/>
                  <w:noWrap/>
                  <w:vAlign w:val="center"/>
                </w:tcPr>
                <w:p>
                  <w:pPr>
                    <w:widowControl/>
                    <w:jc w:val="center"/>
                    <w:textAlignment w:val="bottom"/>
                    <w:rPr>
                      <w:color w:val="auto"/>
                      <w:szCs w:val="21"/>
                      <w:highlight w:val="none"/>
                    </w:rPr>
                  </w:pPr>
                  <w:r>
                    <w:rPr>
                      <w:rFonts w:hint="eastAsia"/>
                      <w:color w:val="auto"/>
                      <w:kern w:val="0"/>
                      <w:szCs w:val="21"/>
                      <w:highlight w:val="none"/>
                      <w:lang w:bidi="ar"/>
                    </w:rPr>
                    <w:t>147.28</w:t>
                  </w:r>
                </w:p>
              </w:tc>
            </w:tr>
          </w:tbl>
          <w:p>
            <w:pPr>
              <w:widowControl/>
              <w:spacing w:line="360" w:lineRule="auto"/>
              <w:ind w:firstLine="480"/>
              <w:jc w:val="left"/>
              <w:rPr>
                <w:rFonts w:hint="eastAsia"/>
                <w:color w:val="auto"/>
                <w:sz w:val="24"/>
                <w:highlight w:val="none"/>
              </w:rPr>
            </w:pPr>
            <w:r>
              <w:rPr>
                <w:rFonts w:hint="eastAsia"/>
                <w:color w:val="auto"/>
                <w:sz w:val="24"/>
                <w:highlight w:val="none"/>
              </w:rPr>
              <w:t>导热油炉废气:</w:t>
            </w:r>
          </w:p>
          <w:p>
            <w:pPr>
              <w:widowControl/>
              <w:spacing w:line="360" w:lineRule="auto"/>
              <w:ind w:firstLine="480"/>
              <w:jc w:val="left"/>
              <w:rPr>
                <w:color w:val="auto"/>
                <w:sz w:val="24"/>
                <w:highlight w:val="none"/>
              </w:rPr>
            </w:pPr>
            <w:r>
              <w:rPr>
                <w:rFonts w:hint="eastAsia"/>
                <w:color w:val="auto"/>
                <w:sz w:val="24"/>
                <w:highlight w:val="none"/>
              </w:rPr>
              <w:t>导热油炉废气量为323259m</w:t>
            </w:r>
            <w:r>
              <w:rPr>
                <w:rFonts w:hint="eastAsia"/>
                <w:color w:val="auto"/>
                <w:sz w:val="24"/>
                <w:highlight w:val="none"/>
                <w:vertAlign w:val="superscript"/>
              </w:rPr>
              <w:t>3</w:t>
            </w:r>
            <w:r>
              <w:rPr>
                <w:rFonts w:hint="eastAsia"/>
                <w:color w:val="auto"/>
                <w:sz w:val="24"/>
                <w:highlight w:val="none"/>
              </w:rPr>
              <w:t>/a，二氧化硫排放量为0.012t/a，排放速率为0.02kg/h，排放浓度为37.12mg/m</w:t>
            </w:r>
            <w:r>
              <w:rPr>
                <w:rFonts w:hint="eastAsia"/>
                <w:color w:val="auto"/>
                <w:sz w:val="24"/>
                <w:highlight w:val="none"/>
                <w:vertAlign w:val="superscript"/>
              </w:rPr>
              <w:t>3</w:t>
            </w:r>
            <w:r>
              <w:rPr>
                <w:rFonts w:hint="eastAsia"/>
                <w:color w:val="auto"/>
                <w:sz w:val="24"/>
                <w:highlight w:val="none"/>
              </w:rPr>
              <w:t>，氮氧化物排放量为0.048t/a，排放速率为0.08kg/h，排放浓度为147.28mg/m</w:t>
            </w:r>
            <w:r>
              <w:rPr>
                <w:rFonts w:hint="eastAsia"/>
                <w:color w:val="auto"/>
                <w:sz w:val="24"/>
                <w:highlight w:val="none"/>
                <w:vertAlign w:val="superscript"/>
              </w:rPr>
              <w:t>3</w:t>
            </w:r>
            <w:r>
              <w:rPr>
                <w:rFonts w:hint="eastAsia"/>
                <w:color w:val="auto"/>
                <w:sz w:val="24"/>
                <w:highlight w:val="none"/>
              </w:rPr>
              <w:t>，烟尘排放量为0.0072t/a，排放速率为0.012kg/h，排放浓度为22.27mg/m</w:t>
            </w:r>
            <w:r>
              <w:rPr>
                <w:rFonts w:hint="eastAsia"/>
                <w:color w:val="auto"/>
                <w:sz w:val="24"/>
                <w:highlight w:val="none"/>
                <w:vertAlign w:val="superscript"/>
              </w:rPr>
              <w:t>3</w:t>
            </w:r>
            <w:r>
              <w:rPr>
                <w:rFonts w:hint="eastAsia"/>
                <w:color w:val="auto"/>
                <w:sz w:val="24"/>
                <w:highlight w:val="none"/>
              </w:rPr>
              <w:t>。处置措施未变，因此，排放量未变，与原项目保持一致。</w:t>
            </w:r>
          </w:p>
          <w:p>
            <w:pPr>
              <w:widowControl/>
              <w:spacing w:line="360" w:lineRule="auto"/>
              <w:ind w:firstLine="480"/>
              <w:jc w:val="left"/>
              <w:rPr>
                <w:rFonts w:hint="eastAsia"/>
                <w:color w:val="auto"/>
                <w:sz w:val="24"/>
                <w:highlight w:val="none"/>
              </w:rPr>
            </w:pPr>
            <w:r>
              <w:rPr>
                <w:rFonts w:hint="eastAsia"/>
                <w:color w:val="auto"/>
                <w:sz w:val="24"/>
                <w:highlight w:val="none"/>
              </w:rPr>
              <w:t>干燥滚筒燃烧废气及骨料加热产生的粉尘:</w:t>
            </w:r>
          </w:p>
          <w:p>
            <w:pPr>
              <w:snapToGrid w:val="0"/>
              <w:spacing w:line="360" w:lineRule="auto"/>
              <w:ind w:firstLine="480" w:firstLineChars="200"/>
              <w:rPr>
                <w:rFonts w:hint="eastAsia"/>
                <w:color w:val="auto"/>
                <w:sz w:val="24"/>
                <w:highlight w:val="none"/>
              </w:rPr>
            </w:pPr>
            <w:r>
              <w:rPr>
                <w:rFonts w:hint="eastAsia"/>
                <w:color w:val="auto"/>
                <w:sz w:val="24"/>
                <w:highlight w:val="none"/>
              </w:rPr>
              <w:t>为使沥青混凝土产品不至于因过快冷却而带来运输上的不便，骨料在上沥青前要经过加热处理，且通过密闭的烘干滚筒不停转动以使骨料受热均匀，骨料在烘干滚筒内加热时有粉尘产生。类比同类沥青混凝土搅拌站沥青混凝土生产线中烘干滚筒粉尘产生量，粉尘产生量为骨料的0.1%，项目骨料消耗量为9500t/a，则烘干滚筒粉尘产生量约9.5t/a，粉尘产生的速率约为11.875kg/h(烘干滚筒年工作800h)。</w:t>
            </w:r>
          </w:p>
          <w:p>
            <w:pPr>
              <w:widowControl/>
              <w:spacing w:line="360" w:lineRule="auto"/>
              <w:ind w:firstLine="480"/>
              <w:rPr>
                <w:color w:val="auto"/>
                <w:sz w:val="24"/>
                <w:highlight w:val="none"/>
              </w:rPr>
            </w:pPr>
            <w:r>
              <w:rPr>
                <w:rFonts w:hint="eastAsia"/>
                <w:color w:val="auto"/>
                <w:sz w:val="24"/>
                <w:highlight w:val="none"/>
              </w:rPr>
              <w:t>改建项目干燥滚筒燃烧废气及骨料加热产生的粉尘所产生的污染物产生量为二氧化硫0.02t/a，NOx0.0794t/a，颗粒物9.512t/a。烘干滚筒骨料加热产生的粉尘和燃气烟气等混合废气通过引风机（风量105000m</w:t>
            </w:r>
            <w:r>
              <w:rPr>
                <w:rFonts w:hint="eastAsia"/>
                <w:color w:val="auto"/>
                <w:sz w:val="24"/>
                <w:highlight w:val="none"/>
                <w:vertAlign w:val="superscript"/>
              </w:rPr>
              <w:t>3</w:t>
            </w:r>
            <w:r>
              <w:rPr>
                <w:rFonts w:hint="eastAsia"/>
                <w:color w:val="auto"/>
                <w:sz w:val="24"/>
                <w:highlight w:val="none"/>
              </w:rPr>
              <w:t>/h）引入二级除尘系统（第一级惯性除尘，第二级分室反吹袋式除尘，惯性除尘效率为50%，布袋除尘效率为99%），除尘后的废气经过一根高15m、内径1.2m排气筒（1#排气筒）排放。则粉（烟）尘有组织排放量为0.0095t/a，即0.0119kg/h，浓度为0.11mg/m</w:t>
            </w:r>
            <w:r>
              <w:rPr>
                <w:rFonts w:hint="eastAsia"/>
                <w:color w:val="auto"/>
                <w:sz w:val="24"/>
                <w:highlight w:val="none"/>
                <w:vertAlign w:val="superscript"/>
              </w:rPr>
              <w:t>3</w:t>
            </w:r>
            <w:r>
              <w:rPr>
                <w:rFonts w:hint="eastAsia"/>
                <w:color w:val="auto"/>
                <w:sz w:val="24"/>
                <w:highlight w:val="none"/>
              </w:rPr>
              <w:t>;SO</w:t>
            </w:r>
            <w:r>
              <w:rPr>
                <w:rFonts w:hint="eastAsia"/>
                <w:color w:val="auto"/>
                <w:sz w:val="24"/>
                <w:highlight w:val="none"/>
                <w:vertAlign w:val="subscript"/>
              </w:rPr>
              <w:t>2</w:t>
            </w:r>
            <w:r>
              <w:rPr>
                <w:rFonts w:hint="eastAsia"/>
                <w:color w:val="auto"/>
                <w:sz w:val="24"/>
                <w:highlight w:val="none"/>
              </w:rPr>
              <w:t>有组织排放量为0.02t/a，即0.025kg/h，浓度为0.24mg/m</w:t>
            </w:r>
            <w:r>
              <w:rPr>
                <w:rFonts w:hint="eastAsia"/>
                <w:color w:val="auto"/>
                <w:sz w:val="24"/>
                <w:highlight w:val="none"/>
                <w:vertAlign w:val="superscript"/>
              </w:rPr>
              <w:t>3</w:t>
            </w:r>
            <w:r>
              <w:rPr>
                <w:rFonts w:hint="eastAsia"/>
                <w:color w:val="auto"/>
                <w:sz w:val="24"/>
                <w:highlight w:val="none"/>
              </w:rPr>
              <w:t>;NOx有组织排放量为0.0794t/a，即 0.09925kg/h，浓度为0.95mg/m</w:t>
            </w:r>
            <w:r>
              <w:rPr>
                <w:rFonts w:hint="eastAsia"/>
                <w:color w:val="auto"/>
                <w:sz w:val="24"/>
                <w:highlight w:val="none"/>
                <w:vertAlign w:val="superscript"/>
              </w:rPr>
              <w:t>3</w:t>
            </w:r>
            <w:r>
              <w:rPr>
                <w:rFonts w:hint="eastAsia"/>
                <w:color w:val="auto"/>
                <w:sz w:val="24"/>
                <w:highlight w:val="none"/>
              </w:rPr>
              <w:t>。因此，改建后该工段粉尘较现有项目排放量减少。</w:t>
            </w:r>
          </w:p>
          <w:p>
            <w:pPr>
              <w:widowControl/>
              <w:spacing w:line="360" w:lineRule="auto"/>
              <w:ind w:firstLine="480"/>
              <w:jc w:val="left"/>
              <w:rPr>
                <w:color w:val="auto"/>
                <w:sz w:val="24"/>
                <w:highlight w:val="none"/>
              </w:rPr>
            </w:pPr>
            <w:r>
              <w:rPr>
                <w:rFonts w:hint="eastAsia"/>
                <w:color w:val="auto"/>
                <w:sz w:val="24"/>
                <w:highlight w:val="none"/>
              </w:rPr>
              <w:t>②</w:t>
            </w:r>
            <w:r>
              <w:rPr>
                <w:color w:val="auto"/>
                <w:sz w:val="24"/>
                <w:highlight w:val="none"/>
              </w:rPr>
              <w:t>原料堆场扬尘</w:t>
            </w:r>
          </w:p>
          <w:p>
            <w:pPr>
              <w:widowControl/>
              <w:spacing w:line="360" w:lineRule="auto"/>
              <w:ind w:firstLine="480"/>
              <w:rPr>
                <w:color w:val="auto"/>
                <w:sz w:val="24"/>
                <w:highlight w:val="none"/>
              </w:rPr>
            </w:pPr>
            <w:r>
              <w:rPr>
                <w:color w:val="auto"/>
                <w:sz w:val="24"/>
                <w:highlight w:val="none"/>
              </w:rPr>
              <w:t>原料堆场粉尘主要产生在运输车辆和装载机往原料堆场</w:t>
            </w:r>
            <w:r>
              <w:rPr>
                <w:rFonts w:hint="eastAsia"/>
                <w:color w:val="auto"/>
                <w:sz w:val="24"/>
                <w:highlight w:val="none"/>
              </w:rPr>
              <w:t>卸料</w:t>
            </w:r>
            <w:r>
              <w:rPr>
                <w:color w:val="auto"/>
                <w:sz w:val="24"/>
                <w:highlight w:val="none"/>
              </w:rPr>
              <w:t>、</w:t>
            </w:r>
            <w:r>
              <w:rPr>
                <w:rFonts w:hint="eastAsia"/>
                <w:color w:val="auto"/>
                <w:sz w:val="24"/>
                <w:highlight w:val="none"/>
              </w:rPr>
              <w:t>堆存、</w:t>
            </w:r>
            <w:r>
              <w:rPr>
                <w:color w:val="auto"/>
                <w:sz w:val="24"/>
                <w:highlight w:val="none"/>
              </w:rPr>
              <w:t>铲装过程。原料输送时为散装形式，其含水率达7%。</w:t>
            </w:r>
          </w:p>
          <w:p>
            <w:pPr>
              <w:snapToGrid w:val="0"/>
              <w:spacing w:line="360" w:lineRule="auto"/>
              <w:ind w:firstLine="480" w:firstLineChars="200"/>
              <w:rPr>
                <w:rFonts w:hint="eastAsia" w:ascii="Times New Roman" w:hAnsi="Times New Roman" w:eastAsia="宋体" w:cs="Times New Roman"/>
                <w:color w:val="auto"/>
                <w:sz w:val="24"/>
                <w:highlight w:val="none"/>
              </w:rPr>
            </w:pPr>
            <w:r>
              <w:rPr>
                <w:rFonts w:hint="eastAsia" w:ascii="Times New Roman" w:hAnsi="Times New Roman" w:eastAsia="宋体" w:cs="Times New Roman"/>
                <w:color w:val="auto"/>
                <w:sz w:val="24"/>
                <w:highlight w:val="none"/>
                <w:lang w:val="en-US" w:eastAsia="zh-CN"/>
              </w:rPr>
              <w:t>上述堆放物料扬尘参考</w:t>
            </w:r>
            <w:r>
              <w:rPr>
                <w:rFonts w:hint="default" w:ascii="Times New Roman" w:hAnsi="Times New Roman" w:eastAsia="宋体" w:cs="Times New Roman"/>
                <w:color w:val="auto"/>
                <w:sz w:val="24"/>
                <w:highlight w:val="none"/>
                <w:lang w:val="en-US" w:eastAsia="zh-CN"/>
              </w:rPr>
              <w:t>“秦皇岛港口煤炭装卸起尘及其扩散规律的研究”得出的经验公式，计算公式如下：</w:t>
            </w:r>
          </w:p>
          <w:p>
            <w:pPr>
              <w:snapToGrid w:val="0"/>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val="en-US" w:eastAsia="zh-CN"/>
              </w:rPr>
              <w:t>Q=2.1</w:t>
            </w:r>
            <w:r>
              <w:rPr>
                <w:rFonts w:hint="eastAsia" w:ascii="Times New Roman" w:hAnsi="Times New Roman" w:eastAsia="宋体"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K</w:t>
            </w:r>
            <w:r>
              <w:rPr>
                <w:rFonts w:hint="eastAsia" w:ascii="Times New Roman" w:hAnsi="Times New Roman" w:eastAsia="宋体"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(u-u0)3×e-1.023W×M</w:t>
            </w:r>
          </w:p>
          <w:p>
            <w:pPr>
              <w:snapToGrid w:val="0"/>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val="en-US" w:eastAsia="zh-CN"/>
              </w:rPr>
              <w:t>式中：</w:t>
            </w:r>
          </w:p>
          <w:p>
            <w:pPr>
              <w:snapToGrid w:val="0"/>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val="en-US" w:eastAsia="zh-CN"/>
              </w:rPr>
              <w:t>Q</w:t>
            </w:r>
            <w:r>
              <w:rPr>
                <w:rFonts w:hint="eastAsia" w:ascii="Times New Roman" w:hAnsi="Times New Roman" w:eastAsia="宋体" w:cs="Times New Roman"/>
                <w:color w:val="auto"/>
                <w:sz w:val="24"/>
                <w:highlight w:val="none"/>
                <w:lang w:val="en-US" w:eastAsia="zh-CN"/>
              </w:rPr>
              <w:t>—堆放场地起尘量，</w:t>
            </w:r>
            <w:r>
              <w:rPr>
                <w:rFonts w:hint="default" w:ascii="Times New Roman" w:hAnsi="Times New Roman" w:eastAsia="宋体" w:cs="Times New Roman"/>
                <w:color w:val="auto"/>
                <w:sz w:val="24"/>
                <w:highlight w:val="none"/>
                <w:lang w:val="en-US" w:eastAsia="zh-CN"/>
              </w:rPr>
              <w:t>kg/a</w:t>
            </w:r>
            <w:r>
              <w:rPr>
                <w:rFonts w:hint="eastAsia" w:ascii="Times New Roman" w:hAnsi="Times New Roman" w:eastAsia="宋体" w:cs="Times New Roman"/>
                <w:color w:val="auto"/>
                <w:sz w:val="24"/>
                <w:highlight w:val="none"/>
                <w:lang w:val="en-US" w:eastAsia="zh-CN"/>
              </w:rPr>
              <w:t>；</w:t>
            </w:r>
          </w:p>
          <w:p>
            <w:pPr>
              <w:snapToGrid w:val="0"/>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val="en-US" w:eastAsia="zh-CN"/>
              </w:rPr>
              <w:t>u</w:t>
            </w:r>
            <w:r>
              <w:rPr>
                <w:rFonts w:hint="eastAsia" w:ascii="Times New Roman" w:hAnsi="Times New Roman" w:eastAsia="宋体" w:cs="Times New Roman"/>
                <w:color w:val="auto"/>
                <w:sz w:val="24"/>
                <w:highlight w:val="none"/>
                <w:lang w:val="en-US" w:eastAsia="zh-CN"/>
              </w:rPr>
              <w:t>—堆棚平均风速，取3.05</w:t>
            </w:r>
            <w:r>
              <w:rPr>
                <w:rFonts w:hint="default" w:ascii="Times New Roman" w:hAnsi="Times New Roman" w:eastAsia="宋体" w:cs="Times New Roman"/>
                <w:color w:val="auto"/>
                <w:sz w:val="24"/>
                <w:highlight w:val="none"/>
                <w:lang w:val="en-US" w:eastAsia="zh-CN"/>
              </w:rPr>
              <w:t>m/s</w:t>
            </w:r>
            <w:r>
              <w:rPr>
                <w:rFonts w:hint="eastAsia" w:ascii="Times New Roman" w:hAnsi="Times New Roman" w:eastAsia="宋体" w:cs="Times New Roman"/>
                <w:color w:val="auto"/>
                <w:sz w:val="24"/>
                <w:highlight w:val="none"/>
                <w:lang w:val="en-US" w:eastAsia="zh-CN"/>
              </w:rPr>
              <w:t>；</w:t>
            </w:r>
          </w:p>
          <w:p>
            <w:pPr>
              <w:snapToGrid w:val="0"/>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val="en-US" w:eastAsia="zh-CN"/>
              </w:rPr>
              <w:t>u0—</w:t>
            </w:r>
            <w:r>
              <w:rPr>
                <w:rFonts w:hint="eastAsia" w:ascii="Times New Roman" w:hAnsi="Times New Roman" w:eastAsia="宋体" w:cs="Times New Roman"/>
                <w:color w:val="auto"/>
                <w:sz w:val="24"/>
                <w:highlight w:val="none"/>
                <w:lang w:val="en-US" w:eastAsia="zh-CN"/>
              </w:rPr>
              <w:t>原料粉尘的启动</w:t>
            </w:r>
            <w:r>
              <w:rPr>
                <w:rFonts w:hint="default" w:ascii="Times New Roman" w:hAnsi="Times New Roman" w:eastAsia="宋体" w:cs="Times New Roman"/>
                <w:color w:val="auto"/>
                <w:sz w:val="24"/>
                <w:highlight w:val="none"/>
                <w:lang w:val="en-US" w:eastAsia="zh-CN"/>
              </w:rPr>
              <w:t>风速，取2.5m/s</w:t>
            </w:r>
            <w:r>
              <w:rPr>
                <w:rFonts w:hint="eastAsia" w:ascii="Times New Roman" w:hAnsi="Times New Roman" w:eastAsia="宋体" w:cs="Times New Roman"/>
                <w:color w:val="auto"/>
                <w:sz w:val="24"/>
                <w:highlight w:val="none"/>
                <w:lang w:val="en-US" w:eastAsia="zh-CN"/>
              </w:rPr>
              <w:t>；</w:t>
            </w:r>
          </w:p>
          <w:p>
            <w:pPr>
              <w:snapToGrid w:val="0"/>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val="en-US" w:eastAsia="zh-CN"/>
              </w:rPr>
              <w:t>w</w:t>
            </w:r>
            <w:r>
              <w:rPr>
                <w:rFonts w:hint="eastAsia" w:ascii="Times New Roman" w:hAnsi="Times New Roman" w:eastAsia="宋体" w:cs="Times New Roman"/>
                <w:color w:val="auto"/>
                <w:sz w:val="24"/>
                <w:highlight w:val="none"/>
                <w:lang w:val="en-US" w:eastAsia="zh-CN"/>
              </w:rPr>
              <w:t>—物料含水率，</w:t>
            </w:r>
            <w:r>
              <w:rPr>
                <w:rFonts w:hint="default" w:ascii="Times New Roman" w:hAnsi="Times New Roman" w:eastAsia="宋体" w:cs="Times New Roman"/>
                <w:color w:val="auto"/>
                <w:sz w:val="24"/>
                <w:highlight w:val="none"/>
                <w:lang w:val="en-US" w:eastAsia="zh-CN"/>
              </w:rPr>
              <w:t>%</w:t>
            </w:r>
            <w:r>
              <w:rPr>
                <w:rFonts w:hint="eastAsia" w:ascii="Times New Roman" w:hAnsi="Times New Roman" w:eastAsia="宋体" w:cs="Times New Roman"/>
                <w:color w:val="auto"/>
                <w:sz w:val="24"/>
                <w:highlight w:val="none"/>
                <w:lang w:val="en-US" w:eastAsia="zh-CN"/>
              </w:rPr>
              <w:t>；</w:t>
            </w:r>
          </w:p>
          <w:p>
            <w:pPr>
              <w:snapToGrid w:val="0"/>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val="en-US" w:eastAsia="zh-CN"/>
              </w:rPr>
              <w:t>M</w:t>
            </w:r>
            <w:r>
              <w:rPr>
                <w:rFonts w:hint="eastAsia" w:ascii="Times New Roman" w:hAnsi="Times New Roman" w:eastAsia="宋体" w:cs="Times New Roman"/>
                <w:color w:val="auto"/>
                <w:sz w:val="24"/>
                <w:highlight w:val="none"/>
                <w:lang w:val="en-US" w:eastAsia="zh-CN"/>
              </w:rPr>
              <w:t>—堆场年累计堆放的物料量，</w:t>
            </w:r>
            <w:r>
              <w:rPr>
                <w:rFonts w:hint="default" w:ascii="Times New Roman" w:hAnsi="Times New Roman" w:eastAsia="宋体" w:cs="Times New Roman"/>
                <w:color w:val="auto"/>
                <w:sz w:val="24"/>
                <w:highlight w:val="none"/>
                <w:lang w:val="en-US" w:eastAsia="zh-CN"/>
              </w:rPr>
              <w:t>t</w:t>
            </w:r>
            <w:r>
              <w:rPr>
                <w:rFonts w:hint="eastAsia" w:ascii="Times New Roman" w:hAnsi="Times New Roman" w:eastAsia="宋体" w:cs="Times New Roman"/>
                <w:color w:val="auto"/>
                <w:sz w:val="24"/>
                <w:highlight w:val="none"/>
                <w:lang w:val="en-US" w:eastAsia="zh-CN"/>
              </w:rPr>
              <w:t>；</w:t>
            </w:r>
          </w:p>
          <w:p>
            <w:pPr>
              <w:spacing w:line="360" w:lineRule="auto"/>
              <w:ind w:firstLine="480" w:firstLineChars="200"/>
              <w:jc w:val="both"/>
              <w:rPr>
                <w:rFonts w:hint="eastAsia"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K</w:t>
            </w:r>
            <w:r>
              <w:rPr>
                <w:rFonts w:hint="eastAsia" w:ascii="Times New Roman" w:hAnsi="Times New Roman" w:eastAsia="宋体" w:cs="Times New Roman"/>
                <w:color w:val="auto"/>
                <w:sz w:val="24"/>
                <w:highlight w:val="none"/>
                <w:lang w:val="en-US" w:eastAsia="zh-CN"/>
              </w:rPr>
              <w:t>—与堆放物料含水率有关的系数，取值见下表。</w:t>
            </w:r>
          </w:p>
          <w:tbl>
            <w:tblPr>
              <w:tblStyle w:val="39"/>
              <w:tblpPr w:leftFromText="180" w:rightFromText="180" w:vertAnchor="text" w:horzAnchor="page" w:tblpX="119" w:tblpY="467"/>
              <w:tblOverlap w:val="never"/>
              <w:tblW w:w="7939" w:type="dxa"/>
              <w:jc w:val="center"/>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Layout w:type="fixed"/>
              <w:tblCellMar>
                <w:top w:w="0" w:type="dxa"/>
                <w:left w:w="108" w:type="dxa"/>
                <w:bottom w:w="0" w:type="dxa"/>
                <w:right w:w="108" w:type="dxa"/>
              </w:tblCellMar>
            </w:tblPr>
            <w:tblGrid>
              <w:gridCol w:w="793"/>
              <w:gridCol w:w="794"/>
              <w:gridCol w:w="794"/>
              <w:gridCol w:w="794"/>
              <w:gridCol w:w="794"/>
              <w:gridCol w:w="794"/>
              <w:gridCol w:w="794"/>
              <w:gridCol w:w="794"/>
              <w:gridCol w:w="794"/>
              <w:gridCol w:w="794"/>
            </w:tblGrid>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270" w:hRule="atLeast"/>
                <w:jc w:val="center"/>
              </w:trPr>
              <w:tc>
                <w:tcPr>
                  <w:tcW w:w="49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含水率(%）</w:t>
                  </w:r>
                </w:p>
              </w:tc>
              <w:tc>
                <w:tcPr>
                  <w:tcW w:w="500" w:type="pct"/>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1</w:t>
                  </w:r>
                </w:p>
              </w:tc>
              <w:tc>
                <w:tcPr>
                  <w:tcW w:w="500" w:type="pct"/>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2</w:t>
                  </w:r>
                </w:p>
              </w:tc>
              <w:tc>
                <w:tcPr>
                  <w:tcW w:w="50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3</w:t>
                  </w:r>
                </w:p>
              </w:tc>
              <w:tc>
                <w:tcPr>
                  <w:tcW w:w="500" w:type="pct"/>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4</w:t>
                  </w:r>
                </w:p>
              </w:tc>
              <w:tc>
                <w:tcPr>
                  <w:tcW w:w="500" w:type="pct"/>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5</w:t>
                  </w:r>
                </w:p>
              </w:tc>
              <w:tc>
                <w:tcPr>
                  <w:tcW w:w="500" w:type="pct"/>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6</w:t>
                  </w:r>
                </w:p>
              </w:tc>
              <w:tc>
                <w:tcPr>
                  <w:tcW w:w="500" w:type="pct"/>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7</w:t>
                  </w:r>
                </w:p>
              </w:tc>
              <w:tc>
                <w:tcPr>
                  <w:tcW w:w="50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8</w:t>
                  </w:r>
                </w:p>
              </w:tc>
              <w:tc>
                <w:tcPr>
                  <w:tcW w:w="50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9</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270" w:hRule="atLeast"/>
                <w:jc w:val="center"/>
              </w:trPr>
              <w:tc>
                <w:tcPr>
                  <w:tcW w:w="49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K</w:t>
                  </w:r>
                </w:p>
              </w:tc>
              <w:tc>
                <w:tcPr>
                  <w:tcW w:w="50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1.019</w:t>
                  </w:r>
                </w:p>
              </w:tc>
              <w:tc>
                <w:tcPr>
                  <w:tcW w:w="50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1.01</w:t>
                  </w:r>
                </w:p>
              </w:tc>
              <w:tc>
                <w:tcPr>
                  <w:tcW w:w="50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1.002</w:t>
                  </w:r>
                </w:p>
              </w:tc>
              <w:tc>
                <w:tcPr>
                  <w:tcW w:w="50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0.995</w:t>
                  </w:r>
                </w:p>
              </w:tc>
              <w:tc>
                <w:tcPr>
                  <w:tcW w:w="50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0.986</w:t>
                  </w:r>
                </w:p>
              </w:tc>
              <w:tc>
                <w:tcPr>
                  <w:tcW w:w="50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0.979</w:t>
                  </w:r>
                </w:p>
              </w:tc>
              <w:tc>
                <w:tcPr>
                  <w:tcW w:w="50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0.971</w:t>
                  </w:r>
                </w:p>
              </w:tc>
              <w:tc>
                <w:tcPr>
                  <w:tcW w:w="50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0.963</w:t>
                  </w:r>
                </w:p>
              </w:tc>
              <w:tc>
                <w:tcPr>
                  <w:tcW w:w="50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0.96</w:t>
                  </w:r>
                </w:p>
              </w:tc>
            </w:tr>
          </w:tbl>
          <w:p>
            <w:pPr>
              <w:spacing w:line="360" w:lineRule="auto"/>
              <w:jc w:val="center"/>
              <w:rPr>
                <w:rFonts w:hint="default"/>
                <w:color w:val="auto"/>
                <w:highlight w:val="none"/>
              </w:rPr>
            </w:pPr>
            <w:r>
              <w:rPr>
                <w:rFonts w:hint="eastAsia" w:ascii="Times New Roman" w:hAnsi="Times New Roman" w:eastAsia="黑体" w:cs="Times New Roman"/>
                <w:color w:val="auto"/>
                <w:sz w:val="24"/>
                <w:highlight w:val="none"/>
                <w:lang w:val="en-US" w:eastAsia="zh-CN"/>
              </w:rPr>
              <w:t>表3-16 不同含水率下的K值</w:t>
            </w:r>
          </w:p>
          <w:p>
            <w:pPr>
              <w:widowControl/>
              <w:spacing w:line="360" w:lineRule="auto"/>
              <w:ind w:firstLine="480"/>
              <w:rPr>
                <w:color w:val="auto"/>
                <w:sz w:val="24"/>
                <w:highlight w:val="none"/>
              </w:rPr>
            </w:pPr>
            <w:r>
              <w:rPr>
                <w:color w:val="auto"/>
                <w:sz w:val="24"/>
                <w:highlight w:val="none"/>
              </w:rPr>
              <w:t>项目年加工</w:t>
            </w:r>
            <w:r>
              <w:rPr>
                <w:rFonts w:hint="eastAsia"/>
                <w:color w:val="auto"/>
                <w:sz w:val="24"/>
                <w:highlight w:val="none"/>
              </w:rPr>
              <w:t>生产1万吨沥青混凝土拌和料</w:t>
            </w:r>
            <w:r>
              <w:rPr>
                <w:color w:val="auto"/>
                <w:sz w:val="24"/>
                <w:highlight w:val="none"/>
              </w:rPr>
              <w:t>，</w:t>
            </w:r>
            <w:r>
              <w:rPr>
                <w:rFonts w:hint="eastAsia"/>
                <w:color w:val="auto"/>
                <w:sz w:val="24"/>
                <w:highlight w:val="none"/>
                <w:lang w:val="en-US" w:eastAsia="zh-CN"/>
              </w:rPr>
              <w:t>根据原辅材料矿石年用量为9500t，</w:t>
            </w:r>
            <w:r>
              <w:rPr>
                <w:color w:val="auto"/>
                <w:sz w:val="24"/>
                <w:highlight w:val="none"/>
              </w:rPr>
              <w:t>经核算，本项目运营期粉尘产生量为</w:t>
            </w:r>
            <w:r>
              <w:rPr>
                <w:rFonts w:hint="eastAsia"/>
                <w:color w:val="auto"/>
                <w:sz w:val="24"/>
                <w:highlight w:val="none"/>
              </w:rPr>
              <w:t>3</w:t>
            </w:r>
            <w:r>
              <w:rPr>
                <w:color w:val="auto"/>
                <w:sz w:val="24"/>
                <w:highlight w:val="none"/>
              </w:rPr>
              <w:t>t/a，</w:t>
            </w:r>
            <w:r>
              <w:rPr>
                <w:rFonts w:hint="eastAsia"/>
                <w:color w:val="auto"/>
                <w:sz w:val="24"/>
                <w:highlight w:val="none"/>
              </w:rPr>
              <w:t>由于原料堆场1为三面封闭式顶棚设计，同时进行喷淋洒水</w:t>
            </w:r>
            <w:r>
              <w:rPr>
                <w:color w:val="auto"/>
                <w:sz w:val="24"/>
                <w:highlight w:val="none"/>
              </w:rPr>
              <w:t>，除尘效率达到85%，</w:t>
            </w:r>
            <w:r>
              <w:rPr>
                <w:rFonts w:hint="eastAsia"/>
                <w:color w:val="auto"/>
                <w:sz w:val="24"/>
                <w:highlight w:val="none"/>
              </w:rPr>
              <w:t>因此原料堆场1的粉尘排放量为0.225t/a，0.0852kg/h；而原料堆场2升级改造后，由露天堆放改为三面封闭式顶棚设计，同时进行喷淋洒水，因此其除尘效率达85%，其排放量按照0.225t/a，0.0852kg/h</w:t>
            </w:r>
            <w:r>
              <w:rPr>
                <w:color w:val="auto"/>
                <w:sz w:val="24"/>
                <w:highlight w:val="none"/>
              </w:rPr>
              <w:t>。</w:t>
            </w:r>
          </w:p>
          <w:p>
            <w:pPr>
              <w:widowControl/>
              <w:spacing w:line="360" w:lineRule="auto"/>
              <w:ind w:firstLine="480"/>
              <w:jc w:val="left"/>
              <w:rPr>
                <w:rFonts w:hint="eastAsia"/>
                <w:color w:val="auto"/>
                <w:sz w:val="24"/>
                <w:highlight w:val="none"/>
              </w:rPr>
            </w:pPr>
            <w:r>
              <w:rPr>
                <w:rFonts w:hint="eastAsia"/>
                <w:color w:val="auto"/>
                <w:sz w:val="24"/>
                <w:highlight w:val="none"/>
              </w:rPr>
              <w:t>③沥青烟</w:t>
            </w:r>
          </w:p>
          <w:p>
            <w:pPr>
              <w:widowControl/>
              <w:spacing w:line="360" w:lineRule="auto"/>
              <w:ind w:firstLine="480"/>
              <w:rPr>
                <w:rFonts w:hint="eastAsia"/>
                <w:color w:val="auto"/>
                <w:sz w:val="24"/>
                <w:highlight w:val="none"/>
              </w:rPr>
            </w:pPr>
            <w:r>
              <w:rPr>
                <w:rFonts w:hint="eastAsia"/>
                <w:color w:val="auto"/>
                <w:sz w:val="24"/>
                <w:highlight w:val="none"/>
              </w:rPr>
              <w:t>沥青加热和混合搅拌</w:t>
            </w:r>
          </w:p>
          <w:p>
            <w:pPr>
              <w:widowControl/>
              <w:spacing w:line="360" w:lineRule="auto"/>
              <w:ind w:firstLine="480"/>
              <w:rPr>
                <w:rFonts w:hint="eastAsia"/>
                <w:color w:val="auto"/>
                <w:sz w:val="24"/>
                <w:highlight w:val="none"/>
              </w:rPr>
            </w:pPr>
            <w:r>
              <w:rPr>
                <w:rFonts w:hint="eastAsia"/>
                <w:color w:val="auto"/>
                <w:sz w:val="24"/>
                <w:highlight w:val="none"/>
              </w:rPr>
              <w:t>本项目生产所需沥青先通过导热油炉加热，再由沥青泵送入搅拌器中，因此在沥青加热和混合搅拌工序会产生沥青烟。</w:t>
            </w:r>
          </w:p>
          <w:p>
            <w:pPr>
              <w:widowControl/>
              <w:spacing w:line="360" w:lineRule="auto"/>
              <w:ind w:firstLine="480"/>
              <w:rPr>
                <w:rFonts w:hint="eastAsia"/>
                <w:color w:val="auto"/>
                <w:sz w:val="24"/>
                <w:highlight w:val="none"/>
              </w:rPr>
            </w:pPr>
            <w:r>
              <w:rPr>
                <w:rFonts w:hint="eastAsia"/>
                <w:color w:val="auto"/>
                <w:sz w:val="24"/>
                <w:highlight w:val="none"/>
              </w:rPr>
              <w:t>本项目生产所需沥青先通过导热油炉加热，再经由沥青泵送入搅拌仓中，因此在沥青加热、混合搅拌工序会产生沥青烟。根据《沥青搅拌设备沥青烟排放机理及控制研究》(长安大学，焦信信，2018年）中的结论，确定在沥青加热及搅拌设备生产中沥青烟的排放因子为6.3×10</w:t>
            </w:r>
            <w:r>
              <w:rPr>
                <w:rFonts w:hint="eastAsia"/>
                <w:color w:val="auto"/>
                <w:sz w:val="24"/>
                <w:highlight w:val="none"/>
                <w:vertAlign w:val="superscript"/>
              </w:rPr>
              <w:t>-4</w:t>
            </w:r>
            <w:r>
              <w:rPr>
                <w:rFonts w:hint="eastAsia"/>
                <w:color w:val="auto"/>
                <w:sz w:val="24"/>
                <w:highlight w:val="none"/>
              </w:rPr>
              <w:t>kg/t。本项目沥青用量为500t/a，搅拌设备运行时间共计800h，可计算沥青烟产生量为0.315t/a，产生速率为0.394kg/h。</w:t>
            </w:r>
          </w:p>
          <w:p>
            <w:pPr>
              <w:widowControl/>
              <w:spacing w:line="360" w:lineRule="auto"/>
              <w:ind w:firstLine="480"/>
              <w:rPr>
                <w:rFonts w:hint="eastAsia"/>
                <w:color w:val="auto"/>
                <w:sz w:val="24"/>
                <w:highlight w:val="none"/>
              </w:rPr>
            </w:pPr>
            <w:r>
              <w:rPr>
                <w:rFonts w:hint="eastAsia"/>
                <w:color w:val="auto"/>
                <w:sz w:val="24"/>
                <w:highlight w:val="none"/>
              </w:rPr>
              <w:t>根据《工业生产中有害物物质手册》(化学工业出版社)中提供的数据，沥青烟中苯并[a]芘含量约0.01～0.02‰，本次评价取最大值0.02‰，则苯并[a]芘废气产生量约为6.98*10</w:t>
            </w:r>
            <w:r>
              <w:rPr>
                <w:rFonts w:hint="eastAsia"/>
                <w:color w:val="auto"/>
                <w:sz w:val="24"/>
                <w:highlight w:val="none"/>
                <w:vertAlign w:val="superscript"/>
              </w:rPr>
              <w:t>-6</w:t>
            </w:r>
            <w:r>
              <w:rPr>
                <w:rFonts w:hint="eastAsia"/>
                <w:color w:val="auto"/>
                <w:sz w:val="24"/>
                <w:highlight w:val="none"/>
              </w:rPr>
              <w:t>kg/h，则苯并芘产生量共计0.0000063t/a。</w:t>
            </w:r>
          </w:p>
          <w:p>
            <w:pPr>
              <w:widowControl/>
              <w:spacing w:line="360" w:lineRule="auto"/>
              <w:ind w:firstLine="480"/>
              <w:rPr>
                <w:rFonts w:hint="eastAsia"/>
                <w:color w:val="auto"/>
                <w:sz w:val="24"/>
                <w:highlight w:val="none"/>
              </w:rPr>
            </w:pPr>
            <w:r>
              <w:rPr>
                <w:rFonts w:hint="eastAsia"/>
                <w:color w:val="auto"/>
                <w:sz w:val="24"/>
                <w:highlight w:val="none"/>
              </w:rPr>
              <w:t>非甲烷总</w:t>
            </w:r>
            <w:r>
              <w:rPr>
                <w:rFonts w:hint="eastAsia"/>
                <w:color w:val="auto"/>
                <w:sz w:val="24"/>
                <w:highlight w:val="none"/>
                <w:lang w:val="en-US" w:eastAsia="zh-CN"/>
              </w:rPr>
              <w:t>烃</w:t>
            </w:r>
            <w:r>
              <w:rPr>
                <w:rFonts w:hint="eastAsia"/>
                <w:color w:val="auto"/>
                <w:sz w:val="24"/>
                <w:highlight w:val="none"/>
              </w:rPr>
              <w:t>：根据参考前苏联拉扎列夫主编的《工业生产中有害物物质手册》第一卷（化学工业出版社，1987年12月出版)《有机化合物污染化学》(清华大学出版社,1990年8月出版）及《壳牌沥青手册》(壳牌大中华集团1995年9月初版)的有关资料,每吨石油沥青在搅拌及加热过程中可产生非甲烷总烃2.5g/t，本项目年使用沥青量为500 t/a，则本项目非甲烷总</w:t>
            </w:r>
            <w:r>
              <w:rPr>
                <w:rFonts w:hint="eastAsia"/>
                <w:color w:val="auto"/>
                <w:sz w:val="24"/>
                <w:highlight w:val="none"/>
                <w:lang w:val="en-US" w:eastAsia="zh-CN"/>
              </w:rPr>
              <w:t>烃</w:t>
            </w:r>
            <w:r>
              <w:rPr>
                <w:rFonts w:hint="eastAsia"/>
                <w:color w:val="auto"/>
                <w:sz w:val="24"/>
                <w:highlight w:val="none"/>
              </w:rPr>
              <w:t>产生量为0.00125t/a。</w:t>
            </w:r>
          </w:p>
          <w:p>
            <w:pPr>
              <w:widowControl/>
              <w:spacing w:line="360" w:lineRule="auto"/>
              <w:ind w:firstLine="480"/>
              <w:jc w:val="left"/>
              <w:rPr>
                <w:rFonts w:hint="eastAsia"/>
                <w:color w:val="auto"/>
                <w:sz w:val="24"/>
                <w:highlight w:val="none"/>
              </w:rPr>
            </w:pPr>
            <w:r>
              <w:rPr>
                <w:rFonts w:hint="eastAsia"/>
                <w:color w:val="auto"/>
                <w:sz w:val="24"/>
                <w:highlight w:val="none"/>
              </w:rPr>
              <w:t>产生的沥青烟、苯并[a]芘、非甲烷总烃通过设置的环形集气罩收集后（收集效率90%）引入总集气管道;搅拌缸内沥青烟气由风管引入总集气管道，沥青烟气收集后引入烘干滚筒燃烧器中燃烧后跟燃气废气一并从1#排气筒排放，燃烧处理效率达90%。因此沥青烟的有组织排放量为0.0284t/a，排放速率为0.0355kg/h；苯并[a]芘的有组织排放量为5.67*10</w:t>
            </w:r>
            <w:r>
              <w:rPr>
                <w:rFonts w:hint="eastAsia"/>
                <w:color w:val="auto"/>
                <w:sz w:val="24"/>
                <w:highlight w:val="none"/>
                <w:vertAlign w:val="superscript"/>
              </w:rPr>
              <w:t>-7</w:t>
            </w:r>
            <w:r>
              <w:rPr>
                <w:rFonts w:hint="eastAsia"/>
                <w:color w:val="auto"/>
                <w:sz w:val="24"/>
                <w:highlight w:val="none"/>
              </w:rPr>
              <w:t>t/a，排放速率为6.282*10</w:t>
            </w:r>
            <w:r>
              <w:rPr>
                <w:rFonts w:hint="eastAsia"/>
                <w:color w:val="auto"/>
                <w:sz w:val="24"/>
                <w:highlight w:val="none"/>
                <w:vertAlign w:val="superscript"/>
              </w:rPr>
              <w:t>-7</w:t>
            </w:r>
            <w:r>
              <w:rPr>
                <w:rFonts w:hint="eastAsia"/>
                <w:color w:val="auto"/>
                <w:sz w:val="24"/>
                <w:highlight w:val="none"/>
              </w:rPr>
              <w:t>kg/h；非甲烷总烃的有组织排放量为0.0001125t/a，排放速率为0.000188kg/h。</w:t>
            </w:r>
          </w:p>
          <w:p>
            <w:pPr>
              <w:widowControl/>
              <w:spacing w:line="360" w:lineRule="auto"/>
              <w:ind w:firstLine="480"/>
              <w:jc w:val="left"/>
              <w:rPr>
                <w:rFonts w:hint="eastAsia"/>
                <w:color w:val="auto"/>
                <w:sz w:val="24"/>
                <w:highlight w:val="none"/>
              </w:rPr>
            </w:pPr>
            <w:r>
              <w:rPr>
                <w:rFonts w:hint="eastAsia"/>
                <w:color w:val="auto"/>
                <w:sz w:val="24"/>
                <w:highlight w:val="none"/>
              </w:rPr>
              <w:t>沥青烟无组织排放量为0.0315t/a，0.0394kg/h；苯并[a]芘无组织排放量为6.3*10</w:t>
            </w:r>
            <w:r>
              <w:rPr>
                <w:rFonts w:hint="eastAsia"/>
                <w:color w:val="auto"/>
                <w:sz w:val="24"/>
                <w:highlight w:val="none"/>
                <w:vertAlign w:val="superscript"/>
              </w:rPr>
              <w:t>-7</w:t>
            </w:r>
            <w:r>
              <w:rPr>
                <w:rFonts w:hint="eastAsia"/>
                <w:color w:val="auto"/>
                <w:sz w:val="24"/>
                <w:highlight w:val="none"/>
              </w:rPr>
              <w:t>t/a，6.98*10</w:t>
            </w:r>
            <w:r>
              <w:rPr>
                <w:rFonts w:hint="eastAsia"/>
                <w:color w:val="auto"/>
                <w:sz w:val="24"/>
                <w:highlight w:val="none"/>
                <w:vertAlign w:val="superscript"/>
              </w:rPr>
              <w:t>-7</w:t>
            </w:r>
            <w:r>
              <w:rPr>
                <w:rFonts w:hint="eastAsia"/>
                <w:color w:val="auto"/>
                <w:sz w:val="24"/>
                <w:highlight w:val="none"/>
              </w:rPr>
              <w:t>kg/h、非甲烷总烃0.000125t/a，0.000208kg/h</w:t>
            </w:r>
          </w:p>
          <w:p>
            <w:pPr>
              <w:widowControl/>
              <w:spacing w:line="360" w:lineRule="auto"/>
              <w:ind w:firstLine="480"/>
              <w:jc w:val="left"/>
              <w:rPr>
                <w:rFonts w:ascii="宋体" w:hAnsi="宋体" w:cs="宋体"/>
                <w:color w:val="auto"/>
                <w:kern w:val="0"/>
                <w:szCs w:val="21"/>
                <w:highlight w:val="none"/>
              </w:rPr>
            </w:pPr>
            <w:r>
              <w:rPr>
                <w:rFonts w:hint="eastAsia"/>
                <w:color w:val="auto"/>
                <w:sz w:val="24"/>
                <w:highlight w:val="none"/>
              </w:rPr>
              <w:t>综上，本项目</w:t>
            </w:r>
            <w:r>
              <w:rPr>
                <w:color w:val="auto"/>
                <w:sz w:val="24"/>
                <w:highlight w:val="none"/>
              </w:rPr>
              <w:t>大气污染物指标:SO</w:t>
            </w:r>
            <w:r>
              <w:rPr>
                <w:color w:val="auto"/>
                <w:sz w:val="24"/>
                <w:highlight w:val="none"/>
                <w:vertAlign w:val="subscript"/>
              </w:rPr>
              <w:t>2</w:t>
            </w:r>
            <w:r>
              <w:rPr>
                <w:color w:val="auto"/>
                <w:sz w:val="24"/>
                <w:highlight w:val="none"/>
              </w:rPr>
              <w:t>≤0.</w:t>
            </w:r>
            <w:r>
              <w:rPr>
                <w:rFonts w:hint="eastAsia"/>
                <w:color w:val="auto"/>
                <w:sz w:val="24"/>
                <w:highlight w:val="none"/>
              </w:rPr>
              <w:t>032</w:t>
            </w:r>
            <w:r>
              <w:rPr>
                <w:color w:val="auto"/>
                <w:sz w:val="24"/>
                <w:highlight w:val="none"/>
              </w:rPr>
              <w:t>t/a；NOx≤</w:t>
            </w:r>
            <w:r>
              <w:rPr>
                <w:rFonts w:hint="eastAsia"/>
                <w:color w:val="auto"/>
                <w:sz w:val="24"/>
                <w:highlight w:val="none"/>
              </w:rPr>
              <w:t>0.1278</w:t>
            </w:r>
            <w:r>
              <w:rPr>
                <w:color w:val="auto"/>
                <w:sz w:val="24"/>
                <w:highlight w:val="none"/>
              </w:rPr>
              <w:t>t/a</w:t>
            </w:r>
            <w:r>
              <w:rPr>
                <w:rFonts w:hint="eastAsia"/>
                <w:color w:val="auto"/>
                <w:sz w:val="24"/>
                <w:highlight w:val="none"/>
              </w:rPr>
              <w:t>；TSP</w:t>
            </w:r>
            <w:r>
              <w:rPr>
                <w:color w:val="auto"/>
                <w:sz w:val="24"/>
                <w:highlight w:val="none"/>
              </w:rPr>
              <w:t>≤</w:t>
            </w:r>
            <w:r>
              <w:rPr>
                <w:rFonts w:hint="eastAsia"/>
                <w:color w:val="auto"/>
                <w:sz w:val="24"/>
                <w:highlight w:val="none"/>
              </w:rPr>
              <w:t>0.4667</w:t>
            </w:r>
            <w:r>
              <w:rPr>
                <w:color w:val="auto"/>
                <w:sz w:val="24"/>
                <w:highlight w:val="none"/>
              </w:rPr>
              <w:t>t/a</w:t>
            </w:r>
            <w:r>
              <w:rPr>
                <w:rFonts w:hint="eastAsia"/>
                <w:color w:val="auto"/>
                <w:sz w:val="24"/>
                <w:highlight w:val="none"/>
              </w:rPr>
              <w:t>；VOCs</w:t>
            </w:r>
            <w:r>
              <w:rPr>
                <w:color w:val="auto"/>
                <w:sz w:val="24"/>
                <w:highlight w:val="none"/>
              </w:rPr>
              <w:t>≤</w:t>
            </w:r>
            <w:r>
              <w:rPr>
                <w:rFonts w:hint="eastAsia"/>
                <w:color w:val="auto"/>
                <w:sz w:val="24"/>
                <w:highlight w:val="none"/>
              </w:rPr>
              <w:t>0.0002375t/a</w:t>
            </w:r>
            <w:r>
              <w:rPr>
                <w:color w:val="auto"/>
                <w:sz w:val="24"/>
                <w:highlight w:val="none"/>
              </w:rPr>
              <w:t>。</w:t>
            </w:r>
          </w:p>
        </w:tc>
      </w:tr>
    </w:tbl>
    <w:p>
      <w:pPr>
        <w:pStyle w:val="35"/>
        <w:jc w:val="center"/>
        <w:outlineLvl w:val="0"/>
        <w:rPr>
          <w:rFonts w:ascii="黑体" w:hAnsi="黑体" w:eastAsia="黑体"/>
          <w:snapToGrid w:val="0"/>
          <w:color w:val="auto"/>
          <w:sz w:val="30"/>
          <w:szCs w:val="30"/>
          <w:highlight w:val="none"/>
        </w:rPr>
      </w:pPr>
      <w:r>
        <w:rPr>
          <w:rFonts w:ascii="黑体" w:hAnsi="黑体" w:eastAsia="黑体"/>
          <w:snapToGrid w:val="0"/>
          <w:color w:val="auto"/>
          <w:sz w:val="36"/>
          <w:szCs w:val="36"/>
          <w:highlight w:val="none"/>
        </w:rPr>
        <w:br w:type="page"/>
      </w:r>
      <w:r>
        <w:rPr>
          <w:rFonts w:hint="eastAsia" w:ascii="黑体" w:hAnsi="黑体" w:eastAsia="黑体"/>
          <w:snapToGrid w:val="0"/>
          <w:color w:val="auto"/>
          <w:sz w:val="30"/>
          <w:szCs w:val="30"/>
          <w:highlight w:val="none"/>
        </w:rPr>
        <w:t>四、主要环境影响和保护措施</w:t>
      </w:r>
    </w:p>
    <w:tbl>
      <w:tblPr>
        <w:tblStyle w:val="39"/>
        <w:tblW w:w="898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31"/>
        <w:gridCol w:w="855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2339" w:hRule="atLeast"/>
          <w:jc w:val="center"/>
        </w:trPr>
        <w:tc>
          <w:tcPr>
            <w:tcW w:w="431" w:type="dxa"/>
            <w:noWrap w:val="0"/>
            <w:tcMar>
              <w:left w:w="28" w:type="dxa"/>
              <w:right w:w="28" w:type="dxa"/>
            </w:tcMar>
            <w:vAlign w:val="center"/>
          </w:tcPr>
          <w:p>
            <w:pPr>
              <w:pStyle w:val="35"/>
              <w:adjustRightInd w:val="0"/>
              <w:snapToGrid w:val="0"/>
              <w:spacing w:before="0" w:beforeAutospacing="0" w:after="0" w:afterAutospacing="0"/>
              <w:jc w:val="center"/>
              <w:rPr>
                <w:rFonts w:hint="eastAsia" w:cs="宋体"/>
                <w:color w:val="auto"/>
                <w:kern w:val="2"/>
                <w:sz w:val="21"/>
                <w:szCs w:val="21"/>
                <w:highlight w:val="none"/>
              </w:rPr>
            </w:pPr>
            <w:r>
              <w:rPr>
                <w:rFonts w:hint="eastAsia" w:cs="宋体"/>
                <w:color w:val="auto"/>
                <w:kern w:val="2"/>
                <w:sz w:val="21"/>
                <w:szCs w:val="21"/>
                <w:highlight w:val="none"/>
              </w:rPr>
              <w:t>施工</w:t>
            </w:r>
          </w:p>
          <w:p>
            <w:pPr>
              <w:pStyle w:val="35"/>
              <w:adjustRightInd w:val="0"/>
              <w:snapToGrid w:val="0"/>
              <w:spacing w:before="0" w:beforeAutospacing="0" w:after="0" w:afterAutospacing="0"/>
              <w:jc w:val="center"/>
              <w:rPr>
                <w:rFonts w:hint="eastAsia" w:cs="宋体"/>
                <w:color w:val="auto"/>
                <w:kern w:val="2"/>
                <w:sz w:val="21"/>
                <w:szCs w:val="21"/>
                <w:highlight w:val="none"/>
              </w:rPr>
            </w:pPr>
            <w:r>
              <w:rPr>
                <w:rFonts w:hint="eastAsia" w:cs="宋体"/>
                <w:color w:val="auto"/>
                <w:kern w:val="2"/>
                <w:sz w:val="21"/>
                <w:szCs w:val="21"/>
                <w:highlight w:val="none"/>
              </w:rPr>
              <w:t>期环</w:t>
            </w:r>
          </w:p>
          <w:p>
            <w:pPr>
              <w:pStyle w:val="35"/>
              <w:adjustRightInd w:val="0"/>
              <w:snapToGrid w:val="0"/>
              <w:spacing w:before="0" w:beforeAutospacing="0" w:after="0" w:afterAutospacing="0"/>
              <w:jc w:val="center"/>
              <w:rPr>
                <w:rFonts w:hint="eastAsia" w:cs="宋体"/>
                <w:color w:val="auto"/>
                <w:kern w:val="2"/>
                <w:sz w:val="21"/>
                <w:szCs w:val="21"/>
                <w:highlight w:val="none"/>
              </w:rPr>
            </w:pPr>
            <w:r>
              <w:rPr>
                <w:rFonts w:hint="eastAsia" w:cs="宋体"/>
                <w:color w:val="auto"/>
                <w:kern w:val="2"/>
                <w:sz w:val="21"/>
                <w:szCs w:val="21"/>
                <w:highlight w:val="none"/>
              </w:rPr>
              <w:t>境保</w:t>
            </w:r>
          </w:p>
          <w:p>
            <w:pPr>
              <w:pStyle w:val="35"/>
              <w:adjustRightInd w:val="0"/>
              <w:snapToGrid w:val="0"/>
              <w:spacing w:before="0" w:beforeAutospacing="0" w:after="0" w:afterAutospacing="0"/>
              <w:jc w:val="center"/>
              <w:rPr>
                <w:rFonts w:hint="eastAsia" w:cs="宋体"/>
                <w:color w:val="auto"/>
                <w:kern w:val="2"/>
                <w:sz w:val="21"/>
                <w:szCs w:val="21"/>
                <w:highlight w:val="none"/>
              </w:rPr>
            </w:pPr>
            <w:r>
              <w:rPr>
                <w:rFonts w:hint="eastAsia" w:cs="宋体"/>
                <w:color w:val="auto"/>
                <w:kern w:val="2"/>
                <w:sz w:val="21"/>
                <w:szCs w:val="21"/>
                <w:highlight w:val="none"/>
              </w:rPr>
              <w:t>护措</w:t>
            </w:r>
          </w:p>
          <w:p>
            <w:pPr>
              <w:pStyle w:val="35"/>
              <w:adjustRightInd w:val="0"/>
              <w:snapToGrid w:val="0"/>
              <w:spacing w:before="0" w:beforeAutospacing="0" w:after="0" w:afterAutospacing="0"/>
              <w:jc w:val="center"/>
              <w:rPr>
                <w:rFonts w:hint="eastAsia" w:cs="宋体"/>
                <w:bCs/>
                <w:color w:val="auto"/>
                <w:kern w:val="2"/>
                <w:sz w:val="21"/>
                <w:szCs w:val="21"/>
                <w:highlight w:val="none"/>
              </w:rPr>
            </w:pPr>
            <w:r>
              <w:rPr>
                <w:rFonts w:hint="eastAsia" w:cs="宋体"/>
                <w:color w:val="auto"/>
                <w:kern w:val="2"/>
                <w:sz w:val="21"/>
                <w:szCs w:val="21"/>
                <w:highlight w:val="none"/>
              </w:rPr>
              <w:t>施</w:t>
            </w:r>
          </w:p>
        </w:tc>
        <w:tc>
          <w:tcPr>
            <w:tcW w:w="8550" w:type="dxa"/>
            <w:noWrap w:val="0"/>
            <w:vAlign w:val="center"/>
          </w:tcPr>
          <w:p>
            <w:pPr>
              <w:snapToGrid w:val="0"/>
              <w:spacing w:line="360" w:lineRule="auto"/>
              <w:ind w:firstLine="480"/>
              <w:rPr>
                <w:color w:val="auto"/>
                <w:sz w:val="24"/>
                <w:highlight w:val="none"/>
              </w:rPr>
            </w:pPr>
            <w:r>
              <w:rPr>
                <w:color w:val="auto"/>
                <w:sz w:val="24"/>
                <w:highlight w:val="none"/>
              </w:rPr>
              <w:t>由于本项目</w:t>
            </w:r>
            <w:r>
              <w:rPr>
                <w:rFonts w:hint="eastAsia"/>
                <w:color w:val="auto"/>
                <w:sz w:val="24"/>
                <w:highlight w:val="none"/>
              </w:rPr>
              <w:t>在原项目基础上进行技术改造</w:t>
            </w:r>
            <w:r>
              <w:rPr>
                <w:color w:val="auto"/>
                <w:sz w:val="24"/>
                <w:highlight w:val="none"/>
              </w:rPr>
              <w:t>，经现场调查原厂已建成部分生产厂房及办公生活楼。因此，本项目施工期工程量较少，施工期对环境的影响具有时间短，工程结束后施工产生的扬尘、废水、噪声等对环境影响即随之消失的特点。本项目施工期主要为道路硬化、</w:t>
            </w:r>
            <w:r>
              <w:rPr>
                <w:rFonts w:hint="eastAsia"/>
                <w:color w:val="auto"/>
                <w:sz w:val="24"/>
                <w:highlight w:val="none"/>
              </w:rPr>
              <w:t>沥青搅拌站主楼建设及骨料堆场建设</w:t>
            </w:r>
            <w:r>
              <w:rPr>
                <w:color w:val="auto"/>
                <w:sz w:val="24"/>
                <w:highlight w:val="none"/>
              </w:rPr>
              <w:t>、机械设备安装</w:t>
            </w:r>
            <w:r>
              <w:rPr>
                <w:rFonts w:hint="eastAsia"/>
                <w:color w:val="auto"/>
                <w:sz w:val="24"/>
                <w:highlight w:val="none"/>
              </w:rPr>
              <w:t>、旧生产线搅拌楼拆除</w:t>
            </w:r>
            <w:r>
              <w:rPr>
                <w:color w:val="auto"/>
                <w:sz w:val="24"/>
                <w:highlight w:val="none"/>
              </w:rPr>
              <w:t>等，因此本评价只对施工期进行简单分析。项目施工阶段污染流程图</w:t>
            </w:r>
            <w:r>
              <w:rPr>
                <w:rFonts w:hint="eastAsia"/>
                <w:color w:val="auto"/>
                <w:sz w:val="24"/>
                <w:highlight w:val="none"/>
              </w:rPr>
              <w:t>5-2</w:t>
            </w:r>
            <w:r>
              <w:rPr>
                <w:color w:val="auto"/>
                <w:sz w:val="24"/>
                <w:highlight w:val="none"/>
              </w:rPr>
              <w:t>所示。</w:t>
            </w:r>
          </w:p>
          <w:p>
            <w:pPr>
              <w:snapToGrid w:val="0"/>
              <w:spacing w:line="360" w:lineRule="auto"/>
              <w:jc w:val="center"/>
              <w:rPr>
                <w:b/>
                <w:bCs/>
                <w:color w:val="auto"/>
                <w:highlight w:val="none"/>
              </w:rPr>
            </w:pPr>
            <w:r>
              <w:rPr>
                <w:color w:val="auto"/>
                <w:highlight w:val="none"/>
              </w:rPr>
              <w:object>
                <v:shape id="_x0000_i1038" o:spt="75" type="#_x0000_t75" style="height:191.55pt;width:416.7pt;" o:ole="t" filled="f" o:preferrelative="t" stroked="f" coordsize="21600,21600">
                  <v:path/>
                  <v:fill on="f" focussize="0,0"/>
                  <v:stroke on="f"/>
                  <v:imagedata r:id="rId15" o:title=""/>
                  <o:lock v:ext="edit" aspectratio="t"/>
                  <w10:wrap type="none"/>
                  <w10:anchorlock/>
                </v:shape>
                <o:OLEObject Type="Embed" ProgID="Visio.Drawing.11" ShapeID="_x0000_i1038" DrawAspect="Content" ObjectID="_1468075727" r:id="rId14">
                  <o:LockedField>false</o:LockedField>
                </o:OLEObject>
              </w:object>
            </w:r>
            <w:r>
              <w:rPr>
                <w:b/>
                <w:bCs/>
                <w:color w:val="auto"/>
                <w:highlight w:val="none"/>
              </w:rPr>
              <w:t>图</w:t>
            </w:r>
            <w:r>
              <w:rPr>
                <w:rFonts w:hint="eastAsia"/>
                <w:b/>
                <w:bCs/>
                <w:color w:val="auto"/>
                <w:highlight w:val="none"/>
              </w:rPr>
              <w:t>4-1</w:t>
            </w:r>
            <w:r>
              <w:rPr>
                <w:b/>
                <w:bCs/>
                <w:color w:val="auto"/>
                <w:highlight w:val="none"/>
              </w:rPr>
              <w:t xml:space="preserve"> 项目施工期流程及产污节点图</w:t>
            </w:r>
          </w:p>
          <w:p>
            <w:pPr>
              <w:widowControl/>
              <w:snapToGrid w:val="0"/>
              <w:spacing w:line="360" w:lineRule="auto"/>
              <w:ind w:firstLine="482"/>
              <w:rPr>
                <w:b/>
                <w:bCs/>
                <w:color w:val="auto"/>
                <w:sz w:val="24"/>
                <w:highlight w:val="none"/>
              </w:rPr>
            </w:pPr>
            <w:r>
              <w:rPr>
                <w:b/>
                <w:bCs/>
                <w:color w:val="auto"/>
                <w:sz w:val="24"/>
                <w:highlight w:val="none"/>
              </w:rPr>
              <w:t>1、工程施工简述：</w:t>
            </w:r>
          </w:p>
          <w:p>
            <w:pPr>
              <w:widowControl/>
              <w:snapToGrid w:val="0"/>
              <w:spacing w:line="360" w:lineRule="auto"/>
              <w:ind w:firstLine="480"/>
              <w:rPr>
                <w:color w:val="auto"/>
                <w:sz w:val="24"/>
                <w:highlight w:val="none"/>
              </w:rPr>
            </w:pPr>
            <w:r>
              <w:rPr>
                <w:color w:val="auto"/>
                <w:sz w:val="24"/>
                <w:highlight w:val="none"/>
              </w:rPr>
              <w:t>（1）项目施工前期工作，主要进行场地部分平整，去除项目区杂草植被等。</w:t>
            </w:r>
          </w:p>
          <w:p>
            <w:pPr>
              <w:widowControl/>
              <w:snapToGrid w:val="0"/>
              <w:spacing w:line="360" w:lineRule="auto"/>
              <w:ind w:firstLine="480"/>
              <w:rPr>
                <w:color w:val="auto"/>
                <w:sz w:val="24"/>
                <w:highlight w:val="none"/>
              </w:rPr>
            </w:pPr>
            <w:r>
              <w:rPr>
                <w:color w:val="auto"/>
                <w:sz w:val="24"/>
                <w:highlight w:val="none"/>
              </w:rPr>
              <w:t>（2）根据目前施工程度，项目区使用挖掘机、打桩机等设备进行基础施工，项目地基采用钢筋混凝土进行施工。本项目无高层建筑，因此打桩过程时间短，打桩浅，打桩造成的振动污染对项目区周边敏感点的影响较小。</w:t>
            </w:r>
          </w:p>
          <w:p>
            <w:pPr>
              <w:widowControl/>
              <w:snapToGrid w:val="0"/>
              <w:spacing w:line="360" w:lineRule="auto"/>
              <w:ind w:firstLine="480"/>
              <w:rPr>
                <w:color w:val="auto"/>
                <w:sz w:val="24"/>
                <w:highlight w:val="none"/>
              </w:rPr>
            </w:pPr>
            <w:r>
              <w:rPr>
                <w:color w:val="auto"/>
                <w:sz w:val="24"/>
                <w:highlight w:val="none"/>
              </w:rPr>
              <w:t>（3）对加工区、仓库等建筑物进行修建。</w:t>
            </w:r>
          </w:p>
          <w:p>
            <w:pPr>
              <w:widowControl/>
              <w:snapToGrid w:val="0"/>
              <w:spacing w:line="360" w:lineRule="auto"/>
              <w:ind w:firstLine="480"/>
              <w:rPr>
                <w:color w:val="auto"/>
                <w:sz w:val="24"/>
                <w:highlight w:val="none"/>
              </w:rPr>
            </w:pPr>
            <w:r>
              <w:rPr>
                <w:color w:val="auto"/>
                <w:sz w:val="24"/>
                <w:highlight w:val="none"/>
              </w:rPr>
              <w:t>（4）对已建成的主体工程和配套工程按设计要求进行装修</w:t>
            </w:r>
            <w:r>
              <w:rPr>
                <w:rFonts w:hint="eastAsia"/>
                <w:color w:val="auto"/>
                <w:sz w:val="24"/>
                <w:highlight w:val="none"/>
              </w:rPr>
              <w:t>、拆除旧设备</w:t>
            </w:r>
            <w:r>
              <w:rPr>
                <w:color w:val="auto"/>
                <w:sz w:val="24"/>
                <w:highlight w:val="none"/>
              </w:rPr>
              <w:t>，并安装</w:t>
            </w:r>
            <w:r>
              <w:rPr>
                <w:rFonts w:hint="eastAsia"/>
                <w:color w:val="auto"/>
                <w:sz w:val="24"/>
                <w:highlight w:val="none"/>
              </w:rPr>
              <w:t>新设备</w:t>
            </w:r>
            <w:r>
              <w:rPr>
                <w:color w:val="auto"/>
                <w:sz w:val="24"/>
                <w:highlight w:val="none"/>
              </w:rPr>
              <w:t>。</w:t>
            </w:r>
          </w:p>
          <w:p>
            <w:pPr>
              <w:widowControl/>
              <w:snapToGrid w:val="0"/>
              <w:spacing w:line="360" w:lineRule="auto"/>
              <w:ind w:firstLine="480"/>
              <w:rPr>
                <w:color w:val="auto"/>
                <w:sz w:val="24"/>
                <w:highlight w:val="none"/>
              </w:rPr>
            </w:pPr>
            <w:r>
              <w:rPr>
                <w:color w:val="auto"/>
                <w:sz w:val="24"/>
                <w:highlight w:val="none"/>
              </w:rPr>
              <w:t>（5）最后对项目区内的配套工程、道路、绿化等辅助设施进行施工。</w:t>
            </w:r>
          </w:p>
          <w:p>
            <w:pPr>
              <w:widowControl/>
              <w:snapToGrid w:val="0"/>
              <w:spacing w:line="360" w:lineRule="auto"/>
              <w:ind w:firstLine="482"/>
              <w:rPr>
                <w:b/>
                <w:bCs/>
                <w:color w:val="auto"/>
                <w:sz w:val="24"/>
                <w:highlight w:val="none"/>
              </w:rPr>
            </w:pPr>
            <w:r>
              <w:rPr>
                <w:b/>
                <w:bCs/>
                <w:color w:val="auto"/>
                <w:sz w:val="24"/>
                <w:highlight w:val="none"/>
              </w:rPr>
              <w:t>2、施工场地布置</w:t>
            </w:r>
          </w:p>
          <w:p>
            <w:pPr>
              <w:widowControl/>
              <w:snapToGrid w:val="0"/>
              <w:spacing w:line="360" w:lineRule="auto"/>
              <w:ind w:firstLine="480"/>
              <w:rPr>
                <w:color w:val="auto"/>
                <w:sz w:val="24"/>
                <w:highlight w:val="none"/>
              </w:rPr>
            </w:pPr>
            <w:r>
              <w:rPr>
                <w:color w:val="auto"/>
                <w:sz w:val="24"/>
                <w:highlight w:val="none"/>
              </w:rPr>
              <w:t>（1）进场施工道路</w:t>
            </w:r>
          </w:p>
          <w:p>
            <w:pPr>
              <w:widowControl/>
              <w:snapToGrid w:val="0"/>
              <w:spacing w:line="360" w:lineRule="auto"/>
              <w:ind w:firstLine="480"/>
              <w:rPr>
                <w:color w:val="auto"/>
                <w:sz w:val="24"/>
                <w:highlight w:val="none"/>
              </w:rPr>
            </w:pPr>
            <w:r>
              <w:rPr>
                <w:color w:val="auto"/>
                <w:sz w:val="24"/>
                <w:highlight w:val="none"/>
              </w:rPr>
              <w:t>项目施工进场道路利用场址</w:t>
            </w:r>
            <w:r>
              <w:rPr>
                <w:rFonts w:hint="eastAsia"/>
                <w:color w:val="auto"/>
                <w:sz w:val="24"/>
                <w:highlight w:val="none"/>
              </w:rPr>
              <w:t>西侧</w:t>
            </w:r>
            <w:r>
              <w:rPr>
                <w:color w:val="auto"/>
                <w:sz w:val="24"/>
                <w:highlight w:val="none"/>
              </w:rPr>
              <w:t>的</w:t>
            </w:r>
            <w:r>
              <w:rPr>
                <w:rFonts w:hint="eastAsia"/>
                <w:color w:val="auto"/>
                <w:sz w:val="24"/>
                <w:highlight w:val="none"/>
              </w:rPr>
              <w:t>S305</w:t>
            </w:r>
            <w:r>
              <w:rPr>
                <w:color w:val="auto"/>
                <w:sz w:val="24"/>
                <w:highlight w:val="none"/>
              </w:rPr>
              <w:t>道路，交通便利，用于场区车辆进出及机械设备运输。</w:t>
            </w:r>
          </w:p>
          <w:p>
            <w:pPr>
              <w:widowControl/>
              <w:snapToGrid w:val="0"/>
              <w:spacing w:line="360" w:lineRule="auto"/>
              <w:ind w:firstLine="480"/>
              <w:rPr>
                <w:color w:val="auto"/>
                <w:sz w:val="24"/>
                <w:highlight w:val="none"/>
              </w:rPr>
            </w:pPr>
            <w:r>
              <w:rPr>
                <w:color w:val="auto"/>
                <w:sz w:val="24"/>
                <w:highlight w:val="none"/>
              </w:rPr>
              <w:t>材料供应</w:t>
            </w:r>
          </w:p>
          <w:p>
            <w:pPr>
              <w:widowControl/>
              <w:snapToGrid w:val="0"/>
              <w:spacing w:line="360" w:lineRule="auto"/>
              <w:ind w:firstLine="480"/>
              <w:rPr>
                <w:color w:val="auto"/>
                <w:sz w:val="24"/>
                <w:highlight w:val="none"/>
              </w:rPr>
            </w:pPr>
            <w:r>
              <w:rPr>
                <w:color w:val="auto"/>
                <w:sz w:val="24"/>
                <w:highlight w:val="none"/>
              </w:rPr>
              <w:t>钢材：工程所需钢材在</w:t>
            </w:r>
            <w:r>
              <w:rPr>
                <w:rFonts w:hint="eastAsia"/>
                <w:color w:val="auto"/>
                <w:sz w:val="24"/>
                <w:highlight w:val="none"/>
              </w:rPr>
              <w:t>市中区</w:t>
            </w:r>
            <w:r>
              <w:rPr>
                <w:color w:val="auto"/>
                <w:sz w:val="24"/>
                <w:highlight w:val="none"/>
              </w:rPr>
              <w:t>及周边钢材市场购买；</w:t>
            </w:r>
          </w:p>
          <w:p>
            <w:pPr>
              <w:widowControl/>
              <w:snapToGrid w:val="0"/>
              <w:spacing w:line="360" w:lineRule="auto"/>
              <w:ind w:firstLine="480"/>
              <w:rPr>
                <w:color w:val="auto"/>
                <w:sz w:val="24"/>
                <w:highlight w:val="none"/>
              </w:rPr>
            </w:pPr>
            <w:r>
              <w:rPr>
                <w:color w:val="auto"/>
                <w:sz w:val="24"/>
                <w:highlight w:val="none"/>
              </w:rPr>
              <w:t>砂石料：本项目不设单独的砂石料场，工程建设所需的砂石料，在项目区周边具有合法开采手续的砂石料厂和土料场购买；</w:t>
            </w:r>
          </w:p>
          <w:p>
            <w:pPr>
              <w:widowControl/>
              <w:snapToGrid w:val="0"/>
              <w:spacing w:line="360" w:lineRule="auto"/>
              <w:ind w:firstLine="480"/>
              <w:rPr>
                <w:color w:val="auto"/>
                <w:sz w:val="24"/>
                <w:highlight w:val="none"/>
              </w:rPr>
            </w:pPr>
            <w:r>
              <w:rPr>
                <w:color w:val="auto"/>
                <w:sz w:val="24"/>
                <w:highlight w:val="none"/>
              </w:rPr>
              <w:t>其他材料：工程所需其他材料可在项目区附近的建材市场购买。</w:t>
            </w:r>
          </w:p>
          <w:p>
            <w:pPr>
              <w:widowControl/>
              <w:snapToGrid w:val="0"/>
              <w:spacing w:line="360" w:lineRule="auto"/>
              <w:ind w:firstLine="480"/>
              <w:rPr>
                <w:color w:val="auto"/>
                <w:sz w:val="24"/>
                <w:highlight w:val="none"/>
              </w:rPr>
            </w:pPr>
            <w:r>
              <w:rPr>
                <w:color w:val="auto"/>
                <w:sz w:val="24"/>
                <w:highlight w:val="none"/>
              </w:rPr>
              <w:t>经现场调查，该项目区域场地已做硬化处理，</w:t>
            </w:r>
            <w:r>
              <w:rPr>
                <w:rFonts w:hint="eastAsia"/>
                <w:color w:val="auto"/>
                <w:sz w:val="24"/>
                <w:highlight w:val="none"/>
              </w:rPr>
              <w:t>无新建厂房，主要为沥青搅拌站主楼建设及骨料堆场建设</w:t>
            </w:r>
            <w:r>
              <w:rPr>
                <w:color w:val="auto"/>
                <w:sz w:val="24"/>
                <w:highlight w:val="none"/>
              </w:rPr>
              <w:t>。</w:t>
            </w:r>
          </w:p>
          <w:p>
            <w:pPr>
              <w:widowControl/>
              <w:snapToGrid w:val="0"/>
              <w:spacing w:line="360" w:lineRule="auto"/>
              <w:ind w:firstLine="480"/>
              <w:rPr>
                <w:color w:val="auto"/>
                <w:sz w:val="24"/>
                <w:highlight w:val="none"/>
              </w:rPr>
            </w:pPr>
            <w:r>
              <w:rPr>
                <w:color w:val="auto"/>
                <w:sz w:val="24"/>
                <w:highlight w:val="none"/>
              </w:rPr>
              <w:t>施工期间存在的主要污染为：施工行为产生的扬尘；施工机械及车辆产生的尾气；施工人员的生活污水和施工机械冲洗等产生的废水；施工产生的废土及生活垃圾等固体废弃物；施工机械及运输车辆产生的噪声。</w:t>
            </w:r>
          </w:p>
          <w:p>
            <w:pPr>
              <w:widowControl/>
              <w:snapToGrid w:val="0"/>
              <w:spacing w:line="360" w:lineRule="auto"/>
              <w:ind w:firstLine="482"/>
              <w:rPr>
                <w:b/>
                <w:bCs/>
                <w:color w:val="auto"/>
                <w:sz w:val="24"/>
                <w:highlight w:val="none"/>
              </w:rPr>
            </w:pPr>
            <w:bookmarkStart w:id="13" w:name="_Toc32598838"/>
            <w:bookmarkStart w:id="14" w:name="_Toc524875691"/>
            <w:r>
              <w:rPr>
                <w:b/>
                <w:bCs/>
                <w:color w:val="auto"/>
                <w:sz w:val="24"/>
                <w:highlight w:val="none"/>
              </w:rPr>
              <w:t>3、施工期主要污染物产生、排放情况分析</w:t>
            </w:r>
            <w:bookmarkEnd w:id="13"/>
            <w:bookmarkEnd w:id="14"/>
          </w:p>
          <w:p>
            <w:pPr>
              <w:widowControl/>
              <w:snapToGrid w:val="0"/>
              <w:spacing w:line="360" w:lineRule="auto"/>
              <w:ind w:firstLine="480"/>
              <w:rPr>
                <w:color w:val="auto"/>
                <w:sz w:val="24"/>
                <w:highlight w:val="none"/>
              </w:rPr>
            </w:pPr>
            <w:r>
              <w:rPr>
                <w:color w:val="auto"/>
                <w:sz w:val="24"/>
                <w:highlight w:val="none"/>
              </w:rPr>
              <w:t>1、施工期扬尘、废气</w:t>
            </w:r>
          </w:p>
          <w:p>
            <w:pPr>
              <w:widowControl/>
              <w:snapToGrid w:val="0"/>
              <w:spacing w:line="360" w:lineRule="auto"/>
              <w:ind w:firstLine="480"/>
              <w:rPr>
                <w:color w:val="auto"/>
                <w:sz w:val="24"/>
                <w:highlight w:val="none"/>
              </w:rPr>
            </w:pPr>
            <w:r>
              <w:rPr>
                <w:color w:val="auto"/>
                <w:sz w:val="24"/>
                <w:highlight w:val="none"/>
              </w:rPr>
              <w:t>（1）扬尘</w:t>
            </w:r>
          </w:p>
          <w:p>
            <w:pPr>
              <w:widowControl/>
              <w:snapToGrid w:val="0"/>
              <w:spacing w:line="360" w:lineRule="auto"/>
              <w:ind w:firstLine="480"/>
              <w:rPr>
                <w:color w:val="auto"/>
                <w:sz w:val="24"/>
                <w:highlight w:val="none"/>
              </w:rPr>
            </w:pPr>
            <w:r>
              <w:rPr>
                <w:color w:val="auto"/>
                <w:sz w:val="24"/>
                <w:highlight w:val="none"/>
              </w:rPr>
              <w:t>施工期对区域大气环境的影响主要是地面扬尘污染，污染因子为总悬浮颗粒物（TSP），扬尘以无组织排放的形式，借助风力在施工现场引起空气环境TSP指标升高。</w:t>
            </w:r>
          </w:p>
          <w:p>
            <w:pPr>
              <w:widowControl/>
              <w:snapToGrid w:val="0"/>
              <w:spacing w:line="360" w:lineRule="auto"/>
              <w:ind w:firstLine="480"/>
              <w:rPr>
                <w:color w:val="auto"/>
                <w:sz w:val="24"/>
                <w:highlight w:val="none"/>
              </w:rPr>
            </w:pPr>
            <w:r>
              <w:rPr>
                <w:color w:val="auto"/>
                <w:sz w:val="24"/>
                <w:highlight w:val="none"/>
              </w:rPr>
              <w:t>施工产生的扬尘主要集中在土建施工阶段，施工期工程量主要为道路硬化、</w:t>
            </w:r>
            <w:r>
              <w:rPr>
                <w:rFonts w:hint="eastAsia"/>
                <w:color w:val="auto"/>
                <w:sz w:val="24"/>
                <w:highlight w:val="none"/>
              </w:rPr>
              <w:t>沥青搅拌站主楼建设及骨料堆场建设</w:t>
            </w:r>
            <w:r>
              <w:rPr>
                <w:color w:val="auto"/>
                <w:sz w:val="24"/>
                <w:highlight w:val="none"/>
              </w:rPr>
              <w:t>，本项目在今后施工过程中产生粉尘量较少，施工期扬尘的主要原因是砂石料露天堆场、裸露场地、水泥堆放等产生的风力扬尘。由于施工的需要，一些建材需露天堆放；一些施工点表层土壤需人工开挖、堆放，在气候干燥又有风的情况下，会产生扬尘。尘粒在空气中的传播扩散情况与风速等气象条件有关，也与尘粒本身的沉降速度有关。尘粒的沉降速度随粒径的增大而迅速增大。当粒径为250μm时，沉降速度为1.005m/s，因此可以认为当尘粒大于250μm时，主要影响范围在扬尘点下风向近距离范围内，而真正对外环境产生影响的是一些微小尘粒。在有风的情况下，施工扬尘会对该区域造成一定的影响。</w:t>
            </w:r>
          </w:p>
          <w:p>
            <w:pPr>
              <w:widowControl/>
              <w:snapToGrid w:val="0"/>
              <w:spacing w:line="360" w:lineRule="auto"/>
              <w:ind w:firstLine="480"/>
              <w:rPr>
                <w:color w:val="auto"/>
                <w:sz w:val="24"/>
                <w:highlight w:val="none"/>
              </w:rPr>
            </w:pPr>
            <w:r>
              <w:rPr>
                <w:color w:val="auto"/>
                <w:sz w:val="24"/>
                <w:highlight w:val="none"/>
              </w:rPr>
              <w:t>（2）废气</w:t>
            </w:r>
          </w:p>
          <w:p>
            <w:pPr>
              <w:widowControl/>
              <w:snapToGrid w:val="0"/>
              <w:spacing w:line="360" w:lineRule="auto"/>
              <w:ind w:firstLine="480"/>
              <w:rPr>
                <w:color w:val="auto"/>
                <w:sz w:val="24"/>
                <w:highlight w:val="none"/>
              </w:rPr>
            </w:pPr>
            <w:r>
              <w:rPr>
                <w:color w:val="auto"/>
                <w:sz w:val="24"/>
                <w:highlight w:val="none"/>
              </w:rPr>
              <w:t>施工中施工机械运行产生的废气、运输车辆运输产生的尾气均是动力燃料柴油和汽油燃烧后所产生，为影响空气环境的主要污染物之一，主要成份是烯烃类、CO和NOx，属无组织间隙性排放。</w:t>
            </w:r>
          </w:p>
          <w:p>
            <w:pPr>
              <w:widowControl/>
              <w:snapToGrid w:val="0"/>
              <w:spacing w:line="360" w:lineRule="auto"/>
              <w:ind w:firstLine="480"/>
              <w:rPr>
                <w:color w:val="auto"/>
                <w:sz w:val="24"/>
                <w:highlight w:val="none"/>
              </w:rPr>
            </w:pPr>
            <w:r>
              <w:rPr>
                <w:color w:val="auto"/>
                <w:sz w:val="24"/>
                <w:highlight w:val="none"/>
              </w:rPr>
              <w:t>本项目施工期为3个月，在施工工程中用到的推土机、挖掘机、装载机及运输卡车，按耗油75t/a计，约排放有害物质烯烃类有机物1.5～2t、CO4.5～5t、SO</w:t>
            </w:r>
            <w:r>
              <w:rPr>
                <w:color w:val="auto"/>
                <w:sz w:val="24"/>
                <w:highlight w:val="none"/>
                <w:vertAlign w:val="subscript"/>
              </w:rPr>
              <w:t>2</w:t>
            </w:r>
            <w:r>
              <w:rPr>
                <w:color w:val="auto"/>
                <w:sz w:val="24"/>
                <w:highlight w:val="none"/>
              </w:rPr>
              <w:t xml:space="preserve"> 0.2～0.25t、NOx 0.8～1.0t。项目施工场地空旷，扩散条件较好，CO不会产生局部浓度过高的情况，对环境影响较小。</w:t>
            </w:r>
          </w:p>
          <w:p>
            <w:pPr>
              <w:widowControl/>
              <w:snapToGrid w:val="0"/>
              <w:spacing w:line="360" w:lineRule="auto"/>
              <w:ind w:firstLine="480"/>
              <w:rPr>
                <w:color w:val="auto"/>
                <w:sz w:val="24"/>
                <w:highlight w:val="none"/>
              </w:rPr>
            </w:pPr>
            <w:r>
              <w:rPr>
                <w:color w:val="auto"/>
                <w:sz w:val="24"/>
                <w:highlight w:val="none"/>
              </w:rPr>
              <w:t>2、施工期废水</w:t>
            </w:r>
          </w:p>
          <w:p>
            <w:pPr>
              <w:widowControl/>
              <w:snapToGrid w:val="0"/>
              <w:spacing w:line="360" w:lineRule="auto"/>
              <w:ind w:firstLine="480"/>
              <w:rPr>
                <w:color w:val="auto"/>
                <w:sz w:val="24"/>
                <w:highlight w:val="none"/>
              </w:rPr>
            </w:pPr>
            <w:r>
              <w:rPr>
                <w:color w:val="auto"/>
                <w:sz w:val="24"/>
                <w:highlight w:val="none"/>
              </w:rPr>
              <w:t>（1）生活污水</w:t>
            </w:r>
          </w:p>
          <w:p>
            <w:pPr>
              <w:widowControl/>
              <w:snapToGrid w:val="0"/>
              <w:spacing w:line="360" w:lineRule="auto"/>
              <w:ind w:firstLine="480"/>
              <w:rPr>
                <w:color w:val="auto"/>
                <w:sz w:val="24"/>
                <w:highlight w:val="none"/>
              </w:rPr>
            </w:pPr>
            <w:r>
              <w:rPr>
                <w:color w:val="auto"/>
                <w:sz w:val="24"/>
                <w:highlight w:val="none"/>
              </w:rPr>
              <w:t>本项目剩余工程量较少，在剩余工程量中该项目施工期的施工人员预计为15人，本项目施工场地</w:t>
            </w:r>
            <w:r>
              <w:rPr>
                <w:rFonts w:hint="eastAsia"/>
                <w:color w:val="auto"/>
                <w:sz w:val="24"/>
                <w:highlight w:val="none"/>
              </w:rPr>
              <w:t>施工人员依托现有项目食堂就餐</w:t>
            </w:r>
            <w:r>
              <w:rPr>
                <w:color w:val="auto"/>
                <w:sz w:val="24"/>
                <w:highlight w:val="none"/>
              </w:rPr>
              <w:t>，生活污水依托</w:t>
            </w:r>
            <w:r>
              <w:rPr>
                <w:rFonts w:hint="eastAsia"/>
                <w:color w:val="auto"/>
                <w:sz w:val="24"/>
                <w:highlight w:val="none"/>
              </w:rPr>
              <w:t>现有项目化粪池处理</w:t>
            </w:r>
            <w:r>
              <w:rPr>
                <w:color w:val="auto"/>
                <w:sz w:val="24"/>
                <w:highlight w:val="none"/>
              </w:rPr>
              <w:t>。</w:t>
            </w:r>
          </w:p>
          <w:p>
            <w:pPr>
              <w:widowControl/>
              <w:snapToGrid w:val="0"/>
              <w:spacing w:line="360" w:lineRule="auto"/>
              <w:ind w:firstLine="480"/>
              <w:rPr>
                <w:color w:val="auto"/>
                <w:sz w:val="24"/>
                <w:highlight w:val="none"/>
              </w:rPr>
            </w:pPr>
            <w:r>
              <w:rPr>
                <w:color w:val="auto"/>
                <w:sz w:val="24"/>
                <w:highlight w:val="none"/>
              </w:rPr>
              <w:t>（2）施工废水</w:t>
            </w:r>
          </w:p>
          <w:p>
            <w:pPr>
              <w:widowControl/>
              <w:snapToGrid w:val="0"/>
              <w:spacing w:line="360" w:lineRule="auto"/>
              <w:ind w:firstLine="480"/>
              <w:rPr>
                <w:color w:val="auto"/>
                <w:sz w:val="24"/>
                <w:highlight w:val="none"/>
              </w:rPr>
            </w:pPr>
            <w:r>
              <w:rPr>
                <w:color w:val="auto"/>
                <w:sz w:val="24"/>
                <w:highlight w:val="none"/>
              </w:rPr>
              <w:t>本项目施工期涉及用水和排水的阶段主要是结构阶段和装修阶段，在土石方阶段几乎不产生施工废水，施工废水主要来自于混凝土养护、机械冲洗、场地冲洗等。本项目混凝土拟主要采用商品混凝土供给，施工期废水的产生量很少，主要污染因子为SS。项目施工时拟设置施工废水收集池，将引入池中的废水进行沉淀处理，大大降低废水中SS的含量，经过沉淀处理后的施工废水用于建筑材料的冲洗和施工场地洒水降尘。对一些施工废水产生量较少的工序，一般采取在施工现场就地排放，自然蒸发的方式，不外排。</w:t>
            </w:r>
          </w:p>
          <w:p>
            <w:pPr>
              <w:widowControl/>
              <w:snapToGrid w:val="0"/>
              <w:spacing w:line="360" w:lineRule="auto"/>
              <w:ind w:firstLine="480"/>
              <w:rPr>
                <w:color w:val="auto"/>
                <w:sz w:val="24"/>
                <w:highlight w:val="none"/>
              </w:rPr>
            </w:pPr>
            <w:r>
              <w:rPr>
                <w:color w:val="auto"/>
                <w:sz w:val="24"/>
                <w:highlight w:val="none"/>
              </w:rPr>
              <w:t>3、施工噪声</w:t>
            </w:r>
          </w:p>
          <w:p>
            <w:pPr>
              <w:widowControl/>
              <w:snapToGrid w:val="0"/>
              <w:spacing w:line="360" w:lineRule="auto"/>
              <w:ind w:firstLine="480"/>
              <w:rPr>
                <w:color w:val="auto"/>
                <w:sz w:val="24"/>
                <w:highlight w:val="none"/>
              </w:rPr>
            </w:pPr>
            <w:r>
              <w:rPr>
                <w:color w:val="auto"/>
                <w:sz w:val="24"/>
                <w:highlight w:val="none"/>
              </w:rPr>
              <w:t>根据噪声影响程度不同，将施工过程分为四个阶段：土石方阶段、打桩阶段、结构阶段和装修阶段。由于项目已经完成利旧和部分利旧建设的内容，剩余少量工程量，主要为道路硬化、</w:t>
            </w:r>
            <w:r>
              <w:rPr>
                <w:rFonts w:hint="eastAsia"/>
                <w:color w:val="auto"/>
                <w:sz w:val="24"/>
                <w:highlight w:val="none"/>
              </w:rPr>
              <w:t>沥青搅拌站主楼建设及骨料堆场建设</w:t>
            </w:r>
            <w:r>
              <w:rPr>
                <w:color w:val="auto"/>
                <w:sz w:val="24"/>
                <w:highlight w:val="none"/>
              </w:rPr>
              <w:t>等单元及辅助工程的建设。</w:t>
            </w:r>
          </w:p>
          <w:p>
            <w:pPr>
              <w:widowControl/>
              <w:snapToGrid w:val="0"/>
              <w:spacing w:line="360" w:lineRule="auto"/>
              <w:ind w:firstLine="480"/>
              <w:rPr>
                <w:color w:val="auto"/>
                <w:sz w:val="24"/>
                <w:highlight w:val="none"/>
              </w:rPr>
            </w:pPr>
            <w:r>
              <w:rPr>
                <w:color w:val="auto"/>
                <w:sz w:val="24"/>
                <w:highlight w:val="none"/>
              </w:rPr>
              <w:t>（1）主体工程、附属工程建设阶段</w:t>
            </w:r>
          </w:p>
          <w:p>
            <w:pPr>
              <w:widowControl/>
              <w:snapToGrid w:val="0"/>
              <w:spacing w:line="360" w:lineRule="auto"/>
              <w:ind w:firstLine="480"/>
              <w:rPr>
                <w:color w:val="auto"/>
                <w:sz w:val="24"/>
                <w:highlight w:val="none"/>
              </w:rPr>
            </w:pPr>
            <w:r>
              <w:rPr>
                <w:color w:val="auto"/>
                <w:sz w:val="24"/>
                <w:highlight w:val="none"/>
              </w:rPr>
              <w:t>该阶段使用的设备种类较多。主要噪声源有：振捣机、切割机、轻型载重车。</w:t>
            </w:r>
          </w:p>
          <w:p>
            <w:pPr>
              <w:widowControl/>
              <w:snapToGrid w:val="0"/>
              <w:spacing w:line="360" w:lineRule="auto"/>
              <w:ind w:firstLine="480"/>
              <w:rPr>
                <w:color w:val="auto"/>
                <w:sz w:val="24"/>
                <w:highlight w:val="none"/>
              </w:rPr>
            </w:pPr>
            <w:r>
              <w:rPr>
                <w:color w:val="auto"/>
                <w:sz w:val="24"/>
                <w:highlight w:val="none"/>
              </w:rPr>
              <w:t>（2）装修、安装阶段</w:t>
            </w:r>
          </w:p>
          <w:p>
            <w:pPr>
              <w:widowControl/>
              <w:snapToGrid w:val="0"/>
              <w:spacing w:line="360" w:lineRule="auto"/>
              <w:ind w:firstLine="480"/>
              <w:rPr>
                <w:color w:val="auto"/>
                <w:sz w:val="24"/>
                <w:highlight w:val="none"/>
              </w:rPr>
            </w:pPr>
            <w:r>
              <w:rPr>
                <w:color w:val="auto"/>
                <w:sz w:val="24"/>
                <w:highlight w:val="none"/>
              </w:rPr>
              <w:t>辅助设备：如电锯、砂轮锯等。其中最主要的噪声源是振捣棒等设备，其声功率级为</w:t>
            </w:r>
            <w:r>
              <w:rPr>
                <w:rFonts w:hint="eastAsia"/>
                <w:color w:val="auto"/>
                <w:sz w:val="24"/>
                <w:highlight w:val="none"/>
              </w:rPr>
              <w:t>100~105</w:t>
            </w:r>
            <w:r>
              <w:rPr>
                <w:color w:val="auto"/>
                <w:sz w:val="24"/>
                <w:highlight w:val="none"/>
              </w:rPr>
              <w:t>dB。</w:t>
            </w:r>
          </w:p>
          <w:p>
            <w:pPr>
              <w:widowControl/>
              <w:snapToGrid w:val="0"/>
              <w:spacing w:before="120" w:beforeLines="50"/>
              <w:ind w:firstLine="482"/>
              <w:jc w:val="center"/>
              <w:rPr>
                <w:b/>
                <w:bCs/>
                <w:color w:val="auto"/>
                <w:highlight w:val="none"/>
              </w:rPr>
            </w:pPr>
            <w:r>
              <w:rPr>
                <w:b/>
                <w:bCs/>
                <w:color w:val="auto"/>
                <w:highlight w:val="none"/>
              </w:rPr>
              <w:t>表</w:t>
            </w:r>
            <w:r>
              <w:rPr>
                <w:rFonts w:hint="eastAsia"/>
                <w:b/>
                <w:bCs/>
                <w:color w:val="auto"/>
                <w:highlight w:val="none"/>
              </w:rPr>
              <w:t>4</w:t>
            </w:r>
            <w:r>
              <w:rPr>
                <w:b/>
                <w:bCs/>
                <w:color w:val="auto"/>
                <w:highlight w:val="none"/>
              </w:rPr>
              <w:t>-1部分施工机械噪声声级</w:t>
            </w:r>
          </w:p>
          <w:tbl>
            <w:tblPr>
              <w:tblStyle w:val="39"/>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025"/>
              <w:gridCol w:w="3177"/>
              <w:gridCol w:w="313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8389" w:type="dxa"/>
                  <w:gridSpan w:val="3"/>
                  <w:noWrap w:val="0"/>
                  <w:vAlign w:val="center"/>
                </w:tcPr>
                <w:p>
                  <w:pPr>
                    <w:snapToGrid w:val="0"/>
                    <w:jc w:val="center"/>
                    <w:rPr>
                      <w:color w:val="auto"/>
                      <w:szCs w:val="21"/>
                      <w:highlight w:val="none"/>
                    </w:rPr>
                  </w:pPr>
                  <w:r>
                    <w:rPr>
                      <w:b/>
                      <w:bCs/>
                      <w:color w:val="auto"/>
                      <w:szCs w:val="21"/>
                      <w:highlight w:val="none"/>
                    </w:rPr>
                    <w:t>施工机械声级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2037" w:type="dxa"/>
                  <w:vMerge w:val="restart"/>
                  <w:noWrap w:val="0"/>
                  <w:vAlign w:val="center"/>
                </w:tcPr>
                <w:p>
                  <w:pPr>
                    <w:snapToGrid w:val="0"/>
                    <w:jc w:val="center"/>
                    <w:rPr>
                      <w:color w:val="auto"/>
                      <w:szCs w:val="21"/>
                      <w:highlight w:val="none"/>
                    </w:rPr>
                  </w:pPr>
                  <w:r>
                    <w:rPr>
                      <w:color w:val="auto"/>
                      <w:szCs w:val="21"/>
                      <w:highlight w:val="none"/>
                    </w:rPr>
                    <w:t>主体工程、附属工程建设阶段</w:t>
                  </w:r>
                </w:p>
              </w:tc>
              <w:tc>
                <w:tcPr>
                  <w:tcW w:w="3201" w:type="dxa"/>
                  <w:noWrap w:val="0"/>
                  <w:vAlign w:val="center"/>
                </w:tcPr>
                <w:p>
                  <w:pPr>
                    <w:snapToGrid w:val="0"/>
                    <w:jc w:val="center"/>
                    <w:rPr>
                      <w:color w:val="auto"/>
                      <w:szCs w:val="21"/>
                      <w:highlight w:val="none"/>
                    </w:rPr>
                  </w:pPr>
                  <w:r>
                    <w:rPr>
                      <w:color w:val="auto"/>
                      <w:szCs w:val="21"/>
                      <w:highlight w:val="none"/>
                    </w:rPr>
                    <w:t>振捣机</w:t>
                  </w:r>
                </w:p>
              </w:tc>
              <w:tc>
                <w:tcPr>
                  <w:tcW w:w="3151" w:type="dxa"/>
                  <w:noWrap w:val="0"/>
                  <w:vAlign w:val="center"/>
                </w:tcPr>
                <w:p>
                  <w:pPr>
                    <w:snapToGrid w:val="0"/>
                    <w:jc w:val="center"/>
                    <w:rPr>
                      <w:color w:val="auto"/>
                      <w:szCs w:val="21"/>
                      <w:highlight w:val="none"/>
                    </w:rPr>
                  </w:pPr>
                  <w:r>
                    <w:rPr>
                      <w:color w:val="auto"/>
                      <w:szCs w:val="21"/>
                      <w:highlight w:val="none"/>
                    </w:rPr>
                    <w:t>100~105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2037" w:type="dxa"/>
                  <w:vMerge w:val="continue"/>
                  <w:noWrap w:val="0"/>
                  <w:vAlign w:val="center"/>
                </w:tcPr>
                <w:p>
                  <w:pPr>
                    <w:snapToGrid w:val="0"/>
                    <w:jc w:val="center"/>
                    <w:rPr>
                      <w:color w:val="auto"/>
                      <w:szCs w:val="21"/>
                      <w:highlight w:val="none"/>
                    </w:rPr>
                  </w:pPr>
                </w:p>
              </w:tc>
              <w:tc>
                <w:tcPr>
                  <w:tcW w:w="3201" w:type="dxa"/>
                  <w:noWrap w:val="0"/>
                  <w:vAlign w:val="center"/>
                </w:tcPr>
                <w:p>
                  <w:pPr>
                    <w:snapToGrid w:val="0"/>
                    <w:jc w:val="center"/>
                    <w:rPr>
                      <w:color w:val="auto"/>
                      <w:szCs w:val="21"/>
                      <w:highlight w:val="none"/>
                    </w:rPr>
                  </w:pPr>
                  <w:r>
                    <w:rPr>
                      <w:color w:val="auto"/>
                      <w:szCs w:val="21"/>
                      <w:highlight w:val="none"/>
                    </w:rPr>
                    <w:t>切割机</w:t>
                  </w:r>
                </w:p>
              </w:tc>
              <w:tc>
                <w:tcPr>
                  <w:tcW w:w="3151" w:type="dxa"/>
                  <w:noWrap w:val="0"/>
                  <w:vAlign w:val="center"/>
                </w:tcPr>
                <w:p>
                  <w:pPr>
                    <w:snapToGrid w:val="0"/>
                    <w:jc w:val="center"/>
                    <w:rPr>
                      <w:color w:val="auto"/>
                      <w:szCs w:val="21"/>
                      <w:highlight w:val="none"/>
                    </w:rPr>
                  </w:pPr>
                  <w:r>
                    <w:rPr>
                      <w:color w:val="auto"/>
                      <w:szCs w:val="21"/>
                      <w:highlight w:val="none"/>
                    </w:rPr>
                    <w:t>100~105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2037" w:type="dxa"/>
                  <w:vMerge w:val="continue"/>
                  <w:noWrap w:val="0"/>
                  <w:vAlign w:val="center"/>
                </w:tcPr>
                <w:p>
                  <w:pPr>
                    <w:snapToGrid w:val="0"/>
                    <w:jc w:val="center"/>
                    <w:rPr>
                      <w:color w:val="auto"/>
                      <w:szCs w:val="21"/>
                      <w:highlight w:val="none"/>
                    </w:rPr>
                  </w:pPr>
                </w:p>
              </w:tc>
              <w:tc>
                <w:tcPr>
                  <w:tcW w:w="3201" w:type="dxa"/>
                  <w:noWrap w:val="0"/>
                  <w:vAlign w:val="center"/>
                </w:tcPr>
                <w:p>
                  <w:pPr>
                    <w:snapToGrid w:val="0"/>
                    <w:jc w:val="center"/>
                    <w:rPr>
                      <w:color w:val="auto"/>
                      <w:szCs w:val="21"/>
                      <w:highlight w:val="none"/>
                    </w:rPr>
                  </w:pPr>
                  <w:r>
                    <w:rPr>
                      <w:color w:val="auto"/>
                      <w:szCs w:val="21"/>
                      <w:highlight w:val="none"/>
                    </w:rPr>
                    <w:t>轻型载重车</w:t>
                  </w:r>
                </w:p>
              </w:tc>
              <w:tc>
                <w:tcPr>
                  <w:tcW w:w="3151" w:type="dxa"/>
                  <w:noWrap w:val="0"/>
                  <w:vAlign w:val="center"/>
                </w:tcPr>
                <w:p>
                  <w:pPr>
                    <w:snapToGrid w:val="0"/>
                    <w:jc w:val="center"/>
                    <w:rPr>
                      <w:color w:val="auto"/>
                      <w:szCs w:val="21"/>
                      <w:highlight w:val="none"/>
                    </w:rPr>
                  </w:pPr>
                  <w:r>
                    <w:rPr>
                      <w:color w:val="auto"/>
                      <w:szCs w:val="21"/>
                      <w:highlight w:val="none"/>
                    </w:rPr>
                    <w:t>70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2037" w:type="dxa"/>
                  <w:vMerge w:val="restart"/>
                  <w:noWrap w:val="0"/>
                  <w:vAlign w:val="center"/>
                </w:tcPr>
                <w:p>
                  <w:pPr>
                    <w:snapToGrid w:val="0"/>
                    <w:jc w:val="center"/>
                    <w:rPr>
                      <w:color w:val="auto"/>
                      <w:szCs w:val="21"/>
                      <w:highlight w:val="none"/>
                    </w:rPr>
                  </w:pPr>
                  <w:r>
                    <w:rPr>
                      <w:color w:val="auto"/>
                      <w:szCs w:val="21"/>
                      <w:highlight w:val="none"/>
                    </w:rPr>
                    <w:t>装修、安装阶段</w:t>
                  </w:r>
                </w:p>
              </w:tc>
              <w:tc>
                <w:tcPr>
                  <w:tcW w:w="3201" w:type="dxa"/>
                  <w:noWrap w:val="0"/>
                  <w:vAlign w:val="center"/>
                </w:tcPr>
                <w:p>
                  <w:pPr>
                    <w:snapToGrid w:val="0"/>
                    <w:jc w:val="center"/>
                    <w:rPr>
                      <w:color w:val="auto"/>
                      <w:szCs w:val="21"/>
                      <w:highlight w:val="none"/>
                    </w:rPr>
                  </w:pPr>
                  <w:r>
                    <w:rPr>
                      <w:color w:val="auto"/>
                      <w:szCs w:val="21"/>
                      <w:highlight w:val="none"/>
                    </w:rPr>
                    <w:t>电钻</w:t>
                  </w:r>
                </w:p>
              </w:tc>
              <w:tc>
                <w:tcPr>
                  <w:tcW w:w="3151" w:type="dxa"/>
                  <w:noWrap w:val="0"/>
                  <w:vAlign w:val="center"/>
                </w:tcPr>
                <w:p>
                  <w:pPr>
                    <w:snapToGrid w:val="0"/>
                    <w:jc w:val="center"/>
                    <w:rPr>
                      <w:color w:val="auto"/>
                      <w:szCs w:val="21"/>
                      <w:highlight w:val="none"/>
                    </w:rPr>
                  </w:pPr>
                  <w:r>
                    <w:rPr>
                      <w:color w:val="auto"/>
                      <w:szCs w:val="21"/>
                      <w:highlight w:val="none"/>
                    </w:rPr>
                    <w:t>100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2037" w:type="dxa"/>
                  <w:vMerge w:val="continue"/>
                  <w:noWrap w:val="0"/>
                  <w:vAlign w:val="center"/>
                </w:tcPr>
                <w:p>
                  <w:pPr>
                    <w:snapToGrid w:val="0"/>
                    <w:jc w:val="center"/>
                    <w:rPr>
                      <w:color w:val="auto"/>
                      <w:szCs w:val="21"/>
                      <w:highlight w:val="none"/>
                    </w:rPr>
                  </w:pPr>
                </w:p>
              </w:tc>
              <w:tc>
                <w:tcPr>
                  <w:tcW w:w="3201" w:type="dxa"/>
                  <w:noWrap w:val="0"/>
                  <w:vAlign w:val="center"/>
                </w:tcPr>
                <w:p>
                  <w:pPr>
                    <w:snapToGrid w:val="0"/>
                    <w:jc w:val="center"/>
                    <w:rPr>
                      <w:color w:val="auto"/>
                      <w:szCs w:val="21"/>
                      <w:highlight w:val="none"/>
                    </w:rPr>
                  </w:pPr>
                  <w:r>
                    <w:rPr>
                      <w:color w:val="auto"/>
                      <w:szCs w:val="21"/>
                      <w:highlight w:val="none"/>
                    </w:rPr>
                    <w:t>手工锯</w:t>
                  </w:r>
                </w:p>
              </w:tc>
              <w:tc>
                <w:tcPr>
                  <w:tcW w:w="3151" w:type="dxa"/>
                  <w:noWrap w:val="0"/>
                  <w:vAlign w:val="center"/>
                </w:tcPr>
                <w:p>
                  <w:pPr>
                    <w:snapToGrid w:val="0"/>
                    <w:jc w:val="center"/>
                    <w:rPr>
                      <w:color w:val="auto"/>
                      <w:szCs w:val="21"/>
                      <w:highlight w:val="none"/>
                    </w:rPr>
                  </w:pPr>
                  <w:r>
                    <w:rPr>
                      <w:color w:val="auto"/>
                      <w:szCs w:val="21"/>
                      <w:highlight w:val="none"/>
                    </w:rPr>
                    <w:t>100~105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2037" w:type="dxa"/>
                  <w:vMerge w:val="continue"/>
                  <w:noWrap w:val="0"/>
                  <w:vAlign w:val="center"/>
                </w:tcPr>
                <w:p>
                  <w:pPr>
                    <w:snapToGrid w:val="0"/>
                    <w:jc w:val="center"/>
                    <w:rPr>
                      <w:color w:val="auto"/>
                      <w:szCs w:val="21"/>
                      <w:highlight w:val="none"/>
                    </w:rPr>
                  </w:pPr>
                </w:p>
              </w:tc>
              <w:tc>
                <w:tcPr>
                  <w:tcW w:w="3201" w:type="dxa"/>
                  <w:noWrap w:val="0"/>
                  <w:vAlign w:val="center"/>
                </w:tcPr>
                <w:p>
                  <w:pPr>
                    <w:snapToGrid w:val="0"/>
                    <w:jc w:val="center"/>
                    <w:rPr>
                      <w:color w:val="auto"/>
                      <w:szCs w:val="21"/>
                      <w:highlight w:val="none"/>
                    </w:rPr>
                  </w:pPr>
                  <w:r>
                    <w:rPr>
                      <w:color w:val="auto"/>
                      <w:szCs w:val="21"/>
                      <w:highlight w:val="none"/>
                    </w:rPr>
                    <w:t>多功能木工刨</w:t>
                  </w:r>
                </w:p>
              </w:tc>
              <w:tc>
                <w:tcPr>
                  <w:tcW w:w="3151" w:type="dxa"/>
                  <w:noWrap w:val="0"/>
                  <w:vAlign w:val="center"/>
                </w:tcPr>
                <w:p>
                  <w:pPr>
                    <w:snapToGrid w:val="0"/>
                    <w:jc w:val="center"/>
                    <w:rPr>
                      <w:color w:val="auto"/>
                      <w:szCs w:val="21"/>
                      <w:highlight w:val="none"/>
                    </w:rPr>
                  </w:pPr>
                  <w:r>
                    <w:rPr>
                      <w:color w:val="auto"/>
                      <w:szCs w:val="21"/>
                      <w:highlight w:val="none"/>
                    </w:rPr>
                    <w:t>90~100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2037" w:type="dxa"/>
                  <w:vMerge w:val="continue"/>
                  <w:noWrap w:val="0"/>
                  <w:vAlign w:val="center"/>
                </w:tcPr>
                <w:p>
                  <w:pPr>
                    <w:snapToGrid w:val="0"/>
                    <w:jc w:val="center"/>
                    <w:rPr>
                      <w:color w:val="auto"/>
                      <w:szCs w:val="21"/>
                      <w:highlight w:val="none"/>
                    </w:rPr>
                  </w:pPr>
                </w:p>
              </w:tc>
              <w:tc>
                <w:tcPr>
                  <w:tcW w:w="3201" w:type="dxa"/>
                  <w:noWrap w:val="0"/>
                  <w:vAlign w:val="center"/>
                </w:tcPr>
                <w:p>
                  <w:pPr>
                    <w:snapToGrid w:val="0"/>
                    <w:jc w:val="center"/>
                    <w:rPr>
                      <w:color w:val="auto"/>
                      <w:szCs w:val="21"/>
                      <w:highlight w:val="none"/>
                    </w:rPr>
                  </w:pPr>
                  <w:r>
                    <w:rPr>
                      <w:color w:val="auto"/>
                      <w:szCs w:val="21"/>
                      <w:highlight w:val="none"/>
                    </w:rPr>
                    <w:t>轻型载重车</w:t>
                  </w:r>
                </w:p>
              </w:tc>
              <w:tc>
                <w:tcPr>
                  <w:tcW w:w="3151" w:type="dxa"/>
                  <w:noWrap w:val="0"/>
                  <w:vAlign w:val="center"/>
                </w:tcPr>
                <w:p>
                  <w:pPr>
                    <w:snapToGrid w:val="0"/>
                    <w:jc w:val="center"/>
                    <w:rPr>
                      <w:color w:val="auto"/>
                      <w:szCs w:val="21"/>
                      <w:highlight w:val="none"/>
                    </w:rPr>
                  </w:pPr>
                  <w:r>
                    <w:rPr>
                      <w:color w:val="auto"/>
                      <w:szCs w:val="21"/>
                      <w:highlight w:val="none"/>
                    </w:rPr>
                    <w:t>70</w:t>
                  </w:r>
                </w:p>
              </w:tc>
            </w:tr>
          </w:tbl>
          <w:p>
            <w:pPr>
              <w:widowControl/>
              <w:snapToGrid w:val="0"/>
              <w:spacing w:line="360" w:lineRule="auto"/>
              <w:ind w:firstLine="480"/>
              <w:rPr>
                <w:color w:val="auto"/>
                <w:sz w:val="24"/>
                <w:highlight w:val="none"/>
              </w:rPr>
            </w:pPr>
            <w:r>
              <w:rPr>
                <w:color w:val="auto"/>
                <w:sz w:val="24"/>
                <w:highlight w:val="none"/>
              </w:rPr>
              <w:t>4、固体废弃物</w:t>
            </w:r>
          </w:p>
          <w:p>
            <w:pPr>
              <w:widowControl/>
              <w:snapToGrid w:val="0"/>
              <w:spacing w:line="360" w:lineRule="auto"/>
              <w:ind w:firstLine="480"/>
              <w:rPr>
                <w:color w:val="auto"/>
                <w:sz w:val="24"/>
                <w:highlight w:val="none"/>
              </w:rPr>
            </w:pPr>
            <w:r>
              <w:rPr>
                <w:color w:val="auto"/>
                <w:sz w:val="24"/>
                <w:highlight w:val="none"/>
              </w:rPr>
              <w:t>本项目施工期的固体废物主要来源为建筑垃圾以及施工人员产生的生活垃圾等。</w:t>
            </w:r>
          </w:p>
          <w:p>
            <w:pPr>
              <w:widowControl/>
              <w:spacing w:line="360" w:lineRule="auto"/>
              <w:ind w:firstLine="480"/>
              <w:jc w:val="left"/>
              <w:rPr>
                <w:color w:val="auto"/>
                <w:sz w:val="24"/>
                <w:highlight w:val="none"/>
              </w:rPr>
            </w:pPr>
            <w:r>
              <w:rPr>
                <w:color w:val="auto"/>
                <w:sz w:val="24"/>
                <w:highlight w:val="none"/>
              </w:rPr>
              <w:t xml:space="preserve">（1）建筑垃圾 </w:t>
            </w:r>
          </w:p>
          <w:p>
            <w:pPr>
              <w:widowControl/>
              <w:spacing w:line="360" w:lineRule="auto"/>
              <w:ind w:firstLine="480"/>
              <w:jc w:val="left"/>
              <w:rPr>
                <w:color w:val="auto"/>
                <w:sz w:val="24"/>
                <w:highlight w:val="none"/>
              </w:rPr>
            </w:pPr>
            <w:r>
              <w:rPr>
                <w:color w:val="auto"/>
                <w:sz w:val="24"/>
                <w:highlight w:val="none"/>
              </w:rPr>
              <w:t>项目施工期产生的固体废弃物主要为建筑垃圾以及施工人员生活垃圾，其中，建筑</w:t>
            </w:r>
            <w:r>
              <w:rPr>
                <w:color w:val="auto"/>
                <w:sz w:val="24"/>
                <w:highlight w:val="none"/>
              </w:rPr>
              <mc:AlternateContent>
                <mc:Choice Requires="wps">
                  <w:drawing>
                    <wp:anchor distT="0" distB="0" distL="114300" distR="114300" simplePos="0" relativeHeight="251659264" behindDoc="1" locked="0" layoutInCell="1" allowOverlap="1">
                      <wp:simplePos x="0" y="0"/>
                      <wp:positionH relativeFrom="page">
                        <wp:posOffset>6110605</wp:posOffset>
                      </wp:positionH>
                      <wp:positionV relativeFrom="paragraph">
                        <wp:posOffset>791845</wp:posOffset>
                      </wp:positionV>
                      <wp:extent cx="52070" cy="127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52070" cy="12700"/>
                              </a:xfrm>
                              <a:prstGeom prst="rect">
                                <a:avLst/>
                              </a:prstGeom>
                              <a:noFill/>
                              <a:ln>
                                <a:noFill/>
                              </a:ln>
                            </wps:spPr>
                            <wps:txbx>
                              <w:txbxContent>
                                <w:p>
                                  <w:pPr>
                                    <w:spacing w:line="19" w:lineRule="exact"/>
                                    <w:ind w:firstLine="4"/>
                                    <w:jc w:val="left"/>
                                    <w:rPr>
                                      <w:rFonts w:ascii="Arial" w:hAnsi="Arial" w:eastAsia="Arial" w:cs="Arial"/>
                                      <w:sz w:val="2"/>
                                      <w:szCs w:val="2"/>
                                    </w:rPr>
                                  </w:pPr>
                                  <w:r>
                                    <w:rPr>
                                      <w:rFonts w:ascii="Arial"/>
                                      <w:w w:val="11"/>
                                      <w:sz w:val="2"/>
                                    </w:rPr>
                                    <w:t>P                                                                                                                                P</w:t>
                                  </w:r>
                                </w:p>
                              </w:txbxContent>
                            </wps:txbx>
                            <wps:bodyPr lIns="0" tIns="0" rIns="0" bIns="0" upright="1"/>
                          </wps:wsp>
                        </a:graphicData>
                      </a:graphic>
                    </wp:anchor>
                  </w:drawing>
                </mc:Choice>
                <mc:Fallback>
                  <w:pict>
                    <v:shape id="_x0000_s1026" o:spid="_x0000_s1026" o:spt="202" type="#_x0000_t202" style="position:absolute;left:0pt;margin-left:481.15pt;margin-top:62.35pt;height:1pt;width:4.1pt;mso-position-horizontal-relative:page;z-index:-251657216;mso-width-relative:page;mso-height-relative:page;" filled="f" stroked="f" coordsize="21600,21600" o:gfxdata="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SM04T9kAAAALAQAADwAAAAAAAAABACAAAAAiAAAAZHJzL2Rvd25yZXYueG1sUEsBAhQA&#10;FAAAAAgAh07iQPuNvZy4AQAAbwMAAA4AAAAAAAAAAQAgAAAAKAEAAGRycy9lMm9Eb2MueG1sUEsF&#10;BgAAAAAGAAYAWQEAAFIFAAAAAA==&#10;">
                      <v:path/>
                      <v:fill on="f" focussize="0,0"/>
                      <v:stroke on="f"/>
                      <v:imagedata o:title=""/>
                      <o:lock v:ext="edit"/>
                      <v:textbox inset="0mm,0mm,0mm,0mm">
                        <w:txbxContent>
                          <w:p>
                            <w:pPr>
                              <w:spacing w:line="19" w:lineRule="exact"/>
                              <w:ind w:firstLine="4"/>
                              <w:jc w:val="left"/>
                              <w:rPr>
                                <w:rFonts w:ascii="Arial" w:hAnsi="Arial" w:eastAsia="Arial" w:cs="Arial"/>
                                <w:sz w:val="2"/>
                                <w:szCs w:val="2"/>
                              </w:rPr>
                            </w:pPr>
                            <w:r>
                              <w:rPr>
                                <w:rFonts w:ascii="Arial"/>
                                <w:w w:val="11"/>
                                <w:sz w:val="2"/>
                              </w:rPr>
                              <w:t>P                                                                                                                                P</w:t>
                            </w:r>
                          </w:p>
                        </w:txbxContent>
                      </v:textbox>
                    </v:shape>
                  </w:pict>
                </mc:Fallback>
              </mc:AlternateContent>
            </w:r>
            <w:r>
              <w:rPr>
                <w:color w:val="auto"/>
                <w:sz w:val="24"/>
                <w:highlight w:val="none"/>
              </w:rPr>
              <w:t>垃圾主要有废弃瓷砖、废弃石块、废弃建筑包装材料等。建筑垃圾产生量与施工水平、管理水平、建筑类型等有关，根据《建筑垃圾的产生与循环利用管理》（环境卫生工程 第14卷第4期2006年8月），单位建筑面积的建筑垃圾产生量为20~50kg/m</w:t>
            </w:r>
            <w:r>
              <w:rPr>
                <w:color w:val="auto"/>
                <w:sz w:val="24"/>
                <w:highlight w:val="none"/>
                <w:vertAlign w:val="superscript"/>
              </w:rPr>
              <w:t>2</w:t>
            </w:r>
            <w:r>
              <w:rPr>
                <w:color w:val="auto"/>
                <w:sz w:val="24"/>
                <w:highlight w:val="none"/>
              </w:rPr>
              <w:t>，本评价施工期建筑施工主要为设备安装、道路硬化、</w:t>
            </w:r>
            <w:r>
              <w:rPr>
                <w:rFonts w:hint="eastAsia"/>
                <w:color w:val="auto"/>
                <w:sz w:val="24"/>
                <w:highlight w:val="none"/>
              </w:rPr>
              <w:t>沥青搅拌站主楼建设及骨料堆场建设</w:t>
            </w:r>
            <w:r>
              <w:rPr>
                <w:color w:val="auto"/>
                <w:sz w:val="24"/>
                <w:highlight w:val="none"/>
              </w:rPr>
              <w:t>，取5kg/m</w:t>
            </w:r>
            <w:r>
              <w:rPr>
                <w:color w:val="auto"/>
                <w:sz w:val="24"/>
                <w:highlight w:val="none"/>
                <w:vertAlign w:val="superscript"/>
              </w:rPr>
              <w:t>2</w:t>
            </w:r>
            <w:r>
              <w:rPr>
                <w:color w:val="auto"/>
                <w:sz w:val="24"/>
                <w:highlight w:val="none"/>
              </w:rPr>
              <w:t>，本项目剩余工程总建筑面积约为</w:t>
            </w:r>
            <w:r>
              <w:rPr>
                <w:rFonts w:hint="eastAsia"/>
                <w:color w:val="auto"/>
                <w:sz w:val="24"/>
                <w:highlight w:val="none"/>
              </w:rPr>
              <w:t>4200</w:t>
            </w:r>
            <w:r>
              <w:rPr>
                <w:color w:val="auto"/>
                <w:sz w:val="24"/>
                <w:highlight w:val="none"/>
              </w:rPr>
              <w:t>m</w:t>
            </w:r>
            <w:r>
              <w:rPr>
                <w:color w:val="auto"/>
                <w:sz w:val="24"/>
                <w:highlight w:val="none"/>
                <w:vertAlign w:val="superscript"/>
              </w:rPr>
              <w:t>2</w:t>
            </w:r>
            <w:r>
              <w:rPr>
                <w:color w:val="auto"/>
                <w:sz w:val="24"/>
                <w:highlight w:val="none"/>
              </w:rPr>
              <w:t>则该部分建筑垃圾产生量为</w:t>
            </w:r>
            <w:r>
              <w:rPr>
                <w:rFonts w:hint="eastAsia"/>
                <w:color w:val="auto"/>
                <w:sz w:val="24"/>
                <w:highlight w:val="none"/>
              </w:rPr>
              <w:t>21</w:t>
            </w:r>
            <w:r>
              <w:rPr>
                <w:color w:val="auto"/>
                <w:sz w:val="24"/>
                <w:highlight w:val="none"/>
              </w:rPr>
              <w:t>t。项目产生的建筑垃圾及时清运至规划部门指定的地方处置，此外，装修过程产生少量的废油漆桶属于危险废物，收集后及时交由有资质单位处置。</w:t>
            </w:r>
          </w:p>
          <w:p>
            <w:pPr>
              <w:pStyle w:val="16"/>
              <w:spacing w:after="0" w:line="360" w:lineRule="auto"/>
              <w:ind w:right="0" w:firstLine="480"/>
              <w:jc w:val="left"/>
              <w:rPr>
                <w:color w:val="auto"/>
                <w:kern w:val="2"/>
                <w:sz w:val="24"/>
                <w:szCs w:val="24"/>
                <w:highlight w:val="none"/>
              </w:rPr>
            </w:pPr>
            <w:r>
              <w:rPr>
                <w:color w:val="auto"/>
                <w:kern w:val="2"/>
                <w:sz w:val="24"/>
                <w:szCs w:val="24"/>
                <w:highlight w:val="none"/>
              </w:rPr>
              <w:t>（2）生活垃圾</w:t>
            </w:r>
          </w:p>
          <w:p>
            <w:pPr>
              <w:widowControl/>
              <w:spacing w:line="360" w:lineRule="auto"/>
              <w:ind w:firstLine="480"/>
              <w:jc w:val="left"/>
              <w:rPr>
                <w:color w:val="auto"/>
                <w:sz w:val="24"/>
                <w:highlight w:val="none"/>
              </w:rPr>
            </w:pPr>
            <w:r>
              <w:rPr>
                <w:color w:val="auto"/>
                <w:sz w:val="24"/>
                <w:highlight w:val="none"/>
              </w:rPr>
              <w:t>施工期工地每天最大施工人数15人，生活垃圾产生量以0.5kg/人·d 计，生活垃圾每天产生量为7.5kg，施工期为3个月，共计产生生活垃圾675kg。</w:t>
            </w:r>
          </w:p>
          <w:p>
            <w:pPr>
              <w:adjustRightInd w:val="0"/>
              <w:snapToGrid w:val="0"/>
              <w:spacing w:line="360" w:lineRule="auto"/>
              <w:ind w:firstLine="480" w:firstLineChars="200"/>
              <w:rPr>
                <w:rFonts w:ascii="宋体" w:hAnsi="宋体" w:cs="宋体"/>
                <w:bCs/>
                <w:color w:val="auto"/>
                <w:spacing w:val="-10"/>
                <w:szCs w:val="21"/>
                <w:highlight w:val="none"/>
              </w:rPr>
            </w:pPr>
            <w:r>
              <w:rPr>
                <w:color w:val="auto"/>
                <w:sz w:val="24"/>
                <w:highlight w:val="none"/>
              </w:rPr>
              <w:t>综上所述，施工期环境污染因素主要是：建筑扬尘、施工机械尾气、施工期噪声、建筑垃圾及生活垃圾。这些污染存在于整个施工过程，但不同污染因子在不同施工阶段污染强度不同，随着施工期的结束，对环境的影响也随之消失。</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10" w:hRule="atLeast"/>
          <w:jc w:val="center"/>
        </w:trPr>
        <w:tc>
          <w:tcPr>
            <w:tcW w:w="431" w:type="dxa"/>
            <w:noWrap w:val="0"/>
            <w:tcMar>
              <w:left w:w="28" w:type="dxa"/>
              <w:right w:w="28" w:type="dxa"/>
            </w:tcMar>
            <w:vAlign w:val="center"/>
          </w:tcPr>
          <w:p>
            <w:pPr>
              <w:adjustRightInd w:val="0"/>
              <w:snapToGrid w:val="0"/>
              <w:jc w:val="center"/>
              <w:rPr>
                <w:rFonts w:hint="eastAsia" w:ascii="宋体" w:hAnsi="宋体" w:cs="宋体"/>
                <w:bCs/>
                <w:color w:val="auto"/>
                <w:sz w:val="24"/>
                <w:highlight w:val="none"/>
              </w:rPr>
            </w:pPr>
            <w:r>
              <w:rPr>
                <w:rFonts w:hint="eastAsia" w:ascii="宋体" w:hAnsi="宋体" w:cs="宋体"/>
                <w:bCs/>
                <w:color w:val="auto"/>
                <w:sz w:val="24"/>
                <w:highlight w:val="none"/>
              </w:rPr>
              <w:t>运营</w:t>
            </w:r>
          </w:p>
          <w:p>
            <w:pPr>
              <w:adjustRightInd w:val="0"/>
              <w:snapToGrid w:val="0"/>
              <w:jc w:val="center"/>
              <w:rPr>
                <w:rFonts w:hint="eastAsia" w:ascii="宋体" w:hAnsi="宋体" w:cs="宋体"/>
                <w:bCs/>
                <w:color w:val="auto"/>
                <w:sz w:val="24"/>
                <w:highlight w:val="none"/>
              </w:rPr>
            </w:pPr>
            <w:r>
              <w:rPr>
                <w:rFonts w:hint="eastAsia" w:ascii="宋体" w:hAnsi="宋体" w:cs="宋体"/>
                <w:bCs/>
                <w:color w:val="auto"/>
                <w:sz w:val="24"/>
                <w:highlight w:val="none"/>
              </w:rPr>
              <w:t>期环</w:t>
            </w:r>
          </w:p>
          <w:p>
            <w:pPr>
              <w:adjustRightInd w:val="0"/>
              <w:snapToGrid w:val="0"/>
              <w:jc w:val="center"/>
              <w:rPr>
                <w:rFonts w:hint="eastAsia" w:ascii="宋体" w:hAnsi="宋体" w:cs="宋体"/>
                <w:bCs/>
                <w:color w:val="auto"/>
                <w:sz w:val="24"/>
                <w:highlight w:val="none"/>
              </w:rPr>
            </w:pPr>
            <w:r>
              <w:rPr>
                <w:rFonts w:hint="eastAsia" w:ascii="宋体" w:hAnsi="宋体" w:cs="宋体"/>
                <w:bCs/>
                <w:color w:val="auto"/>
                <w:sz w:val="24"/>
                <w:highlight w:val="none"/>
              </w:rPr>
              <w:t>境影</w:t>
            </w:r>
          </w:p>
          <w:p>
            <w:pPr>
              <w:adjustRightInd w:val="0"/>
              <w:snapToGrid w:val="0"/>
              <w:jc w:val="center"/>
              <w:rPr>
                <w:rFonts w:hint="eastAsia" w:ascii="宋体" w:hAnsi="宋体" w:cs="宋体"/>
                <w:bCs/>
                <w:color w:val="auto"/>
                <w:sz w:val="24"/>
                <w:highlight w:val="none"/>
              </w:rPr>
            </w:pPr>
            <w:r>
              <w:rPr>
                <w:rFonts w:hint="eastAsia" w:ascii="宋体" w:hAnsi="宋体" w:cs="宋体"/>
                <w:bCs/>
                <w:color w:val="auto"/>
                <w:sz w:val="24"/>
                <w:highlight w:val="none"/>
              </w:rPr>
              <w:t>响和</w:t>
            </w:r>
          </w:p>
          <w:p>
            <w:pPr>
              <w:adjustRightInd w:val="0"/>
              <w:snapToGrid w:val="0"/>
              <w:jc w:val="center"/>
              <w:rPr>
                <w:rFonts w:hint="eastAsia" w:ascii="宋体" w:hAnsi="宋体" w:cs="宋体"/>
                <w:bCs/>
                <w:color w:val="auto"/>
                <w:sz w:val="24"/>
                <w:highlight w:val="none"/>
              </w:rPr>
            </w:pPr>
            <w:r>
              <w:rPr>
                <w:rFonts w:hint="eastAsia" w:ascii="宋体" w:hAnsi="宋体" w:cs="宋体"/>
                <w:bCs/>
                <w:color w:val="auto"/>
                <w:sz w:val="24"/>
                <w:highlight w:val="none"/>
              </w:rPr>
              <w:t>保护</w:t>
            </w:r>
          </w:p>
          <w:p>
            <w:pPr>
              <w:adjustRightInd w:val="0"/>
              <w:snapToGrid w:val="0"/>
              <w:jc w:val="center"/>
              <w:rPr>
                <w:rFonts w:ascii="宋体" w:hAnsi="宋体" w:cs="宋体"/>
                <w:bCs/>
                <w:color w:val="auto"/>
                <w:sz w:val="24"/>
                <w:highlight w:val="none"/>
              </w:rPr>
            </w:pPr>
            <w:r>
              <w:rPr>
                <w:rFonts w:hint="eastAsia" w:ascii="宋体" w:hAnsi="宋体" w:cs="宋体"/>
                <w:bCs/>
                <w:color w:val="auto"/>
                <w:sz w:val="24"/>
                <w:highlight w:val="none"/>
              </w:rPr>
              <w:t>措施</w:t>
            </w:r>
          </w:p>
        </w:tc>
        <w:tc>
          <w:tcPr>
            <w:tcW w:w="8550" w:type="dxa"/>
            <w:noWrap w:val="0"/>
            <w:vAlign w:val="center"/>
          </w:tcPr>
          <w:p>
            <w:pPr>
              <w:snapToGrid w:val="0"/>
              <w:spacing w:line="360" w:lineRule="auto"/>
              <w:ind w:firstLine="440" w:firstLineChars="200"/>
              <w:rPr>
                <w:color w:val="auto"/>
                <w:sz w:val="24"/>
                <w:highlight w:val="none"/>
              </w:rPr>
            </w:pPr>
            <w:r>
              <w:rPr>
                <w:rFonts w:hint="eastAsia" w:ascii="宋体" w:hAnsi="宋体" w:cs="宋体"/>
                <w:bCs/>
                <w:color w:val="auto"/>
                <w:spacing w:val="-10"/>
                <w:sz w:val="24"/>
                <w:highlight w:val="none"/>
              </w:rPr>
              <w:t>一、</w:t>
            </w:r>
            <w:r>
              <w:rPr>
                <w:rFonts w:hint="eastAsia" w:hAnsi="宋体"/>
                <w:color w:val="auto"/>
                <w:sz w:val="24"/>
                <w:highlight w:val="none"/>
              </w:rPr>
              <w:t xml:space="preserve">运营期大气环境影响和保护措施 </w:t>
            </w:r>
          </w:p>
          <w:p>
            <w:pPr>
              <w:widowControl/>
              <w:spacing w:line="360" w:lineRule="auto"/>
              <w:ind w:firstLine="480"/>
              <w:jc w:val="left"/>
              <w:rPr>
                <w:color w:val="auto"/>
                <w:sz w:val="24"/>
                <w:highlight w:val="none"/>
              </w:rPr>
            </w:pPr>
            <w:r>
              <w:rPr>
                <w:rFonts w:hint="eastAsia"/>
                <w:color w:val="auto"/>
                <w:sz w:val="24"/>
                <w:highlight w:val="none"/>
              </w:rPr>
              <w:t>1、污染工序及源强分析</w:t>
            </w:r>
          </w:p>
          <w:p>
            <w:pPr>
              <w:widowControl/>
              <w:spacing w:line="360" w:lineRule="auto"/>
              <w:ind w:firstLine="480"/>
              <w:jc w:val="left"/>
              <w:rPr>
                <w:color w:val="auto"/>
                <w:sz w:val="24"/>
                <w:highlight w:val="none"/>
              </w:rPr>
            </w:pPr>
            <w:r>
              <w:rPr>
                <w:rFonts w:hint="eastAsia"/>
                <w:color w:val="auto"/>
                <w:sz w:val="24"/>
                <w:highlight w:val="none"/>
              </w:rPr>
              <w:t>由于项目生产规模、工艺不发生变化，仅环保设施，拌合楼所有废气产生均采用有组织排放形式，沥青烟气由无组织排放调整为有组织排放。因此，项目改建后各产污环节的年产污量不变，拌和楼废气排放量发生变化，骨料料仓规范化设置，无组织粉尘排放量发生变化，其它的废气排放量均不发生变化。改建后废气主要为导热油炉废气、干燥滚筒燃烧废气及骨料加热产生的粉尘、</w:t>
            </w:r>
            <w:r>
              <w:rPr>
                <w:color w:val="auto"/>
                <w:sz w:val="24"/>
                <w:highlight w:val="none"/>
              </w:rPr>
              <w:t>原料堆场扬尘</w:t>
            </w:r>
            <w:r>
              <w:rPr>
                <w:rFonts w:hint="eastAsia"/>
                <w:color w:val="auto"/>
                <w:sz w:val="24"/>
                <w:highlight w:val="none"/>
              </w:rPr>
              <w:t>、沥青加热和混合搅拌工序会产生沥青烟、车辆运输扬尘。本项目无行业污染源强核算技术指南，部分加热燃烧天然气工序参考《污染源强核算技术指南 锅炉》（HJ991-2018），本项目污染源强核算主要是采用《</w:t>
            </w:r>
            <w:r>
              <w:rPr>
                <w:bCs/>
                <w:color w:val="auto"/>
                <w:sz w:val="24"/>
                <w:highlight w:val="none"/>
              </w:rPr>
              <w:t xml:space="preserve">污染源源强核算技术指南 </w:t>
            </w:r>
            <w:r>
              <w:rPr>
                <w:bCs/>
                <w:vanish/>
                <w:color w:val="auto"/>
                <w:sz w:val="24"/>
                <w:highlight w:val="none"/>
              </w:rPr>
              <w:t xml:space="preserve"> 准源置</w:t>
            </w:r>
            <w:r>
              <w:rPr>
                <w:bCs/>
                <w:vanish/>
                <w:color w:val="auto"/>
                <w:sz w:val="24"/>
                <w:highlight w:val="none"/>
              </w:rPr>
              <w:pgNum/>
            </w:r>
            <w:r>
              <w:rPr>
                <w:bCs/>
                <w:vanish/>
                <w:color w:val="auto"/>
                <w:sz w:val="24"/>
                <w:highlight w:val="none"/>
              </w:rPr>
              <w:pgNum/>
            </w:r>
            <w:r>
              <w:rPr>
                <w:bCs/>
                <w:vanish/>
                <w:color w:val="auto"/>
                <w:sz w:val="24"/>
                <w:highlight w:val="none"/>
              </w:rPr>
              <w:pgNum/>
            </w:r>
            <w:r>
              <w:rPr>
                <w:bCs/>
                <w:vanish/>
                <w:color w:val="auto"/>
                <w:sz w:val="24"/>
                <w:highlight w:val="none"/>
              </w:rPr>
              <w:pgNum/>
            </w:r>
            <w:r>
              <w:rPr>
                <w:bCs/>
                <w:vanish/>
                <w:color w:val="auto"/>
                <w:sz w:val="24"/>
                <w:highlight w:val="none"/>
              </w:rPr>
              <w:pgNum/>
            </w:r>
            <w:r>
              <w:rPr>
                <w:bCs/>
                <w:vanish/>
                <w:color w:val="auto"/>
                <w:sz w:val="24"/>
                <w:highlight w:val="none"/>
              </w:rPr>
              <w:pgNum/>
            </w:r>
            <w:r>
              <w:rPr>
                <w:bCs/>
                <w:vanish/>
                <w:color w:val="auto"/>
                <w:sz w:val="24"/>
                <w:highlight w:val="none"/>
              </w:rPr>
              <w:pgNum/>
            </w:r>
            <w:r>
              <w:rPr>
                <w:bCs/>
                <w:vanish/>
                <w:color w:val="auto"/>
                <w:sz w:val="24"/>
                <w:highlight w:val="none"/>
              </w:rPr>
              <w:pgNum/>
            </w:r>
            <w:r>
              <w:rPr>
                <w:bCs/>
                <w:vanish/>
                <w:color w:val="auto"/>
                <w:sz w:val="24"/>
                <w:highlight w:val="none"/>
              </w:rPr>
              <w:pgNum/>
            </w:r>
            <w:r>
              <w:rPr>
                <w:bCs/>
                <w:vanish/>
                <w:color w:val="auto"/>
                <w:sz w:val="24"/>
                <w:highlight w:val="none"/>
              </w:rPr>
              <w:pgNum/>
            </w:r>
            <w:r>
              <w:rPr>
                <w:bCs/>
                <w:vanish/>
                <w:color w:val="auto"/>
                <w:sz w:val="24"/>
                <w:highlight w:val="none"/>
              </w:rPr>
              <w:pgNum/>
            </w:r>
            <w:r>
              <w:rPr>
                <w:bCs/>
                <w:vanish/>
                <w:color w:val="auto"/>
                <w:sz w:val="24"/>
                <w:highlight w:val="none"/>
              </w:rPr>
              <w:pgNum/>
            </w:r>
            <w:r>
              <w:rPr>
                <w:bCs/>
                <w:vanish/>
                <w:color w:val="auto"/>
                <w:sz w:val="24"/>
                <w:highlight w:val="none"/>
              </w:rPr>
              <w:pgNum/>
            </w:r>
            <w:r>
              <w:rPr>
                <w:bCs/>
                <w:vanish/>
                <w:color w:val="auto"/>
                <w:sz w:val="24"/>
                <w:highlight w:val="none"/>
              </w:rPr>
              <w:pgNum/>
            </w:r>
            <w:r>
              <w:rPr>
                <w:bCs/>
                <w:vanish/>
                <w:color w:val="auto"/>
                <w:sz w:val="24"/>
                <w:highlight w:val="none"/>
              </w:rPr>
              <w:pgNum/>
            </w:r>
            <w:r>
              <w:rPr>
                <w:bCs/>
                <w:vanish/>
                <w:color w:val="auto"/>
                <w:sz w:val="24"/>
                <w:highlight w:val="none"/>
              </w:rPr>
              <w:pgNum/>
            </w:r>
            <w:r>
              <w:rPr>
                <w:bCs/>
                <w:vanish/>
                <w:color w:val="auto"/>
                <w:sz w:val="24"/>
                <w:highlight w:val="none"/>
              </w:rPr>
              <w:pgNum/>
            </w:r>
            <w:r>
              <w:rPr>
                <w:bCs/>
                <w:vanish/>
                <w:color w:val="auto"/>
                <w:sz w:val="24"/>
                <w:highlight w:val="none"/>
              </w:rPr>
              <w:pgNum/>
            </w:r>
            <w:r>
              <w:rPr>
                <w:bCs/>
                <w:vanish/>
                <w:color w:val="auto"/>
                <w:sz w:val="24"/>
                <w:highlight w:val="none"/>
              </w:rPr>
              <w:pgNum/>
            </w:r>
            <w:r>
              <w:rPr>
                <w:bCs/>
                <w:vanish/>
                <w:color w:val="auto"/>
                <w:sz w:val="24"/>
                <w:highlight w:val="none"/>
              </w:rPr>
              <w:pgNum/>
            </w:r>
            <w:r>
              <w:rPr>
                <w:bCs/>
                <w:vanish/>
                <w:color w:val="auto"/>
                <w:sz w:val="24"/>
                <w:highlight w:val="none"/>
              </w:rPr>
              <w:pgNum/>
            </w:r>
            <w:r>
              <w:rPr>
                <w:bCs/>
                <w:vanish/>
                <w:color w:val="auto"/>
                <w:sz w:val="24"/>
                <w:highlight w:val="none"/>
              </w:rPr>
              <w:pgNum/>
            </w:r>
            <w:r>
              <w:rPr>
                <w:bCs/>
                <w:vanish/>
                <w:color w:val="auto"/>
                <w:sz w:val="24"/>
                <w:highlight w:val="none"/>
              </w:rPr>
              <w:pgNum/>
            </w:r>
            <w:r>
              <w:rPr>
                <w:bCs/>
                <w:vanish/>
                <w:color w:val="auto"/>
                <w:sz w:val="24"/>
                <w:highlight w:val="none"/>
              </w:rPr>
              <w:pgNum/>
            </w:r>
            <w:r>
              <w:rPr>
                <w:bCs/>
                <w:vanish/>
                <w:color w:val="auto"/>
                <w:sz w:val="24"/>
                <w:highlight w:val="none"/>
              </w:rPr>
              <w:pgNum/>
            </w:r>
            <w:r>
              <w:rPr>
                <w:bCs/>
                <w:vanish/>
                <w:color w:val="auto"/>
                <w:sz w:val="24"/>
                <w:highlight w:val="none"/>
              </w:rPr>
              <w:pgNum/>
            </w:r>
            <w:r>
              <w:rPr>
                <w:bCs/>
                <w:vanish/>
                <w:color w:val="auto"/>
                <w:sz w:val="24"/>
                <w:highlight w:val="none"/>
              </w:rPr>
              <w:pgNum/>
            </w:r>
            <w:r>
              <w:rPr>
                <w:bCs/>
                <w:vanish/>
                <w:color w:val="auto"/>
                <w:sz w:val="24"/>
                <w:highlight w:val="none"/>
              </w:rPr>
              <w:pgNum/>
            </w:r>
            <w:r>
              <w:rPr>
                <w:bCs/>
                <w:vanish/>
                <w:color w:val="auto"/>
                <w:sz w:val="24"/>
                <w:highlight w:val="none"/>
              </w:rPr>
              <w:pgNum/>
            </w:r>
            <w:r>
              <w:rPr>
                <w:bCs/>
                <w:vanish/>
                <w:color w:val="auto"/>
                <w:sz w:val="24"/>
                <w:highlight w:val="none"/>
              </w:rPr>
              <w:pgNum/>
            </w:r>
            <w:r>
              <w:rPr>
                <w:bCs/>
                <w:vanish/>
                <w:color w:val="auto"/>
                <w:sz w:val="24"/>
                <w:highlight w:val="none"/>
              </w:rPr>
              <w:pgNum/>
            </w:r>
            <w:r>
              <w:rPr>
                <w:bCs/>
                <w:vanish/>
                <w:color w:val="auto"/>
                <w:sz w:val="24"/>
                <w:highlight w:val="none"/>
              </w:rPr>
              <w:pgNum/>
            </w:r>
            <w:r>
              <w:rPr>
                <w:bCs/>
                <w:vanish/>
                <w:color w:val="auto"/>
                <w:sz w:val="24"/>
                <w:highlight w:val="none"/>
              </w:rPr>
              <w:pgNum/>
            </w:r>
            <w:r>
              <w:rPr>
                <w:bCs/>
                <w:vanish/>
                <w:color w:val="auto"/>
                <w:sz w:val="24"/>
                <w:highlight w:val="none"/>
              </w:rPr>
              <w:pgNum/>
            </w:r>
            <w:r>
              <w:rPr>
                <w:bCs/>
                <w:vanish/>
                <w:color w:val="auto"/>
                <w:sz w:val="24"/>
                <w:highlight w:val="none"/>
              </w:rPr>
              <w:pgNum/>
            </w:r>
            <w:r>
              <w:rPr>
                <w:bCs/>
                <w:vanish/>
                <w:color w:val="auto"/>
                <w:sz w:val="24"/>
                <w:highlight w:val="none"/>
              </w:rPr>
              <w:pgNum/>
            </w:r>
            <w:r>
              <w:rPr>
                <w:bCs/>
                <w:vanish/>
                <w:color w:val="auto"/>
                <w:sz w:val="24"/>
                <w:highlight w:val="none"/>
              </w:rPr>
              <w:pgNum/>
            </w:r>
            <w:r>
              <w:rPr>
                <w:bCs/>
                <w:vanish/>
                <w:color w:val="auto"/>
                <w:sz w:val="24"/>
                <w:highlight w:val="none"/>
              </w:rPr>
              <w:pgNum/>
            </w:r>
            <w:r>
              <w:rPr>
                <w:bCs/>
                <w:vanish/>
                <w:color w:val="auto"/>
                <w:sz w:val="24"/>
                <w:highlight w:val="none"/>
              </w:rPr>
              <w:pgNum/>
            </w:r>
            <w:r>
              <w:rPr>
                <w:bCs/>
                <w:vanish/>
                <w:color w:val="auto"/>
                <w:sz w:val="24"/>
                <w:highlight w:val="none"/>
              </w:rPr>
              <w:pgNum/>
            </w:r>
            <w:r>
              <w:rPr>
                <w:bCs/>
                <w:vanish/>
                <w:color w:val="auto"/>
                <w:sz w:val="24"/>
                <w:highlight w:val="none"/>
              </w:rPr>
              <w:pgNum/>
            </w:r>
            <w:r>
              <w:rPr>
                <w:bCs/>
                <w:vanish/>
                <w:color w:val="auto"/>
                <w:sz w:val="24"/>
                <w:highlight w:val="none"/>
              </w:rPr>
              <w:pgNum/>
            </w:r>
            <w:r>
              <w:rPr>
                <w:bCs/>
                <w:vanish/>
                <w:color w:val="auto"/>
                <w:sz w:val="24"/>
                <w:highlight w:val="none"/>
              </w:rPr>
              <w:pgNum/>
            </w:r>
            <w:r>
              <w:rPr>
                <w:bCs/>
                <w:vanish/>
                <w:color w:val="auto"/>
                <w:sz w:val="24"/>
                <w:highlight w:val="none"/>
              </w:rPr>
              <w:pgNum/>
            </w:r>
            <w:r>
              <w:rPr>
                <w:bCs/>
                <w:vanish/>
                <w:color w:val="auto"/>
                <w:sz w:val="24"/>
                <w:highlight w:val="none"/>
              </w:rPr>
              <w:pgNum/>
            </w:r>
            <w:r>
              <w:rPr>
                <w:bCs/>
                <w:vanish/>
                <w:color w:val="auto"/>
                <w:sz w:val="24"/>
                <w:highlight w:val="none"/>
              </w:rPr>
              <w:pgNum/>
            </w:r>
            <w:r>
              <w:rPr>
                <w:bCs/>
                <w:vanish/>
                <w:color w:val="auto"/>
                <w:sz w:val="24"/>
                <w:highlight w:val="none"/>
              </w:rPr>
              <w:pgNum/>
            </w:r>
            <w:r>
              <w:rPr>
                <w:bCs/>
                <w:vanish/>
                <w:color w:val="auto"/>
                <w:sz w:val="24"/>
                <w:highlight w:val="none"/>
              </w:rPr>
              <w:pgNum/>
            </w:r>
            <w:r>
              <w:rPr>
                <w:bCs/>
                <w:vanish/>
                <w:color w:val="auto"/>
                <w:sz w:val="24"/>
                <w:highlight w:val="none"/>
              </w:rPr>
              <w:pgNum/>
            </w:r>
            <w:r>
              <w:rPr>
                <w:bCs/>
                <w:vanish/>
                <w:color w:val="auto"/>
                <w:sz w:val="24"/>
                <w:highlight w:val="none"/>
              </w:rPr>
              <w:pgNum/>
            </w:r>
            <w:r>
              <w:rPr>
                <w:bCs/>
                <w:vanish/>
                <w:color w:val="auto"/>
                <w:sz w:val="24"/>
                <w:highlight w:val="none"/>
              </w:rPr>
              <w:pgNum/>
            </w:r>
            <w:r>
              <w:rPr>
                <w:bCs/>
                <w:vanish/>
                <w:color w:val="auto"/>
                <w:sz w:val="24"/>
                <w:highlight w:val="none"/>
              </w:rPr>
              <w:pgNum/>
            </w:r>
            <w:r>
              <w:rPr>
                <w:bCs/>
                <w:vanish/>
                <w:color w:val="auto"/>
                <w:sz w:val="24"/>
                <w:highlight w:val="none"/>
              </w:rPr>
              <w:pgNum/>
            </w:r>
            <w:r>
              <w:rPr>
                <w:bCs/>
                <w:vanish/>
                <w:color w:val="auto"/>
                <w:sz w:val="24"/>
                <w:highlight w:val="none"/>
              </w:rPr>
              <w:pgNum/>
            </w:r>
            <w:r>
              <w:rPr>
                <w:bCs/>
                <w:vanish/>
                <w:color w:val="auto"/>
                <w:sz w:val="24"/>
                <w:highlight w:val="none"/>
              </w:rPr>
              <w:pgNum/>
            </w:r>
            <w:r>
              <w:rPr>
                <w:bCs/>
                <w:vanish/>
                <w:color w:val="auto"/>
                <w:sz w:val="24"/>
                <w:highlight w:val="none"/>
              </w:rPr>
              <w:pgNum/>
            </w:r>
            <w:r>
              <w:rPr>
                <w:bCs/>
                <w:vanish/>
                <w:color w:val="auto"/>
                <w:sz w:val="24"/>
                <w:highlight w:val="none"/>
              </w:rPr>
              <w:pgNum/>
            </w:r>
            <w:r>
              <w:rPr>
                <w:bCs/>
                <w:vanish/>
                <w:color w:val="auto"/>
                <w:sz w:val="24"/>
                <w:highlight w:val="none"/>
              </w:rPr>
              <w:pgNum/>
            </w:r>
            <w:r>
              <w:rPr>
                <w:bCs/>
                <w:vanish/>
                <w:color w:val="auto"/>
                <w:sz w:val="24"/>
                <w:highlight w:val="none"/>
              </w:rPr>
              <w:pgNum/>
            </w:r>
            <w:r>
              <w:rPr>
                <w:bCs/>
                <w:vanish/>
                <w:color w:val="auto"/>
                <w:sz w:val="24"/>
                <w:highlight w:val="none"/>
              </w:rPr>
              <w:pgNum/>
            </w:r>
            <w:r>
              <w:rPr>
                <w:bCs/>
                <w:vanish/>
                <w:color w:val="auto"/>
                <w:sz w:val="24"/>
                <w:highlight w:val="none"/>
              </w:rPr>
              <w:pgNum/>
            </w:r>
            <w:r>
              <w:rPr>
                <w:bCs/>
                <w:vanish/>
                <w:color w:val="auto"/>
                <w:sz w:val="24"/>
                <w:highlight w:val="none"/>
              </w:rPr>
              <w:pgNum/>
            </w:r>
            <w:r>
              <w:rPr>
                <w:bCs/>
                <w:vanish/>
                <w:color w:val="auto"/>
                <w:sz w:val="24"/>
                <w:highlight w:val="none"/>
              </w:rPr>
              <w:pgNum/>
            </w:r>
            <w:r>
              <w:rPr>
                <w:bCs/>
                <w:vanish/>
                <w:color w:val="auto"/>
                <w:sz w:val="24"/>
                <w:highlight w:val="none"/>
              </w:rPr>
              <w:pgNum/>
            </w:r>
            <w:r>
              <w:rPr>
                <w:bCs/>
                <w:vanish/>
                <w:color w:val="auto"/>
                <w:sz w:val="24"/>
                <w:highlight w:val="none"/>
              </w:rPr>
              <w:pgNum/>
            </w:r>
            <w:r>
              <w:rPr>
                <w:bCs/>
                <w:vanish/>
                <w:color w:val="auto"/>
                <w:sz w:val="24"/>
                <w:highlight w:val="none"/>
              </w:rPr>
              <w:pgNum/>
            </w:r>
            <w:r>
              <w:rPr>
                <w:bCs/>
                <w:vanish/>
                <w:color w:val="auto"/>
                <w:sz w:val="24"/>
                <w:highlight w:val="none"/>
              </w:rPr>
              <w:pgNum/>
            </w:r>
            <w:r>
              <w:rPr>
                <w:bCs/>
                <w:vanish/>
                <w:color w:val="auto"/>
                <w:sz w:val="24"/>
                <w:highlight w:val="none"/>
              </w:rPr>
              <w:pgNum/>
            </w:r>
            <w:r>
              <w:rPr>
                <w:bCs/>
                <w:vanish/>
                <w:color w:val="auto"/>
                <w:sz w:val="24"/>
                <w:highlight w:val="none"/>
              </w:rPr>
              <w:pgNum/>
            </w:r>
            <w:r>
              <w:rPr>
                <w:bCs/>
                <w:vanish/>
                <w:color w:val="auto"/>
                <w:sz w:val="24"/>
                <w:highlight w:val="none"/>
              </w:rPr>
              <w:pgNum/>
            </w:r>
            <w:r>
              <w:rPr>
                <w:bCs/>
                <w:vanish/>
                <w:color w:val="auto"/>
                <w:sz w:val="24"/>
                <w:highlight w:val="none"/>
              </w:rPr>
              <w:pgNum/>
            </w:r>
            <w:r>
              <w:rPr>
                <w:bCs/>
                <w:vanish/>
                <w:color w:val="auto"/>
                <w:sz w:val="24"/>
                <w:highlight w:val="none"/>
              </w:rPr>
              <w:pgNum/>
            </w:r>
            <w:r>
              <w:rPr>
                <w:bCs/>
                <w:vanish/>
                <w:color w:val="auto"/>
                <w:sz w:val="24"/>
                <w:highlight w:val="none"/>
              </w:rPr>
              <w:pgNum/>
            </w:r>
            <w:r>
              <w:rPr>
                <w:bCs/>
                <w:vanish/>
                <w:color w:val="auto"/>
                <w:sz w:val="24"/>
                <w:highlight w:val="none"/>
              </w:rPr>
              <w:pgNum/>
            </w:r>
            <w:r>
              <w:rPr>
                <w:bCs/>
                <w:vanish/>
                <w:color w:val="auto"/>
                <w:sz w:val="24"/>
                <w:highlight w:val="none"/>
              </w:rPr>
              <w:pgNum/>
            </w:r>
            <w:r>
              <w:rPr>
                <w:bCs/>
                <w:vanish/>
                <w:color w:val="auto"/>
                <w:sz w:val="24"/>
                <w:highlight w:val="none"/>
              </w:rPr>
              <w:pgNum/>
            </w:r>
            <w:r>
              <w:rPr>
                <w:bCs/>
                <w:vanish/>
                <w:color w:val="auto"/>
                <w:sz w:val="24"/>
                <w:highlight w:val="none"/>
              </w:rPr>
              <w:pgNum/>
            </w:r>
            <w:r>
              <w:rPr>
                <w:bCs/>
                <w:vanish/>
                <w:color w:val="auto"/>
                <w:sz w:val="24"/>
                <w:highlight w:val="none"/>
              </w:rPr>
              <w:pgNum/>
            </w:r>
            <w:r>
              <w:rPr>
                <w:bCs/>
                <w:vanish/>
                <w:color w:val="auto"/>
                <w:sz w:val="24"/>
                <w:highlight w:val="none"/>
              </w:rPr>
              <w:pgNum/>
            </w:r>
            <w:r>
              <w:rPr>
                <w:bCs/>
                <w:vanish/>
                <w:color w:val="auto"/>
                <w:sz w:val="24"/>
                <w:highlight w:val="none"/>
              </w:rPr>
              <w:pgNum/>
            </w:r>
            <w:r>
              <w:rPr>
                <w:bCs/>
                <w:vanish/>
                <w:color w:val="auto"/>
                <w:sz w:val="24"/>
                <w:highlight w:val="none"/>
              </w:rPr>
              <w:pgNum/>
            </w:r>
            <w:r>
              <w:rPr>
                <w:bCs/>
                <w:vanish/>
                <w:color w:val="auto"/>
                <w:sz w:val="24"/>
                <w:highlight w:val="none"/>
              </w:rPr>
              <w:pgNum/>
            </w:r>
            <w:r>
              <w:rPr>
                <w:bCs/>
                <w:vanish/>
                <w:color w:val="auto"/>
                <w:sz w:val="24"/>
                <w:highlight w:val="none"/>
              </w:rPr>
              <w:pgNum/>
            </w:r>
            <w:r>
              <w:rPr>
                <w:bCs/>
                <w:vanish/>
                <w:color w:val="auto"/>
                <w:sz w:val="24"/>
                <w:highlight w:val="none"/>
              </w:rPr>
              <w:pgNum/>
            </w:r>
            <w:r>
              <w:rPr>
                <w:bCs/>
                <w:vanish/>
                <w:color w:val="auto"/>
                <w:sz w:val="24"/>
                <w:highlight w:val="none"/>
              </w:rPr>
              <w:pgNum/>
            </w:r>
            <w:r>
              <w:rPr>
                <w:bCs/>
                <w:vanish/>
                <w:color w:val="auto"/>
                <w:sz w:val="24"/>
                <w:highlight w:val="none"/>
              </w:rPr>
              <w:pgNum/>
            </w:r>
            <w:r>
              <w:rPr>
                <w:bCs/>
                <w:vanish/>
                <w:color w:val="auto"/>
                <w:sz w:val="24"/>
                <w:highlight w:val="none"/>
              </w:rPr>
              <w:pgNum/>
            </w:r>
            <w:r>
              <w:rPr>
                <w:bCs/>
                <w:vanish/>
                <w:color w:val="auto"/>
                <w:sz w:val="24"/>
                <w:highlight w:val="none"/>
              </w:rPr>
              <w:pgNum/>
            </w:r>
            <w:r>
              <w:rPr>
                <w:bCs/>
                <w:vanish/>
                <w:color w:val="auto"/>
                <w:sz w:val="24"/>
                <w:highlight w:val="none"/>
              </w:rPr>
              <w:pgNum/>
            </w:r>
            <w:r>
              <w:rPr>
                <w:bCs/>
                <w:vanish/>
                <w:color w:val="auto"/>
                <w:sz w:val="24"/>
                <w:highlight w:val="none"/>
              </w:rPr>
              <w:pgNum/>
            </w:r>
            <w:r>
              <w:rPr>
                <w:bCs/>
                <w:vanish/>
                <w:color w:val="auto"/>
                <w:sz w:val="24"/>
                <w:highlight w:val="none"/>
              </w:rPr>
              <w:pgNum/>
            </w:r>
            <w:r>
              <w:rPr>
                <w:bCs/>
                <w:vanish/>
                <w:color w:val="auto"/>
                <w:sz w:val="24"/>
                <w:highlight w:val="none"/>
              </w:rPr>
              <w:pgNum/>
            </w:r>
            <w:r>
              <w:rPr>
                <w:bCs/>
                <w:vanish/>
                <w:color w:val="auto"/>
                <w:sz w:val="24"/>
                <w:highlight w:val="none"/>
              </w:rPr>
              <w:pgNum/>
            </w:r>
            <w:r>
              <w:rPr>
                <w:bCs/>
                <w:vanish/>
                <w:color w:val="auto"/>
                <w:sz w:val="24"/>
                <w:highlight w:val="none"/>
              </w:rPr>
              <w:pgNum/>
            </w:r>
            <w:r>
              <w:rPr>
                <w:bCs/>
                <w:vanish/>
                <w:color w:val="auto"/>
                <w:sz w:val="24"/>
                <w:highlight w:val="none"/>
              </w:rPr>
              <w:pgNum/>
            </w:r>
            <w:r>
              <w:rPr>
                <w:bCs/>
                <w:vanish/>
                <w:color w:val="auto"/>
                <w:sz w:val="24"/>
                <w:highlight w:val="none"/>
              </w:rPr>
              <w:pgNum/>
            </w:r>
            <w:r>
              <w:rPr>
                <w:bCs/>
                <w:vanish/>
                <w:color w:val="auto"/>
                <w:sz w:val="24"/>
                <w:highlight w:val="none"/>
              </w:rPr>
              <w:pgNum/>
            </w:r>
            <w:r>
              <w:rPr>
                <w:bCs/>
                <w:vanish/>
                <w:color w:val="auto"/>
                <w:sz w:val="24"/>
                <w:highlight w:val="none"/>
              </w:rPr>
              <w:pgNum/>
            </w:r>
            <w:r>
              <w:rPr>
                <w:bCs/>
                <w:vanish/>
                <w:color w:val="auto"/>
                <w:sz w:val="24"/>
                <w:highlight w:val="none"/>
              </w:rPr>
              <w:pgNum/>
            </w:r>
            <w:r>
              <w:rPr>
                <w:bCs/>
                <w:vanish/>
                <w:color w:val="auto"/>
                <w:sz w:val="24"/>
                <w:highlight w:val="none"/>
              </w:rPr>
              <w:pgNum/>
            </w:r>
            <w:r>
              <w:rPr>
                <w:bCs/>
                <w:vanish/>
                <w:color w:val="auto"/>
                <w:sz w:val="24"/>
                <w:highlight w:val="none"/>
              </w:rPr>
              <w:pgNum/>
            </w:r>
            <w:r>
              <w:rPr>
                <w:bCs/>
                <w:vanish/>
                <w:color w:val="auto"/>
                <w:sz w:val="24"/>
                <w:highlight w:val="none"/>
              </w:rPr>
              <w:pgNum/>
            </w:r>
            <w:r>
              <w:rPr>
                <w:bCs/>
                <w:vanish/>
                <w:color w:val="auto"/>
                <w:sz w:val="24"/>
                <w:highlight w:val="none"/>
              </w:rPr>
              <w:pgNum/>
            </w:r>
            <w:r>
              <w:rPr>
                <w:bCs/>
                <w:vanish/>
                <w:color w:val="auto"/>
                <w:sz w:val="24"/>
                <w:highlight w:val="none"/>
              </w:rPr>
              <w:pgNum/>
            </w:r>
            <w:r>
              <w:rPr>
                <w:bCs/>
                <w:vanish/>
                <w:color w:val="auto"/>
                <w:sz w:val="24"/>
                <w:highlight w:val="none"/>
              </w:rPr>
              <w:pgNum/>
            </w:r>
            <w:r>
              <w:rPr>
                <w:bCs/>
                <w:vanish/>
                <w:color w:val="auto"/>
                <w:sz w:val="24"/>
                <w:highlight w:val="none"/>
              </w:rPr>
              <w:pgNum/>
            </w:r>
            <w:r>
              <w:rPr>
                <w:bCs/>
                <w:vanish/>
                <w:color w:val="auto"/>
                <w:sz w:val="24"/>
                <w:highlight w:val="none"/>
              </w:rPr>
              <w:pgNum/>
            </w:r>
            <w:r>
              <w:rPr>
                <w:bCs/>
                <w:vanish/>
                <w:color w:val="auto"/>
                <w:sz w:val="24"/>
                <w:highlight w:val="none"/>
              </w:rPr>
              <w:pgNum/>
            </w:r>
            <w:r>
              <w:rPr>
                <w:bCs/>
                <w:vanish/>
                <w:color w:val="auto"/>
                <w:sz w:val="24"/>
                <w:highlight w:val="none"/>
              </w:rPr>
              <w:pgNum/>
            </w:r>
            <w:r>
              <w:rPr>
                <w:bCs/>
                <w:vanish/>
                <w:color w:val="auto"/>
                <w:sz w:val="24"/>
                <w:highlight w:val="none"/>
              </w:rPr>
              <w:pgNum/>
            </w:r>
            <w:r>
              <w:rPr>
                <w:bCs/>
                <w:vanish/>
                <w:color w:val="auto"/>
                <w:sz w:val="24"/>
                <w:highlight w:val="none"/>
              </w:rPr>
              <w:pgNum/>
            </w:r>
            <w:r>
              <w:rPr>
                <w:bCs/>
                <w:vanish/>
                <w:color w:val="auto"/>
                <w:sz w:val="24"/>
                <w:highlight w:val="none"/>
              </w:rPr>
              <w:pgNum/>
            </w:r>
            <w:r>
              <w:rPr>
                <w:bCs/>
                <w:vanish/>
                <w:color w:val="auto"/>
                <w:sz w:val="24"/>
                <w:highlight w:val="none"/>
              </w:rPr>
              <w:pgNum/>
            </w:r>
            <w:r>
              <w:rPr>
                <w:bCs/>
                <w:vanish/>
                <w:color w:val="auto"/>
                <w:sz w:val="24"/>
                <w:highlight w:val="none"/>
              </w:rPr>
              <w:pgNum/>
            </w:r>
            <w:r>
              <w:rPr>
                <w:bCs/>
                <w:vanish/>
                <w:color w:val="auto"/>
                <w:sz w:val="24"/>
                <w:highlight w:val="none"/>
              </w:rPr>
              <w:pgNum/>
            </w:r>
            <w:r>
              <w:rPr>
                <w:bCs/>
                <w:vanish/>
                <w:color w:val="auto"/>
                <w:sz w:val="24"/>
                <w:highlight w:val="none"/>
              </w:rPr>
              <w:pgNum/>
            </w:r>
            <w:r>
              <w:rPr>
                <w:bCs/>
                <w:vanish/>
                <w:color w:val="auto"/>
                <w:sz w:val="24"/>
                <w:highlight w:val="none"/>
              </w:rPr>
              <w:pgNum/>
            </w:r>
            <w:r>
              <w:rPr>
                <w:bCs/>
                <w:vanish/>
                <w:color w:val="auto"/>
                <w:sz w:val="24"/>
                <w:highlight w:val="none"/>
              </w:rPr>
              <w:pgNum/>
            </w:r>
            <w:r>
              <w:rPr>
                <w:bCs/>
                <w:vanish/>
                <w:color w:val="auto"/>
                <w:sz w:val="24"/>
                <w:highlight w:val="none"/>
              </w:rPr>
              <w:pgNum/>
            </w:r>
            <w:r>
              <w:rPr>
                <w:bCs/>
                <w:vanish/>
                <w:color w:val="auto"/>
                <w:sz w:val="24"/>
                <w:highlight w:val="none"/>
              </w:rPr>
              <w:pgNum/>
            </w:r>
            <w:r>
              <w:rPr>
                <w:bCs/>
                <w:vanish/>
                <w:color w:val="auto"/>
                <w:sz w:val="24"/>
                <w:highlight w:val="none"/>
              </w:rPr>
              <w:pgNum/>
            </w:r>
            <w:r>
              <w:rPr>
                <w:bCs/>
                <w:vanish/>
                <w:color w:val="auto"/>
                <w:sz w:val="24"/>
                <w:highlight w:val="none"/>
              </w:rPr>
              <w:pgNum/>
            </w:r>
            <w:r>
              <w:rPr>
                <w:bCs/>
                <w:vanish/>
                <w:color w:val="auto"/>
                <w:sz w:val="24"/>
                <w:highlight w:val="none"/>
              </w:rPr>
              <w:pgNum/>
            </w:r>
            <w:r>
              <w:rPr>
                <w:bCs/>
                <w:vanish/>
                <w:color w:val="auto"/>
                <w:sz w:val="24"/>
                <w:highlight w:val="none"/>
              </w:rPr>
              <w:pgNum/>
            </w:r>
            <w:r>
              <w:rPr>
                <w:bCs/>
                <w:color w:val="auto"/>
                <w:sz w:val="24"/>
                <w:highlight w:val="none"/>
              </w:rPr>
              <w:t>准则</w:t>
            </w:r>
            <w:r>
              <w:rPr>
                <w:rFonts w:hint="eastAsia"/>
                <w:bCs/>
                <w:color w:val="auto"/>
                <w:sz w:val="24"/>
                <w:highlight w:val="none"/>
              </w:rPr>
              <w:t>》（HJ884-2018）中的排污系数法及类比法。污染源强核算结果见下表：</w:t>
            </w:r>
          </w:p>
          <w:p>
            <w:pPr>
              <w:adjustRightInd w:val="0"/>
              <w:snapToGrid w:val="0"/>
              <w:jc w:val="left"/>
              <w:rPr>
                <w:rFonts w:hint="eastAsia" w:ascii="宋体" w:hAnsi="宋体" w:cs="宋体"/>
                <w:bCs/>
                <w:color w:val="auto"/>
                <w:spacing w:val="-10"/>
                <w:sz w:val="24"/>
                <w:highlight w:val="none"/>
              </w:rPr>
            </w:pPr>
          </w:p>
        </w:tc>
      </w:tr>
    </w:tbl>
    <w:p>
      <w:pPr>
        <w:adjustRightInd w:val="0"/>
        <w:snapToGrid w:val="0"/>
        <w:jc w:val="center"/>
        <w:rPr>
          <w:rFonts w:hint="eastAsia" w:ascii="宋体" w:hAnsi="宋体" w:cs="宋体"/>
          <w:bCs/>
          <w:color w:val="auto"/>
          <w:sz w:val="24"/>
          <w:highlight w:val="none"/>
        </w:rPr>
        <w:sectPr>
          <w:pgSz w:w="11907" w:h="16840"/>
          <w:pgMar w:top="1701" w:right="1531" w:bottom="2127" w:left="1531" w:header="851" w:footer="851" w:gutter="0"/>
          <w:pgBorders>
            <w:top w:val="none" w:sz="0" w:space="0"/>
            <w:left w:val="none" w:sz="0" w:space="0"/>
            <w:bottom w:val="none" w:sz="0" w:space="0"/>
            <w:right w:val="none" w:sz="0" w:space="0"/>
          </w:pgBorders>
          <w:cols w:space="720" w:num="1"/>
          <w:docGrid w:linePitch="312" w:charSpace="0"/>
        </w:sectPr>
      </w:pPr>
    </w:p>
    <w:p>
      <w:pPr>
        <w:adjustRightInd w:val="0"/>
        <w:snapToGrid w:val="0"/>
        <w:jc w:val="center"/>
        <w:rPr>
          <w:rFonts w:hint="eastAsia"/>
          <w:color w:val="auto"/>
          <w:sz w:val="24"/>
          <w:highlight w:val="none"/>
        </w:rPr>
      </w:pPr>
      <w:r>
        <w:rPr>
          <w:color w:val="auto"/>
          <w:sz w:val="24"/>
          <w:highlight w:val="none"/>
        </w:rPr>
        <w:t>表</w:t>
      </w:r>
      <w:r>
        <w:rPr>
          <w:rFonts w:hint="eastAsia"/>
          <w:color w:val="auto"/>
          <w:sz w:val="24"/>
          <w:highlight w:val="none"/>
        </w:rPr>
        <w:t>4-2</w:t>
      </w:r>
      <w:r>
        <w:rPr>
          <w:color w:val="auto"/>
          <w:sz w:val="24"/>
          <w:highlight w:val="none"/>
        </w:rPr>
        <w:t xml:space="preserve"> 项目</w:t>
      </w:r>
      <w:r>
        <w:rPr>
          <w:rFonts w:hint="eastAsia"/>
          <w:color w:val="auto"/>
          <w:sz w:val="24"/>
          <w:highlight w:val="none"/>
        </w:rPr>
        <w:t>全厂</w:t>
      </w:r>
      <w:r>
        <w:rPr>
          <w:color w:val="auto"/>
          <w:sz w:val="24"/>
          <w:highlight w:val="none"/>
        </w:rPr>
        <w:t>废气</w:t>
      </w:r>
      <w:r>
        <w:rPr>
          <w:rFonts w:hint="eastAsia"/>
          <w:color w:val="auto"/>
          <w:sz w:val="24"/>
          <w:highlight w:val="none"/>
        </w:rPr>
        <w:t>产生及排放源强核算表</w:t>
      </w:r>
    </w:p>
    <w:tbl>
      <w:tblPr>
        <w:tblStyle w:val="39"/>
        <w:tblpPr w:leftFromText="180" w:rightFromText="180" w:vertAnchor="text" w:horzAnchor="page" w:tblpX="1428" w:tblpY="291"/>
        <w:tblOverlap w:val="never"/>
        <w:tblW w:w="5000" w:type="pct"/>
        <w:tblInd w:w="0" w:type="dxa"/>
        <w:tblLayout w:type="fixed"/>
        <w:tblCellMar>
          <w:top w:w="15" w:type="dxa"/>
          <w:left w:w="15" w:type="dxa"/>
          <w:bottom w:w="15" w:type="dxa"/>
          <w:right w:w="15" w:type="dxa"/>
        </w:tblCellMar>
      </w:tblPr>
      <w:tblGrid>
        <w:gridCol w:w="555"/>
        <w:gridCol w:w="712"/>
        <w:gridCol w:w="866"/>
        <w:gridCol w:w="1286"/>
        <w:gridCol w:w="699"/>
        <w:gridCol w:w="895"/>
        <w:gridCol w:w="908"/>
        <w:gridCol w:w="931"/>
        <w:gridCol w:w="496"/>
        <w:gridCol w:w="537"/>
        <w:gridCol w:w="790"/>
        <w:gridCol w:w="983"/>
        <w:gridCol w:w="976"/>
        <w:gridCol w:w="1422"/>
        <w:gridCol w:w="986"/>
      </w:tblGrid>
      <w:tr>
        <w:tblPrEx>
          <w:tblCellMar>
            <w:top w:w="15" w:type="dxa"/>
            <w:left w:w="15" w:type="dxa"/>
            <w:bottom w:w="15" w:type="dxa"/>
            <w:right w:w="15" w:type="dxa"/>
          </w:tblCellMar>
        </w:tblPrEx>
        <w:trPr>
          <w:trHeight w:val="330" w:hRule="atLeast"/>
        </w:trPr>
        <w:tc>
          <w:tcPr>
            <w:tcW w:w="213" w:type="pct"/>
            <w:vMerge w:val="restar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bottom"/>
              <w:rPr>
                <w:rFonts w:ascii="Calibri" w:hAnsi="Calibri" w:cs="Calibri"/>
                <w:color w:val="auto"/>
                <w:szCs w:val="21"/>
                <w:highlight w:val="none"/>
              </w:rPr>
            </w:pPr>
            <w:r>
              <w:rPr>
                <w:rFonts w:ascii="Calibri" w:hAnsi="Calibri" w:cs="Calibri"/>
                <w:color w:val="auto"/>
                <w:kern w:val="0"/>
                <w:szCs w:val="21"/>
                <w:highlight w:val="none"/>
                <w:lang w:bidi="ar"/>
              </w:rPr>
              <w:t>工序</w:t>
            </w:r>
            <w:r>
              <w:rPr>
                <w:rFonts w:ascii="Calibri" w:hAnsi="Calibri" w:cs="Calibri"/>
                <w:color w:val="auto"/>
                <w:kern w:val="0"/>
                <w:szCs w:val="21"/>
                <w:highlight w:val="none"/>
                <w:lang w:bidi="ar"/>
              </w:rPr>
              <w:br w:type="textWrapping"/>
            </w:r>
            <w:r>
              <w:rPr>
                <w:rFonts w:ascii="Calibri" w:hAnsi="Calibri" w:cs="Calibri"/>
                <w:color w:val="auto"/>
                <w:kern w:val="0"/>
                <w:szCs w:val="21"/>
                <w:highlight w:val="none"/>
                <w:lang w:bidi="ar"/>
              </w:rPr>
              <w:t>生产线</w:t>
            </w:r>
          </w:p>
        </w:tc>
        <w:tc>
          <w:tcPr>
            <w:tcW w:w="273" w:type="pct"/>
            <w:vMerge w:val="restar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bottom"/>
              <w:rPr>
                <w:rFonts w:ascii="Calibri" w:hAnsi="Calibri" w:cs="Calibri"/>
                <w:color w:val="auto"/>
                <w:szCs w:val="21"/>
                <w:highlight w:val="none"/>
              </w:rPr>
            </w:pPr>
            <w:r>
              <w:rPr>
                <w:rFonts w:ascii="Calibri" w:hAnsi="Calibri" w:cs="Calibri"/>
                <w:color w:val="auto"/>
                <w:kern w:val="0"/>
                <w:szCs w:val="21"/>
                <w:highlight w:val="none"/>
                <w:lang w:bidi="ar"/>
              </w:rPr>
              <w:t>装置</w:t>
            </w:r>
          </w:p>
        </w:tc>
        <w:tc>
          <w:tcPr>
            <w:tcW w:w="332" w:type="pct"/>
            <w:vMerge w:val="restar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bottom"/>
              <w:rPr>
                <w:rFonts w:ascii="Calibri" w:hAnsi="Calibri" w:cs="Calibri"/>
                <w:color w:val="auto"/>
                <w:szCs w:val="21"/>
                <w:highlight w:val="none"/>
              </w:rPr>
            </w:pPr>
            <w:r>
              <w:rPr>
                <w:rFonts w:ascii="Calibri" w:hAnsi="Calibri" w:cs="Calibri"/>
                <w:color w:val="auto"/>
                <w:kern w:val="0"/>
                <w:szCs w:val="21"/>
                <w:highlight w:val="none"/>
                <w:lang w:bidi="ar"/>
              </w:rPr>
              <w:t>污染</w:t>
            </w:r>
            <w:r>
              <w:rPr>
                <w:rFonts w:hint="eastAsia" w:cs="Calibri"/>
                <w:color w:val="auto"/>
                <w:kern w:val="0"/>
                <w:szCs w:val="21"/>
                <w:highlight w:val="none"/>
                <w:lang w:bidi="ar"/>
              </w:rPr>
              <w:t>源</w:t>
            </w:r>
          </w:p>
        </w:tc>
        <w:tc>
          <w:tcPr>
            <w:tcW w:w="493" w:type="pct"/>
            <w:vMerge w:val="restar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bottom"/>
              <w:rPr>
                <w:rFonts w:ascii="Calibri" w:hAnsi="Calibri" w:cs="Calibri"/>
                <w:color w:val="auto"/>
                <w:szCs w:val="21"/>
                <w:highlight w:val="none"/>
              </w:rPr>
            </w:pPr>
            <w:r>
              <w:rPr>
                <w:rFonts w:ascii="Calibri" w:hAnsi="Calibri" w:cs="Calibri"/>
                <w:color w:val="auto"/>
                <w:kern w:val="0"/>
                <w:szCs w:val="21"/>
                <w:highlight w:val="none"/>
                <w:lang w:bidi="ar"/>
              </w:rPr>
              <w:t>污染物</w:t>
            </w:r>
          </w:p>
        </w:tc>
        <w:tc>
          <w:tcPr>
            <w:tcW w:w="1316" w:type="pct"/>
            <w:gridSpan w:val="4"/>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bottom"/>
              <w:rPr>
                <w:rFonts w:ascii="Calibri" w:hAnsi="Calibri" w:cs="Calibri"/>
                <w:color w:val="auto"/>
                <w:szCs w:val="21"/>
                <w:highlight w:val="none"/>
              </w:rPr>
            </w:pPr>
            <w:r>
              <w:rPr>
                <w:rFonts w:ascii="Calibri" w:hAnsi="Calibri" w:cs="Calibri"/>
                <w:color w:val="auto"/>
                <w:kern w:val="0"/>
                <w:szCs w:val="21"/>
                <w:highlight w:val="none"/>
                <w:lang w:bidi="ar"/>
              </w:rPr>
              <w:t>污染物产生</w:t>
            </w:r>
          </w:p>
        </w:tc>
        <w:tc>
          <w:tcPr>
            <w:tcW w:w="396" w:type="pct"/>
            <w:gridSpan w:val="2"/>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bottom"/>
              <w:rPr>
                <w:rFonts w:ascii="Calibri" w:hAnsi="Calibri" w:cs="Calibri"/>
                <w:color w:val="auto"/>
                <w:szCs w:val="21"/>
                <w:highlight w:val="none"/>
              </w:rPr>
            </w:pPr>
            <w:r>
              <w:rPr>
                <w:rFonts w:hint="eastAsia" w:cs="Calibri"/>
                <w:color w:val="auto"/>
                <w:kern w:val="0"/>
                <w:szCs w:val="21"/>
                <w:highlight w:val="none"/>
                <w:lang w:bidi="ar"/>
              </w:rPr>
              <w:t>治理措施</w:t>
            </w:r>
          </w:p>
        </w:tc>
        <w:tc>
          <w:tcPr>
            <w:tcW w:w="1599" w:type="pct"/>
            <w:gridSpan w:val="4"/>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bottom"/>
              <w:rPr>
                <w:rFonts w:ascii="Calibri" w:hAnsi="Calibri" w:cs="Calibri"/>
                <w:color w:val="auto"/>
                <w:szCs w:val="21"/>
                <w:highlight w:val="none"/>
              </w:rPr>
            </w:pPr>
            <w:r>
              <w:rPr>
                <w:rFonts w:hint="eastAsia" w:cs="Calibri"/>
                <w:color w:val="auto"/>
                <w:kern w:val="0"/>
                <w:szCs w:val="21"/>
                <w:highlight w:val="none"/>
                <w:lang w:bidi="ar"/>
              </w:rPr>
              <w:t>污染物排放</w:t>
            </w:r>
          </w:p>
        </w:tc>
        <w:tc>
          <w:tcPr>
            <w:tcW w:w="375" w:type="pct"/>
            <w:vMerge w:val="restar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bottom"/>
              <w:rPr>
                <w:rFonts w:ascii="Calibri" w:hAnsi="Calibri" w:cs="Calibri"/>
                <w:color w:val="auto"/>
                <w:szCs w:val="21"/>
                <w:highlight w:val="none"/>
              </w:rPr>
            </w:pPr>
            <w:r>
              <w:rPr>
                <w:rFonts w:hint="eastAsia" w:cs="Calibri"/>
                <w:color w:val="auto"/>
                <w:kern w:val="0"/>
                <w:szCs w:val="21"/>
                <w:highlight w:val="none"/>
                <w:lang w:bidi="ar"/>
              </w:rPr>
              <w:t>排放时间/h</w:t>
            </w:r>
          </w:p>
        </w:tc>
      </w:tr>
      <w:tr>
        <w:tblPrEx>
          <w:tblCellMar>
            <w:top w:w="15" w:type="dxa"/>
            <w:left w:w="15" w:type="dxa"/>
            <w:bottom w:w="15" w:type="dxa"/>
            <w:right w:w="15" w:type="dxa"/>
          </w:tblCellMar>
        </w:tblPrEx>
        <w:trPr>
          <w:trHeight w:val="990" w:hRule="atLeast"/>
        </w:trPr>
        <w:tc>
          <w:tcPr>
            <w:tcW w:w="213" w:type="pct"/>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Calibri" w:hAnsi="Calibri" w:cs="Calibri"/>
                <w:color w:val="auto"/>
                <w:szCs w:val="21"/>
                <w:highlight w:val="none"/>
              </w:rPr>
            </w:pPr>
          </w:p>
        </w:tc>
        <w:tc>
          <w:tcPr>
            <w:tcW w:w="273" w:type="pct"/>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Calibri" w:hAnsi="Calibri" w:cs="Calibri"/>
                <w:color w:val="auto"/>
                <w:szCs w:val="21"/>
                <w:highlight w:val="none"/>
              </w:rPr>
            </w:pPr>
          </w:p>
        </w:tc>
        <w:tc>
          <w:tcPr>
            <w:tcW w:w="332" w:type="pct"/>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Calibri" w:hAnsi="Calibri" w:cs="Calibri"/>
                <w:color w:val="auto"/>
                <w:szCs w:val="21"/>
                <w:highlight w:val="none"/>
              </w:rPr>
            </w:pPr>
          </w:p>
        </w:tc>
        <w:tc>
          <w:tcPr>
            <w:tcW w:w="493" w:type="pct"/>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Calibri" w:hAnsi="Calibri" w:cs="Calibri"/>
                <w:color w:val="auto"/>
                <w:szCs w:val="21"/>
                <w:highlight w:val="none"/>
              </w:rPr>
            </w:pPr>
          </w:p>
        </w:tc>
        <w:tc>
          <w:tcPr>
            <w:tcW w:w="268"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bottom"/>
              <w:rPr>
                <w:rFonts w:ascii="Calibri" w:hAnsi="Calibri" w:cs="Calibri"/>
                <w:color w:val="auto"/>
                <w:szCs w:val="21"/>
                <w:highlight w:val="none"/>
              </w:rPr>
            </w:pPr>
            <w:r>
              <w:rPr>
                <w:rFonts w:ascii="Calibri" w:hAnsi="Calibri" w:cs="Calibri"/>
                <w:color w:val="auto"/>
                <w:kern w:val="0"/>
                <w:szCs w:val="21"/>
                <w:highlight w:val="none"/>
                <w:lang w:bidi="ar"/>
              </w:rPr>
              <w:t>核算</w:t>
            </w:r>
            <w:r>
              <w:rPr>
                <w:rFonts w:ascii="Calibri" w:hAnsi="Calibri" w:cs="Calibri"/>
                <w:color w:val="auto"/>
                <w:kern w:val="0"/>
                <w:szCs w:val="21"/>
                <w:highlight w:val="none"/>
                <w:lang w:bidi="ar"/>
              </w:rPr>
              <w:br w:type="textWrapping"/>
            </w:r>
            <w:r>
              <w:rPr>
                <w:rFonts w:ascii="Calibri" w:hAnsi="Calibri" w:cs="Calibri"/>
                <w:color w:val="auto"/>
                <w:kern w:val="0"/>
                <w:szCs w:val="21"/>
                <w:highlight w:val="none"/>
                <w:lang w:bidi="ar"/>
              </w:rPr>
              <w:t>方法</w:t>
            </w:r>
          </w:p>
        </w:tc>
        <w:tc>
          <w:tcPr>
            <w:tcW w:w="343"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bottom"/>
              <w:rPr>
                <w:rFonts w:ascii="Calibri" w:hAnsi="Calibri" w:cs="Calibri"/>
                <w:color w:val="auto"/>
                <w:szCs w:val="21"/>
                <w:highlight w:val="none"/>
              </w:rPr>
            </w:pPr>
            <w:r>
              <w:rPr>
                <w:rFonts w:ascii="Calibri" w:hAnsi="Calibri" w:cs="Calibri"/>
                <w:color w:val="auto"/>
                <w:kern w:val="0"/>
                <w:szCs w:val="21"/>
                <w:highlight w:val="none"/>
                <w:lang w:bidi="ar"/>
              </w:rPr>
              <w:t>废气产</w:t>
            </w:r>
            <w:r>
              <w:rPr>
                <w:rFonts w:ascii="Calibri" w:hAnsi="Calibri" w:cs="Calibri"/>
                <w:color w:val="auto"/>
                <w:kern w:val="0"/>
                <w:szCs w:val="21"/>
                <w:highlight w:val="none"/>
                <w:lang w:bidi="ar"/>
              </w:rPr>
              <w:br w:type="textWrapping"/>
            </w:r>
            <w:r>
              <w:rPr>
                <w:rFonts w:ascii="Calibri" w:hAnsi="Calibri" w:cs="Calibri"/>
                <w:color w:val="auto"/>
                <w:kern w:val="0"/>
                <w:szCs w:val="21"/>
                <w:highlight w:val="none"/>
                <w:lang w:bidi="ar"/>
              </w:rPr>
              <w:t>生量</w:t>
            </w:r>
            <w:r>
              <w:rPr>
                <w:rFonts w:hint="eastAsia" w:cs="Calibri"/>
                <w:color w:val="auto"/>
                <w:kern w:val="0"/>
                <w:szCs w:val="21"/>
                <w:highlight w:val="none"/>
                <w:lang w:bidi="ar"/>
              </w:rPr>
              <w:t>（m3/h）</w:t>
            </w:r>
          </w:p>
        </w:tc>
        <w:tc>
          <w:tcPr>
            <w:tcW w:w="348"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bottom"/>
              <w:rPr>
                <w:rFonts w:ascii="Calibri" w:hAnsi="Calibri" w:cs="Calibri"/>
                <w:color w:val="auto"/>
                <w:szCs w:val="21"/>
                <w:highlight w:val="none"/>
              </w:rPr>
            </w:pPr>
            <w:r>
              <w:rPr>
                <w:rFonts w:ascii="Calibri" w:hAnsi="Calibri" w:cs="Calibri"/>
                <w:color w:val="auto"/>
                <w:kern w:val="0"/>
                <w:szCs w:val="21"/>
                <w:highlight w:val="none"/>
                <w:lang w:bidi="ar"/>
              </w:rPr>
              <w:t>产生</w:t>
            </w:r>
            <w:r>
              <w:rPr>
                <w:rFonts w:hint="eastAsia" w:cs="Calibri"/>
                <w:color w:val="auto"/>
                <w:kern w:val="0"/>
                <w:szCs w:val="21"/>
                <w:highlight w:val="none"/>
                <w:lang w:bidi="ar"/>
              </w:rPr>
              <w:t>浓度/</w:t>
            </w:r>
            <w:r>
              <w:rPr>
                <w:rFonts w:ascii="Calibri" w:hAnsi="Calibri" w:cs="Calibri"/>
                <w:color w:val="auto"/>
                <w:kern w:val="0"/>
                <w:szCs w:val="21"/>
                <w:highlight w:val="none"/>
                <w:lang w:bidi="ar"/>
              </w:rPr>
              <w:br w:type="textWrapping"/>
            </w:r>
            <w:r>
              <w:rPr>
                <w:rFonts w:hint="eastAsia" w:cs="Calibri"/>
                <w:color w:val="auto"/>
                <w:kern w:val="0"/>
                <w:szCs w:val="21"/>
                <w:highlight w:val="none"/>
                <w:lang w:bidi="ar"/>
              </w:rPr>
              <w:t>（mg/m3）</w:t>
            </w:r>
          </w:p>
        </w:tc>
        <w:tc>
          <w:tcPr>
            <w:tcW w:w="356"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bottom"/>
              <w:rPr>
                <w:rFonts w:ascii="Calibri" w:hAnsi="Calibri" w:cs="Calibri"/>
                <w:color w:val="auto"/>
                <w:szCs w:val="21"/>
                <w:highlight w:val="none"/>
              </w:rPr>
            </w:pPr>
            <w:r>
              <w:rPr>
                <w:rFonts w:ascii="Calibri" w:hAnsi="Calibri" w:cs="Calibri"/>
                <w:color w:val="auto"/>
                <w:kern w:val="0"/>
                <w:szCs w:val="21"/>
                <w:highlight w:val="none"/>
                <w:lang w:bidi="ar"/>
              </w:rPr>
              <w:t>产生量</w:t>
            </w:r>
            <w:r>
              <w:rPr>
                <w:rFonts w:ascii="Calibri" w:hAnsi="Calibri" w:cs="Calibri"/>
                <w:color w:val="auto"/>
                <w:kern w:val="0"/>
                <w:szCs w:val="21"/>
                <w:highlight w:val="none"/>
                <w:lang w:bidi="ar"/>
              </w:rPr>
              <w:br w:type="textWrapping"/>
            </w:r>
            <w:r>
              <w:rPr>
                <w:rFonts w:hint="eastAsia" w:cs="Calibri"/>
                <w:color w:val="auto"/>
                <w:kern w:val="0"/>
                <w:szCs w:val="21"/>
                <w:highlight w:val="none"/>
                <w:lang w:bidi="ar"/>
              </w:rPr>
              <w:t>（</w:t>
            </w:r>
            <w:r>
              <w:rPr>
                <w:rFonts w:ascii="Calibri" w:hAnsi="Calibri" w:cs="Calibri"/>
                <w:color w:val="auto"/>
                <w:kern w:val="0"/>
                <w:szCs w:val="21"/>
                <w:highlight w:val="none"/>
                <w:lang w:bidi="ar"/>
              </w:rPr>
              <w:t>kg</w:t>
            </w:r>
            <w:r>
              <w:rPr>
                <w:rFonts w:hint="eastAsia" w:cs="Calibri"/>
                <w:color w:val="auto"/>
                <w:kern w:val="0"/>
                <w:szCs w:val="21"/>
                <w:highlight w:val="none"/>
                <w:lang w:bidi="ar"/>
              </w:rPr>
              <w:t>/</w:t>
            </w:r>
            <w:r>
              <w:rPr>
                <w:rFonts w:ascii="Calibri" w:hAnsi="Calibri" w:cs="Calibri"/>
                <w:color w:val="auto"/>
                <w:kern w:val="0"/>
                <w:szCs w:val="21"/>
                <w:highlight w:val="none"/>
                <w:lang w:bidi="ar"/>
              </w:rPr>
              <w:t>h)</w:t>
            </w:r>
          </w:p>
        </w:tc>
        <w:tc>
          <w:tcPr>
            <w:tcW w:w="190"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bottom"/>
              <w:rPr>
                <w:rFonts w:ascii="Calibri" w:hAnsi="Calibri" w:cs="Calibri"/>
                <w:color w:val="auto"/>
                <w:szCs w:val="21"/>
                <w:highlight w:val="none"/>
              </w:rPr>
            </w:pPr>
            <w:r>
              <w:rPr>
                <w:rFonts w:ascii="Calibri" w:hAnsi="Calibri" w:cs="Calibri"/>
                <w:color w:val="auto"/>
                <w:kern w:val="0"/>
                <w:szCs w:val="21"/>
                <w:highlight w:val="none"/>
                <w:lang w:bidi="ar"/>
              </w:rPr>
              <w:t>工艺</w:t>
            </w:r>
          </w:p>
        </w:tc>
        <w:tc>
          <w:tcPr>
            <w:tcW w:w="205"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bottom"/>
              <w:rPr>
                <w:rFonts w:ascii="Calibri" w:hAnsi="Calibri" w:cs="Calibri"/>
                <w:color w:val="auto"/>
                <w:szCs w:val="21"/>
                <w:highlight w:val="none"/>
              </w:rPr>
            </w:pPr>
            <w:r>
              <w:rPr>
                <w:rFonts w:ascii="Calibri" w:hAnsi="Calibri" w:cs="Calibri"/>
                <w:color w:val="auto"/>
                <w:kern w:val="0"/>
                <w:szCs w:val="21"/>
                <w:highlight w:val="none"/>
                <w:lang w:bidi="ar"/>
              </w:rPr>
              <w:t>效率</w:t>
            </w:r>
            <w:r>
              <w:rPr>
                <w:rFonts w:hint="eastAsia" w:cs="Calibri"/>
                <w:color w:val="auto"/>
                <w:kern w:val="0"/>
                <w:szCs w:val="21"/>
                <w:highlight w:val="none"/>
                <w:lang w:bidi="ar"/>
              </w:rPr>
              <w:t>/</w:t>
            </w:r>
            <w:r>
              <w:rPr>
                <w:rFonts w:ascii="Calibri" w:hAnsi="Calibri" w:cs="Calibri"/>
                <w:color w:val="auto"/>
                <w:kern w:val="0"/>
                <w:szCs w:val="21"/>
                <w:highlight w:val="none"/>
                <w:lang w:bidi="ar"/>
              </w:rPr>
              <w:t>%</w:t>
            </w:r>
          </w:p>
        </w:tc>
        <w:tc>
          <w:tcPr>
            <w:tcW w:w="303"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bottom"/>
              <w:rPr>
                <w:rFonts w:ascii="Calibri" w:hAnsi="Calibri" w:cs="Calibri"/>
                <w:color w:val="auto"/>
                <w:szCs w:val="21"/>
                <w:highlight w:val="none"/>
              </w:rPr>
            </w:pPr>
            <w:r>
              <w:rPr>
                <w:rFonts w:hint="eastAsia" w:cs="Calibri"/>
                <w:color w:val="auto"/>
                <w:kern w:val="0"/>
                <w:szCs w:val="21"/>
                <w:highlight w:val="none"/>
                <w:lang w:bidi="ar"/>
              </w:rPr>
              <w:t>核算方法</w:t>
            </w:r>
          </w:p>
        </w:tc>
        <w:tc>
          <w:tcPr>
            <w:tcW w:w="377"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bottom"/>
              <w:rPr>
                <w:rFonts w:ascii="Calibri" w:hAnsi="Calibri" w:cs="Calibri"/>
                <w:color w:val="auto"/>
                <w:szCs w:val="21"/>
                <w:highlight w:val="none"/>
              </w:rPr>
            </w:pPr>
            <w:r>
              <w:rPr>
                <w:rFonts w:hint="eastAsia" w:cs="Calibri"/>
                <w:color w:val="auto"/>
                <w:kern w:val="0"/>
                <w:szCs w:val="21"/>
                <w:highlight w:val="none"/>
                <w:lang w:bidi="ar"/>
              </w:rPr>
              <w:t>废气</w:t>
            </w:r>
            <w:r>
              <w:rPr>
                <w:rFonts w:ascii="Calibri" w:hAnsi="Calibri" w:cs="Calibri"/>
                <w:color w:val="auto"/>
                <w:kern w:val="0"/>
                <w:szCs w:val="21"/>
                <w:highlight w:val="none"/>
                <w:lang w:bidi="ar"/>
              </w:rPr>
              <w:t>排放量</w:t>
            </w:r>
            <w:r>
              <w:rPr>
                <w:rFonts w:ascii="Calibri" w:hAnsi="Calibri" w:cs="Calibri"/>
                <w:color w:val="auto"/>
                <w:kern w:val="0"/>
                <w:szCs w:val="21"/>
                <w:highlight w:val="none"/>
                <w:lang w:bidi="ar"/>
              </w:rPr>
              <w:br w:type="textWrapping"/>
            </w:r>
            <w:r>
              <w:rPr>
                <w:rFonts w:hint="eastAsia" w:cs="Calibri"/>
                <w:color w:val="auto"/>
                <w:kern w:val="0"/>
                <w:szCs w:val="21"/>
                <w:highlight w:val="none"/>
                <w:lang w:bidi="ar"/>
              </w:rPr>
              <w:t>/（m3/h）</w:t>
            </w:r>
          </w:p>
        </w:tc>
        <w:tc>
          <w:tcPr>
            <w:tcW w:w="374"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bottom"/>
              <w:rPr>
                <w:rFonts w:ascii="Calibri" w:hAnsi="Calibri" w:cs="Calibri"/>
                <w:color w:val="auto"/>
                <w:szCs w:val="21"/>
                <w:highlight w:val="none"/>
              </w:rPr>
            </w:pPr>
            <w:r>
              <w:rPr>
                <w:rFonts w:ascii="Calibri" w:hAnsi="Calibri" w:cs="Calibri"/>
                <w:color w:val="auto"/>
                <w:kern w:val="0"/>
                <w:szCs w:val="21"/>
                <w:highlight w:val="none"/>
                <w:lang w:bidi="ar"/>
              </w:rPr>
              <w:t>排</w:t>
            </w:r>
            <w:r>
              <w:rPr>
                <w:rFonts w:hint="eastAsia" w:cs="Calibri"/>
                <w:color w:val="auto"/>
                <w:kern w:val="0"/>
                <w:szCs w:val="21"/>
                <w:highlight w:val="none"/>
                <w:lang w:bidi="ar"/>
              </w:rPr>
              <w:t>放</w:t>
            </w:r>
            <w:r>
              <w:rPr>
                <w:rFonts w:ascii="Calibri" w:hAnsi="Calibri" w:cs="Calibri"/>
                <w:color w:val="auto"/>
                <w:kern w:val="0"/>
                <w:szCs w:val="21"/>
                <w:highlight w:val="none"/>
                <w:lang w:bidi="ar"/>
              </w:rPr>
              <w:t>浓度</w:t>
            </w:r>
            <w:r>
              <w:rPr>
                <w:rFonts w:hint="eastAsia" w:cs="Calibri"/>
                <w:color w:val="auto"/>
                <w:kern w:val="0"/>
                <w:szCs w:val="21"/>
                <w:highlight w:val="none"/>
                <w:lang w:bidi="ar"/>
              </w:rPr>
              <w:t>/</w:t>
            </w:r>
            <w:r>
              <w:rPr>
                <w:rFonts w:ascii="Calibri" w:hAnsi="Calibri" w:cs="Calibri"/>
                <w:color w:val="auto"/>
                <w:kern w:val="0"/>
                <w:szCs w:val="21"/>
                <w:highlight w:val="none"/>
                <w:lang w:bidi="ar"/>
              </w:rPr>
              <w:br w:type="textWrapping"/>
            </w:r>
            <w:r>
              <w:rPr>
                <w:rFonts w:hint="eastAsia" w:cs="Calibri"/>
                <w:color w:val="auto"/>
                <w:kern w:val="0"/>
                <w:szCs w:val="21"/>
                <w:highlight w:val="none"/>
                <w:lang w:bidi="ar"/>
              </w:rPr>
              <w:t>（</w:t>
            </w:r>
            <w:r>
              <w:rPr>
                <w:rFonts w:ascii="Calibri" w:hAnsi="Calibri" w:cs="Calibri"/>
                <w:color w:val="auto"/>
                <w:kern w:val="0"/>
                <w:szCs w:val="21"/>
                <w:highlight w:val="none"/>
                <w:lang w:bidi="ar"/>
              </w:rPr>
              <w:t>mg</w:t>
            </w:r>
            <w:r>
              <w:rPr>
                <w:rFonts w:hint="eastAsia" w:cs="Calibri"/>
                <w:color w:val="auto"/>
                <w:kern w:val="0"/>
                <w:szCs w:val="21"/>
                <w:highlight w:val="none"/>
                <w:lang w:bidi="ar"/>
              </w:rPr>
              <w:t>/</w:t>
            </w:r>
            <w:r>
              <w:rPr>
                <w:rFonts w:ascii="Calibri" w:hAnsi="Calibri" w:cs="Calibri"/>
                <w:color w:val="auto"/>
                <w:kern w:val="0"/>
                <w:szCs w:val="21"/>
                <w:highlight w:val="none"/>
                <w:lang w:bidi="ar"/>
              </w:rPr>
              <w:t>m3</w:t>
            </w:r>
            <w:r>
              <w:rPr>
                <w:rFonts w:hint="eastAsia" w:cs="Calibri"/>
                <w:color w:val="auto"/>
                <w:kern w:val="0"/>
                <w:szCs w:val="21"/>
                <w:highlight w:val="none"/>
                <w:lang w:bidi="ar"/>
              </w:rPr>
              <w:t>）</w:t>
            </w:r>
          </w:p>
        </w:tc>
        <w:tc>
          <w:tcPr>
            <w:tcW w:w="543"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bottom"/>
              <w:rPr>
                <w:rFonts w:ascii="Calibri" w:hAnsi="Calibri" w:cs="Calibri"/>
                <w:color w:val="auto"/>
                <w:szCs w:val="21"/>
                <w:highlight w:val="none"/>
              </w:rPr>
            </w:pPr>
            <w:r>
              <w:rPr>
                <w:rFonts w:ascii="Calibri" w:hAnsi="Calibri" w:cs="Calibri"/>
                <w:color w:val="auto"/>
                <w:kern w:val="0"/>
                <w:szCs w:val="21"/>
                <w:highlight w:val="none"/>
                <w:lang w:bidi="ar"/>
              </w:rPr>
              <w:t>排放量</w:t>
            </w:r>
            <w:r>
              <w:rPr>
                <w:rFonts w:hint="eastAsia" w:cs="Calibri"/>
                <w:color w:val="auto"/>
                <w:kern w:val="0"/>
                <w:szCs w:val="21"/>
                <w:highlight w:val="none"/>
                <w:lang w:bidi="ar"/>
              </w:rPr>
              <w:t>/（kg/h）</w:t>
            </w:r>
          </w:p>
        </w:tc>
        <w:tc>
          <w:tcPr>
            <w:tcW w:w="375" w:type="pct"/>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Calibri" w:hAnsi="Calibri" w:cs="Calibri"/>
                <w:color w:val="auto"/>
                <w:szCs w:val="21"/>
                <w:highlight w:val="none"/>
              </w:rPr>
            </w:pPr>
          </w:p>
        </w:tc>
      </w:tr>
      <w:tr>
        <w:tblPrEx>
          <w:tblCellMar>
            <w:top w:w="15" w:type="dxa"/>
            <w:left w:w="15" w:type="dxa"/>
            <w:bottom w:w="15" w:type="dxa"/>
            <w:right w:w="15" w:type="dxa"/>
          </w:tblCellMar>
        </w:tblPrEx>
        <w:trPr>
          <w:trHeight w:val="315" w:hRule="atLeast"/>
        </w:trPr>
        <w:tc>
          <w:tcPr>
            <w:tcW w:w="213" w:type="pct"/>
            <w:vMerge w:val="restart"/>
            <w:tcBorders>
              <w:top w:val="single" w:color="000000" w:sz="4" w:space="0"/>
              <w:left w:val="single" w:color="000000" w:sz="4" w:space="0"/>
              <w:right w:val="single" w:color="000000" w:sz="4" w:space="0"/>
            </w:tcBorders>
            <w:noWrap/>
            <w:vAlign w:val="center"/>
          </w:tcPr>
          <w:p>
            <w:pPr>
              <w:widowControl/>
              <w:jc w:val="center"/>
              <w:textAlignment w:val="bottom"/>
              <w:rPr>
                <w:rFonts w:ascii="Calibri" w:hAnsi="Calibri" w:cs="Calibri"/>
                <w:color w:val="auto"/>
                <w:szCs w:val="21"/>
                <w:highlight w:val="none"/>
              </w:rPr>
            </w:pPr>
            <w:r>
              <w:rPr>
                <w:rFonts w:hint="eastAsia" w:cs="Calibri"/>
                <w:color w:val="auto"/>
                <w:kern w:val="0"/>
                <w:szCs w:val="21"/>
                <w:highlight w:val="none"/>
                <w:lang w:bidi="ar"/>
              </w:rPr>
              <w:t>沥青混凝土拌合站</w:t>
            </w:r>
          </w:p>
        </w:tc>
        <w:tc>
          <w:tcPr>
            <w:tcW w:w="273" w:type="pct"/>
            <w:vMerge w:val="restar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bottom"/>
              <w:rPr>
                <w:rFonts w:ascii="Calibri" w:hAnsi="Calibri" w:cs="Calibri"/>
                <w:color w:val="auto"/>
                <w:szCs w:val="21"/>
                <w:highlight w:val="none"/>
              </w:rPr>
            </w:pPr>
            <w:r>
              <w:rPr>
                <w:rFonts w:hint="eastAsia" w:cs="Calibri"/>
                <w:color w:val="auto"/>
                <w:kern w:val="0"/>
                <w:szCs w:val="21"/>
                <w:highlight w:val="none"/>
                <w:lang w:bidi="ar"/>
              </w:rPr>
              <w:t>骨料加热系统、搅拌杠及沥青储罐</w:t>
            </w:r>
          </w:p>
        </w:tc>
        <w:tc>
          <w:tcPr>
            <w:tcW w:w="332" w:type="pct"/>
            <w:vMerge w:val="restart"/>
            <w:tcBorders>
              <w:top w:val="single" w:color="000000" w:sz="4" w:space="0"/>
              <w:left w:val="single" w:color="000000" w:sz="4" w:space="0"/>
              <w:right w:val="single" w:color="000000" w:sz="4" w:space="0"/>
            </w:tcBorders>
            <w:noWrap/>
            <w:vAlign w:val="center"/>
          </w:tcPr>
          <w:p>
            <w:pPr>
              <w:widowControl/>
              <w:jc w:val="center"/>
              <w:textAlignment w:val="bottom"/>
              <w:rPr>
                <w:rFonts w:ascii="Calibri" w:hAnsi="Calibri" w:cs="Calibri"/>
                <w:color w:val="auto"/>
                <w:szCs w:val="21"/>
                <w:highlight w:val="none"/>
              </w:rPr>
            </w:pPr>
            <w:r>
              <w:rPr>
                <w:rFonts w:hint="eastAsia" w:cs="Calibri"/>
                <w:color w:val="auto"/>
                <w:kern w:val="0"/>
                <w:szCs w:val="21"/>
                <w:highlight w:val="none"/>
                <w:lang w:bidi="ar"/>
              </w:rPr>
              <w:t>排气筒G1</w:t>
            </w:r>
          </w:p>
        </w:tc>
        <w:tc>
          <w:tcPr>
            <w:tcW w:w="493"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bottom"/>
              <w:rPr>
                <w:rFonts w:ascii="Calibri" w:hAnsi="Calibri" w:cs="Calibri"/>
                <w:color w:val="auto"/>
                <w:szCs w:val="21"/>
                <w:highlight w:val="none"/>
              </w:rPr>
            </w:pPr>
            <w:r>
              <w:rPr>
                <w:rFonts w:hint="eastAsia" w:cs="Calibri"/>
                <w:color w:val="auto"/>
                <w:kern w:val="0"/>
                <w:szCs w:val="21"/>
                <w:highlight w:val="none"/>
                <w:lang w:bidi="ar"/>
              </w:rPr>
              <w:t>SO2</w:t>
            </w:r>
          </w:p>
        </w:tc>
        <w:tc>
          <w:tcPr>
            <w:tcW w:w="268" w:type="pct"/>
            <w:tcBorders>
              <w:top w:val="single" w:color="000000" w:sz="4" w:space="0"/>
              <w:left w:val="single" w:color="000000" w:sz="4" w:space="0"/>
              <w:bottom w:val="single" w:color="000000" w:sz="4" w:space="0"/>
              <w:right w:val="single" w:color="000000" w:sz="4" w:space="0"/>
            </w:tcBorders>
            <w:noWrap/>
            <w:vAlign w:val="center"/>
          </w:tcPr>
          <w:p>
            <w:pPr>
              <w:jc w:val="center"/>
              <w:rPr>
                <w:rFonts w:ascii="Calibri" w:hAnsi="Calibri" w:cs="Calibri"/>
                <w:color w:val="auto"/>
                <w:szCs w:val="21"/>
                <w:highlight w:val="none"/>
              </w:rPr>
            </w:pPr>
            <w:r>
              <w:rPr>
                <w:rFonts w:hint="eastAsia" w:ascii="Calibri" w:hAnsi="Calibri" w:cs="Calibri"/>
                <w:color w:val="auto"/>
                <w:szCs w:val="21"/>
                <w:highlight w:val="none"/>
              </w:rPr>
              <w:t>污染系数法</w:t>
            </w:r>
          </w:p>
        </w:tc>
        <w:tc>
          <w:tcPr>
            <w:tcW w:w="343" w:type="pct"/>
            <w:vMerge w:val="restart"/>
            <w:tcBorders>
              <w:top w:val="single" w:color="000000" w:sz="4" w:space="0"/>
              <w:left w:val="single" w:color="000000" w:sz="4" w:space="0"/>
              <w:right w:val="single" w:color="000000" w:sz="4" w:space="0"/>
            </w:tcBorders>
            <w:noWrap/>
            <w:vAlign w:val="center"/>
          </w:tcPr>
          <w:p>
            <w:pPr>
              <w:jc w:val="center"/>
              <w:rPr>
                <w:rFonts w:ascii="Calibri" w:hAnsi="Calibri" w:cs="Calibri"/>
                <w:color w:val="auto"/>
                <w:szCs w:val="21"/>
                <w:highlight w:val="none"/>
              </w:rPr>
            </w:pPr>
            <w:r>
              <w:rPr>
                <w:color w:val="auto"/>
                <w:szCs w:val="21"/>
                <w:highlight w:val="none"/>
              </w:rPr>
              <w:t>105000</w:t>
            </w:r>
          </w:p>
        </w:tc>
        <w:tc>
          <w:tcPr>
            <w:tcW w:w="348" w:type="pct"/>
            <w:tcBorders>
              <w:top w:val="single" w:color="000000" w:sz="4" w:space="0"/>
              <w:left w:val="single" w:color="000000" w:sz="4" w:space="0"/>
              <w:bottom w:val="single" w:color="000000" w:sz="4" w:space="0"/>
              <w:right w:val="single" w:color="000000" w:sz="4" w:space="0"/>
            </w:tcBorders>
            <w:noWrap/>
            <w:vAlign w:val="center"/>
          </w:tcPr>
          <w:p>
            <w:pPr>
              <w:tabs>
                <w:tab w:val="left" w:pos="105"/>
              </w:tabs>
              <w:spacing w:line="240" w:lineRule="exact"/>
              <w:ind w:left="-120" w:leftChars="-50" w:right="-120" w:rightChars="-50"/>
              <w:jc w:val="center"/>
              <w:rPr>
                <w:rFonts w:ascii="Calibri" w:hAnsi="Calibri" w:cs="Calibri"/>
                <w:color w:val="auto"/>
                <w:szCs w:val="21"/>
                <w:highlight w:val="none"/>
              </w:rPr>
            </w:pPr>
            <w:r>
              <w:rPr>
                <w:rFonts w:hint="eastAsia"/>
                <w:color w:val="auto"/>
                <w:szCs w:val="21"/>
                <w:highlight w:val="none"/>
              </w:rPr>
              <w:t>0.24</w:t>
            </w:r>
          </w:p>
        </w:tc>
        <w:tc>
          <w:tcPr>
            <w:tcW w:w="356" w:type="pct"/>
            <w:tcBorders>
              <w:top w:val="single" w:color="000000" w:sz="4" w:space="0"/>
              <w:left w:val="single" w:color="000000" w:sz="4" w:space="0"/>
              <w:bottom w:val="single" w:color="000000" w:sz="4" w:space="0"/>
              <w:right w:val="single" w:color="000000" w:sz="4" w:space="0"/>
            </w:tcBorders>
            <w:noWrap/>
            <w:vAlign w:val="center"/>
          </w:tcPr>
          <w:p>
            <w:pPr>
              <w:tabs>
                <w:tab w:val="left" w:pos="105"/>
              </w:tabs>
              <w:spacing w:line="240" w:lineRule="exact"/>
              <w:ind w:left="-120" w:leftChars="-50" w:right="-120" w:rightChars="-50"/>
              <w:jc w:val="center"/>
              <w:rPr>
                <w:rFonts w:ascii="Calibri" w:hAnsi="Calibri" w:cs="Calibri"/>
                <w:color w:val="auto"/>
                <w:szCs w:val="21"/>
                <w:highlight w:val="none"/>
              </w:rPr>
            </w:pPr>
            <w:r>
              <w:rPr>
                <w:color w:val="auto"/>
                <w:szCs w:val="21"/>
                <w:highlight w:val="none"/>
              </w:rPr>
              <w:t>0.0</w:t>
            </w:r>
            <w:r>
              <w:rPr>
                <w:rFonts w:hint="eastAsia"/>
                <w:color w:val="auto"/>
                <w:szCs w:val="21"/>
                <w:highlight w:val="none"/>
              </w:rPr>
              <w:t>25</w:t>
            </w:r>
          </w:p>
        </w:tc>
        <w:tc>
          <w:tcPr>
            <w:tcW w:w="190" w:type="pct"/>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Calibri" w:hAnsi="Calibri" w:cs="Calibri"/>
                <w:color w:val="auto"/>
                <w:szCs w:val="21"/>
                <w:highlight w:val="none"/>
              </w:rPr>
            </w:pPr>
            <w:r>
              <w:rPr>
                <w:rFonts w:hint="eastAsia" w:ascii="Calibri" w:hAnsi="Calibri" w:cs="Calibri"/>
                <w:color w:val="auto"/>
                <w:szCs w:val="21"/>
                <w:highlight w:val="none"/>
              </w:rPr>
              <w:t>/</w:t>
            </w:r>
          </w:p>
        </w:tc>
        <w:tc>
          <w:tcPr>
            <w:tcW w:w="205" w:type="pct"/>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Calibri" w:hAnsi="Calibri" w:cs="Calibri"/>
                <w:color w:val="auto"/>
                <w:szCs w:val="21"/>
                <w:highlight w:val="none"/>
              </w:rPr>
            </w:pPr>
            <w:r>
              <w:rPr>
                <w:rFonts w:hint="eastAsia" w:ascii="Calibri" w:hAnsi="Calibri" w:cs="Calibri"/>
                <w:color w:val="auto"/>
                <w:szCs w:val="21"/>
                <w:highlight w:val="none"/>
              </w:rPr>
              <w:t>/</w:t>
            </w:r>
          </w:p>
        </w:tc>
        <w:tc>
          <w:tcPr>
            <w:tcW w:w="303" w:type="pct"/>
            <w:tcBorders>
              <w:top w:val="single" w:color="000000" w:sz="4" w:space="0"/>
              <w:left w:val="single" w:color="000000" w:sz="4" w:space="0"/>
              <w:bottom w:val="single" w:color="000000" w:sz="4" w:space="0"/>
              <w:right w:val="single" w:color="000000" w:sz="4" w:space="0"/>
            </w:tcBorders>
            <w:noWrap/>
            <w:vAlign w:val="center"/>
          </w:tcPr>
          <w:p>
            <w:pPr>
              <w:jc w:val="center"/>
              <w:rPr>
                <w:rFonts w:ascii="Calibri" w:hAnsi="Calibri" w:cs="Calibri"/>
                <w:color w:val="auto"/>
                <w:szCs w:val="21"/>
                <w:highlight w:val="none"/>
              </w:rPr>
            </w:pPr>
            <w:r>
              <w:rPr>
                <w:rFonts w:hint="eastAsia" w:ascii="Calibri" w:hAnsi="Calibri" w:cs="Calibri"/>
                <w:color w:val="auto"/>
                <w:szCs w:val="21"/>
                <w:highlight w:val="none"/>
              </w:rPr>
              <w:t>污染系数法</w:t>
            </w:r>
          </w:p>
        </w:tc>
        <w:tc>
          <w:tcPr>
            <w:tcW w:w="377" w:type="pct"/>
            <w:vMerge w:val="restart"/>
            <w:tcBorders>
              <w:top w:val="single" w:color="000000" w:sz="4" w:space="0"/>
              <w:left w:val="single" w:color="000000" w:sz="4" w:space="0"/>
              <w:right w:val="single" w:color="000000" w:sz="4" w:space="0"/>
            </w:tcBorders>
            <w:noWrap/>
            <w:vAlign w:val="center"/>
          </w:tcPr>
          <w:p>
            <w:pPr>
              <w:jc w:val="center"/>
              <w:rPr>
                <w:rFonts w:ascii="Calibri" w:hAnsi="Calibri" w:cs="Calibri"/>
                <w:color w:val="auto"/>
                <w:szCs w:val="21"/>
                <w:highlight w:val="none"/>
              </w:rPr>
            </w:pPr>
            <w:r>
              <w:rPr>
                <w:color w:val="auto"/>
                <w:szCs w:val="21"/>
                <w:highlight w:val="none"/>
              </w:rPr>
              <w:t>105000</w:t>
            </w:r>
          </w:p>
        </w:tc>
        <w:tc>
          <w:tcPr>
            <w:tcW w:w="374"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color w:val="auto"/>
                <w:szCs w:val="21"/>
                <w:highlight w:val="none"/>
              </w:rPr>
            </w:pPr>
            <w:r>
              <w:rPr>
                <w:color w:val="auto"/>
                <w:kern w:val="0"/>
                <w:szCs w:val="21"/>
                <w:highlight w:val="none"/>
                <w:lang w:bidi="ar"/>
              </w:rPr>
              <w:t xml:space="preserve">0.24 </w:t>
            </w:r>
          </w:p>
        </w:tc>
        <w:tc>
          <w:tcPr>
            <w:tcW w:w="543" w:type="pct"/>
            <w:tcBorders>
              <w:top w:val="single" w:color="000000" w:sz="4" w:space="0"/>
              <w:left w:val="single" w:color="000000" w:sz="4" w:space="0"/>
              <w:bottom w:val="single" w:color="000000" w:sz="4" w:space="0"/>
              <w:right w:val="single" w:color="000000" w:sz="4" w:space="0"/>
            </w:tcBorders>
            <w:noWrap/>
            <w:vAlign w:val="center"/>
          </w:tcPr>
          <w:p>
            <w:pPr>
              <w:tabs>
                <w:tab w:val="left" w:pos="105"/>
              </w:tabs>
              <w:spacing w:line="240" w:lineRule="exact"/>
              <w:ind w:left="-120" w:leftChars="-50" w:right="-120" w:rightChars="-50"/>
              <w:jc w:val="center"/>
              <w:rPr>
                <w:rFonts w:ascii="Calibri" w:hAnsi="Calibri" w:cs="Calibri"/>
                <w:color w:val="auto"/>
                <w:szCs w:val="21"/>
                <w:highlight w:val="none"/>
              </w:rPr>
            </w:pPr>
            <w:r>
              <w:rPr>
                <w:rFonts w:hint="eastAsia"/>
                <w:color w:val="auto"/>
                <w:szCs w:val="21"/>
                <w:highlight w:val="none"/>
              </w:rPr>
              <w:t>0.025</w:t>
            </w:r>
          </w:p>
        </w:tc>
        <w:tc>
          <w:tcPr>
            <w:tcW w:w="375" w:type="pct"/>
            <w:tcBorders>
              <w:top w:val="single" w:color="000000" w:sz="4" w:space="0"/>
              <w:left w:val="single" w:color="000000" w:sz="4" w:space="0"/>
              <w:bottom w:val="single" w:color="000000" w:sz="4" w:space="0"/>
              <w:right w:val="single" w:color="000000" w:sz="4" w:space="0"/>
            </w:tcBorders>
            <w:noWrap/>
            <w:vAlign w:val="center"/>
          </w:tcPr>
          <w:p>
            <w:pPr>
              <w:jc w:val="center"/>
              <w:rPr>
                <w:rFonts w:ascii="Calibri" w:hAnsi="Calibri" w:cs="Calibri"/>
                <w:color w:val="auto"/>
                <w:szCs w:val="21"/>
                <w:highlight w:val="none"/>
              </w:rPr>
            </w:pPr>
            <w:r>
              <w:rPr>
                <w:rFonts w:hint="eastAsia" w:ascii="Calibri" w:hAnsi="Calibri" w:cs="Calibri"/>
                <w:color w:val="auto"/>
                <w:szCs w:val="21"/>
                <w:highlight w:val="none"/>
              </w:rPr>
              <w:t>800</w:t>
            </w:r>
          </w:p>
        </w:tc>
      </w:tr>
      <w:tr>
        <w:tblPrEx>
          <w:tblCellMar>
            <w:top w:w="15" w:type="dxa"/>
            <w:left w:w="15" w:type="dxa"/>
            <w:bottom w:w="15" w:type="dxa"/>
            <w:right w:w="15" w:type="dxa"/>
          </w:tblCellMar>
        </w:tblPrEx>
        <w:trPr>
          <w:trHeight w:val="330" w:hRule="atLeast"/>
        </w:trPr>
        <w:tc>
          <w:tcPr>
            <w:tcW w:w="213" w:type="pct"/>
            <w:vMerge w:val="continue"/>
            <w:tcBorders>
              <w:left w:val="single" w:color="000000" w:sz="4" w:space="0"/>
              <w:right w:val="single" w:color="000000" w:sz="4" w:space="0"/>
            </w:tcBorders>
            <w:noWrap/>
            <w:vAlign w:val="center"/>
          </w:tcPr>
          <w:p>
            <w:pPr>
              <w:jc w:val="center"/>
              <w:rPr>
                <w:rFonts w:ascii="Calibri" w:hAnsi="Calibri" w:cs="Calibri"/>
                <w:color w:val="auto"/>
                <w:szCs w:val="21"/>
                <w:highlight w:val="none"/>
              </w:rPr>
            </w:pPr>
          </w:p>
        </w:tc>
        <w:tc>
          <w:tcPr>
            <w:tcW w:w="273" w:type="pct"/>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Calibri" w:hAnsi="Calibri" w:cs="Calibri"/>
                <w:color w:val="auto"/>
                <w:szCs w:val="21"/>
                <w:highlight w:val="none"/>
              </w:rPr>
            </w:pPr>
          </w:p>
        </w:tc>
        <w:tc>
          <w:tcPr>
            <w:tcW w:w="332" w:type="pct"/>
            <w:vMerge w:val="continue"/>
            <w:tcBorders>
              <w:left w:val="single" w:color="000000" w:sz="4" w:space="0"/>
              <w:right w:val="single" w:color="000000" w:sz="4" w:space="0"/>
            </w:tcBorders>
            <w:noWrap/>
            <w:vAlign w:val="center"/>
          </w:tcPr>
          <w:p>
            <w:pPr>
              <w:jc w:val="center"/>
              <w:rPr>
                <w:rFonts w:ascii="Calibri" w:hAnsi="Calibri" w:cs="Calibri"/>
                <w:color w:val="auto"/>
                <w:szCs w:val="21"/>
                <w:highlight w:val="none"/>
              </w:rPr>
            </w:pPr>
          </w:p>
        </w:tc>
        <w:tc>
          <w:tcPr>
            <w:tcW w:w="493"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bottom"/>
              <w:rPr>
                <w:rFonts w:hint="eastAsia" w:ascii="Calibri" w:hAnsi="Calibri" w:cs="Calibri"/>
                <w:color w:val="auto"/>
                <w:szCs w:val="21"/>
                <w:highlight w:val="none"/>
              </w:rPr>
            </w:pPr>
            <w:r>
              <w:rPr>
                <w:rFonts w:hint="eastAsia" w:cs="Calibri"/>
                <w:color w:val="auto"/>
                <w:szCs w:val="21"/>
                <w:highlight w:val="none"/>
              </w:rPr>
              <w:t>NOx</w:t>
            </w:r>
          </w:p>
        </w:tc>
        <w:tc>
          <w:tcPr>
            <w:tcW w:w="268" w:type="pct"/>
            <w:tcBorders>
              <w:top w:val="single" w:color="000000" w:sz="4" w:space="0"/>
              <w:left w:val="single" w:color="000000" w:sz="4" w:space="0"/>
              <w:bottom w:val="single" w:color="000000" w:sz="4" w:space="0"/>
              <w:right w:val="single" w:color="000000" w:sz="4" w:space="0"/>
            </w:tcBorders>
            <w:noWrap/>
            <w:vAlign w:val="center"/>
          </w:tcPr>
          <w:p>
            <w:pPr>
              <w:jc w:val="center"/>
              <w:rPr>
                <w:rFonts w:ascii="Calibri" w:hAnsi="Calibri" w:cs="Calibri"/>
                <w:color w:val="auto"/>
                <w:szCs w:val="21"/>
                <w:highlight w:val="none"/>
              </w:rPr>
            </w:pPr>
            <w:r>
              <w:rPr>
                <w:rFonts w:hint="eastAsia" w:ascii="Calibri" w:hAnsi="Calibri" w:cs="Calibri"/>
                <w:color w:val="auto"/>
                <w:szCs w:val="21"/>
                <w:highlight w:val="none"/>
              </w:rPr>
              <w:t>污染系数法</w:t>
            </w:r>
          </w:p>
        </w:tc>
        <w:tc>
          <w:tcPr>
            <w:tcW w:w="343" w:type="pct"/>
            <w:vMerge w:val="continue"/>
            <w:tcBorders>
              <w:left w:val="single" w:color="000000" w:sz="4" w:space="0"/>
              <w:right w:val="single" w:color="000000" w:sz="4" w:space="0"/>
            </w:tcBorders>
            <w:noWrap/>
            <w:vAlign w:val="center"/>
          </w:tcPr>
          <w:p>
            <w:pPr>
              <w:jc w:val="center"/>
              <w:rPr>
                <w:rFonts w:ascii="Calibri" w:hAnsi="Calibri" w:cs="Calibri"/>
                <w:color w:val="auto"/>
                <w:szCs w:val="21"/>
                <w:highlight w:val="none"/>
              </w:rPr>
            </w:pPr>
          </w:p>
        </w:tc>
        <w:tc>
          <w:tcPr>
            <w:tcW w:w="348" w:type="pct"/>
            <w:tcBorders>
              <w:top w:val="single" w:color="000000" w:sz="4" w:space="0"/>
              <w:left w:val="single" w:color="000000" w:sz="4" w:space="0"/>
              <w:bottom w:val="single" w:color="000000" w:sz="4" w:space="0"/>
              <w:right w:val="single" w:color="000000" w:sz="4" w:space="0"/>
            </w:tcBorders>
            <w:noWrap/>
            <w:vAlign w:val="center"/>
          </w:tcPr>
          <w:p>
            <w:pPr>
              <w:tabs>
                <w:tab w:val="left" w:pos="105"/>
              </w:tabs>
              <w:spacing w:line="240" w:lineRule="exact"/>
              <w:ind w:left="-120" w:leftChars="-50" w:right="-120" w:rightChars="-50"/>
              <w:jc w:val="center"/>
              <w:rPr>
                <w:rFonts w:ascii="Calibri" w:hAnsi="Calibri" w:cs="Calibri"/>
                <w:color w:val="auto"/>
                <w:szCs w:val="21"/>
                <w:highlight w:val="none"/>
              </w:rPr>
            </w:pPr>
            <w:r>
              <w:rPr>
                <w:rFonts w:hint="eastAsia"/>
                <w:color w:val="auto"/>
                <w:szCs w:val="21"/>
                <w:highlight w:val="none"/>
              </w:rPr>
              <w:t>0.95</w:t>
            </w:r>
          </w:p>
        </w:tc>
        <w:tc>
          <w:tcPr>
            <w:tcW w:w="356" w:type="pct"/>
            <w:tcBorders>
              <w:top w:val="single" w:color="000000" w:sz="4" w:space="0"/>
              <w:left w:val="single" w:color="000000" w:sz="4" w:space="0"/>
              <w:bottom w:val="single" w:color="000000" w:sz="4" w:space="0"/>
              <w:right w:val="single" w:color="000000" w:sz="4" w:space="0"/>
            </w:tcBorders>
            <w:noWrap/>
            <w:vAlign w:val="center"/>
          </w:tcPr>
          <w:p>
            <w:pPr>
              <w:tabs>
                <w:tab w:val="left" w:pos="105"/>
              </w:tabs>
              <w:spacing w:line="240" w:lineRule="exact"/>
              <w:ind w:left="-120" w:leftChars="-50" w:right="-120" w:rightChars="-50"/>
              <w:jc w:val="center"/>
              <w:rPr>
                <w:rFonts w:ascii="Calibri" w:hAnsi="Calibri" w:cs="Calibri"/>
                <w:color w:val="auto"/>
                <w:szCs w:val="21"/>
                <w:highlight w:val="none"/>
              </w:rPr>
            </w:pPr>
            <w:r>
              <w:rPr>
                <w:rFonts w:hint="eastAsia"/>
                <w:color w:val="auto"/>
                <w:szCs w:val="21"/>
                <w:highlight w:val="none"/>
              </w:rPr>
              <w:t>0.09925</w:t>
            </w:r>
          </w:p>
        </w:tc>
        <w:tc>
          <w:tcPr>
            <w:tcW w:w="190" w:type="pct"/>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Calibri" w:hAnsi="Calibri" w:cs="Calibri"/>
                <w:color w:val="auto"/>
                <w:szCs w:val="21"/>
                <w:highlight w:val="none"/>
              </w:rPr>
            </w:pPr>
            <w:r>
              <w:rPr>
                <w:rFonts w:hint="eastAsia" w:ascii="Calibri" w:hAnsi="Calibri" w:cs="Calibri"/>
                <w:color w:val="auto"/>
                <w:szCs w:val="21"/>
                <w:highlight w:val="none"/>
              </w:rPr>
              <w:t>/</w:t>
            </w:r>
          </w:p>
        </w:tc>
        <w:tc>
          <w:tcPr>
            <w:tcW w:w="205" w:type="pct"/>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Calibri" w:hAnsi="Calibri" w:cs="Calibri"/>
                <w:color w:val="auto"/>
                <w:szCs w:val="21"/>
                <w:highlight w:val="none"/>
              </w:rPr>
            </w:pPr>
            <w:r>
              <w:rPr>
                <w:rFonts w:hint="eastAsia" w:ascii="Calibri" w:hAnsi="Calibri" w:cs="Calibri"/>
                <w:color w:val="auto"/>
                <w:szCs w:val="21"/>
                <w:highlight w:val="none"/>
              </w:rPr>
              <w:t>/</w:t>
            </w:r>
          </w:p>
        </w:tc>
        <w:tc>
          <w:tcPr>
            <w:tcW w:w="303" w:type="pct"/>
            <w:tcBorders>
              <w:top w:val="single" w:color="000000" w:sz="4" w:space="0"/>
              <w:left w:val="single" w:color="000000" w:sz="4" w:space="0"/>
              <w:bottom w:val="single" w:color="000000" w:sz="4" w:space="0"/>
              <w:right w:val="single" w:color="000000" w:sz="4" w:space="0"/>
            </w:tcBorders>
            <w:noWrap/>
            <w:vAlign w:val="center"/>
          </w:tcPr>
          <w:p>
            <w:pPr>
              <w:jc w:val="center"/>
              <w:rPr>
                <w:rFonts w:ascii="Calibri" w:hAnsi="Calibri" w:cs="Calibri"/>
                <w:color w:val="auto"/>
                <w:szCs w:val="21"/>
                <w:highlight w:val="none"/>
              </w:rPr>
            </w:pPr>
            <w:r>
              <w:rPr>
                <w:rFonts w:hint="eastAsia" w:ascii="Calibri" w:hAnsi="Calibri" w:cs="Calibri"/>
                <w:color w:val="auto"/>
                <w:szCs w:val="21"/>
                <w:highlight w:val="none"/>
              </w:rPr>
              <w:t>污染系数法</w:t>
            </w:r>
          </w:p>
        </w:tc>
        <w:tc>
          <w:tcPr>
            <w:tcW w:w="377" w:type="pct"/>
            <w:vMerge w:val="continue"/>
            <w:tcBorders>
              <w:left w:val="single" w:color="000000" w:sz="4" w:space="0"/>
              <w:right w:val="single" w:color="000000" w:sz="4" w:space="0"/>
            </w:tcBorders>
            <w:noWrap/>
            <w:vAlign w:val="center"/>
          </w:tcPr>
          <w:p>
            <w:pPr>
              <w:jc w:val="center"/>
              <w:rPr>
                <w:rFonts w:ascii="Calibri" w:hAnsi="Calibri" w:cs="Calibri"/>
                <w:color w:val="auto"/>
                <w:szCs w:val="21"/>
                <w:highlight w:val="none"/>
              </w:rPr>
            </w:pPr>
          </w:p>
        </w:tc>
        <w:tc>
          <w:tcPr>
            <w:tcW w:w="374"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color w:val="auto"/>
                <w:szCs w:val="21"/>
                <w:highlight w:val="none"/>
              </w:rPr>
            </w:pPr>
            <w:r>
              <w:rPr>
                <w:color w:val="auto"/>
                <w:kern w:val="0"/>
                <w:szCs w:val="21"/>
                <w:highlight w:val="none"/>
                <w:lang w:bidi="ar"/>
              </w:rPr>
              <w:t xml:space="preserve">0.95 </w:t>
            </w:r>
          </w:p>
        </w:tc>
        <w:tc>
          <w:tcPr>
            <w:tcW w:w="543" w:type="pct"/>
            <w:tcBorders>
              <w:top w:val="single" w:color="000000" w:sz="4" w:space="0"/>
              <w:left w:val="single" w:color="000000" w:sz="4" w:space="0"/>
              <w:bottom w:val="single" w:color="000000" w:sz="4" w:space="0"/>
              <w:right w:val="single" w:color="000000" w:sz="4" w:space="0"/>
            </w:tcBorders>
            <w:noWrap/>
            <w:vAlign w:val="center"/>
          </w:tcPr>
          <w:p>
            <w:pPr>
              <w:tabs>
                <w:tab w:val="left" w:pos="105"/>
              </w:tabs>
              <w:spacing w:line="240" w:lineRule="exact"/>
              <w:ind w:left="-120" w:leftChars="-50" w:right="-120" w:rightChars="-50"/>
              <w:jc w:val="center"/>
              <w:rPr>
                <w:rFonts w:ascii="Calibri" w:hAnsi="Calibri" w:cs="Calibri"/>
                <w:color w:val="auto"/>
                <w:szCs w:val="21"/>
                <w:highlight w:val="none"/>
              </w:rPr>
            </w:pPr>
            <w:r>
              <w:rPr>
                <w:rFonts w:hint="eastAsia"/>
                <w:color w:val="auto"/>
                <w:szCs w:val="21"/>
                <w:highlight w:val="none"/>
              </w:rPr>
              <w:t>0.09925</w:t>
            </w:r>
          </w:p>
        </w:tc>
        <w:tc>
          <w:tcPr>
            <w:tcW w:w="375" w:type="pct"/>
            <w:tcBorders>
              <w:top w:val="single" w:color="000000" w:sz="4" w:space="0"/>
              <w:left w:val="single" w:color="000000" w:sz="4" w:space="0"/>
              <w:bottom w:val="single" w:color="000000" w:sz="4" w:space="0"/>
              <w:right w:val="single" w:color="000000" w:sz="4" w:space="0"/>
            </w:tcBorders>
            <w:noWrap/>
            <w:vAlign w:val="center"/>
          </w:tcPr>
          <w:p>
            <w:pPr>
              <w:jc w:val="center"/>
              <w:rPr>
                <w:rFonts w:ascii="Calibri" w:hAnsi="Calibri" w:cs="Calibri"/>
                <w:color w:val="auto"/>
                <w:szCs w:val="21"/>
                <w:highlight w:val="none"/>
              </w:rPr>
            </w:pPr>
            <w:r>
              <w:rPr>
                <w:rFonts w:hint="eastAsia" w:ascii="Calibri" w:hAnsi="Calibri" w:cs="Calibri"/>
                <w:color w:val="auto"/>
                <w:szCs w:val="21"/>
                <w:highlight w:val="none"/>
              </w:rPr>
              <w:t>800</w:t>
            </w:r>
          </w:p>
        </w:tc>
      </w:tr>
      <w:tr>
        <w:tblPrEx>
          <w:tblCellMar>
            <w:top w:w="15" w:type="dxa"/>
            <w:left w:w="15" w:type="dxa"/>
            <w:bottom w:w="15" w:type="dxa"/>
            <w:right w:w="15" w:type="dxa"/>
          </w:tblCellMar>
        </w:tblPrEx>
        <w:trPr>
          <w:trHeight w:val="270" w:hRule="atLeast"/>
        </w:trPr>
        <w:tc>
          <w:tcPr>
            <w:tcW w:w="213" w:type="pct"/>
            <w:vMerge w:val="continue"/>
            <w:tcBorders>
              <w:left w:val="single" w:color="000000" w:sz="4" w:space="0"/>
              <w:right w:val="single" w:color="000000" w:sz="4" w:space="0"/>
            </w:tcBorders>
            <w:noWrap/>
            <w:vAlign w:val="center"/>
          </w:tcPr>
          <w:p>
            <w:pPr>
              <w:jc w:val="center"/>
              <w:rPr>
                <w:rFonts w:ascii="Calibri" w:hAnsi="Calibri" w:cs="Calibri"/>
                <w:color w:val="auto"/>
                <w:szCs w:val="21"/>
                <w:highlight w:val="none"/>
              </w:rPr>
            </w:pPr>
          </w:p>
        </w:tc>
        <w:tc>
          <w:tcPr>
            <w:tcW w:w="273" w:type="pct"/>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Calibri" w:hAnsi="Calibri" w:cs="Calibri"/>
                <w:color w:val="auto"/>
                <w:szCs w:val="21"/>
                <w:highlight w:val="none"/>
              </w:rPr>
            </w:pPr>
          </w:p>
        </w:tc>
        <w:tc>
          <w:tcPr>
            <w:tcW w:w="332" w:type="pct"/>
            <w:vMerge w:val="continue"/>
            <w:tcBorders>
              <w:left w:val="single" w:color="000000" w:sz="4" w:space="0"/>
              <w:right w:val="single" w:color="000000" w:sz="4" w:space="0"/>
            </w:tcBorders>
            <w:noWrap/>
            <w:vAlign w:val="center"/>
          </w:tcPr>
          <w:p>
            <w:pPr>
              <w:jc w:val="center"/>
              <w:rPr>
                <w:rFonts w:ascii="Calibri" w:hAnsi="Calibri" w:cs="Calibri"/>
                <w:color w:val="auto"/>
                <w:szCs w:val="21"/>
                <w:highlight w:val="none"/>
              </w:rPr>
            </w:pPr>
          </w:p>
        </w:tc>
        <w:tc>
          <w:tcPr>
            <w:tcW w:w="493" w:type="pct"/>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Calibri" w:hAnsi="Calibri" w:cs="Calibri"/>
                <w:color w:val="auto"/>
                <w:szCs w:val="21"/>
                <w:highlight w:val="none"/>
              </w:rPr>
            </w:pPr>
            <w:r>
              <w:rPr>
                <w:rFonts w:hint="eastAsia" w:ascii="Calibri" w:hAnsi="Calibri" w:cs="Calibri"/>
                <w:color w:val="auto"/>
                <w:szCs w:val="21"/>
                <w:highlight w:val="none"/>
              </w:rPr>
              <w:t>粉尘</w:t>
            </w:r>
          </w:p>
        </w:tc>
        <w:tc>
          <w:tcPr>
            <w:tcW w:w="268" w:type="pct"/>
            <w:tcBorders>
              <w:top w:val="single" w:color="000000" w:sz="4" w:space="0"/>
              <w:left w:val="single" w:color="000000" w:sz="4" w:space="0"/>
              <w:bottom w:val="single" w:color="000000" w:sz="4" w:space="0"/>
              <w:right w:val="single" w:color="000000" w:sz="4" w:space="0"/>
            </w:tcBorders>
            <w:noWrap/>
            <w:vAlign w:val="center"/>
          </w:tcPr>
          <w:p>
            <w:pPr>
              <w:jc w:val="center"/>
              <w:rPr>
                <w:rFonts w:ascii="Calibri" w:hAnsi="Calibri" w:cs="Calibri"/>
                <w:color w:val="auto"/>
                <w:szCs w:val="21"/>
                <w:highlight w:val="none"/>
              </w:rPr>
            </w:pPr>
            <w:r>
              <w:rPr>
                <w:rFonts w:hint="eastAsia" w:ascii="Calibri" w:hAnsi="Calibri" w:cs="Calibri"/>
                <w:color w:val="auto"/>
                <w:szCs w:val="21"/>
                <w:highlight w:val="none"/>
              </w:rPr>
              <w:t>污染系数法</w:t>
            </w:r>
          </w:p>
        </w:tc>
        <w:tc>
          <w:tcPr>
            <w:tcW w:w="343" w:type="pct"/>
            <w:vMerge w:val="continue"/>
            <w:tcBorders>
              <w:left w:val="single" w:color="000000" w:sz="4" w:space="0"/>
              <w:right w:val="single" w:color="000000" w:sz="4" w:space="0"/>
            </w:tcBorders>
            <w:noWrap/>
            <w:vAlign w:val="center"/>
          </w:tcPr>
          <w:p>
            <w:pPr>
              <w:jc w:val="center"/>
              <w:rPr>
                <w:rFonts w:ascii="Calibri" w:hAnsi="Calibri" w:cs="Calibri"/>
                <w:color w:val="auto"/>
                <w:szCs w:val="21"/>
                <w:highlight w:val="none"/>
              </w:rPr>
            </w:pPr>
          </w:p>
        </w:tc>
        <w:tc>
          <w:tcPr>
            <w:tcW w:w="348" w:type="pct"/>
            <w:tcBorders>
              <w:top w:val="single" w:color="000000" w:sz="4" w:space="0"/>
              <w:left w:val="single" w:color="000000" w:sz="4" w:space="0"/>
              <w:bottom w:val="single" w:color="000000" w:sz="4" w:space="0"/>
              <w:right w:val="single" w:color="000000" w:sz="4" w:space="0"/>
            </w:tcBorders>
            <w:noWrap/>
            <w:vAlign w:val="center"/>
          </w:tcPr>
          <w:p>
            <w:pPr>
              <w:tabs>
                <w:tab w:val="left" w:pos="105"/>
              </w:tabs>
              <w:spacing w:line="240" w:lineRule="exact"/>
              <w:ind w:left="-120" w:leftChars="-50" w:right="-120" w:rightChars="-50"/>
              <w:jc w:val="center"/>
              <w:rPr>
                <w:rFonts w:ascii="Calibri" w:hAnsi="Calibri" w:cs="Calibri"/>
                <w:color w:val="auto"/>
                <w:szCs w:val="21"/>
                <w:highlight w:val="none"/>
              </w:rPr>
            </w:pPr>
            <w:r>
              <w:rPr>
                <w:color w:val="auto"/>
                <w:sz w:val="18"/>
                <w:szCs w:val="18"/>
                <w:highlight w:val="none"/>
              </w:rPr>
              <w:t>9.512</w:t>
            </w:r>
          </w:p>
        </w:tc>
        <w:tc>
          <w:tcPr>
            <w:tcW w:w="356" w:type="pct"/>
            <w:tcBorders>
              <w:top w:val="single" w:color="000000" w:sz="4" w:space="0"/>
              <w:left w:val="single" w:color="000000" w:sz="4" w:space="0"/>
              <w:bottom w:val="single" w:color="000000" w:sz="4" w:space="0"/>
              <w:right w:val="single" w:color="000000" w:sz="4" w:space="0"/>
            </w:tcBorders>
            <w:noWrap/>
            <w:vAlign w:val="center"/>
          </w:tcPr>
          <w:p>
            <w:pPr>
              <w:tabs>
                <w:tab w:val="left" w:pos="105"/>
              </w:tabs>
              <w:spacing w:line="240" w:lineRule="exact"/>
              <w:ind w:left="-120" w:leftChars="-50" w:right="-120" w:rightChars="-50"/>
              <w:jc w:val="center"/>
              <w:rPr>
                <w:rFonts w:ascii="Calibri" w:hAnsi="Calibri" w:cs="Calibri"/>
                <w:color w:val="auto"/>
                <w:szCs w:val="21"/>
                <w:highlight w:val="none"/>
              </w:rPr>
            </w:pPr>
            <w:r>
              <w:rPr>
                <w:rFonts w:hint="eastAsia"/>
                <w:color w:val="auto"/>
                <w:sz w:val="18"/>
                <w:szCs w:val="18"/>
                <w:highlight w:val="none"/>
              </w:rPr>
              <w:t>11.89</w:t>
            </w:r>
          </w:p>
        </w:tc>
        <w:tc>
          <w:tcPr>
            <w:tcW w:w="190" w:type="pct"/>
            <w:tcBorders>
              <w:top w:val="single" w:color="000000" w:sz="4" w:space="0"/>
              <w:left w:val="single" w:color="000000" w:sz="4" w:space="0"/>
              <w:bottom w:val="single" w:color="000000" w:sz="4" w:space="0"/>
              <w:right w:val="single" w:color="000000" w:sz="4" w:space="0"/>
            </w:tcBorders>
            <w:noWrap/>
            <w:vAlign w:val="center"/>
          </w:tcPr>
          <w:p>
            <w:pPr>
              <w:jc w:val="center"/>
              <w:rPr>
                <w:rFonts w:ascii="Calibri" w:hAnsi="Calibri" w:cs="Calibri"/>
                <w:color w:val="auto"/>
                <w:szCs w:val="21"/>
                <w:highlight w:val="none"/>
              </w:rPr>
            </w:pPr>
            <w:r>
              <w:rPr>
                <w:rFonts w:hint="eastAsia" w:ascii="Calibri" w:hAnsi="Calibri" w:cs="Calibri"/>
                <w:color w:val="auto"/>
                <w:szCs w:val="21"/>
                <w:highlight w:val="none"/>
              </w:rPr>
              <w:t>二级除尘</w:t>
            </w:r>
          </w:p>
        </w:tc>
        <w:tc>
          <w:tcPr>
            <w:tcW w:w="205" w:type="pct"/>
            <w:tcBorders>
              <w:top w:val="single" w:color="000000" w:sz="4" w:space="0"/>
              <w:left w:val="single" w:color="000000" w:sz="4" w:space="0"/>
              <w:bottom w:val="single" w:color="000000" w:sz="4" w:space="0"/>
              <w:right w:val="single" w:color="000000" w:sz="4" w:space="0"/>
            </w:tcBorders>
            <w:noWrap/>
            <w:vAlign w:val="center"/>
          </w:tcPr>
          <w:p>
            <w:pPr>
              <w:jc w:val="center"/>
              <w:rPr>
                <w:rFonts w:ascii="Calibri" w:hAnsi="Calibri" w:cs="Calibri"/>
                <w:color w:val="auto"/>
                <w:szCs w:val="21"/>
                <w:highlight w:val="none"/>
              </w:rPr>
            </w:pPr>
            <w:r>
              <w:rPr>
                <w:rFonts w:hint="eastAsia" w:ascii="Calibri" w:hAnsi="Calibri" w:cs="Calibri"/>
                <w:color w:val="auto"/>
                <w:szCs w:val="21"/>
                <w:highlight w:val="none"/>
              </w:rPr>
              <w:t>99.5</w:t>
            </w:r>
          </w:p>
        </w:tc>
        <w:tc>
          <w:tcPr>
            <w:tcW w:w="303" w:type="pct"/>
            <w:tcBorders>
              <w:top w:val="single" w:color="000000" w:sz="4" w:space="0"/>
              <w:left w:val="single" w:color="000000" w:sz="4" w:space="0"/>
              <w:bottom w:val="single" w:color="000000" w:sz="4" w:space="0"/>
              <w:right w:val="single" w:color="000000" w:sz="4" w:space="0"/>
            </w:tcBorders>
            <w:noWrap/>
            <w:vAlign w:val="center"/>
          </w:tcPr>
          <w:p>
            <w:pPr>
              <w:jc w:val="center"/>
              <w:rPr>
                <w:rFonts w:ascii="Calibri" w:hAnsi="Calibri" w:cs="Calibri"/>
                <w:color w:val="auto"/>
                <w:szCs w:val="21"/>
                <w:highlight w:val="none"/>
              </w:rPr>
            </w:pPr>
            <w:r>
              <w:rPr>
                <w:rFonts w:hint="eastAsia" w:ascii="Calibri" w:hAnsi="Calibri" w:cs="Calibri"/>
                <w:color w:val="auto"/>
                <w:szCs w:val="21"/>
                <w:highlight w:val="none"/>
              </w:rPr>
              <w:t>污染系数法</w:t>
            </w:r>
          </w:p>
        </w:tc>
        <w:tc>
          <w:tcPr>
            <w:tcW w:w="377" w:type="pct"/>
            <w:vMerge w:val="continue"/>
            <w:tcBorders>
              <w:left w:val="single" w:color="000000" w:sz="4" w:space="0"/>
              <w:right w:val="single" w:color="000000" w:sz="4" w:space="0"/>
            </w:tcBorders>
            <w:noWrap/>
            <w:vAlign w:val="center"/>
          </w:tcPr>
          <w:p>
            <w:pPr>
              <w:jc w:val="center"/>
              <w:rPr>
                <w:rFonts w:ascii="Calibri" w:hAnsi="Calibri" w:cs="Calibri"/>
                <w:color w:val="auto"/>
                <w:szCs w:val="21"/>
                <w:highlight w:val="none"/>
              </w:rPr>
            </w:pPr>
          </w:p>
        </w:tc>
        <w:tc>
          <w:tcPr>
            <w:tcW w:w="374"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color w:val="auto"/>
                <w:szCs w:val="21"/>
                <w:highlight w:val="none"/>
              </w:rPr>
            </w:pPr>
            <w:r>
              <w:rPr>
                <w:color w:val="auto"/>
                <w:kern w:val="0"/>
                <w:szCs w:val="21"/>
                <w:highlight w:val="none"/>
                <w:lang w:bidi="ar"/>
              </w:rPr>
              <w:t xml:space="preserve">0.11 </w:t>
            </w:r>
          </w:p>
        </w:tc>
        <w:tc>
          <w:tcPr>
            <w:tcW w:w="543" w:type="pct"/>
            <w:tcBorders>
              <w:top w:val="single" w:color="000000" w:sz="4" w:space="0"/>
              <w:left w:val="single" w:color="000000" w:sz="4" w:space="0"/>
              <w:bottom w:val="single" w:color="000000" w:sz="4" w:space="0"/>
              <w:right w:val="single" w:color="000000" w:sz="4" w:space="0"/>
            </w:tcBorders>
            <w:noWrap/>
            <w:vAlign w:val="center"/>
          </w:tcPr>
          <w:p>
            <w:pPr>
              <w:tabs>
                <w:tab w:val="left" w:pos="105"/>
              </w:tabs>
              <w:spacing w:line="240" w:lineRule="exact"/>
              <w:ind w:left="-120" w:leftChars="-50" w:right="-120" w:rightChars="-50"/>
              <w:jc w:val="center"/>
              <w:rPr>
                <w:rFonts w:ascii="Calibri" w:hAnsi="Calibri" w:cs="Calibri"/>
                <w:color w:val="auto"/>
                <w:szCs w:val="21"/>
                <w:highlight w:val="none"/>
              </w:rPr>
            </w:pPr>
            <w:r>
              <w:rPr>
                <w:rFonts w:hint="eastAsia"/>
                <w:color w:val="auto"/>
                <w:szCs w:val="21"/>
                <w:highlight w:val="none"/>
              </w:rPr>
              <w:t>0.0119</w:t>
            </w:r>
          </w:p>
        </w:tc>
        <w:tc>
          <w:tcPr>
            <w:tcW w:w="375" w:type="pct"/>
            <w:tcBorders>
              <w:top w:val="single" w:color="000000" w:sz="4" w:space="0"/>
              <w:left w:val="single" w:color="000000" w:sz="4" w:space="0"/>
              <w:bottom w:val="single" w:color="000000" w:sz="4" w:space="0"/>
              <w:right w:val="single" w:color="000000" w:sz="4" w:space="0"/>
            </w:tcBorders>
            <w:noWrap/>
            <w:vAlign w:val="center"/>
          </w:tcPr>
          <w:p>
            <w:pPr>
              <w:jc w:val="center"/>
              <w:rPr>
                <w:rFonts w:ascii="Calibri" w:hAnsi="Calibri" w:cs="Calibri"/>
                <w:color w:val="auto"/>
                <w:szCs w:val="21"/>
                <w:highlight w:val="none"/>
              </w:rPr>
            </w:pPr>
            <w:r>
              <w:rPr>
                <w:rFonts w:hint="eastAsia" w:ascii="Calibri" w:hAnsi="Calibri" w:cs="Calibri"/>
                <w:color w:val="auto"/>
                <w:szCs w:val="21"/>
                <w:highlight w:val="none"/>
              </w:rPr>
              <w:t>800</w:t>
            </w:r>
          </w:p>
        </w:tc>
      </w:tr>
      <w:tr>
        <w:tblPrEx>
          <w:tblCellMar>
            <w:top w:w="15" w:type="dxa"/>
            <w:left w:w="15" w:type="dxa"/>
            <w:bottom w:w="15" w:type="dxa"/>
            <w:right w:w="15" w:type="dxa"/>
          </w:tblCellMar>
        </w:tblPrEx>
        <w:trPr>
          <w:trHeight w:val="330" w:hRule="atLeast"/>
        </w:trPr>
        <w:tc>
          <w:tcPr>
            <w:tcW w:w="213" w:type="pct"/>
            <w:vMerge w:val="continue"/>
            <w:tcBorders>
              <w:left w:val="single" w:color="000000" w:sz="4" w:space="0"/>
              <w:right w:val="single" w:color="000000" w:sz="4" w:space="0"/>
            </w:tcBorders>
            <w:noWrap/>
            <w:vAlign w:val="center"/>
          </w:tcPr>
          <w:p>
            <w:pPr>
              <w:jc w:val="center"/>
              <w:rPr>
                <w:rFonts w:ascii="Calibri" w:hAnsi="Calibri" w:cs="Calibri"/>
                <w:color w:val="auto"/>
                <w:szCs w:val="21"/>
                <w:highlight w:val="none"/>
              </w:rPr>
            </w:pPr>
          </w:p>
        </w:tc>
        <w:tc>
          <w:tcPr>
            <w:tcW w:w="273" w:type="pct"/>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Calibri" w:hAnsi="Calibri" w:cs="Calibri"/>
                <w:color w:val="auto"/>
                <w:szCs w:val="21"/>
                <w:highlight w:val="none"/>
              </w:rPr>
            </w:pPr>
          </w:p>
        </w:tc>
        <w:tc>
          <w:tcPr>
            <w:tcW w:w="332" w:type="pct"/>
            <w:vMerge w:val="continue"/>
            <w:tcBorders>
              <w:left w:val="single" w:color="000000" w:sz="4" w:space="0"/>
              <w:right w:val="single" w:color="000000" w:sz="4" w:space="0"/>
            </w:tcBorders>
            <w:noWrap/>
            <w:vAlign w:val="center"/>
          </w:tcPr>
          <w:p>
            <w:pPr>
              <w:widowControl/>
              <w:jc w:val="center"/>
              <w:textAlignment w:val="bottom"/>
              <w:rPr>
                <w:rFonts w:hint="eastAsia" w:cs="Calibri"/>
                <w:color w:val="auto"/>
                <w:kern w:val="0"/>
                <w:szCs w:val="21"/>
                <w:highlight w:val="none"/>
                <w:lang w:bidi="ar"/>
              </w:rPr>
            </w:pPr>
          </w:p>
        </w:tc>
        <w:tc>
          <w:tcPr>
            <w:tcW w:w="493" w:type="pct"/>
            <w:tcBorders>
              <w:top w:val="single" w:color="000000" w:sz="4" w:space="0"/>
              <w:left w:val="single" w:color="000000" w:sz="4" w:space="0"/>
              <w:bottom w:val="single" w:color="000000" w:sz="4" w:space="0"/>
              <w:right w:val="single" w:color="000000" w:sz="4" w:space="0"/>
            </w:tcBorders>
            <w:noWrap/>
            <w:vAlign w:val="center"/>
          </w:tcPr>
          <w:p>
            <w:pPr>
              <w:tabs>
                <w:tab w:val="left" w:pos="105"/>
              </w:tabs>
              <w:spacing w:line="240" w:lineRule="exact"/>
              <w:ind w:left="-120" w:leftChars="-50" w:right="-120" w:rightChars="-50"/>
              <w:jc w:val="center"/>
              <w:rPr>
                <w:rFonts w:ascii="Calibri" w:hAnsi="Calibri" w:cs="Calibri"/>
                <w:color w:val="auto"/>
                <w:kern w:val="0"/>
                <w:szCs w:val="21"/>
                <w:highlight w:val="none"/>
                <w:lang w:bidi="ar"/>
              </w:rPr>
            </w:pPr>
            <w:r>
              <w:rPr>
                <w:color w:val="auto"/>
                <w:szCs w:val="21"/>
                <w:highlight w:val="none"/>
              </w:rPr>
              <w:t>沥青烟气</w:t>
            </w:r>
          </w:p>
        </w:tc>
        <w:tc>
          <w:tcPr>
            <w:tcW w:w="268" w:type="pct"/>
            <w:tcBorders>
              <w:top w:val="single" w:color="000000" w:sz="4" w:space="0"/>
              <w:left w:val="single" w:color="000000" w:sz="4" w:space="0"/>
              <w:bottom w:val="single" w:color="000000" w:sz="4" w:space="0"/>
              <w:right w:val="single" w:color="000000" w:sz="4" w:space="0"/>
            </w:tcBorders>
            <w:noWrap/>
            <w:vAlign w:val="center"/>
          </w:tcPr>
          <w:p>
            <w:pPr>
              <w:jc w:val="center"/>
              <w:rPr>
                <w:rFonts w:ascii="Calibri" w:hAnsi="Calibri" w:cs="Calibri"/>
                <w:color w:val="auto"/>
                <w:szCs w:val="21"/>
                <w:highlight w:val="none"/>
              </w:rPr>
            </w:pPr>
            <w:r>
              <w:rPr>
                <w:rFonts w:hint="eastAsia" w:ascii="Calibri" w:hAnsi="Calibri" w:cs="Calibri"/>
                <w:color w:val="auto"/>
                <w:szCs w:val="21"/>
                <w:highlight w:val="none"/>
              </w:rPr>
              <w:t>污染系数法</w:t>
            </w:r>
          </w:p>
        </w:tc>
        <w:tc>
          <w:tcPr>
            <w:tcW w:w="343" w:type="pct"/>
            <w:vMerge w:val="continue"/>
            <w:tcBorders>
              <w:left w:val="single" w:color="000000" w:sz="4" w:space="0"/>
              <w:right w:val="single" w:color="000000" w:sz="4" w:space="0"/>
            </w:tcBorders>
            <w:noWrap/>
            <w:vAlign w:val="center"/>
          </w:tcPr>
          <w:p>
            <w:pPr>
              <w:jc w:val="center"/>
              <w:rPr>
                <w:rFonts w:ascii="Calibri" w:hAnsi="Calibri" w:cs="Calibri"/>
                <w:color w:val="auto"/>
                <w:szCs w:val="21"/>
                <w:highlight w:val="none"/>
              </w:rPr>
            </w:pPr>
          </w:p>
        </w:tc>
        <w:tc>
          <w:tcPr>
            <w:tcW w:w="348" w:type="pct"/>
            <w:tcBorders>
              <w:top w:val="single" w:color="000000" w:sz="4" w:space="0"/>
              <w:left w:val="single" w:color="000000" w:sz="4" w:space="0"/>
              <w:bottom w:val="single" w:color="000000" w:sz="4" w:space="0"/>
              <w:right w:val="single" w:color="000000" w:sz="4" w:space="0"/>
            </w:tcBorders>
            <w:noWrap/>
            <w:vAlign w:val="center"/>
          </w:tcPr>
          <w:p>
            <w:pPr>
              <w:jc w:val="center"/>
              <w:rPr>
                <w:rFonts w:ascii="Calibri" w:hAnsi="Calibri" w:cs="Calibri"/>
                <w:color w:val="auto"/>
                <w:szCs w:val="21"/>
                <w:highlight w:val="none"/>
              </w:rPr>
            </w:pPr>
            <w:r>
              <w:rPr>
                <w:rFonts w:hint="eastAsia" w:ascii="Calibri" w:hAnsi="Calibri" w:cs="Calibri"/>
                <w:color w:val="auto"/>
                <w:szCs w:val="21"/>
                <w:highlight w:val="none"/>
              </w:rPr>
              <w:t>3.752</w:t>
            </w:r>
          </w:p>
        </w:tc>
        <w:tc>
          <w:tcPr>
            <w:tcW w:w="356" w:type="pct"/>
            <w:tcBorders>
              <w:top w:val="single" w:color="000000" w:sz="4" w:space="0"/>
              <w:left w:val="single" w:color="000000" w:sz="4" w:space="0"/>
              <w:bottom w:val="single" w:color="000000" w:sz="4" w:space="0"/>
              <w:right w:val="single" w:color="000000" w:sz="4" w:space="0"/>
            </w:tcBorders>
            <w:noWrap/>
            <w:vAlign w:val="center"/>
          </w:tcPr>
          <w:p>
            <w:pPr>
              <w:pStyle w:val="31"/>
              <w:spacing w:line="240" w:lineRule="auto"/>
              <w:rPr>
                <w:rFonts w:ascii="Calibri" w:hAnsi="Calibri" w:cs="Calibri"/>
                <w:color w:val="auto"/>
                <w:sz w:val="21"/>
                <w:szCs w:val="21"/>
                <w:highlight w:val="none"/>
              </w:rPr>
            </w:pPr>
            <w:r>
              <w:rPr>
                <w:rFonts w:ascii="Times New Roman" w:eastAsia="宋体"/>
                <w:color w:val="auto"/>
                <w:sz w:val="21"/>
                <w:szCs w:val="21"/>
                <w:highlight w:val="none"/>
              </w:rPr>
              <w:t>0.394</w:t>
            </w:r>
          </w:p>
        </w:tc>
        <w:tc>
          <w:tcPr>
            <w:tcW w:w="190" w:type="pct"/>
            <w:tcBorders>
              <w:top w:val="single" w:color="000000" w:sz="4" w:space="0"/>
              <w:left w:val="single" w:color="000000" w:sz="4" w:space="0"/>
              <w:bottom w:val="single" w:color="000000" w:sz="4" w:space="0"/>
              <w:right w:val="single" w:color="000000" w:sz="4" w:space="0"/>
            </w:tcBorders>
            <w:noWrap/>
            <w:vAlign w:val="center"/>
          </w:tcPr>
          <w:p>
            <w:pPr>
              <w:jc w:val="center"/>
              <w:rPr>
                <w:rFonts w:ascii="Calibri" w:hAnsi="Calibri" w:cs="Calibri"/>
                <w:color w:val="auto"/>
                <w:szCs w:val="21"/>
                <w:highlight w:val="none"/>
              </w:rPr>
            </w:pPr>
            <w:r>
              <w:rPr>
                <w:rFonts w:hint="eastAsia" w:ascii="Calibri" w:hAnsi="Calibri" w:cs="Calibri"/>
                <w:color w:val="auto"/>
                <w:szCs w:val="21"/>
                <w:highlight w:val="none"/>
              </w:rPr>
              <w:t>直接燃烧</w:t>
            </w:r>
          </w:p>
        </w:tc>
        <w:tc>
          <w:tcPr>
            <w:tcW w:w="205" w:type="pct"/>
            <w:tcBorders>
              <w:top w:val="single" w:color="000000" w:sz="4" w:space="0"/>
              <w:left w:val="single" w:color="000000" w:sz="4" w:space="0"/>
              <w:bottom w:val="single" w:color="000000" w:sz="4" w:space="0"/>
              <w:right w:val="single" w:color="000000" w:sz="4" w:space="0"/>
            </w:tcBorders>
            <w:noWrap/>
            <w:vAlign w:val="center"/>
          </w:tcPr>
          <w:p>
            <w:pPr>
              <w:jc w:val="center"/>
              <w:rPr>
                <w:rFonts w:ascii="Calibri" w:hAnsi="Calibri" w:cs="Calibri"/>
                <w:color w:val="auto"/>
                <w:szCs w:val="21"/>
                <w:highlight w:val="none"/>
              </w:rPr>
            </w:pPr>
            <w:r>
              <w:rPr>
                <w:rFonts w:hint="eastAsia" w:ascii="Calibri" w:hAnsi="Calibri" w:cs="Calibri"/>
                <w:color w:val="auto"/>
                <w:szCs w:val="21"/>
                <w:highlight w:val="none"/>
              </w:rPr>
              <w:t>90</w:t>
            </w:r>
          </w:p>
        </w:tc>
        <w:tc>
          <w:tcPr>
            <w:tcW w:w="303" w:type="pct"/>
            <w:tcBorders>
              <w:top w:val="single" w:color="000000" w:sz="4" w:space="0"/>
              <w:left w:val="single" w:color="000000" w:sz="4" w:space="0"/>
              <w:bottom w:val="single" w:color="000000" w:sz="4" w:space="0"/>
              <w:right w:val="single" w:color="000000" w:sz="4" w:space="0"/>
            </w:tcBorders>
            <w:noWrap/>
            <w:vAlign w:val="center"/>
          </w:tcPr>
          <w:p>
            <w:pPr>
              <w:jc w:val="center"/>
              <w:rPr>
                <w:rFonts w:ascii="Calibri" w:hAnsi="Calibri" w:cs="Calibri"/>
                <w:color w:val="auto"/>
                <w:szCs w:val="21"/>
                <w:highlight w:val="none"/>
              </w:rPr>
            </w:pPr>
            <w:r>
              <w:rPr>
                <w:rFonts w:hint="eastAsia" w:ascii="Calibri" w:hAnsi="Calibri" w:cs="Calibri"/>
                <w:color w:val="auto"/>
                <w:szCs w:val="21"/>
                <w:highlight w:val="none"/>
              </w:rPr>
              <w:t>污染系数法</w:t>
            </w:r>
          </w:p>
        </w:tc>
        <w:tc>
          <w:tcPr>
            <w:tcW w:w="377" w:type="pct"/>
            <w:vMerge w:val="continue"/>
            <w:tcBorders>
              <w:left w:val="single" w:color="000000" w:sz="4" w:space="0"/>
              <w:right w:val="single" w:color="000000" w:sz="4" w:space="0"/>
            </w:tcBorders>
            <w:noWrap/>
            <w:vAlign w:val="center"/>
          </w:tcPr>
          <w:p>
            <w:pPr>
              <w:jc w:val="center"/>
              <w:rPr>
                <w:rFonts w:ascii="Calibri" w:hAnsi="Calibri" w:cs="Calibri"/>
                <w:color w:val="auto"/>
                <w:szCs w:val="21"/>
                <w:highlight w:val="none"/>
              </w:rPr>
            </w:pPr>
          </w:p>
        </w:tc>
        <w:tc>
          <w:tcPr>
            <w:tcW w:w="374"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color w:val="auto"/>
                <w:szCs w:val="21"/>
                <w:highlight w:val="none"/>
              </w:rPr>
            </w:pPr>
            <w:r>
              <w:rPr>
                <w:color w:val="auto"/>
                <w:kern w:val="0"/>
                <w:szCs w:val="21"/>
                <w:highlight w:val="none"/>
                <w:lang w:bidi="ar"/>
              </w:rPr>
              <w:t xml:space="preserve">0.34 </w:t>
            </w:r>
          </w:p>
        </w:tc>
        <w:tc>
          <w:tcPr>
            <w:tcW w:w="543" w:type="pct"/>
            <w:tcBorders>
              <w:top w:val="single" w:color="000000" w:sz="4" w:space="0"/>
              <w:left w:val="single" w:color="000000" w:sz="4" w:space="0"/>
              <w:bottom w:val="single" w:color="000000" w:sz="4" w:space="0"/>
              <w:right w:val="single" w:color="000000" w:sz="4" w:space="0"/>
            </w:tcBorders>
            <w:noWrap/>
            <w:vAlign w:val="center"/>
          </w:tcPr>
          <w:p>
            <w:pPr>
              <w:spacing w:line="220" w:lineRule="exact"/>
              <w:ind w:left="-120" w:leftChars="-50" w:right="-120" w:rightChars="-50"/>
              <w:jc w:val="center"/>
              <w:rPr>
                <w:rFonts w:ascii="Calibri" w:hAnsi="Calibri" w:cs="Calibri"/>
                <w:color w:val="auto"/>
                <w:szCs w:val="21"/>
                <w:highlight w:val="none"/>
              </w:rPr>
            </w:pPr>
            <w:r>
              <w:rPr>
                <w:color w:val="auto"/>
                <w:szCs w:val="21"/>
                <w:highlight w:val="none"/>
              </w:rPr>
              <w:t>0.0355</w:t>
            </w:r>
          </w:p>
        </w:tc>
        <w:tc>
          <w:tcPr>
            <w:tcW w:w="375" w:type="pct"/>
            <w:tcBorders>
              <w:top w:val="single" w:color="000000" w:sz="4" w:space="0"/>
              <w:left w:val="single" w:color="000000" w:sz="4" w:space="0"/>
              <w:bottom w:val="single" w:color="000000" w:sz="4" w:space="0"/>
              <w:right w:val="single" w:color="000000" w:sz="4" w:space="0"/>
            </w:tcBorders>
            <w:noWrap/>
            <w:vAlign w:val="center"/>
          </w:tcPr>
          <w:p>
            <w:pPr>
              <w:jc w:val="center"/>
              <w:rPr>
                <w:rFonts w:ascii="Calibri" w:hAnsi="Calibri" w:cs="Calibri"/>
                <w:color w:val="auto"/>
                <w:szCs w:val="21"/>
                <w:highlight w:val="none"/>
              </w:rPr>
            </w:pPr>
            <w:r>
              <w:rPr>
                <w:rFonts w:hint="eastAsia" w:ascii="Calibri" w:hAnsi="Calibri" w:cs="Calibri"/>
                <w:color w:val="auto"/>
                <w:szCs w:val="21"/>
                <w:highlight w:val="none"/>
              </w:rPr>
              <w:t>800</w:t>
            </w:r>
          </w:p>
        </w:tc>
      </w:tr>
      <w:tr>
        <w:tblPrEx>
          <w:tblCellMar>
            <w:top w:w="15" w:type="dxa"/>
            <w:left w:w="15" w:type="dxa"/>
            <w:bottom w:w="15" w:type="dxa"/>
            <w:right w:w="15" w:type="dxa"/>
          </w:tblCellMar>
        </w:tblPrEx>
        <w:trPr>
          <w:trHeight w:val="330" w:hRule="atLeast"/>
        </w:trPr>
        <w:tc>
          <w:tcPr>
            <w:tcW w:w="213" w:type="pct"/>
            <w:vMerge w:val="continue"/>
            <w:tcBorders>
              <w:left w:val="single" w:color="000000" w:sz="4" w:space="0"/>
              <w:right w:val="single" w:color="000000" w:sz="4" w:space="0"/>
            </w:tcBorders>
            <w:noWrap/>
            <w:vAlign w:val="center"/>
          </w:tcPr>
          <w:p>
            <w:pPr>
              <w:jc w:val="center"/>
              <w:rPr>
                <w:rFonts w:ascii="Calibri" w:hAnsi="Calibri" w:cs="Calibri"/>
                <w:color w:val="auto"/>
                <w:szCs w:val="21"/>
                <w:highlight w:val="none"/>
              </w:rPr>
            </w:pPr>
          </w:p>
        </w:tc>
        <w:tc>
          <w:tcPr>
            <w:tcW w:w="273" w:type="pct"/>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Calibri" w:hAnsi="Calibri" w:cs="Calibri"/>
                <w:color w:val="auto"/>
                <w:szCs w:val="21"/>
                <w:highlight w:val="none"/>
              </w:rPr>
            </w:pPr>
          </w:p>
        </w:tc>
        <w:tc>
          <w:tcPr>
            <w:tcW w:w="332" w:type="pct"/>
            <w:vMerge w:val="continue"/>
            <w:tcBorders>
              <w:left w:val="single" w:color="000000" w:sz="4" w:space="0"/>
              <w:right w:val="single" w:color="000000" w:sz="4" w:space="0"/>
            </w:tcBorders>
            <w:noWrap/>
            <w:vAlign w:val="center"/>
          </w:tcPr>
          <w:p>
            <w:pPr>
              <w:widowControl/>
              <w:jc w:val="center"/>
              <w:textAlignment w:val="bottom"/>
              <w:rPr>
                <w:rFonts w:hint="eastAsia" w:cs="Calibri"/>
                <w:color w:val="auto"/>
                <w:kern w:val="0"/>
                <w:szCs w:val="21"/>
                <w:highlight w:val="none"/>
                <w:lang w:bidi="ar"/>
              </w:rPr>
            </w:pPr>
          </w:p>
        </w:tc>
        <w:tc>
          <w:tcPr>
            <w:tcW w:w="493" w:type="pct"/>
            <w:tcBorders>
              <w:top w:val="single" w:color="000000" w:sz="4" w:space="0"/>
              <w:left w:val="single" w:color="000000" w:sz="4" w:space="0"/>
              <w:bottom w:val="single" w:color="000000" w:sz="4" w:space="0"/>
              <w:right w:val="single" w:color="000000" w:sz="4" w:space="0"/>
            </w:tcBorders>
            <w:noWrap/>
            <w:vAlign w:val="center"/>
          </w:tcPr>
          <w:p>
            <w:pPr>
              <w:tabs>
                <w:tab w:val="left" w:pos="105"/>
              </w:tabs>
              <w:spacing w:line="240" w:lineRule="exact"/>
              <w:ind w:left="-120" w:leftChars="-50" w:right="-120" w:rightChars="-50"/>
              <w:jc w:val="center"/>
              <w:rPr>
                <w:rFonts w:ascii="Calibri" w:hAnsi="Calibri" w:cs="Calibri"/>
                <w:color w:val="auto"/>
                <w:kern w:val="0"/>
                <w:szCs w:val="21"/>
                <w:highlight w:val="none"/>
                <w:lang w:bidi="ar"/>
              </w:rPr>
            </w:pPr>
            <w:r>
              <w:rPr>
                <w:color w:val="auto"/>
                <w:szCs w:val="21"/>
                <w:highlight w:val="none"/>
              </w:rPr>
              <w:t>苯并[a]芘</w:t>
            </w:r>
          </w:p>
        </w:tc>
        <w:tc>
          <w:tcPr>
            <w:tcW w:w="268" w:type="pct"/>
            <w:tcBorders>
              <w:top w:val="single" w:color="000000" w:sz="4" w:space="0"/>
              <w:left w:val="single" w:color="000000" w:sz="4" w:space="0"/>
              <w:bottom w:val="single" w:color="000000" w:sz="4" w:space="0"/>
              <w:right w:val="single" w:color="000000" w:sz="4" w:space="0"/>
            </w:tcBorders>
            <w:noWrap/>
            <w:vAlign w:val="center"/>
          </w:tcPr>
          <w:p>
            <w:pPr>
              <w:jc w:val="center"/>
              <w:rPr>
                <w:rFonts w:ascii="Calibri" w:hAnsi="Calibri" w:cs="Calibri"/>
                <w:color w:val="auto"/>
                <w:szCs w:val="21"/>
                <w:highlight w:val="none"/>
              </w:rPr>
            </w:pPr>
            <w:r>
              <w:rPr>
                <w:rFonts w:hint="eastAsia" w:ascii="Calibri" w:hAnsi="Calibri" w:cs="Calibri"/>
                <w:color w:val="auto"/>
                <w:szCs w:val="21"/>
                <w:highlight w:val="none"/>
              </w:rPr>
              <w:t>污染系数法</w:t>
            </w:r>
          </w:p>
        </w:tc>
        <w:tc>
          <w:tcPr>
            <w:tcW w:w="343" w:type="pct"/>
            <w:vMerge w:val="continue"/>
            <w:tcBorders>
              <w:left w:val="single" w:color="000000" w:sz="4" w:space="0"/>
              <w:right w:val="single" w:color="000000" w:sz="4" w:space="0"/>
            </w:tcBorders>
            <w:noWrap/>
            <w:vAlign w:val="center"/>
          </w:tcPr>
          <w:p>
            <w:pPr>
              <w:jc w:val="center"/>
              <w:rPr>
                <w:rFonts w:ascii="Calibri" w:hAnsi="Calibri" w:cs="Calibri"/>
                <w:color w:val="auto"/>
                <w:szCs w:val="21"/>
                <w:highlight w:val="none"/>
              </w:rPr>
            </w:pPr>
          </w:p>
        </w:tc>
        <w:tc>
          <w:tcPr>
            <w:tcW w:w="348" w:type="pct"/>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Calibri" w:hAnsi="Calibri" w:cs="Calibri"/>
                <w:color w:val="auto"/>
                <w:szCs w:val="21"/>
                <w:highlight w:val="none"/>
              </w:rPr>
            </w:pPr>
            <w:r>
              <w:rPr>
                <w:rFonts w:hint="eastAsia" w:ascii="Calibri" w:hAnsi="Calibri" w:cs="Calibri"/>
                <w:color w:val="auto"/>
                <w:szCs w:val="21"/>
                <w:highlight w:val="none"/>
              </w:rPr>
              <w:t>6.65</w:t>
            </w:r>
            <w:r>
              <w:rPr>
                <w:color w:val="auto"/>
                <w:szCs w:val="21"/>
                <w:highlight w:val="none"/>
              </w:rPr>
              <w:t>*10-</w:t>
            </w:r>
            <w:r>
              <w:rPr>
                <w:rFonts w:hint="eastAsia"/>
                <w:color w:val="auto"/>
                <w:szCs w:val="21"/>
                <w:highlight w:val="none"/>
                <w:vertAlign w:val="superscript"/>
              </w:rPr>
              <w:t>5</w:t>
            </w:r>
          </w:p>
        </w:tc>
        <w:tc>
          <w:tcPr>
            <w:tcW w:w="356" w:type="pct"/>
            <w:tcBorders>
              <w:top w:val="single" w:color="000000" w:sz="4" w:space="0"/>
              <w:left w:val="single" w:color="000000" w:sz="4" w:space="0"/>
              <w:bottom w:val="single" w:color="000000" w:sz="4" w:space="0"/>
              <w:right w:val="single" w:color="000000" w:sz="4" w:space="0"/>
            </w:tcBorders>
            <w:noWrap/>
            <w:vAlign w:val="center"/>
          </w:tcPr>
          <w:p>
            <w:pPr>
              <w:pStyle w:val="31"/>
              <w:spacing w:line="240" w:lineRule="auto"/>
              <w:rPr>
                <w:rFonts w:ascii="Calibri" w:hAnsi="Calibri" w:cs="Calibri"/>
                <w:color w:val="auto"/>
                <w:sz w:val="21"/>
                <w:szCs w:val="21"/>
                <w:highlight w:val="none"/>
              </w:rPr>
            </w:pPr>
            <w:r>
              <w:rPr>
                <w:rFonts w:ascii="Times New Roman" w:eastAsia="宋体"/>
                <w:color w:val="auto"/>
                <w:sz w:val="21"/>
                <w:szCs w:val="21"/>
                <w:highlight w:val="none"/>
              </w:rPr>
              <w:t>6.98*10-</w:t>
            </w:r>
            <w:r>
              <w:rPr>
                <w:rFonts w:ascii="Times New Roman" w:eastAsia="宋体"/>
                <w:color w:val="auto"/>
                <w:sz w:val="21"/>
                <w:szCs w:val="21"/>
                <w:highlight w:val="none"/>
                <w:vertAlign w:val="superscript"/>
              </w:rPr>
              <w:t>6</w:t>
            </w:r>
          </w:p>
        </w:tc>
        <w:tc>
          <w:tcPr>
            <w:tcW w:w="190" w:type="pct"/>
            <w:tcBorders>
              <w:top w:val="single" w:color="000000" w:sz="4" w:space="0"/>
              <w:left w:val="single" w:color="000000" w:sz="4" w:space="0"/>
              <w:bottom w:val="single" w:color="000000" w:sz="4" w:space="0"/>
              <w:right w:val="single" w:color="000000" w:sz="4" w:space="0"/>
            </w:tcBorders>
            <w:noWrap/>
            <w:vAlign w:val="center"/>
          </w:tcPr>
          <w:p>
            <w:pPr>
              <w:jc w:val="center"/>
              <w:rPr>
                <w:rFonts w:ascii="Calibri" w:hAnsi="Calibri" w:cs="Calibri"/>
                <w:color w:val="auto"/>
                <w:szCs w:val="21"/>
                <w:highlight w:val="none"/>
              </w:rPr>
            </w:pPr>
            <w:r>
              <w:rPr>
                <w:rFonts w:hint="eastAsia" w:ascii="Calibri" w:hAnsi="Calibri" w:cs="Calibri"/>
                <w:color w:val="auto"/>
                <w:szCs w:val="21"/>
                <w:highlight w:val="none"/>
              </w:rPr>
              <w:t>直接燃烧</w:t>
            </w:r>
          </w:p>
        </w:tc>
        <w:tc>
          <w:tcPr>
            <w:tcW w:w="205" w:type="pct"/>
            <w:tcBorders>
              <w:top w:val="single" w:color="000000" w:sz="4" w:space="0"/>
              <w:left w:val="single" w:color="000000" w:sz="4" w:space="0"/>
              <w:bottom w:val="single" w:color="000000" w:sz="4" w:space="0"/>
              <w:right w:val="single" w:color="000000" w:sz="4" w:space="0"/>
            </w:tcBorders>
            <w:noWrap/>
            <w:vAlign w:val="center"/>
          </w:tcPr>
          <w:p>
            <w:pPr>
              <w:jc w:val="center"/>
              <w:rPr>
                <w:rFonts w:ascii="Calibri" w:hAnsi="Calibri" w:cs="Calibri"/>
                <w:color w:val="auto"/>
                <w:szCs w:val="21"/>
                <w:highlight w:val="none"/>
              </w:rPr>
            </w:pPr>
            <w:r>
              <w:rPr>
                <w:rFonts w:hint="eastAsia" w:ascii="Calibri" w:hAnsi="Calibri" w:cs="Calibri"/>
                <w:color w:val="auto"/>
                <w:szCs w:val="21"/>
                <w:highlight w:val="none"/>
              </w:rPr>
              <w:t>90</w:t>
            </w:r>
          </w:p>
        </w:tc>
        <w:tc>
          <w:tcPr>
            <w:tcW w:w="303" w:type="pct"/>
            <w:tcBorders>
              <w:top w:val="single" w:color="000000" w:sz="4" w:space="0"/>
              <w:left w:val="single" w:color="000000" w:sz="4" w:space="0"/>
              <w:bottom w:val="single" w:color="000000" w:sz="4" w:space="0"/>
              <w:right w:val="single" w:color="000000" w:sz="4" w:space="0"/>
            </w:tcBorders>
            <w:noWrap/>
            <w:vAlign w:val="center"/>
          </w:tcPr>
          <w:p>
            <w:pPr>
              <w:jc w:val="center"/>
              <w:rPr>
                <w:rFonts w:ascii="Calibri" w:hAnsi="Calibri" w:cs="Calibri"/>
                <w:color w:val="auto"/>
                <w:szCs w:val="21"/>
                <w:highlight w:val="none"/>
              </w:rPr>
            </w:pPr>
            <w:r>
              <w:rPr>
                <w:rFonts w:hint="eastAsia" w:ascii="Calibri" w:hAnsi="Calibri" w:cs="Calibri"/>
                <w:color w:val="auto"/>
                <w:szCs w:val="21"/>
                <w:highlight w:val="none"/>
              </w:rPr>
              <w:t>污染系数法</w:t>
            </w:r>
          </w:p>
        </w:tc>
        <w:tc>
          <w:tcPr>
            <w:tcW w:w="377" w:type="pct"/>
            <w:vMerge w:val="continue"/>
            <w:tcBorders>
              <w:left w:val="single" w:color="000000" w:sz="4" w:space="0"/>
              <w:right w:val="single" w:color="000000" w:sz="4" w:space="0"/>
            </w:tcBorders>
            <w:noWrap/>
            <w:vAlign w:val="center"/>
          </w:tcPr>
          <w:p>
            <w:pPr>
              <w:jc w:val="center"/>
              <w:rPr>
                <w:rFonts w:ascii="Calibri" w:hAnsi="Calibri" w:cs="Calibri"/>
                <w:color w:val="auto"/>
                <w:szCs w:val="21"/>
                <w:highlight w:val="none"/>
              </w:rPr>
            </w:pPr>
          </w:p>
        </w:tc>
        <w:tc>
          <w:tcPr>
            <w:tcW w:w="374"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color w:val="auto"/>
                <w:szCs w:val="21"/>
                <w:highlight w:val="none"/>
              </w:rPr>
            </w:pPr>
            <w:r>
              <w:rPr>
                <w:color w:val="auto"/>
                <w:kern w:val="0"/>
                <w:szCs w:val="21"/>
                <w:highlight w:val="none"/>
                <w:lang w:bidi="ar"/>
              </w:rPr>
              <w:t>5.98*10</w:t>
            </w:r>
            <w:r>
              <w:rPr>
                <w:color w:val="auto"/>
                <w:kern w:val="0"/>
                <w:szCs w:val="21"/>
                <w:highlight w:val="none"/>
                <w:vertAlign w:val="superscript"/>
                <w:lang w:bidi="ar"/>
              </w:rPr>
              <w:t>-6</w:t>
            </w:r>
          </w:p>
        </w:tc>
        <w:tc>
          <w:tcPr>
            <w:tcW w:w="543" w:type="pct"/>
            <w:tcBorders>
              <w:top w:val="single" w:color="000000" w:sz="4" w:space="0"/>
              <w:left w:val="single" w:color="000000" w:sz="4" w:space="0"/>
              <w:bottom w:val="single" w:color="000000" w:sz="4" w:space="0"/>
              <w:right w:val="single" w:color="000000" w:sz="4" w:space="0"/>
            </w:tcBorders>
            <w:noWrap/>
            <w:vAlign w:val="center"/>
          </w:tcPr>
          <w:p>
            <w:pPr>
              <w:tabs>
                <w:tab w:val="left" w:pos="105"/>
              </w:tabs>
              <w:spacing w:line="240" w:lineRule="exact"/>
              <w:ind w:left="-120" w:leftChars="-50" w:right="-120" w:rightChars="-50"/>
              <w:jc w:val="center"/>
              <w:rPr>
                <w:rFonts w:ascii="Calibri" w:hAnsi="Calibri" w:cs="Calibri"/>
                <w:color w:val="auto"/>
                <w:szCs w:val="21"/>
                <w:highlight w:val="none"/>
              </w:rPr>
            </w:pPr>
            <w:r>
              <w:rPr>
                <w:color w:val="auto"/>
                <w:szCs w:val="21"/>
                <w:highlight w:val="none"/>
              </w:rPr>
              <w:t>6.282*10</w:t>
            </w:r>
            <w:r>
              <w:rPr>
                <w:color w:val="auto"/>
                <w:szCs w:val="21"/>
                <w:highlight w:val="none"/>
                <w:vertAlign w:val="superscript"/>
              </w:rPr>
              <w:t>-7</w:t>
            </w:r>
          </w:p>
        </w:tc>
        <w:tc>
          <w:tcPr>
            <w:tcW w:w="375" w:type="pct"/>
            <w:tcBorders>
              <w:top w:val="single" w:color="000000" w:sz="4" w:space="0"/>
              <w:left w:val="single" w:color="000000" w:sz="4" w:space="0"/>
              <w:bottom w:val="single" w:color="000000" w:sz="4" w:space="0"/>
              <w:right w:val="single" w:color="000000" w:sz="4" w:space="0"/>
            </w:tcBorders>
            <w:noWrap/>
            <w:vAlign w:val="center"/>
          </w:tcPr>
          <w:p>
            <w:pPr>
              <w:jc w:val="center"/>
              <w:rPr>
                <w:rFonts w:ascii="Calibri" w:hAnsi="Calibri" w:cs="Calibri"/>
                <w:color w:val="auto"/>
                <w:szCs w:val="21"/>
                <w:highlight w:val="none"/>
              </w:rPr>
            </w:pPr>
            <w:r>
              <w:rPr>
                <w:rFonts w:hint="eastAsia" w:ascii="Calibri" w:hAnsi="Calibri" w:cs="Calibri"/>
                <w:color w:val="auto"/>
                <w:szCs w:val="21"/>
                <w:highlight w:val="none"/>
              </w:rPr>
              <w:t>800</w:t>
            </w:r>
          </w:p>
        </w:tc>
      </w:tr>
      <w:tr>
        <w:tblPrEx>
          <w:tblCellMar>
            <w:top w:w="15" w:type="dxa"/>
            <w:left w:w="15" w:type="dxa"/>
            <w:bottom w:w="15" w:type="dxa"/>
            <w:right w:w="15" w:type="dxa"/>
          </w:tblCellMar>
        </w:tblPrEx>
        <w:trPr>
          <w:trHeight w:val="330" w:hRule="atLeast"/>
        </w:trPr>
        <w:tc>
          <w:tcPr>
            <w:tcW w:w="213" w:type="pct"/>
            <w:vMerge w:val="continue"/>
            <w:tcBorders>
              <w:left w:val="single" w:color="000000" w:sz="4" w:space="0"/>
              <w:right w:val="single" w:color="000000" w:sz="4" w:space="0"/>
            </w:tcBorders>
            <w:noWrap/>
            <w:vAlign w:val="center"/>
          </w:tcPr>
          <w:p>
            <w:pPr>
              <w:jc w:val="center"/>
              <w:rPr>
                <w:rFonts w:ascii="Calibri" w:hAnsi="Calibri" w:cs="Calibri"/>
                <w:color w:val="auto"/>
                <w:szCs w:val="21"/>
                <w:highlight w:val="none"/>
              </w:rPr>
            </w:pPr>
          </w:p>
        </w:tc>
        <w:tc>
          <w:tcPr>
            <w:tcW w:w="273" w:type="pct"/>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Calibri" w:hAnsi="Calibri" w:cs="Calibri"/>
                <w:color w:val="auto"/>
                <w:szCs w:val="21"/>
                <w:highlight w:val="none"/>
              </w:rPr>
            </w:pPr>
          </w:p>
        </w:tc>
        <w:tc>
          <w:tcPr>
            <w:tcW w:w="332" w:type="pct"/>
            <w:vMerge w:val="continue"/>
            <w:tcBorders>
              <w:left w:val="single" w:color="000000" w:sz="4" w:space="0"/>
              <w:bottom w:val="single" w:color="000000" w:sz="4" w:space="0"/>
              <w:right w:val="single" w:color="000000" w:sz="4" w:space="0"/>
            </w:tcBorders>
            <w:noWrap/>
            <w:vAlign w:val="center"/>
          </w:tcPr>
          <w:p>
            <w:pPr>
              <w:widowControl/>
              <w:jc w:val="center"/>
              <w:textAlignment w:val="bottom"/>
              <w:rPr>
                <w:rFonts w:hint="eastAsia" w:cs="Calibri"/>
                <w:color w:val="auto"/>
                <w:kern w:val="0"/>
                <w:szCs w:val="21"/>
                <w:highlight w:val="none"/>
                <w:lang w:bidi="ar"/>
              </w:rPr>
            </w:pPr>
          </w:p>
        </w:tc>
        <w:tc>
          <w:tcPr>
            <w:tcW w:w="493" w:type="pct"/>
            <w:tcBorders>
              <w:top w:val="single" w:color="000000" w:sz="4" w:space="0"/>
              <w:left w:val="single" w:color="000000" w:sz="4" w:space="0"/>
              <w:bottom w:val="single" w:color="000000" w:sz="4" w:space="0"/>
              <w:right w:val="single" w:color="000000" w:sz="4" w:space="0"/>
            </w:tcBorders>
            <w:noWrap/>
            <w:vAlign w:val="center"/>
          </w:tcPr>
          <w:p>
            <w:pPr>
              <w:tabs>
                <w:tab w:val="left" w:pos="105"/>
              </w:tabs>
              <w:spacing w:line="240" w:lineRule="exact"/>
              <w:ind w:left="-120" w:leftChars="-50" w:right="-120" w:rightChars="-50"/>
              <w:jc w:val="center"/>
              <w:rPr>
                <w:rFonts w:ascii="Calibri" w:hAnsi="Calibri" w:cs="Calibri"/>
                <w:color w:val="auto"/>
                <w:kern w:val="0"/>
                <w:szCs w:val="21"/>
                <w:highlight w:val="none"/>
                <w:lang w:bidi="ar"/>
              </w:rPr>
            </w:pPr>
            <w:r>
              <w:rPr>
                <w:color w:val="auto"/>
                <w:szCs w:val="21"/>
                <w:highlight w:val="none"/>
              </w:rPr>
              <w:t>非甲烷总烃</w:t>
            </w:r>
          </w:p>
        </w:tc>
        <w:tc>
          <w:tcPr>
            <w:tcW w:w="268" w:type="pct"/>
            <w:tcBorders>
              <w:top w:val="single" w:color="000000" w:sz="4" w:space="0"/>
              <w:left w:val="single" w:color="000000" w:sz="4" w:space="0"/>
              <w:bottom w:val="single" w:color="000000" w:sz="4" w:space="0"/>
              <w:right w:val="single" w:color="000000" w:sz="4" w:space="0"/>
            </w:tcBorders>
            <w:noWrap/>
            <w:vAlign w:val="center"/>
          </w:tcPr>
          <w:p>
            <w:pPr>
              <w:jc w:val="center"/>
              <w:rPr>
                <w:rFonts w:ascii="Calibri" w:hAnsi="Calibri" w:cs="Calibri"/>
                <w:color w:val="auto"/>
                <w:szCs w:val="21"/>
                <w:highlight w:val="none"/>
              </w:rPr>
            </w:pPr>
            <w:r>
              <w:rPr>
                <w:rFonts w:hint="eastAsia" w:ascii="Calibri" w:hAnsi="Calibri" w:cs="Calibri"/>
                <w:color w:val="auto"/>
                <w:szCs w:val="21"/>
                <w:highlight w:val="none"/>
              </w:rPr>
              <w:t>污染系数法</w:t>
            </w:r>
          </w:p>
        </w:tc>
        <w:tc>
          <w:tcPr>
            <w:tcW w:w="343" w:type="pct"/>
            <w:vMerge w:val="continue"/>
            <w:tcBorders>
              <w:left w:val="single" w:color="000000" w:sz="4" w:space="0"/>
              <w:bottom w:val="single" w:color="000000" w:sz="4" w:space="0"/>
              <w:right w:val="single" w:color="000000" w:sz="4" w:space="0"/>
            </w:tcBorders>
            <w:noWrap/>
            <w:vAlign w:val="center"/>
          </w:tcPr>
          <w:p>
            <w:pPr>
              <w:jc w:val="center"/>
              <w:rPr>
                <w:rFonts w:ascii="Calibri" w:hAnsi="Calibri" w:cs="Calibri"/>
                <w:color w:val="auto"/>
                <w:szCs w:val="21"/>
                <w:highlight w:val="none"/>
              </w:rPr>
            </w:pPr>
          </w:p>
        </w:tc>
        <w:tc>
          <w:tcPr>
            <w:tcW w:w="348" w:type="pct"/>
            <w:tcBorders>
              <w:top w:val="single" w:color="000000" w:sz="4" w:space="0"/>
              <w:left w:val="single" w:color="000000" w:sz="4" w:space="0"/>
              <w:bottom w:val="single" w:color="000000" w:sz="4" w:space="0"/>
              <w:right w:val="single" w:color="000000" w:sz="4" w:space="0"/>
            </w:tcBorders>
            <w:noWrap/>
            <w:vAlign w:val="center"/>
          </w:tcPr>
          <w:p>
            <w:pPr>
              <w:jc w:val="center"/>
              <w:rPr>
                <w:rFonts w:ascii="Calibri" w:hAnsi="Calibri" w:cs="Calibri"/>
                <w:color w:val="auto"/>
                <w:szCs w:val="21"/>
                <w:highlight w:val="none"/>
              </w:rPr>
            </w:pPr>
            <w:r>
              <w:rPr>
                <w:rFonts w:hint="eastAsia" w:ascii="Calibri" w:hAnsi="Calibri" w:cs="Calibri"/>
                <w:color w:val="auto"/>
                <w:szCs w:val="21"/>
                <w:highlight w:val="none"/>
              </w:rPr>
              <w:t>0.0198</w:t>
            </w:r>
          </w:p>
        </w:tc>
        <w:tc>
          <w:tcPr>
            <w:tcW w:w="356" w:type="pct"/>
            <w:tcBorders>
              <w:top w:val="single" w:color="000000" w:sz="4" w:space="0"/>
              <w:left w:val="single" w:color="000000" w:sz="4" w:space="0"/>
              <w:bottom w:val="single" w:color="000000" w:sz="4" w:space="0"/>
              <w:right w:val="single" w:color="000000" w:sz="4" w:space="0"/>
            </w:tcBorders>
            <w:noWrap/>
            <w:vAlign w:val="center"/>
          </w:tcPr>
          <w:p>
            <w:pPr>
              <w:pStyle w:val="31"/>
              <w:spacing w:line="240" w:lineRule="auto"/>
              <w:rPr>
                <w:rFonts w:ascii="Calibri" w:hAnsi="Calibri" w:cs="Calibri"/>
                <w:color w:val="auto"/>
                <w:sz w:val="21"/>
                <w:szCs w:val="21"/>
                <w:highlight w:val="none"/>
              </w:rPr>
            </w:pPr>
            <w:r>
              <w:rPr>
                <w:rFonts w:ascii="Times New Roman" w:eastAsia="宋体"/>
                <w:color w:val="auto"/>
                <w:sz w:val="21"/>
                <w:szCs w:val="21"/>
                <w:highlight w:val="none"/>
              </w:rPr>
              <w:t>0.00208</w:t>
            </w:r>
          </w:p>
        </w:tc>
        <w:tc>
          <w:tcPr>
            <w:tcW w:w="190" w:type="pct"/>
            <w:tcBorders>
              <w:top w:val="single" w:color="000000" w:sz="4" w:space="0"/>
              <w:left w:val="single" w:color="000000" w:sz="4" w:space="0"/>
              <w:bottom w:val="single" w:color="000000" w:sz="4" w:space="0"/>
              <w:right w:val="single" w:color="000000" w:sz="4" w:space="0"/>
            </w:tcBorders>
            <w:noWrap/>
            <w:vAlign w:val="center"/>
          </w:tcPr>
          <w:p>
            <w:pPr>
              <w:jc w:val="center"/>
              <w:rPr>
                <w:rFonts w:ascii="Calibri" w:hAnsi="Calibri" w:cs="Calibri"/>
                <w:color w:val="auto"/>
                <w:szCs w:val="21"/>
                <w:highlight w:val="none"/>
              </w:rPr>
            </w:pPr>
            <w:r>
              <w:rPr>
                <w:rFonts w:hint="eastAsia" w:ascii="Calibri" w:hAnsi="Calibri" w:cs="Calibri"/>
                <w:color w:val="auto"/>
                <w:szCs w:val="21"/>
                <w:highlight w:val="none"/>
              </w:rPr>
              <w:t>直接燃烧</w:t>
            </w:r>
          </w:p>
        </w:tc>
        <w:tc>
          <w:tcPr>
            <w:tcW w:w="205" w:type="pct"/>
            <w:tcBorders>
              <w:top w:val="single" w:color="000000" w:sz="4" w:space="0"/>
              <w:left w:val="single" w:color="000000" w:sz="4" w:space="0"/>
              <w:bottom w:val="single" w:color="000000" w:sz="4" w:space="0"/>
              <w:right w:val="single" w:color="000000" w:sz="4" w:space="0"/>
            </w:tcBorders>
            <w:noWrap/>
            <w:vAlign w:val="center"/>
          </w:tcPr>
          <w:p>
            <w:pPr>
              <w:jc w:val="center"/>
              <w:rPr>
                <w:rFonts w:ascii="Calibri" w:hAnsi="Calibri" w:cs="Calibri"/>
                <w:color w:val="auto"/>
                <w:szCs w:val="21"/>
                <w:highlight w:val="none"/>
              </w:rPr>
            </w:pPr>
            <w:r>
              <w:rPr>
                <w:rFonts w:hint="eastAsia" w:ascii="Calibri" w:hAnsi="Calibri" w:cs="Calibri"/>
                <w:color w:val="auto"/>
                <w:szCs w:val="21"/>
                <w:highlight w:val="none"/>
              </w:rPr>
              <w:t>90</w:t>
            </w:r>
          </w:p>
        </w:tc>
        <w:tc>
          <w:tcPr>
            <w:tcW w:w="303" w:type="pct"/>
            <w:tcBorders>
              <w:top w:val="single" w:color="000000" w:sz="4" w:space="0"/>
              <w:left w:val="single" w:color="000000" w:sz="4" w:space="0"/>
              <w:bottom w:val="single" w:color="000000" w:sz="4" w:space="0"/>
              <w:right w:val="single" w:color="000000" w:sz="4" w:space="0"/>
            </w:tcBorders>
            <w:noWrap/>
            <w:vAlign w:val="center"/>
          </w:tcPr>
          <w:p>
            <w:pPr>
              <w:jc w:val="center"/>
              <w:rPr>
                <w:rFonts w:ascii="Calibri" w:hAnsi="Calibri" w:cs="Calibri"/>
                <w:color w:val="auto"/>
                <w:szCs w:val="21"/>
                <w:highlight w:val="none"/>
              </w:rPr>
            </w:pPr>
            <w:r>
              <w:rPr>
                <w:rFonts w:hint="eastAsia" w:ascii="Calibri" w:hAnsi="Calibri" w:cs="Calibri"/>
                <w:color w:val="auto"/>
                <w:szCs w:val="21"/>
                <w:highlight w:val="none"/>
              </w:rPr>
              <w:t>污染系数法</w:t>
            </w:r>
          </w:p>
        </w:tc>
        <w:tc>
          <w:tcPr>
            <w:tcW w:w="377" w:type="pct"/>
            <w:vMerge w:val="continue"/>
            <w:tcBorders>
              <w:left w:val="single" w:color="000000" w:sz="4" w:space="0"/>
              <w:bottom w:val="single" w:color="000000" w:sz="4" w:space="0"/>
              <w:right w:val="single" w:color="000000" w:sz="4" w:space="0"/>
            </w:tcBorders>
            <w:noWrap/>
            <w:vAlign w:val="center"/>
          </w:tcPr>
          <w:p>
            <w:pPr>
              <w:jc w:val="center"/>
              <w:rPr>
                <w:rFonts w:ascii="Calibri" w:hAnsi="Calibri" w:cs="Calibri"/>
                <w:color w:val="auto"/>
                <w:szCs w:val="21"/>
                <w:highlight w:val="none"/>
              </w:rPr>
            </w:pPr>
          </w:p>
        </w:tc>
        <w:tc>
          <w:tcPr>
            <w:tcW w:w="374"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color w:val="auto"/>
                <w:szCs w:val="21"/>
                <w:highlight w:val="none"/>
              </w:rPr>
            </w:pPr>
            <w:r>
              <w:rPr>
                <w:color w:val="auto"/>
                <w:kern w:val="0"/>
                <w:szCs w:val="21"/>
                <w:highlight w:val="none"/>
                <w:lang w:bidi="ar"/>
              </w:rPr>
              <w:t xml:space="preserve">0.00179 </w:t>
            </w:r>
          </w:p>
        </w:tc>
        <w:tc>
          <w:tcPr>
            <w:tcW w:w="543" w:type="pct"/>
            <w:tcBorders>
              <w:top w:val="single" w:color="000000" w:sz="4" w:space="0"/>
              <w:left w:val="single" w:color="000000" w:sz="4" w:space="0"/>
              <w:bottom w:val="single" w:color="000000" w:sz="4" w:space="0"/>
              <w:right w:val="single" w:color="000000" w:sz="4" w:space="0"/>
            </w:tcBorders>
            <w:noWrap/>
            <w:vAlign w:val="center"/>
          </w:tcPr>
          <w:p>
            <w:pPr>
              <w:tabs>
                <w:tab w:val="left" w:pos="105"/>
              </w:tabs>
              <w:spacing w:line="240" w:lineRule="exact"/>
              <w:ind w:left="-120" w:leftChars="-50" w:right="-120" w:rightChars="-50"/>
              <w:jc w:val="center"/>
              <w:rPr>
                <w:rFonts w:ascii="Calibri" w:hAnsi="Calibri" w:cs="Calibri"/>
                <w:color w:val="auto"/>
                <w:szCs w:val="21"/>
                <w:highlight w:val="none"/>
              </w:rPr>
            </w:pPr>
            <w:r>
              <w:rPr>
                <w:color w:val="auto"/>
                <w:szCs w:val="21"/>
                <w:highlight w:val="none"/>
              </w:rPr>
              <w:t>0.000188</w:t>
            </w:r>
          </w:p>
        </w:tc>
        <w:tc>
          <w:tcPr>
            <w:tcW w:w="375" w:type="pct"/>
            <w:tcBorders>
              <w:top w:val="single" w:color="000000" w:sz="4" w:space="0"/>
              <w:left w:val="single" w:color="000000" w:sz="4" w:space="0"/>
              <w:bottom w:val="single" w:color="000000" w:sz="4" w:space="0"/>
              <w:right w:val="single" w:color="000000" w:sz="4" w:space="0"/>
            </w:tcBorders>
            <w:noWrap/>
            <w:vAlign w:val="center"/>
          </w:tcPr>
          <w:p>
            <w:pPr>
              <w:jc w:val="center"/>
              <w:rPr>
                <w:rFonts w:ascii="Calibri" w:hAnsi="Calibri" w:cs="Calibri"/>
                <w:color w:val="auto"/>
                <w:szCs w:val="21"/>
                <w:highlight w:val="none"/>
              </w:rPr>
            </w:pPr>
            <w:r>
              <w:rPr>
                <w:rFonts w:hint="eastAsia" w:ascii="Calibri" w:hAnsi="Calibri" w:cs="Calibri"/>
                <w:color w:val="auto"/>
                <w:szCs w:val="21"/>
                <w:highlight w:val="none"/>
              </w:rPr>
              <w:t>800</w:t>
            </w:r>
          </w:p>
        </w:tc>
      </w:tr>
      <w:tr>
        <w:tblPrEx>
          <w:tblCellMar>
            <w:top w:w="15" w:type="dxa"/>
            <w:left w:w="15" w:type="dxa"/>
            <w:bottom w:w="15" w:type="dxa"/>
            <w:right w:w="15" w:type="dxa"/>
          </w:tblCellMar>
        </w:tblPrEx>
        <w:trPr>
          <w:trHeight w:val="315" w:hRule="atLeast"/>
        </w:trPr>
        <w:tc>
          <w:tcPr>
            <w:tcW w:w="213" w:type="pct"/>
            <w:vMerge w:val="continue"/>
            <w:tcBorders>
              <w:left w:val="single" w:color="000000" w:sz="4" w:space="0"/>
              <w:right w:val="single" w:color="000000" w:sz="4" w:space="0"/>
            </w:tcBorders>
            <w:noWrap/>
            <w:vAlign w:val="center"/>
          </w:tcPr>
          <w:p>
            <w:pPr>
              <w:jc w:val="center"/>
              <w:rPr>
                <w:rFonts w:ascii="Calibri" w:hAnsi="Calibri" w:cs="Calibri"/>
                <w:color w:val="auto"/>
                <w:szCs w:val="21"/>
                <w:highlight w:val="none"/>
              </w:rPr>
            </w:pPr>
          </w:p>
        </w:tc>
        <w:tc>
          <w:tcPr>
            <w:tcW w:w="273" w:type="pct"/>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Calibri" w:hAnsi="Calibri" w:cs="Calibri"/>
                <w:color w:val="auto"/>
                <w:szCs w:val="21"/>
                <w:highlight w:val="none"/>
              </w:rPr>
            </w:pPr>
          </w:p>
        </w:tc>
        <w:tc>
          <w:tcPr>
            <w:tcW w:w="332" w:type="pct"/>
            <w:vMerge w:val="restar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bottom"/>
              <w:rPr>
                <w:rFonts w:ascii="Calibri" w:hAnsi="Calibri" w:cs="Calibri"/>
                <w:color w:val="auto"/>
                <w:szCs w:val="21"/>
                <w:highlight w:val="none"/>
              </w:rPr>
            </w:pPr>
            <w:r>
              <w:rPr>
                <w:rFonts w:hint="eastAsia" w:cs="Calibri"/>
                <w:color w:val="auto"/>
                <w:kern w:val="0"/>
                <w:szCs w:val="21"/>
                <w:highlight w:val="none"/>
                <w:lang w:bidi="ar"/>
              </w:rPr>
              <w:t>无组织排放</w:t>
            </w:r>
          </w:p>
        </w:tc>
        <w:tc>
          <w:tcPr>
            <w:tcW w:w="493" w:type="pct"/>
            <w:tcBorders>
              <w:top w:val="single" w:color="000000" w:sz="4" w:space="0"/>
              <w:left w:val="single" w:color="000000" w:sz="4" w:space="0"/>
              <w:bottom w:val="single" w:color="000000" w:sz="4" w:space="0"/>
              <w:right w:val="single" w:color="000000" w:sz="4" w:space="0"/>
            </w:tcBorders>
            <w:noWrap/>
            <w:vAlign w:val="center"/>
          </w:tcPr>
          <w:p>
            <w:pPr>
              <w:pStyle w:val="31"/>
              <w:spacing w:line="240" w:lineRule="auto"/>
              <w:rPr>
                <w:rFonts w:ascii="Calibri" w:hAnsi="Calibri" w:cs="Calibri"/>
                <w:color w:val="auto"/>
                <w:sz w:val="21"/>
                <w:szCs w:val="21"/>
                <w:highlight w:val="none"/>
              </w:rPr>
            </w:pPr>
            <w:r>
              <w:rPr>
                <w:rFonts w:ascii="Times New Roman" w:eastAsia="宋体"/>
                <w:color w:val="auto"/>
                <w:sz w:val="21"/>
                <w:szCs w:val="21"/>
                <w:highlight w:val="none"/>
              </w:rPr>
              <w:t>沥青烟</w:t>
            </w:r>
          </w:p>
        </w:tc>
        <w:tc>
          <w:tcPr>
            <w:tcW w:w="268" w:type="pct"/>
            <w:tcBorders>
              <w:top w:val="single" w:color="000000" w:sz="4" w:space="0"/>
              <w:left w:val="single" w:color="000000" w:sz="4" w:space="0"/>
              <w:bottom w:val="single" w:color="000000" w:sz="4" w:space="0"/>
              <w:right w:val="single" w:color="000000" w:sz="4" w:space="0"/>
            </w:tcBorders>
            <w:noWrap/>
            <w:vAlign w:val="center"/>
          </w:tcPr>
          <w:p>
            <w:pPr>
              <w:jc w:val="center"/>
              <w:rPr>
                <w:rFonts w:ascii="Calibri" w:hAnsi="Calibri" w:cs="Calibri"/>
                <w:color w:val="auto"/>
                <w:szCs w:val="21"/>
                <w:highlight w:val="none"/>
              </w:rPr>
            </w:pPr>
            <w:r>
              <w:rPr>
                <w:rFonts w:hint="eastAsia" w:ascii="Calibri" w:hAnsi="Calibri" w:cs="Calibri"/>
                <w:color w:val="auto"/>
                <w:szCs w:val="21"/>
                <w:highlight w:val="none"/>
              </w:rPr>
              <w:t>污染系数法</w:t>
            </w:r>
          </w:p>
        </w:tc>
        <w:tc>
          <w:tcPr>
            <w:tcW w:w="343" w:type="pct"/>
            <w:vMerge w:val="restart"/>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Calibri" w:hAnsi="Calibri" w:cs="Calibri"/>
                <w:color w:val="auto"/>
                <w:szCs w:val="21"/>
                <w:highlight w:val="none"/>
              </w:rPr>
            </w:pPr>
            <w:r>
              <w:rPr>
                <w:rFonts w:hint="eastAsia" w:ascii="Calibri" w:hAnsi="Calibri" w:cs="Calibri"/>
                <w:color w:val="auto"/>
                <w:szCs w:val="21"/>
                <w:highlight w:val="none"/>
              </w:rPr>
              <w:t>-</w:t>
            </w:r>
          </w:p>
        </w:tc>
        <w:tc>
          <w:tcPr>
            <w:tcW w:w="348" w:type="pct"/>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Calibri" w:hAnsi="Calibri" w:cs="Calibri"/>
                <w:color w:val="auto"/>
                <w:szCs w:val="21"/>
                <w:highlight w:val="none"/>
              </w:rPr>
            </w:pPr>
            <w:r>
              <w:rPr>
                <w:rFonts w:hint="eastAsia" w:ascii="Calibri" w:hAnsi="Calibri" w:cs="Calibri"/>
                <w:color w:val="auto"/>
                <w:szCs w:val="21"/>
                <w:highlight w:val="none"/>
              </w:rPr>
              <w:t>-</w:t>
            </w:r>
          </w:p>
        </w:tc>
        <w:tc>
          <w:tcPr>
            <w:tcW w:w="356" w:type="pct"/>
            <w:tcBorders>
              <w:top w:val="single" w:color="000000" w:sz="4" w:space="0"/>
              <w:left w:val="single" w:color="000000" w:sz="4" w:space="0"/>
              <w:bottom w:val="single" w:color="000000" w:sz="4" w:space="0"/>
              <w:right w:val="single" w:color="000000" w:sz="4" w:space="0"/>
            </w:tcBorders>
            <w:noWrap/>
            <w:vAlign w:val="center"/>
          </w:tcPr>
          <w:p>
            <w:pPr>
              <w:pStyle w:val="31"/>
              <w:spacing w:line="240" w:lineRule="auto"/>
              <w:rPr>
                <w:rFonts w:ascii="Calibri" w:hAnsi="Calibri" w:cs="Calibri"/>
                <w:color w:val="auto"/>
                <w:sz w:val="21"/>
                <w:szCs w:val="21"/>
                <w:highlight w:val="none"/>
              </w:rPr>
            </w:pPr>
            <w:r>
              <w:rPr>
                <w:rFonts w:ascii="Times New Roman" w:eastAsia="宋体"/>
                <w:color w:val="auto"/>
                <w:sz w:val="21"/>
                <w:szCs w:val="21"/>
                <w:highlight w:val="none"/>
              </w:rPr>
              <w:t>0.</w:t>
            </w:r>
            <w:r>
              <w:rPr>
                <w:rFonts w:hint="eastAsia" w:ascii="Times New Roman" w:eastAsia="宋体"/>
                <w:color w:val="auto"/>
                <w:sz w:val="21"/>
                <w:szCs w:val="21"/>
                <w:highlight w:val="none"/>
              </w:rPr>
              <w:t>394</w:t>
            </w:r>
          </w:p>
        </w:tc>
        <w:tc>
          <w:tcPr>
            <w:tcW w:w="190" w:type="pct"/>
            <w:tcBorders>
              <w:top w:val="single" w:color="000000" w:sz="4" w:space="0"/>
              <w:left w:val="single" w:color="000000" w:sz="4" w:space="0"/>
              <w:bottom w:val="single" w:color="000000" w:sz="4" w:space="0"/>
              <w:right w:val="single" w:color="000000" w:sz="4" w:space="0"/>
            </w:tcBorders>
            <w:noWrap/>
            <w:vAlign w:val="center"/>
          </w:tcPr>
          <w:p>
            <w:pPr>
              <w:jc w:val="center"/>
              <w:rPr>
                <w:rFonts w:ascii="Calibri" w:hAnsi="Calibri" w:cs="Calibri"/>
                <w:color w:val="auto"/>
                <w:szCs w:val="21"/>
                <w:highlight w:val="none"/>
              </w:rPr>
            </w:pPr>
            <w:r>
              <w:rPr>
                <w:rFonts w:hint="eastAsia" w:ascii="Calibri" w:hAnsi="Calibri" w:cs="Calibri"/>
                <w:color w:val="auto"/>
                <w:szCs w:val="21"/>
                <w:highlight w:val="none"/>
              </w:rPr>
              <w:t>直接燃烧</w:t>
            </w:r>
          </w:p>
        </w:tc>
        <w:tc>
          <w:tcPr>
            <w:tcW w:w="205" w:type="pct"/>
            <w:tcBorders>
              <w:top w:val="single" w:color="000000" w:sz="4" w:space="0"/>
              <w:left w:val="single" w:color="000000" w:sz="4" w:space="0"/>
              <w:bottom w:val="single" w:color="000000" w:sz="4" w:space="0"/>
              <w:right w:val="single" w:color="000000" w:sz="4" w:space="0"/>
            </w:tcBorders>
            <w:noWrap/>
            <w:vAlign w:val="center"/>
          </w:tcPr>
          <w:p>
            <w:pPr>
              <w:jc w:val="center"/>
              <w:rPr>
                <w:rFonts w:ascii="Calibri" w:hAnsi="Calibri" w:cs="Calibri"/>
                <w:color w:val="auto"/>
                <w:szCs w:val="21"/>
                <w:highlight w:val="none"/>
              </w:rPr>
            </w:pPr>
            <w:r>
              <w:rPr>
                <w:rFonts w:hint="eastAsia" w:ascii="Calibri" w:hAnsi="Calibri" w:cs="Calibri"/>
                <w:color w:val="auto"/>
                <w:szCs w:val="21"/>
                <w:highlight w:val="none"/>
              </w:rPr>
              <w:t>90</w:t>
            </w:r>
          </w:p>
        </w:tc>
        <w:tc>
          <w:tcPr>
            <w:tcW w:w="303" w:type="pct"/>
            <w:tcBorders>
              <w:top w:val="single" w:color="000000" w:sz="4" w:space="0"/>
              <w:left w:val="single" w:color="000000" w:sz="4" w:space="0"/>
              <w:bottom w:val="single" w:color="000000" w:sz="4" w:space="0"/>
              <w:right w:val="single" w:color="000000" w:sz="4" w:space="0"/>
            </w:tcBorders>
            <w:noWrap/>
            <w:vAlign w:val="center"/>
          </w:tcPr>
          <w:p>
            <w:pPr>
              <w:jc w:val="center"/>
              <w:rPr>
                <w:rFonts w:ascii="Calibri" w:hAnsi="Calibri" w:cs="Calibri"/>
                <w:color w:val="auto"/>
                <w:szCs w:val="21"/>
                <w:highlight w:val="none"/>
              </w:rPr>
            </w:pPr>
            <w:r>
              <w:rPr>
                <w:rFonts w:hint="eastAsia" w:ascii="Calibri" w:hAnsi="Calibri" w:cs="Calibri"/>
                <w:color w:val="auto"/>
                <w:szCs w:val="21"/>
                <w:highlight w:val="none"/>
              </w:rPr>
              <w:t>污染系数法</w:t>
            </w:r>
          </w:p>
        </w:tc>
        <w:tc>
          <w:tcPr>
            <w:tcW w:w="377" w:type="pct"/>
            <w:vMerge w:val="restart"/>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Calibri" w:hAnsi="Calibri" w:cs="Calibri"/>
                <w:color w:val="auto"/>
                <w:szCs w:val="21"/>
                <w:highlight w:val="none"/>
              </w:rPr>
            </w:pPr>
            <w:r>
              <w:rPr>
                <w:rFonts w:hint="eastAsia" w:ascii="Calibri" w:hAnsi="Calibri" w:cs="Calibri"/>
                <w:color w:val="auto"/>
                <w:szCs w:val="21"/>
                <w:highlight w:val="none"/>
              </w:rPr>
              <w:t>-</w:t>
            </w:r>
          </w:p>
        </w:tc>
        <w:tc>
          <w:tcPr>
            <w:tcW w:w="374" w:type="pct"/>
            <w:tcBorders>
              <w:top w:val="single" w:color="000000" w:sz="4" w:space="0"/>
              <w:left w:val="single" w:color="000000" w:sz="4" w:space="0"/>
              <w:bottom w:val="single" w:color="000000" w:sz="4" w:space="0"/>
              <w:right w:val="single" w:color="000000" w:sz="4" w:space="0"/>
            </w:tcBorders>
            <w:noWrap/>
            <w:vAlign w:val="center"/>
          </w:tcPr>
          <w:p>
            <w:pPr>
              <w:jc w:val="center"/>
              <w:rPr>
                <w:rFonts w:ascii="Calibri" w:hAnsi="Calibri" w:cs="Calibri"/>
                <w:color w:val="auto"/>
                <w:szCs w:val="21"/>
                <w:highlight w:val="none"/>
              </w:rPr>
            </w:pPr>
            <w:r>
              <w:rPr>
                <w:rFonts w:hint="eastAsia" w:ascii="Calibri" w:hAnsi="Calibri" w:cs="Calibri"/>
                <w:color w:val="auto"/>
                <w:szCs w:val="21"/>
                <w:highlight w:val="none"/>
              </w:rPr>
              <w:t>-</w:t>
            </w:r>
          </w:p>
        </w:tc>
        <w:tc>
          <w:tcPr>
            <w:tcW w:w="543" w:type="pct"/>
            <w:tcBorders>
              <w:top w:val="single" w:color="000000" w:sz="4" w:space="0"/>
              <w:left w:val="single" w:color="000000" w:sz="4" w:space="0"/>
              <w:bottom w:val="single" w:color="000000" w:sz="4" w:space="0"/>
              <w:right w:val="single" w:color="000000" w:sz="4" w:space="0"/>
            </w:tcBorders>
            <w:noWrap/>
            <w:vAlign w:val="center"/>
          </w:tcPr>
          <w:p>
            <w:pPr>
              <w:pStyle w:val="31"/>
              <w:spacing w:line="240" w:lineRule="auto"/>
              <w:rPr>
                <w:rFonts w:ascii="Calibri" w:hAnsi="Calibri" w:cs="Calibri"/>
                <w:color w:val="auto"/>
                <w:sz w:val="21"/>
                <w:szCs w:val="21"/>
                <w:highlight w:val="none"/>
              </w:rPr>
            </w:pPr>
            <w:r>
              <w:rPr>
                <w:rFonts w:ascii="Times New Roman" w:eastAsia="宋体"/>
                <w:color w:val="auto"/>
                <w:sz w:val="21"/>
                <w:szCs w:val="21"/>
                <w:highlight w:val="none"/>
              </w:rPr>
              <w:t>0.0</w:t>
            </w:r>
            <w:r>
              <w:rPr>
                <w:rFonts w:hint="eastAsia" w:ascii="Times New Roman" w:eastAsia="宋体"/>
                <w:color w:val="auto"/>
                <w:sz w:val="21"/>
                <w:szCs w:val="21"/>
                <w:highlight w:val="none"/>
              </w:rPr>
              <w:t>394</w:t>
            </w:r>
          </w:p>
        </w:tc>
        <w:tc>
          <w:tcPr>
            <w:tcW w:w="375" w:type="pct"/>
            <w:tcBorders>
              <w:top w:val="single" w:color="000000" w:sz="4" w:space="0"/>
              <w:left w:val="single" w:color="000000" w:sz="4" w:space="0"/>
              <w:bottom w:val="single" w:color="000000" w:sz="4" w:space="0"/>
              <w:right w:val="single" w:color="000000" w:sz="4" w:space="0"/>
            </w:tcBorders>
            <w:noWrap/>
            <w:vAlign w:val="center"/>
          </w:tcPr>
          <w:p>
            <w:pPr>
              <w:jc w:val="center"/>
              <w:rPr>
                <w:rFonts w:ascii="Calibri" w:hAnsi="Calibri" w:cs="Calibri"/>
                <w:color w:val="auto"/>
                <w:szCs w:val="21"/>
                <w:highlight w:val="none"/>
              </w:rPr>
            </w:pPr>
            <w:r>
              <w:rPr>
                <w:rFonts w:hint="eastAsia" w:ascii="Calibri" w:hAnsi="Calibri" w:cs="Calibri"/>
                <w:color w:val="auto"/>
                <w:szCs w:val="21"/>
                <w:highlight w:val="none"/>
              </w:rPr>
              <w:t>800</w:t>
            </w:r>
          </w:p>
        </w:tc>
      </w:tr>
      <w:tr>
        <w:tblPrEx>
          <w:tblCellMar>
            <w:top w:w="15" w:type="dxa"/>
            <w:left w:w="15" w:type="dxa"/>
            <w:bottom w:w="15" w:type="dxa"/>
            <w:right w:w="15" w:type="dxa"/>
          </w:tblCellMar>
        </w:tblPrEx>
        <w:trPr>
          <w:trHeight w:val="315" w:hRule="atLeast"/>
        </w:trPr>
        <w:tc>
          <w:tcPr>
            <w:tcW w:w="213" w:type="pct"/>
            <w:vMerge w:val="continue"/>
            <w:tcBorders>
              <w:left w:val="single" w:color="000000" w:sz="4" w:space="0"/>
              <w:right w:val="single" w:color="000000" w:sz="4" w:space="0"/>
            </w:tcBorders>
            <w:noWrap/>
            <w:vAlign w:val="center"/>
          </w:tcPr>
          <w:p>
            <w:pPr>
              <w:jc w:val="center"/>
              <w:rPr>
                <w:rFonts w:ascii="Calibri" w:hAnsi="Calibri" w:cs="Calibri"/>
                <w:color w:val="auto"/>
                <w:szCs w:val="21"/>
                <w:highlight w:val="none"/>
              </w:rPr>
            </w:pPr>
          </w:p>
        </w:tc>
        <w:tc>
          <w:tcPr>
            <w:tcW w:w="273" w:type="pct"/>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Calibri" w:hAnsi="Calibri" w:cs="Calibri"/>
                <w:color w:val="auto"/>
                <w:szCs w:val="21"/>
                <w:highlight w:val="none"/>
              </w:rPr>
            </w:pPr>
          </w:p>
        </w:tc>
        <w:tc>
          <w:tcPr>
            <w:tcW w:w="332" w:type="pct"/>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Calibri" w:hAnsi="Calibri" w:cs="Calibri"/>
                <w:color w:val="auto"/>
                <w:szCs w:val="21"/>
                <w:highlight w:val="none"/>
              </w:rPr>
            </w:pPr>
          </w:p>
        </w:tc>
        <w:tc>
          <w:tcPr>
            <w:tcW w:w="493" w:type="pct"/>
            <w:tcBorders>
              <w:top w:val="single" w:color="000000" w:sz="4" w:space="0"/>
              <w:left w:val="single" w:color="000000" w:sz="4" w:space="0"/>
              <w:bottom w:val="single" w:color="000000" w:sz="4" w:space="0"/>
              <w:right w:val="single" w:color="000000" w:sz="4" w:space="0"/>
            </w:tcBorders>
            <w:noWrap/>
            <w:vAlign w:val="center"/>
          </w:tcPr>
          <w:p>
            <w:pPr>
              <w:pStyle w:val="31"/>
              <w:spacing w:line="240" w:lineRule="auto"/>
              <w:rPr>
                <w:rFonts w:ascii="Calibri" w:hAnsi="Calibri" w:cs="Calibri"/>
                <w:color w:val="auto"/>
                <w:sz w:val="21"/>
                <w:szCs w:val="21"/>
                <w:highlight w:val="none"/>
              </w:rPr>
            </w:pPr>
            <w:r>
              <w:rPr>
                <w:rFonts w:ascii="Times New Roman" w:eastAsia="宋体"/>
                <w:color w:val="auto"/>
                <w:sz w:val="21"/>
                <w:szCs w:val="21"/>
                <w:highlight w:val="none"/>
              </w:rPr>
              <w:t>苯并芘</w:t>
            </w:r>
          </w:p>
        </w:tc>
        <w:tc>
          <w:tcPr>
            <w:tcW w:w="268" w:type="pct"/>
            <w:tcBorders>
              <w:top w:val="single" w:color="000000" w:sz="4" w:space="0"/>
              <w:left w:val="single" w:color="000000" w:sz="4" w:space="0"/>
              <w:bottom w:val="single" w:color="000000" w:sz="4" w:space="0"/>
              <w:right w:val="single" w:color="000000" w:sz="4" w:space="0"/>
            </w:tcBorders>
            <w:noWrap/>
            <w:vAlign w:val="center"/>
          </w:tcPr>
          <w:p>
            <w:pPr>
              <w:jc w:val="center"/>
              <w:rPr>
                <w:rFonts w:ascii="Calibri" w:hAnsi="Calibri" w:cs="Calibri"/>
                <w:color w:val="auto"/>
                <w:szCs w:val="21"/>
                <w:highlight w:val="none"/>
              </w:rPr>
            </w:pPr>
            <w:r>
              <w:rPr>
                <w:rFonts w:hint="eastAsia" w:ascii="Calibri" w:hAnsi="Calibri" w:cs="Calibri"/>
                <w:color w:val="auto"/>
                <w:szCs w:val="21"/>
                <w:highlight w:val="none"/>
              </w:rPr>
              <w:t>污染系数法</w:t>
            </w:r>
          </w:p>
        </w:tc>
        <w:tc>
          <w:tcPr>
            <w:tcW w:w="343" w:type="pct"/>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Calibri" w:hAnsi="Calibri" w:cs="Calibri"/>
                <w:color w:val="auto"/>
                <w:szCs w:val="21"/>
                <w:highlight w:val="none"/>
              </w:rPr>
            </w:pPr>
          </w:p>
        </w:tc>
        <w:tc>
          <w:tcPr>
            <w:tcW w:w="348" w:type="pct"/>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Calibri" w:hAnsi="Calibri" w:cs="Calibri"/>
                <w:color w:val="auto"/>
                <w:szCs w:val="21"/>
                <w:highlight w:val="none"/>
              </w:rPr>
            </w:pPr>
            <w:r>
              <w:rPr>
                <w:rFonts w:hint="eastAsia" w:ascii="Calibri" w:hAnsi="Calibri" w:cs="Calibri"/>
                <w:color w:val="auto"/>
                <w:szCs w:val="21"/>
                <w:highlight w:val="none"/>
              </w:rPr>
              <w:t>-</w:t>
            </w:r>
          </w:p>
        </w:tc>
        <w:tc>
          <w:tcPr>
            <w:tcW w:w="356" w:type="pct"/>
            <w:tcBorders>
              <w:top w:val="single" w:color="000000" w:sz="4" w:space="0"/>
              <w:left w:val="single" w:color="000000" w:sz="4" w:space="0"/>
              <w:bottom w:val="single" w:color="000000" w:sz="4" w:space="0"/>
              <w:right w:val="single" w:color="000000" w:sz="4" w:space="0"/>
            </w:tcBorders>
            <w:noWrap/>
            <w:vAlign w:val="center"/>
          </w:tcPr>
          <w:p>
            <w:pPr>
              <w:pStyle w:val="31"/>
              <w:spacing w:line="240" w:lineRule="auto"/>
              <w:rPr>
                <w:rFonts w:ascii="Calibri" w:hAnsi="Calibri" w:cs="Calibri"/>
                <w:color w:val="auto"/>
                <w:sz w:val="21"/>
                <w:szCs w:val="21"/>
                <w:highlight w:val="none"/>
              </w:rPr>
            </w:pPr>
            <w:r>
              <w:rPr>
                <w:rFonts w:ascii="Times New Roman" w:eastAsia="宋体"/>
                <w:color w:val="auto"/>
                <w:sz w:val="21"/>
                <w:szCs w:val="21"/>
                <w:highlight w:val="none"/>
              </w:rPr>
              <w:t>6.98*10</w:t>
            </w:r>
            <w:r>
              <w:rPr>
                <w:rFonts w:ascii="Times New Roman" w:eastAsia="宋体"/>
                <w:color w:val="auto"/>
                <w:sz w:val="21"/>
                <w:szCs w:val="21"/>
                <w:highlight w:val="none"/>
                <w:vertAlign w:val="superscript"/>
              </w:rPr>
              <w:t>-</w:t>
            </w:r>
            <w:r>
              <w:rPr>
                <w:rFonts w:hint="eastAsia" w:ascii="Times New Roman" w:eastAsia="宋体"/>
                <w:color w:val="auto"/>
                <w:sz w:val="21"/>
                <w:szCs w:val="21"/>
                <w:highlight w:val="none"/>
                <w:vertAlign w:val="superscript"/>
              </w:rPr>
              <w:t>6</w:t>
            </w:r>
          </w:p>
        </w:tc>
        <w:tc>
          <w:tcPr>
            <w:tcW w:w="190" w:type="pct"/>
            <w:tcBorders>
              <w:top w:val="single" w:color="000000" w:sz="4" w:space="0"/>
              <w:left w:val="single" w:color="000000" w:sz="4" w:space="0"/>
              <w:bottom w:val="single" w:color="000000" w:sz="4" w:space="0"/>
              <w:right w:val="single" w:color="000000" w:sz="4" w:space="0"/>
            </w:tcBorders>
            <w:noWrap/>
            <w:vAlign w:val="center"/>
          </w:tcPr>
          <w:p>
            <w:pPr>
              <w:jc w:val="center"/>
              <w:rPr>
                <w:rFonts w:ascii="Calibri" w:hAnsi="Calibri" w:cs="Calibri"/>
                <w:color w:val="auto"/>
                <w:szCs w:val="21"/>
                <w:highlight w:val="none"/>
              </w:rPr>
            </w:pPr>
            <w:r>
              <w:rPr>
                <w:rFonts w:hint="eastAsia" w:ascii="Calibri" w:hAnsi="Calibri" w:cs="Calibri"/>
                <w:color w:val="auto"/>
                <w:szCs w:val="21"/>
                <w:highlight w:val="none"/>
              </w:rPr>
              <w:t>直接燃烧</w:t>
            </w:r>
          </w:p>
        </w:tc>
        <w:tc>
          <w:tcPr>
            <w:tcW w:w="205" w:type="pct"/>
            <w:tcBorders>
              <w:top w:val="single" w:color="000000" w:sz="4" w:space="0"/>
              <w:left w:val="single" w:color="000000" w:sz="4" w:space="0"/>
              <w:bottom w:val="single" w:color="000000" w:sz="4" w:space="0"/>
              <w:right w:val="single" w:color="000000" w:sz="4" w:space="0"/>
            </w:tcBorders>
            <w:noWrap/>
            <w:vAlign w:val="center"/>
          </w:tcPr>
          <w:p>
            <w:pPr>
              <w:jc w:val="center"/>
              <w:rPr>
                <w:rFonts w:ascii="Calibri" w:hAnsi="Calibri" w:cs="Calibri"/>
                <w:color w:val="auto"/>
                <w:szCs w:val="21"/>
                <w:highlight w:val="none"/>
              </w:rPr>
            </w:pPr>
            <w:r>
              <w:rPr>
                <w:rFonts w:hint="eastAsia" w:ascii="Calibri" w:hAnsi="Calibri" w:cs="Calibri"/>
                <w:color w:val="auto"/>
                <w:szCs w:val="21"/>
                <w:highlight w:val="none"/>
              </w:rPr>
              <w:t>90</w:t>
            </w:r>
          </w:p>
        </w:tc>
        <w:tc>
          <w:tcPr>
            <w:tcW w:w="303" w:type="pct"/>
            <w:tcBorders>
              <w:top w:val="single" w:color="000000" w:sz="4" w:space="0"/>
              <w:left w:val="single" w:color="000000" w:sz="4" w:space="0"/>
              <w:bottom w:val="single" w:color="000000" w:sz="4" w:space="0"/>
              <w:right w:val="single" w:color="000000" w:sz="4" w:space="0"/>
            </w:tcBorders>
            <w:noWrap/>
            <w:vAlign w:val="center"/>
          </w:tcPr>
          <w:p>
            <w:pPr>
              <w:jc w:val="center"/>
              <w:rPr>
                <w:rFonts w:ascii="Calibri" w:hAnsi="Calibri" w:cs="Calibri"/>
                <w:color w:val="auto"/>
                <w:szCs w:val="21"/>
                <w:highlight w:val="none"/>
              </w:rPr>
            </w:pPr>
            <w:r>
              <w:rPr>
                <w:rFonts w:hint="eastAsia" w:ascii="Calibri" w:hAnsi="Calibri" w:cs="Calibri"/>
                <w:color w:val="auto"/>
                <w:szCs w:val="21"/>
                <w:highlight w:val="none"/>
              </w:rPr>
              <w:t>污染系数法</w:t>
            </w:r>
          </w:p>
        </w:tc>
        <w:tc>
          <w:tcPr>
            <w:tcW w:w="377" w:type="pct"/>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Calibri" w:hAnsi="Calibri" w:cs="Calibri"/>
                <w:color w:val="auto"/>
                <w:szCs w:val="21"/>
                <w:highlight w:val="none"/>
              </w:rPr>
            </w:pPr>
          </w:p>
        </w:tc>
        <w:tc>
          <w:tcPr>
            <w:tcW w:w="374" w:type="pct"/>
            <w:tcBorders>
              <w:top w:val="single" w:color="000000" w:sz="4" w:space="0"/>
              <w:left w:val="single" w:color="000000" w:sz="4" w:space="0"/>
              <w:bottom w:val="single" w:color="000000" w:sz="4" w:space="0"/>
              <w:right w:val="single" w:color="000000" w:sz="4" w:space="0"/>
            </w:tcBorders>
            <w:noWrap/>
            <w:vAlign w:val="center"/>
          </w:tcPr>
          <w:p>
            <w:pPr>
              <w:jc w:val="center"/>
              <w:rPr>
                <w:rFonts w:ascii="Calibri" w:hAnsi="Calibri" w:cs="Calibri"/>
                <w:color w:val="auto"/>
                <w:szCs w:val="21"/>
                <w:highlight w:val="none"/>
              </w:rPr>
            </w:pPr>
            <w:r>
              <w:rPr>
                <w:rFonts w:hint="eastAsia" w:ascii="Calibri" w:hAnsi="Calibri" w:cs="Calibri"/>
                <w:color w:val="auto"/>
                <w:szCs w:val="21"/>
                <w:highlight w:val="none"/>
              </w:rPr>
              <w:t>-</w:t>
            </w:r>
          </w:p>
        </w:tc>
        <w:tc>
          <w:tcPr>
            <w:tcW w:w="543" w:type="pct"/>
            <w:tcBorders>
              <w:top w:val="single" w:color="000000" w:sz="4" w:space="0"/>
              <w:left w:val="single" w:color="000000" w:sz="4" w:space="0"/>
              <w:bottom w:val="single" w:color="000000" w:sz="4" w:space="0"/>
              <w:right w:val="single" w:color="000000" w:sz="4" w:space="0"/>
            </w:tcBorders>
            <w:noWrap/>
            <w:vAlign w:val="center"/>
          </w:tcPr>
          <w:p>
            <w:pPr>
              <w:pStyle w:val="31"/>
              <w:spacing w:line="240" w:lineRule="auto"/>
              <w:rPr>
                <w:rFonts w:ascii="Calibri" w:hAnsi="Calibri" w:cs="Calibri"/>
                <w:color w:val="auto"/>
                <w:sz w:val="21"/>
                <w:szCs w:val="21"/>
                <w:highlight w:val="none"/>
              </w:rPr>
            </w:pPr>
            <w:r>
              <w:rPr>
                <w:rFonts w:ascii="Times New Roman" w:eastAsia="宋体"/>
                <w:color w:val="auto"/>
                <w:sz w:val="21"/>
                <w:szCs w:val="21"/>
                <w:highlight w:val="none"/>
              </w:rPr>
              <w:t>6.98*10</w:t>
            </w:r>
            <w:r>
              <w:rPr>
                <w:rFonts w:ascii="Times New Roman" w:eastAsia="宋体"/>
                <w:color w:val="auto"/>
                <w:sz w:val="21"/>
                <w:szCs w:val="21"/>
                <w:highlight w:val="none"/>
                <w:vertAlign w:val="superscript"/>
              </w:rPr>
              <w:t>-7</w:t>
            </w:r>
          </w:p>
        </w:tc>
        <w:tc>
          <w:tcPr>
            <w:tcW w:w="375" w:type="pct"/>
            <w:tcBorders>
              <w:top w:val="single" w:color="000000" w:sz="4" w:space="0"/>
              <w:left w:val="single" w:color="000000" w:sz="4" w:space="0"/>
              <w:bottom w:val="single" w:color="000000" w:sz="4" w:space="0"/>
              <w:right w:val="single" w:color="000000" w:sz="4" w:space="0"/>
            </w:tcBorders>
            <w:noWrap/>
            <w:vAlign w:val="center"/>
          </w:tcPr>
          <w:p>
            <w:pPr>
              <w:jc w:val="center"/>
              <w:rPr>
                <w:rFonts w:ascii="Calibri" w:hAnsi="Calibri" w:cs="Calibri"/>
                <w:color w:val="auto"/>
                <w:szCs w:val="21"/>
                <w:highlight w:val="none"/>
              </w:rPr>
            </w:pPr>
            <w:r>
              <w:rPr>
                <w:rFonts w:hint="eastAsia" w:ascii="Calibri" w:hAnsi="Calibri" w:cs="Calibri"/>
                <w:color w:val="auto"/>
                <w:szCs w:val="21"/>
                <w:highlight w:val="none"/>
              </w:rPr>
              <w:t>800</w:t>
            </w:r>
          </w:p>
        </w:tc>
      </w:tr>
      <w:tr>
        <w:tblPrEx>
          <w:tblCellMar>
            <w:top w:w="15" w:type="dxa"/>
            <w:left w:w="15" w:type="dxa"/>
            <w:bottom w:w="15" w:type="dxa"/>
            <w:right w:w="15" w:type="dxa"/>
          </w:tblCellMar>
        </w:tblPrEx>
        <w:trPr>
          <w:trHeight w:val="300" w:hRule="atLeast"/>
        </w:trPr>
        <w:tc>
          <w:tcPr>
            <w:tcW w:w="213" w:type="pct"/>
            <w:vMerge w:val="continue"/>
            <w:tcBorders>
              <w:left w:val="single" w:color="000000" w:sz="4" w:space="0"/>
              <w:right w:val="single" w:color="000000" w:sz="4" w:space="0"/>
            </w:tcBorders>
            <w:noWrap/>
            <w:vAlign w:val="center"/>
          </w:tcPr>
          <w:p>
            <w:pPr>
              <w:jc w:val="center"/>
              <w:rPr>
                <w:rFonts w:ascii="Calibri" w:hAnsi="Calibri" w:cs="Calibri"/>
                <w:color w:val="auto"/>
                <w:szCs w:val="21"/>
                <w:highlight w:val="none"/>
              </w:rPr>
            </w:pPr>
          </w:p>
        </w:tc>
        <w:tc>
          <w:tcPr>
            <w:tcW w:w="273" w:type="pct"/>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Calibri" w:hAnsi="Calibri" w:cs="Calibri"/>
                <w:color w:val="auto"/>
                <w:szCs w:val="21"/>
                <w:highlight w:val="none"/>
              </w:rPr>
            </w:pPr>
          </w:p>
        </w:tc>
        <w:tc>
          <w:tcPr>
            <w:tcW w:w="332" w:type="pct"/>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Calibri" w:hAnsi="Calibri" w:cs="Calibri"/>
                <w:color w:val="auto"/>
                <w:szCs w:val="21"/>
                <w:highlight w:val="none"/>
              </w:rPr>
            </w:pPr>
          </w:p>
        </w:tc>
        <w:tc>
          <w:tcPr>
            <w:tcW w:w="493" w:type="pct"/>
            <w:tcBorders>
              <w:top w:val="single" w:color="000000" w:sz="4" w:space="0"/>
              <w:left w:val="single" w:color="000000" w:sz="4" w:space="0"/>
              <w:bottom w:val="single" w:color="000000" w:sz="4" w:space="0"/>
              <w:right w:val="single" w:color="000000" w:sz="4" w:space="0"/>
            </w:tcBorders>
            <w:noWrap/>
            <w:vAlign w:val="center"/>
          </w:tcPr>
          <w:p>
            <w:pPr>
              <w:pStyle w:val="31"/>
              <w:spacing w:line="240" w:lineRule="auto"/>
              <w:rPr>
                <w:rFonts w:ascii="Calibri" w:hAnsi="Calibri" w:cs="Calibri"/>
                <w:color w:val="auto"/>
                <w:sz w:val="21"/>
                <w:szCs w:val="21"/>
                <w:highlight w:val="none"/>
              </w:rPr>
            </w:pPr>
            <w:r>
              <w:rPr>
                <w:rFonts w:ascii="Times New Roman" w:eastAsia="宋体"/>
                <w:color w:val="auto"/>
                <w:sz w:val="21"/>
                <w:szCs w:val="21"/>
                <w:highlight w:val="none"/>
              </w:rPr>
              <w:t>非甲烷总烃</w:t>
            </w:r>
          </w:p>
        </w:tc>
        <w:tc>
          <w:tcPr>
            <w:tcW w:w="268" w:type="pct"/>
            <w:tcBorders>
              <w:top w:val="single" w:color="000000" w:sz="4" w:space="0"/>
              <w:left w:val="single" w:color="000000" w:sz="4" w:space="0"/>
              <w:bottom w:val="single" w:color="000000" w:sz="4" w:space="0"/>
              <w:right w:val="single" w:color="000000" w:sz="4" w:space="0"/>
            </w:tcBorders>
            <w:noWrap/>
            <w:vAlign w:val="center"/>
          </w:tcPr>
          <w:p>
            <w:pPr>
              <w:jc w:val="center"/>
              <w:rPr>
                <w:rFonts w:ascii="Calibri" w:hAnsi="Calibri" w:cs="Calibri"/>
                <w:color w:val="auto"/>
                <w:szCs w:val="21"/>
                <w:highlight w:val="none"/>
              </w:rPr>
            </w:pPr>
            <w:r>
              <w:rPr>
                <w:rFonts w:hint="eastAsia" w:ascii="Calibri" w:hAnsi="Calibri" w:cs="Calibri"/>
                <w:color w:val="auto"/>
                <w:szCs w:val="21"/>
                <w:highlight w:val="none"/>
              </w:rPr>
              <w:t>污染系数法</w:t>
            </w:r>
          </w:p>
        </w:tc>
        <w:tc>
          <w:tcPr>
            <w:tcW w:w="343" w:type="pct"/>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Calibri" w:hAnsi="Calibri" w:cs="Calibri"/>
                <w:color w:val="auto"/>
                <w:szCs w:val="21"/>
                <w:highlight w:val="none"/>
              </w:rPr>
            </w:pPr>
          </w:p>
        </w:tc>
        <w:tc>
          <w:tcPr>
            <w:tcW w:w="348" w:type="pct"/>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Calibri" w:hAnsi="Calibri" w:cs="Calibri"/>
                <w:color w:val="auto"/>
                <w:szCs w:val="21"/>
                <w:highlight w:val="none"/>
              </w:rPr>
            </w:pPr>
            <w:r>
              <w:rPr>
                <w:rFonts w:hint="eastAsia" w:ascii="Calibri" w:hAnsi="Calibri" w:cs="Calibri"/>
                <w:color w:val="auto"/>
                <w:szCs w:val="21"/>
                <w:highlight w:val="none"/>
              </w:rPr>
              <w:t>-</w:t>
            </w:r>
          </w:p>
        </w:tc>
        <w:tc>
          <w:tcPr>
            <w:tcW w:w="356" w:type="pct"/>
            <w:tcBorders>
              <w:top w:val="single" w:color="000000" w:sz="4" w:space="0"/>
              <w:left w:val="single" w:color="000000" w:sz="4" w:space="0"/>
              <w:bottom w:val="single" w:color="000000" w:sz="4" w:space="0"/>
              <w:right w:val="single" w:color="000000" w:sz="4" w:space="0"/>
            </w:tcBorders>
            <w:noWrap/>
            <w:vAlign w:val="center"/>
          </w:tcPr>
          <w:p>
            <w:pPr>
              <w:pStyle w:val="31"/>
              <w:spacing w:line="240" w:lineRule="auto"/>
              <w:rPr>
                <w:rFonts w:ascii="Calibri" w:hAnsi="Calibri" w:cs="Calibri"/>
                <w:color w:val="auto"/>
                <w:sz w:val="21"/>
                <w:szCs w:val="21"/>
                <w:highlight w:val="none"/>
              </w:rPr>
            </w:pPr>
            <w:r>
              <w:rPr>
                <w:rFonts w:ascii="Times New Roman" w:eastAsia="宋体"/>
                <w:color w:val="auto"/>
                <w:sz w:val="21"/>
                <w:szCs w:val="21"/>
                <w:highlight w:val="none"/>
              </w:rPr>
              <w:t>0.00208</w:t>
            </w:r>
          </w:p>
        </w:tc>
        <w:tc>
          <w:tcPr>
            <w:tcW w:w="190" w:type="pct"/>
            <w:tcBorders>
              <w:top w:val="single" w:color="000000" w:sz="4" w:space="0"/>
              <w:left w:val="single" w:color="000000" w:sz="4" w:space="0"/>
              <w:bottom w:val="single" w:color="000000" w:sz="4" w:space="0"/>
              <w:right w:val="single" w:color="000000" w:sz="4" w:space="0"/>
            </w:tcBorders>
            <w:noWrap/>
            <w:vAlign w:val="center"/>
          </w:tcPr>
          <w:p>
            <w:pPr>
              <w:jc w:val="center"/>
              <w:rPr>
                <w:rFonts w:ascii="Calibri" w:hAnsi="Calibri" w:cs="Calibri"/>
                <w:color w:val="auto"/>
                <w:szCs w:val="21"/>
                <w:highlight w:val="none"/>
              </w:rPr>
            </w:pPr>
            <w:r>
              <w:rPr>
                <w:rFonts w:hint="eastAsia" w:ascii="Calibri" w:hAnsi="Calibri" w:cs="Calibri"/>
                <w:color w:val="auto"/>
                <w:szCs w:val="21"/>
                <w:highlight w:val="none"/>
              </w:rPr>
              <w:t>直接燃烧</w:t>
            </w:r>
          </w:p>
        </w:tc>
        <w:tc>
          <w:tcPr>
            <w:tcW w:w="205" w:type="pct"/>
            <w:tcBorders>
              <w:top w:val="single" w:color="000000" w:sz="4" w:space="0"/>
              <w:left w:val="single" w:color="000000" w:sz="4" w:space="0"/>
              <w:bottom w:val="single" w:color="000000" w:sz="4" w:space="0"/>
              <w:right w:val="single" w:color="000000" w:sz="4" w:space="0"/>
            </w:tcBorders>
            <w:noWrap/>
            <w:vAlign w:val="center"/>
          </w:tcPr>
          <w:p>
            <w:pPr>
              <w:jc w:val="center"/>
              <w:rPr>
                <w:rFonts w:ascii="Calibri" w:hAnsi="Calibri" w:cs="Calibri"/>
                <w:color w:val="auto"/>
                <w:szCs w:val="21"/>
                <w:highlight w:val="none"/>
              </w:rPr>
            </w:pPr>
            <w:r>
              <w:rPr>
                <w:rFonts w:hint="eastAsia" w:ascii="Calibri" w:hAnsi="Calibri" w:cs="Calibri"/>
                <w:color w:val="auto"/>
                <w:szCs w:val="21"/>
                <w:highlight w:val="none"/>
              </w:rPr>
              <w:t>90</w:t>
            </w:r>
          </w:p>
        </w:tc>
        <w:tc>
          <w:tcPr>
            <w:tcW w:w="303" w:type="pct"/>
            <w:tcBorders>
              <w:top w:val="single" w:color="000000" w:sz="4" w:space="0"/>
              <w:left w:val="single" w:color="000000" w:sz="4" w:space="0"/>
              <w:bottom w:val="single" w:color="000000" w:sz="4" w:space="0"/>
              <w:right w:val="single" w:color="000000" w:sz="4" w:space="0"/>
            </w:tcBorders>
            <w:noWrap/>
            <w:vAlign w:val="center"/>
          </w:tcPr>
          <w:p>
            <w:pPr>
              <w:jc w:val="center"/>
              <w:rPr>
                <w:rFonts w:ascii="Calibri" w:hAnsi="Calibri" w:cs="Calibri"/>
                <w:color w:val="auto"/>
                <w:szCs w:val="21"/>
                <w:highlight w:val="none"/>
              </w:rPr>
            </w:pPr>
            <w:r>
              <w:rPr>
                <w:rFonts w:hint="eastAsia" w:ascii="Calibri" w:hAnsi="Calibri" w:cs="Calibri"/>
                <w:color w:val="auto"/>
                <w:szCs w:val="21"/>
                <w:highlight w:val="none"/>
              </w:rPr>
              <w:t>污染系数法</w:t>
            </w:r>
          </w:p>
        </w:tc>
        <w:tc>
          <w:tcPr>
            <w:tcW w:w="377" w:type="pct"/>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Calibri" w:hAnsi="Calibri" w:cs="Calibri"/>
                <w:color w:val="auto"/>
                <w:szCs w:val="21"/>
                <w:highlight w:val="none"/>
              </w:rPr>
            </w:pPr>
          </w:p>
        </w:tc>
        <w:tc>
          <w:tcPr>
            <w:tcW w:w="374" w:type="pct"/>
            <w:tcBorders>
              <w:top w:val="single" w:color="000000" w:sz="4" w:space="0"/>
              <w:left w:val="single" w:color="000000" w:sz="4" w:space="0"/>
              <w:bottom w:val="single" w:color="000000" w:sz="4" w:space="0"/>
              <w:right w:val="single" w:color="000000" w:sz="4" w:space="0"/>
            </w:tcBorders>
            <w:noWrap/>
            <w:vAlign w:val="center"/>
          </w:tcPr>
          <w:p>
            <w:pPr>
              <w:jc w:val="center"/>
              <w:rPr>
                <w:rFonts w:ascii="Calibri" w:hAnsi="Calibri" w:cs="Calibri"/>
                <w:color w:val="auto"/>
                <w:szCs w:val="21"/>
                <w:highlight w:val="none"/>
              </w:rPr>
            </w:pPr>
            <w:r>
              <w:rPr>
                <w:rFonts w:hint="eastAsia" w:ascii="Calibri" w:hAnsi="Calibri" w:cs="Calibri"/>
                <w:color w:val="auto"/>
                <w:szCs w:val="21"/>
                <w:highlight w:val="none"/>
              </w:rPr>
              <w:t>-</w:t>
            </w:r>
          </w:p>
        </w:tc>
        <w:tc>
          <w:tcPr>
            <w:tcW w:w="543" w:type="pct"/>
            <w:tcBorders>
              <w:top w:val="single" w:color="000000" w:sz="4" w:space="0"/>
              <w:left w:val="single" w:color="000000" w:sz="4" w:space="0"/>
              <w:bottom w:val="single" w:color="000000" w:sz="4" w:space="0"/>
              <w:right w:val="single" w:color="000000" w:sz="4" w:space="0"/>
            </w:tcBorders>
            <w:noWrap/>
            <w:vAlign w:val="center"/>
          </w:tcPr>
          <w:p>
            <w:pPr>
              <w:pStyle w:val="31"/>
              <w:spacing w:line="240" w:lineRule="auto"/>
              <w:rPr>
                <w:rFonts w:ascii="Calibri" w:hAnsi="Calibri" w:cs="Calibri"/>
                <w:color w:val="auto"/>
                <w:sz w:val="21"/>
                <w:szCs w:val="21"/>
                <w:highlight w:val="none"/>
              </w:rPr>
            </w:pPr>
            <w:r>
              <w:rPr>
                <w:rFonts w:ascii="Times New Roman" w:eastAsia="宋体"/>
                <w:color w:val="auto"/>
                <w:sz w:val="21"/>
                <w:szCs w:val="21"/>
                <w:highlight w:val="none"/>
              </w:rPr>
              <w:t>0.000208</w:t>
            </w:r>
          </w:p>
        </w:tc>
        <w:tc>
          <w:tcPr>
            <w:tcW w:w="375" w:type="pct"/>
            <w:tcBorders>
              <w:top w:val="single" w:color="000000" w:sz="4" w:space="0"/>
              <w:left w:val="single" w:color="000000" w:sz="4" w:space="0"/>
              <w:bottom w:val="single" w:color="000000" w:sz="4" w:space="0"/>
              <w:right w:val="single" w:color="000000" w:sz="4" w:space="0"/>
            </w:tcBorders>
            <w:noWrap/>
            <w:vAlign w:val="center"/>
          </w:tcPr>
          <w:p>
            <w:pPr>
              <w:jc w:val="center"/>
              <w:rPr>
                <w:rFonts w:ascii="Calibri" w:hAnsi="Calibri" w:cs="Calibri"/>
                <w:color w:val="auto"/>
                <w:szCs w:val="21"/>
                <w:highlight w:val="none"/>
              </w:rPr>
            </w:pPr>
            <w:r>
              <w:rPr>
                <w:rFonts w:hint="eastAsia" w:ascii="Calibri" w:hAnsi="Calibri" w:cs="Calibri"/>
                <w:color w:val="auto"/>
                <w:szCs w:val="21"/>
                <w:highlight w:val="none"/>
              </w:rPr>
              <w:t>800</w:t>
            </w:r>
          </w:p>
        </w:tc>
      </w:tr>
      <w:tr>
        <w:tblPrEx>
          <w:tblCellMar>
            <w:top w:w="15" w:type="dxa"/>
            <w:left w:w="15" w:type="dxa"/>
            <w:bottom w:w="15" w:type="dxa"/>
            <w:right w:w="15" w:type="dxa"/>
          </w:tblCellMar>
        </w:tblPrEx>
        <w:trPr>
          <w:trHeight w:val="315" w:hRule="atLeast"/>
        </w:trPr>
        <w:tc>
          <w:tcPr>
            <w:tcW w:w="213" w:type="pct"/>
            <w:vMerge w:val="continue"/>
            <w:tcBorders>
              <w:left w:val="single" w:color="000000" w:sz="4" w:space="0"/>
              <w:right w:val="single" w:color="000000" w:sz="4" w:space="0"/>
            </w:tcBorders>
            <w:noWrap/>
            <w:vAlign w:val="center"/>
          </w:tcPr>
          <w:p>
            <w:pPr>
              <w:jc w:val="center"/>
              <w:rPr>
                <w:rFonts w:ascii="Calibri" w:hAnsi="Calibri" w:cs="Calibri"/>
                <w:color w:val="auto"/>
                <w:szCs w:val="21"/>
                <w:highlight w:val="none"/>
              </w:rPr>
            </w:pPr>
          </w:p>
        </w:tc>
        <w:tc>
          <w:tcPr>
            <w:tcW w:w="273" w:type="pct"/>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Calibri" w:hAnsi="Calibri" w:cs="Calibri"/>
                <w:color w:val="auto"/>
                <w:szCs w:val="21"/>
                <w:highlight w:val="none"/>
              </w:rPr>
            </w:pPr>
          </w:p>
        </w:tc>
        <w:tc>
          <w:tcPr>
            <w:tcW w:w="332" w:type="pct"/>
            <w:vMerge w:val="restar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bottom"/>
              <w:rPr>
                <w:rFonts w:ascii="Calibri" w:hAnsi="Calibri" w:cs="Calibri"/>
                <w:color w:val="auto"/>
                <w:szCs w:val="21"/>
                <w:highlight w:val="none"/>
              </w:rPr>
            </w:pPr>
            <w:r>
              <w:rPr>
                <w:rFonts w:hint="eastAsia" w:cs="Calibri"/>
                <w:color w:val="auto"/>
                <w:kern w:val="0"/>
                <w:szCs w:val="21"/>
                <w:highlight w:val="none"/>
                <w:lang w:bidi="ar"/>
              </w:rPr>
              <w:t>非正常排放</w:t>
            </w:r>
          </w:p>
        </w:tc>
        <w:tc>
          <w:tcPr>
            <w:tcW w:w="493"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bottom"/>
              <w:rPr>
                <w:rFonts w:ascii="Calibri" w:hAnsi="Calibri" w:cs="Calibri"/>
                <w:color w:val="auto"/>
                <w:szCs w:val="21"/>
                <w:highlight w:val="none"/>
              </w:rPr>
            </w:pPr>
            <w:r>
              <w:rPr>
                <w:rFonts w:hint="eastAsia" w:cs="Calibri"/>
                <w:color w:val="auto"/>
                <w:kern w:val="0"/>
                <w:szCs w:val="21"/>
                <w:highlight w:val="none"/>
                <w:lang w:bidi="ar"/>
              </w:rPr>
              <w:t>SO2</w:t>
            </w:r>
          </w:p>
        </w:tc>
        <w:tc>
          <w:tcPr>
            <w:tcW w:w="268" w:type="pct"/>
            <w:tcBorders>
              <w:top w:val="single" w:color="000000" w:sz="4" w:space="0"/>
              <w:left w:val="single" w:color="000000" w:sz="4" w:space="0"/>
              <w:bottom w:val="single" w:color="000000" w:sz="4" w:space="0"/>
              <w:right w:val="single" w:color="000000" w:sz="4" w:space="0"/>
            </w:tcBorders>
            <w:noWrap/>
            <w:vAlign w:val="center"/>
          </w:tcPr>
          <w:p>
            <w:pPr>
              <w:jc w:val="center"/>
              <w:rPr>
                <w:rFonts w:ascii="Calibri" w:hAnsi="Calibri" w:cs="Calibri"/>
                <w:color w:val="auto"/>
                <w:szCs w:val="21"/>
                <w:highlight w:val="none"/>
              </w:rPr>
            </w:pPr>
            <w:r>
              <w:rPr>
                <w:rFonts w:hint="eastAsia" w:ascii="Calibri" w:hAnsi="Calibri" w:cs="Calibri"/>
                <w:color w:val="auto"/>
                <w:szCs w:val="21"/>
                <w:highlight w:val="none"/>
              </w:rPr>
              <w:t>污染系数法</w:t>
            </w:r>
          </w:p>
        </w:tc>
        <w:tc>
          <w:tcPr>
            <w:tcW w:w="343" w:type="pct"/>
            <w:vMerge w:val="restart"/>
            <w:tcBorders>
              <w:top w:val="single" w:color="000000" w:sz="4" w:space="0"/>
              <w:left w:val="single" w:color="000000" w:sz="4" w:space="0"/>
              <w:right w:val="single" w:color="000000" w:sz="4" w:space="0"/>
            </w:tcBorders>
            <w:noWrap/>
            <w:vAlign w:val="center"/>
          </w:tcPr>
          <w:p>
            <w:pPr>
              <w:jc w:val="center"/>
              <w:rPr>
                <w:rFonts w:ascii="Calibri" w:hAnsi="Calibri" w:cs="Calibri"/>
                <w:color w:val="auto"/>
                <w:szCs w:val="21"/>
                <w:highlight w:val="none"/>
              </w:rPr>
            </w:pPr>
            <w:r>
              <w:rPr>
                <w:color w:val="auto"/>
                <w:szCs w:val="21"/>
                <w:highlight w:val="none"/>
              </w:rPr>
              <w:t>105000</w:t>
            </w:r>
          </w:p>
        </w:tc>
        <w:tc>
          <w:tcPr>
            <w:tcW w:w="348" w:type="pct"/>
            <w:tcBorders>
              <w:top w:val="single" w:color="000000" w:sz="4" w:space="0"/>
              <w:left w:val="single" w:color="000000" w:sz="4" w:space="0"/>
              <w:bottom w:val="single" w:color="000000" w:sz="4" w:space="0"/>
              <w:right w:val="single" w:color="000000" w:sz="4" w:space="0"/>
            </w:tcBorders>
            <w:noWrap/>
            <w:vAlign w:val="center"/>
          </w:tcPr>
          <w:p>
            <w:pPr>
              <w:tabs>
                <w:tab w:val="left" w:pos="105"/>
              </w:tabs>
              <w:spacing w:line="240" w:lineRule="exact"/>
              <w:ind w:left="-120" w:leftChars="-50" w:right="-120" w:rightChars="-50"/>
              <w:jc w:val="center"/>
              <w:rPr>
                <w:rFonts w:ascii="Calibri" w:hAnsi="Calibri" w:cs="Calibri"/>
                <w:color w:val="auto"/>
                <w:szCs w:val="21"/>
                <w:highlight w:val="none"/>
              </w:rPr>
            </w:pPr>
            <w:r>
              <w:rPr>
                <w:rFonts w:hint="eastAsia"/>
                <w:color w:val="auto"/>
                <w:szCs w:val="21"/>
                <w:highlight w:val="none"/>
              </w:rPr>
              <w:t>0.24</w:t>
            </w:r>
          </w:p>
        </w:tc>
        <w:tc>
          <w:tcPr>
            <w:tcW w:w="356" w:type="pct"/>
            <w:tcBorders>
              <w:top w:val="single" w:color="000000" w:sz="4" w:space="0"/>
              <w:left w:val="single" w:color="000000" w:sz="4" w:space="0"/>
              <w:bottom w:val="single" w:color="000000" w:sz="4" w:space="0"/>
              <w:right w:val="single" w:color="000000" w:sz="4" w:space="0"/>
            </w:tcBorders>
            <w:noWrap/>
            <w:vAlign w:val="center"/>
          </w:tcPr>
          <w:p>
            <w:pPr>
              <w:tabs>
                <w:tab w:val="left" w:pos="105"/>
              </w:tabs>
              <w:spacing w:line="240" w:lineRule="exact"/>
              <w:ind w:left="-120" w:leftChars="-50" w:right="-120" w:rightChars="-50"/>
              <w:jc w:val="center"/>
              <w:rPr>
                <w:rFonts w:ascii="Calibri" w:hAnsi="Calibri" w:cs="Calibri"/>
                <w:color w:val="auto"/>
                <w:szCs w:val="21"/>
                <w:highlight w:val="none"/>
              </w:rPr>
            </w:pPr>
            <w:r>
              <w:rPr>
                <w:color w:val="auto"/>
                <w:szCs w:val="21"/>
                <w:highlight w:val="none"/>
              </w:rPr>
              <w:t>0.0</w:t>
            </w:r>
            <w:r>
              <w:rPr>
                <w:rFonts w:hint="eastAsia"/>
                <w:color w:val="auto"/>
                <w:szCs w:val="21"/>
                <w:highlight w:val="none"/>
              </w:rPr>
              <w:t>25</w:t>
            </w:r>
          </w:p>
        </w:tc>
        <w:tc>
          <w:tcPr>
            <w:tcW w:w="190" w:type="pct"/>
            <w:tcBorders>
              <w:top w:val="single" w:color="000000" w:sz="4" w:space="0"/>
              <w:left w:val="single" w:color="000000" w:sz="4" w:space="0"/>
              <w:bottom w:val="single" w:color="000000" w:sz="4" w:space="0"/>
              <w:right w:val="single" w:color="000000" w:sz="4" w:space="0"/>
            </w:tcBorders>
            <w:noWrap/>
            <w:vAlign w:val="center"/>
          </w:tcPr>
          <w:p>
            <w:pPr>
              <w:jc w:val="center"/>
              <w:rPr>
                <w:rFonts w:ascii="Calibri" w:hAnsi="Calibri" w:cs="Calibri"/>
                <w:color w:val="auto"/>
                <w:szCs w:val="21"/>
                <w:highlight w:val="none"/>
              </w:rPr>
            </w:pPr>
            <w:r>
              <w:rPr>
                <w:rFonts w:hint="eastAsia" w:ascii="Calibri" w:hAnsi="Calibri" w:cs="Calibri"/>
                <w:color w:val="auto"/>
                <w:szCs w:val="21"/>
                <w:highlight w:val="none"/>
              </w:rPr>
              <w:t>/</w:t>
            </w:r>
          </w:p>
        </w:tc>
        <w:tc>
          <w:tcPr>
            <w:tcW w:w="205" w:type="pct"/>
            <w:tcBorders>
              <w:top w:val="single" w:color="000000" w:sz="4" w:space="0"/>
              <w:left w:val="single" w:color="000000" w:sz="4" w:space="0"/>
              <w:bottom w:val="single" w:color="000000" w:sz="4" w:space="0"/>
              <w:right w:val="single" w:color="000000" w:sz="4" w:space="0"/>
            </w:tcBorders>
            <w:noWrap/>
            <w:vAlign w:val="center"/>
          </w:tcPr>
          <w:p>
            <w:pPr>
              <w:jc w:val="center"/>
              <w:rPr>
                <w:rFonts w:ascii="Calibri" w:hAnsi="Calibri" w:cs="Calibri"/>
                <w:color w:val="auto"/>
                <w:szCs w:val="21"/>
                <w:highlight w:val="none"/>
              </w:rPr>
            </w:pPr>
            <w:r>
              <w:rPr>
                <w:rFonts w:hint="eastAsia" w:ascii="Calibri" w:hAnsi="Calibri" w:cs="Calibri"/>
                <w:color w:val="auto"/>
                <w:szCs w:val="21"/>
                <w:highlight w:val="none"/>
              </w:rPr>
              <w:t>/</w:t>
            </w:r>
          </w:p>
        </w:tc>
        <w:tc>
          <w:tcPr>
            <w:tcW w:w="303" w:type="pct"/>
            <w:tcBorders>
              <w:top w:val="single" w:color="000000" w:sz="4" w:space="0"/>
              <w:left w:val="single" w:color="000000" w:sz="4" w:space="0"/>
              <w:bottom w:val="single" w:color="000000" w:sz="4" w:space="0"/>
              <w:right w:val="single" w:color="000000" w:sz="4" w:space="0"/>
            </w:tcBorders>
            <w:noWrap/>
            <w:vAlign w:val="center"/>
          </w:tcPr>
          <w:p>
            <w:pPr>
              <w:jc w:val="center"/>
              <w:rPr>
                <w:rFonts w:ascii="Calibri" w:hAnsi="Calibri" w:cs="Calibri"/>
                <w:color w:val="auto"/>
                <w:szCs w:val="21"/>
                <w:highlight w:val="none"/>
              </w:rPr>
            </w:pPr>
            <w:r>
              <w:rPr>
                <w:rFonts w:hint="eastAsia" w:ascii="Calibri" w:hAnsi="Calibri" w:cs="Calibri"/>
                <w:color w:val="auto"/>
                <w:szCs w:val="21"/>
                <w:highlight w:val="none"/>
              </w:rPr>
              <w:t>污染系数法</w:t>
            </w:r>
          </w:p>
        </w:tc>
        <w:tc>
          <w:tcPr>
            <w:tcW w:w="377" w:type="pct"/>
            <w:vMerge w:val="restart"/>
            <w:tcBorders>
              <w:top w:val="single" w:color="000000" w:sz="4" w:space="0"/>
              <w:left w:val="single" w:color="000000" w:sz="4" w:space="0"/>
              <w:right w:val="single" w:color="000000" w:sz="4" w:space="0"/>
            </w:tcBorders>
            <w:noWrap/>
            <w:vAlign w:val="center"/>
          </w:tcPr>
          <w:p>
            <w:pPr>
              <w:jc w:val="center"/>
              <w:rPr>
                <w:rFonts w:ascii="Calibri" w:hAnsi="Calibri" w:cs="Calibri"/>
                <w:color w:val="auto"/>
                <w:szCs w:val="21"/>
                <w:highlight w:val="none"/>
              </w:rPr>
            </w:pPr>
            <w:r>
              <w:rPr>
                <w:color w:val="auto"/>
                <w:szCs w:val="21"/>
                <w:highlight w:val="none"/>
              </w:rPr>
              <w:t>105000</w:t>
            </w:r>
          </w:p>
        </w:tc>
        <w:tc>
          <w:tcPr>
            <w:tcW w:w="374" w:type="pct"/>
            <w:tcBorders>
              <w:top w:val="single" w:color="000000" w:sz="4" w:space="0"/>
              <w:left w:val="single" w:color="000000" w:sz="4" w:space="0"/>
              <w:bottom w:val="single" w:color="000000" w:sz="4" w:space="0"/>
              <w:right w:val="single" w:color="000000" w:sz="4" w:space="0"/>
            </w:tcBorders>
            <w:noWrap/>
            <w:vAlign w:val="center"/>
          </w:tcPr>
          <w:p>
            <w:pPr>
              <w:tabs>
                <w:tab w:val="left" w:pos="105"/>
              </w:tabs>
              <w:spacing w:line="240" w:lineRule="exact"/>
              <w:ind w:left="-120" w:leftChars="-50" w:right="-120" w:rightChars="-50"/>
              <w:jc w:val="center"/>
              <w:rPr>
                <w:rFonts w:ascii="Calibri" w:hAnsi="Calibri" w:cs="Calibri"/>
                <w:color w:val="auto"/>
                <w:szCs w:val="21"/>
                <w:highlight w:val="none"/>
              </w:rPr>
            </w:pPr>
            <w:r>
              <w:rPr>
                <w:rFonts w:hint="eastAsia"/>
                <w:color w:val="auto"/>
                <w:szCs w:val="21"/>
                <w:highlight w:val="none"/>
              </w:rPr>
              <w:t>0.24</w:t>
            </w:r>
          </w:p>
        </w:tc>
        <w:tc>
          <w:tcPr>
            <w:tcW w:w="543" w:type="pct"/>
            <w:tcBorders>
              <w:top w:val="single" w:color="000000" w:sz="4" w:space="0"/>
              <w:left w:val="single" w:color="000000" w:sz="4" w:space="0"/>
              <w:bottom w:val="single" w:color="000000" w:sz="4" w:space="0"/>
              <w:right w:val="single" w:color="000000" w:sz="4" w:space="0"/>
            </w:tcBorders>
            <w:noWrap/>
            <w:vAlign w:val="center"/>
          </w:tcPr>
          <w:p>
            <w:pPr>
              <w:tabs>
                <w:tab w:val="left" w:pos="105"/>
              </w:tabs>
              <w:spacing w:line="240" w:lineRule="exact"/>
              <w:ind w:left="-120" w:leftChars="-50" w:right="-120" w:rightChars="-50"/>
              <w:jc w:val="center"/>
              <w:rPr>
                <w:rFonts w:ascii="Calibri" w:hAnsi="Calibri" w:cs="Calibri"/>
                <w:color w:val="auto"/>
                <w:szCs w:val="21"/>
                <w:highlight w:val="none"/>
              </w:rPr>
            </w:pPr>
            <w:r>
              <w:rPr>
                <w:color w:val="auto"/>
                <w:szCs w:val="21"/>
                <w:highlight w:val="none"/>
              </w:rPr>
              <w:t>0.0</w:t>
            </w:r>
            <w:r>
              <w:rPr>
                <w:rFonts w:hint="eastAsia"/>
                <w:color w:val="auto"/>
                <w:szCs w:val="21"/>
                <w:highlight w:val="none"/>
              </w:rPr>
              <w:t>25</w:t>
            </w:r>
          </w:p>
        </w:tc>
        <w:tc>
          <w:tcPr>
            <w:tcW w:w="375" w:type="pct"/>
            <w:tcBorders>
              <w:top w:val="single" w:color="000000" w:sz="4" w:space="0"/>
              <w:left w:val="single" w:color="000000" w:sz="4" w:space="0"/>
              <w:bottom w:val="single" w:color="000000" w:sz="4" w:space="0"/>
              <w:right w:val="single" w:color="000000" w:sz="4" w:space="0"/>
            </w:tcBorders>
            <w:noWrap/>
            <w:vAlign w:val="center"/>
          </w:tcPr>
          <w:p>
            <w:pPr>
              <w:jc w:val="center"/>
              <w:rPr>
                <w:rFonts w:ascii="Calibri" w:hAnsi="Calibri" w:cs="Calibri"/>
                <w:color w:val="auto"/>
                <w:szCs w:val="21"/>
                <w:highlight w:val="none"/>
              </w:rPr>
            </w:pPr>
            <w:r>
              <w:rPr>
                <w:rFonts w:hint="eastAsia" w:ascii="Calibri" w:hAnsi="Calibri" w:cs="Calibri"/>
                <w:color w:val="auto"/>
                <w:szCs w:val="21"/>
                <w:highlight w:val="none"/>
              </w:rPr>
              <w:t>800</w:t>
            </w:r>
          </w:p>
        </w:tc>
      </w:tr>
      <w:tr>
        <w:tblPrEx>
          <w:tblCellMar>
            <w:top w:w="15" w:type="dxa"/>
            <w:left w:w="15" w:type="dxa"/>
            <w:bottom w:w="15" w:type="dxa"/>
            <w:right w:w="15" w:type="dxa"/>
          </w:tblCellMar>
        </w:tblPrEx>
        <w:trPr>
          <w:trHeight w:val="330" w:hRule="atLeast"/>
        </w:trPr>
        <w:tc>
          <w:tcPr>
            <w:tcW w:w="213" w:type="pct"/>
            <w:vMerge w:val="continue"/>
            <w:tcBorders>
              <w:left w:val="single" w:color="000000" w:sz="4" w:space="0"/>
              <w:right w:val="single" w:color="000000" w:sz="4" w:space="0"/>
            </w:tcBorders>
            <w:noWrap/>
            <w:vAlign w:val="center"/>
          </w:tcPr>
          <w:p>
            <w:pPr>
              <w:jc w:val="center"/>
              <w:rPr>
                <w:rFonts w:ascii="Calibri" w:hAnsi="Calibri" w:cs="Calibri"/>
                <w:color w:val="auto"/>
                <w:szCs w:val="21"/>
                <w:highlight w:val="none"/>
              </w:rPr>
            </w:pPr>
          </w:p>
        </w:tc>
        <w:tc>
          <w:tcPr>
            <w:tcW w:w="273" w:type="pct"/>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Calibri" w:hAnsi="Calibri" w:cs="Calibri"/>
                <w:color w:val="auto"/>
                <w:szCs w:val="21"/>
                <w:highlight w:val="none"/>
              </w:rPr>
            </w:pPr>
          </w:p>
        </w:tc>
        <w:tc>
          <w:tcPr>
            <w:tcW w:w="332" w:type="pct"/>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Calibri" w:hAnsi="Calibri" w:cs="Calibri"/>
                <w:color w:val="auto"/>
                <w:szCs w:val="21"/>
                <w:highlight w:val="none"/>
              </w:rPr>
            </w:pPr>
          </w:p>
        </w:tc>
        <w:tc>
          <w:tcPr>
            <w:tcW w:w="493"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bottom"/>
              <w:rPr>
                <w:rFonts w:ascii="Calibri" w:hAnsi="Calibri" w:cs="Calibri"/>
                <w:color w:val="auto"/>
                <w:szCs w:val="21"/>
                <w:highlight w:val="none"/>
              </w:rPr>
            </w:pPr>
            <w:r>
              <w:rPr>
                <w:rFonts w:hint="eastAsia" w:cs="Calibri"/>
                <w:color w:val="auto"/>
                <w:szCs w:val="21"/>
                <w:highlight w:val="none"/>
              </w:rPr>
              <w:t>NOx</w:t>
            </w:r>
          </w:p>
        </w:tc>
        <w:tc>
          <w:tcPr>
            <w:tcW w:w="268" w:type="pct"/>
            <w:tcBorders>
              <w:top w:val="single" w:color="000000" w:sz="4" w:space="0"/>
              <w:left w:val="single" w:color="000000" w:sz="4" w:space="0"/>
              <w:bottom w:val="single" w:color="000000" w:sz="4" w:space="0"/>
              <w:right w:val="single" w:color="000000" w:sz="4" w:space="0"/>
            </w:tcBorders>
            <w:noWrap/>
            <w:vAlign w:val="center"/>
          </w:tcPr>
          <w:p>
            <w:pPr>
              <w:jc w:val="center"/>
              <w:rPr>
                <w:rFonts w:ascii="Calibri" w:hAnsi="Calibri" w:cs="Calibri"/>
                <w:color w:val="auto"/>
                <w:szCs w:val="21"/>
                <w:highlight w:val="none"/>
              </w:rPr>
            </w:pPr>
            <w:r>
              <w:rPr>
                <w:rFonts w:hint="eastAsia" w:ascii="Calibri" w:hAnsi="Calibri" w:cs="Calibri"/>
                <w:color w:val="auto"/>
                <w:szCs w:val="21"/>
                <w:highlight w:val="none"/>
              </w:rPr>
              <w:t>污染系数法</w:t>
            </w:r>
          </w:p>
        </w:tc>
        <w:tc>
          <w:tcPr>
            <w:tcW w:w="343" w:type="pct"/>
            <w:vMerge w:val="continue"/>
            <w:tcBorders>
              <w:left w:val="single" w:color="000000" w:sz="4" w:space="0"/>
              <w:right w:val="single" w:color="000000" w:sz="4" w:space="0"/>
            </w:tcBorders>
            <w:noWrap/>
            <w:vAlign w:val="center"/>
          </w:tcPr>
          <w:p>
            <w:pPr>
              <w:jc w:val="center"/>
              <w:rPr>
                <w:rFonts w:ascii="Calibri" w:hAnsi="Calibri" w:cs="Calibri"/>
                <w:color w:val="auto"/>
                <w:szCs w:val="21"/>
                <w:highlight w:val="none"/>
              </w:rPr>
            </w:pPr>
          </w:p>
        </w:tc>
        <w:tc>
          <w:tcPr>
            <w:tcW w:w="348" w:type="pct"/>
            <w:tcBorders>
              <w:top w:val="single" w:color="000000" w:sz="4" w:space="0"/>
              <w:left w:val="single" w:color="000000" w:sz="4" w:space="0"/>
              <w:bottom w:val="single" w:color="000000" w:sz="4" w:space="0"/>
              <w:right w:val="single" w:color="000000" w:sz="4" w:space="0"/>
            </w:tcBorders>
            <w:noWrap/>
            <w:vAlign w:val="center"/>
          </w:tcPr>
          <w:p>
            <w:pPr>
              <w:tabs>
                <w:tab w:val="left" w:pos="105"/>
              </w:tabs>
              <w:spacing w:line="240" w:lineRule="exact"/>
              <w:ind w:left="-120" w:leftChars="-50" w:right="-120" w:rightChars="-50"/>
              <w:jc w:val="center"/>
              <w:rPr>
                <w:rFonts w:ascii="Calibri" w:hAnsi="Calibri" w:cs="Calibri"/>
                <w:color w:val="auto"/>
                <w:szCs w:val="21"/>
                <w:highlight w:val="none"/>
              </w:rPr>
            </w:pPr>
            <w:r>
              <w:rPr>
                <w:rFonts w:hint="eastAsia"/>
                <w:color w:val="auto"/>
                <w:szCs w:val="21"/>
                <w:highlight w:val="none"/>
              </w:rPr>
              <w:t>0.95</w:t>
            </w:r>
          </w:p>
        </w:tc>
        <w:tc>
          <w:tcPr>
            <w:tcW w:w="356" w:type="pct"/>
            <w:tcBorders>
              <w:top w:val="single" w:color="000000" w:sz="4" w:space="0"/>
              <w:left w:val="single" w:color="000000" w:sz="4" w:space="0"/>
              <w:bottom w:val="single" w:color="000000" w:sz="4" w:space="0"/>
              <w:right w:val="single" w:color="000000" w:sz="4" w:space="0"/>
            </w:tcBorders>
            <w:noWrap/>
            <w:vAlign w:val="center"/>
          </w:tcPr>
          <w:p>
            <w:pPr>
              <w:tabs>
                <w:tab w:val="left" w:pos="105"/>
              </w:tabs>
              <w:spacing w:line="240" w:lineRule="exact"/>
              <w:ind w:left="-120" w:leftChars="-50" w:right="-120" w:rightChars="-50"/>
              <w:jc w:val="center"/>
              <w:rPr>
                <w:rFonts w:ascii="Calibri" w:hAnsi="Calibri" w:cs="Calibri"/>
                <w:color w:val="auto"/>
                <w:szCs w:val="21"/>
                <w:highlight w:val="none"/>
              </w:rPr>
            </w:pPr>
            <w:r>
              <w:rPr>
                <w:rFonts w:hint="eastAsia"/>
                <w:color w:val="auto"/>
                <w:szCs w:val="21"/>
                <w:highlight w:val="none"/>
              </w:rPr>
              <w:t>0.09925</w:t>
            </w:r>
          </w:p>
        </w:tc>
        <w:tc>
          <w:tcPr>
            <w:tcW w:w="190" w:type="pct"/>
            <w:tcBorders>
              <w:top w:val="single" w:color="000000" w:sz="4" w:space="0"/>
              <w:left w:val="single" w:color="000000" w:sz="4" w:space="0"/>
              <w:bottom w:val="single" w:color="000000" w:sz="4" w:space="0"/>
              <w:right w:val="single" w:color="000000" w:sz="4" w:space="0"/>
            </w:tcBorders>
            <w:noWrap/>
            <w:vAlign w:val="center"/>
          </w:tcPr>
          <w:p>
            <w:pPr>
              <w:jc w:val="center"/>
              <w:rPr>
                <w:rFonts w:ascii="Calibri" w:hAnsi="Calibri" w:cs="Calibri"/>
                <w:color w:val="auto"/>
                <w:szCs w:val="21"/>
                <w:highlight w:val="none"/>
              </w:rPr>
            </w:pPr>
            <w:r>
              <w:rPr>
                <w:rFonts w:hint="eastAsia" w:ascii="Calibri" w:hAnsi="Calibri" w:cs="Calibri"/>
                <w:color w:val="auto"/>
                <w:szCs w:val="21"/>
                <w:highlight w:val="none"/>
              </w:rPr>
              <w:t>/</w:t>
            </w:r>
          </w:p>
        </w:tc>
        <w:tc>
          <w:tcPr>
            <w:tcW w:w="205" w:type="pct"/>
            <w:tcBorders>
              <w:top w:val="single" w:color="000000" w:sz="4" w:space="0"/>
              <w:left w:val="single" w:color="000000" w:sz="4" w:space="0"/>
              <w:bottom w:val="single" w:color="000000" w:sz="4" w:space="0"/>
              <w:right w:val="single" w:color="000000" w:sz="4" w:space="0"/>
            </w:tcBorders>
            <w:noWrap/>
            <w:vAlign w:val="center"/>
          </w:tcPr>
          <w:p>
            <w:pPr>
              <w:jc w:val="center"/>
              <w:rPr>
                <w:rFonts w:ascii="Calibri" w:hAnsi="Calibri" w:cs="Calibri"/>
                <w:color w:val="auto"/>
                <w:szCs w:val="21"/>
                <w:highlight w:val="none"/>
              </w:rPr>
            </w:pPr>
            <w:r>
              <w:rPr>
                <w:rFonts w:hint="eastAsia" w:ascii="Calibri" w:hAnsi="Calibri" w:cs="Calibri"/>
                <w:color w:val="auto"/>
                <w:szCs w:val="21"/>
                <w:highlight w:val="none"/>
              </w:rPr>
              <w:t>/</w:t>
            </w:r>
          </w:p>
        </w:tc>
        <w:tc>
          <w:tcPr>
            <w:tcW w:w="303" w:type="pct"/>
            <w:tcBorders>
              <w:top w:val="single" w:color="000000" w:sz="4" w:space="0"/>
              <w:left w:val="single" w:color="000000" w:sz="4" w:space="0"/>
              <w:bottom w:val="single" w:color="000000" w:sz="4" w:space="0"/>
              <w:right w:val="single" w:color="000000" w:sz="4" w:space="0"/>
            </w:tcBorders>
            <w:noWrap/>
            <w:vAlign w:val="center"/>
          </w:tcPr>
          <w:p>
            <w:pPr>
              <w:jc w:val="center"/>
              <w:rPr>
                <w:rFonts w:ascii="Calibri" w:hAnsi="Calibri" w:cs="Calibri"/>
                <w:color w:val="auto"/>
                <w:szCs w:val="21"/>
                <w:highlight w:val="none"/>
              </w:rPr>
            </w:pPr>
            <w:r>
              <w:rPr>
                <w:rFonts w:hint="eastAsia" w:ascii="Calibri" w:hAnsi="Calibri" w:cs="Calibri"/>
                <w:color w:val="auto"/>
                <w:szCs w:val="21"/>
                <w:highlight w:val="none"/>
              </w:rPr>
              <w:t>污染系数法</w:t>
            </w:r>
          </w:p>
        </w:tc>
        <w:tc>
          <w:tcPr>
            <w:tcW w:w="377" w:type="pct"/>
            <w:vMerge w:val="continue"/>
            <w:tcBorders>
              <w:left w:val="single" w:color="000000" w:sz="4" w:space="0"/>
              <w:right w:val="single" w:color="000000" w:sz="4" w:space="0"/>
            </w:tcBorders>
            <w:noWrap/>
            <w:vAlign w:val="center"/>
          </w:tcPr>
          <w:p>
            <w:pPr>
              <w:jc w:val="center"/>
              <w:rPr>
                <w:rFonts w:ascii="Calibri" w:hAnsi="Calibri" w:cs="Calibri"/>
                <w:color w:val="auto"/>
                <w:szCs w:val="21"/>
                <w:highlight w:val="none"/>
              </w:rPr>
            </w:pPr>
          </w:p>
        </w:tc>
        <w:tc>
          <w:tcPr>
            <w:tcW w:w="374" w:type="pct"/>
            <w:tcBorders>
              <w:top w:val="single" w:color="000000" w:sz="4" w:space="0"/>
              <w:left w:val="single" w:color="000000" w:sz="4" w:space="0"/>
              <w:bottom w:val="single" w:color="000000" w:sz="4" w:space="0"/>
              <w:right w:val="single" w:color="000000" w:sz="4" w:space="0"/>
            </w:tcBorders>
            <w:noWrap/>
            <w:vAlign w:val="center"/>
          </w:tcPr>
          <w:p>
            <w:pPr>
              <w:tabs>
                <w:tab w:val="left" w:pos="105"/>
              </w:tabs>
              <w:spacing w:line="240" w:lineRule="exact"/>
              <w:ind w:left="-120" w:leftChars="-50" w:right="-120" w:rightChars="-50"/>
              <w:jc w:val="center"/>
              <w:rPr>
                <w:rFonts w:ascii="Calibri" w:hAnsi="Calibri" w:cs="Calibri"/>
                <w:color w:val="auto"/>
                <w:szCs w:val="21"/>
                <w:highlight w:val="none"/>
              </w:rPr>
            </w:pPr>
            <w:r>
              <w:rPr>
                <w:rFonts w:hint="eastAsia"/>
                <w:color w:val="auto"/>
                <w:szCs w:val="21"/>
                <w:highlight w:val="none"/>
              </w:rPr>
              <w:t>0.95</w:t>
            </w:r>
          </w:p>
        </w:tc>
        <w:tc>
          <w:tcPr>
            <w:tcW w:w="543" w:type="pct"/>
            <w:tcBorders>
              <w:top w:val="single" w:color="000000" w:sz="4" w:space="0"/>
              <w:left w:val="single" w:color="000000" w:sz="4" w:space="0"/>
              <w:bottom w:val="single" w:color="000000" w:sz="4" w:space="0"/>
              <w:right w:val="single" w:color="000000" w:sz="4" w:space="0"/>
            </w:tcBorders>
            <w:noWrap/>
            <w:vAlign w:val="center"/>
          </w:tcPr>
          <w:p>
            <w:pPr>
              <w:tabs>
                <w:tab w:val="left" w:pos="105"/>
              </w:tabs>
              <w:spacing w:line="240" w:lineRule="exact"/>
              <w:ind w:left="-120" w:leftChars="-50" w:right="-120" w:rightChars="-50"/>
              <w:jc w:val="center"/>
              <w:rPr>
                <w:rFonts w:ascii="Calibri" w:hAnsi="Calibri" w:cs="Calibri"/>
                <w:color w:val="auto"/>
                <w:szCs w:val="21"/>
                <w:highlight w:val="none"/>
              </w:rPr>
            </w:pPr>
            <w:r>
              <w:rPr>
                <w:rFonts w:hint="eastAsia"/>
                <w:color w:val="auto"/>
                <w:szCs w:val="21"/>
                <w:highlight w:val="none"/>
              </w:rPr>
              <w:t>0.09925</w:t>
            </w:r>
          </w:p>
        </w:tc>
        <w:tc>
          <w:tcPr>
            <w:tcW w:w="375" w:type="pct"/>
            <w:tcBorders>
              <w:top w:val="single" w:color="000000" w:sz="4" w:space="0"/>
              <w:left w:val="single" w:color="000000" w:sz="4" w:space="0"/>
              <w:bottom w:val="single" w:color="000000" w:sz="4" w:space="0"/>
              <w:right w:val="single" w:color="000000" w:sz="4" w:space="0"/>
            </w:tcBorders>
            <w:noWrap/>
            <w:vAlign w:val="center"/>
          </w:tcPr>
          <w:p>
            <w:pPr>
              <w:jc w:val="center"/>
              <w:rPr>
                <w:rFonts w:ascii="Calibri" w:hAnsi="Calibri" w:cs="Calibri"/>
                <w:color w:val="auto"/>
                <w:szCs w:val="21"/>
                <w:highlight w:val="none"/>
              </w:rPr>
            </w:pPr>
            <w:r>
              <w:rPr>
                <w:rFonts w:hint="eastAsia" w:ascii="Calibri" w:hAnsi="Calibri" w:cs="Calibri"/>
                <w:color w:val="auto"/>
                <w:szCs w:val="21"/>
                <w:highlight w:val="none"/>
              </w:rPr>
              <w:t>800</w:t>
            </w:r>
          </w:p>
        </w:tc>
      </w:tr>
      <w:tr>
        <w:tblPrEx>
          <w:tblCellMar>
            <w:top w:w="15" w:type="dxa"/>
            <w:left w:w="15" w:type="dxa"/>
            <w:bottom w:w="15" w:type="dxa"/>
            <w:right w:w="15" w:type="dxa"/>
          </w:tblCellMar>
        </w:tblPrEx>
        <w:trPr>
          <w:trHeight w:val="270" w:hRule="atLeast"/>
        </w:trPr>
        <w:tc>
          <w:tcPr>
            <w:tcW w:w="213" w:type="pct"/>
            <w:vMerge w:val="continue"/>
            <w:tcBorders>
              <w:left w:val="single" w:color="000000" w:sz="4" w:space="0"/>
              <w:right w:val="single" w:color="000000" w:sz="4" w:space="0"/>
            </w:tcBorders>
            <w:noWrap/>
            <w:vAlign w:val="center"/>
          </w:tcPr>
          <w:p>
            <w:pPr>
              <w:jc w:val="center"/>
              <w:rPr>
                <w:rFonts w:ascii="Calibri" w:hAnsi="Calibri" w:cs="Calibri"/>
                <w:color w:val="auto"/>
                <w:szCs w:val="21"/>
                <w:highlight w:val="none"/>
              </w:rPr>
            </w:pPr>
          </w:p>
        </w:tc>
        <w:tc>
          <w:tcPr>
            <w:tcW w:w="273" w:type="pct"/>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Calibri" w:hAnsi="Calibri" w:cs="Calibri"/>
                <w:color w:val="auto"/>
                <w:szCs w:val="21"/>
                <w:highlight w:val="none"/>
              </w:rPr>
            </w:pPr>
          </w:p>
        </w:tc>
        <w:tc>
          <w:tcPr>
            <w:tcW w:w="332" w:type="pct"/>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Calibri" w:hAnsi="Calibri" w:cs="Calibri"/>
                <w:color w:val="auto"/>
                <w:szCs w:val="21"/>
                <w:highlight w:val="none"/>
              </w:rPr>
            </w:pPr>
          </w:p>
        </w:tc>
        <w:tc>
          <w:tcPr>
            <w:tcW w:w="493" w:type="pct"/>
            <w:tcBorders>
              <w:top w:val="single" w:color="000000" w:sz="4" w:space="0"/>
              <w:left w:val="single" w:color="000000" w:sz="4" w:space="0"/>
              <w:bottom w:val="single" w:color="000000" w:sz="4" w:space="0"/>
              <w:right w:val="single" w:color="000000" w:sz="4" w:space="0"/>
            </w:tcBorders>
            <w:noWrap/>
            <w:vAlign w:val="center"/>
          </w:tcPr>
          <w:p>
            <w:pPr>
              <w:jc w:val="center"/>
              <w:rPr>
                <w:rFonts w:ascii="Calibri" w:hAnsi="Calibri" w:cs="Calibri"/>
                <w:color w:val="auto"/>
                <w:szCs w:val="21"/>
                <w:highlight w:val="none"/>
              </w:rPr>
            </w:pPr>
            <w:r>
              <w:rPr>
                <w:rFonts w:hint="eastAsia" w:ascii="Calibri" w:hAnsi="Calibri" w:cs="Calibri"/>
                <w:color w:val="auto"/>
                <w:szCs w:val="21"/>
                <w:highlight w:val="none"/>
              </w:rPr>
              <w:t>粉尘</w:t>
            </w:r>
          </w:p>
        </w:tc>
        <w:tc>
          <w:tcPr>
            <w:tcW w:w="268" w:type="pct"/>
            <w:tcBorders>
              <w:top w:val="single" w:color="000000" w:sz="4" w:space="0"/>
              <w:left w:val="single" w:color="000000" w:sz="4" w:space="0"/>
              <w:bottom w:val="single" w:color="000000" w:sz="4" w:space="0"/>
              <w:right w:val="single" w:color="000000" w:sz="4" w:space="0"/>
            </w:tcBorders>
            <w:noWrap/>
            <w:vAlign w:val="center"/>
          </w:tcPr>
          <w:p>
            <w:pPr>
              <w:jc w:val="center"/>
              <w:rPr>
                <w:rFonts w:ascii="Calibri" w:hAnsi="Calibri" w:cs="Calibri"/>
                <w:color w:val="auto"/>
                <w:szCs w:val="21"/>
                <w:highlight w:val="none"/>
              </w:rPr>
            </w:pPr>
            <w:r>
              <w:rPr>
                <w:rFonts w:hint="eastAsia" w:ascii="Calibri" w:hAnsi="Calibri" w:cs="Calibri"/>
                <w:color w:val="auto"/>
                <w:szCs w:val="21"/>
                <w:highlight w:val="none"/>
              </w:rPr>
              <w:t>污染系数法</w:t>
            </w:r>
          </w:p>
        </w:tc>
        <w:tc>
          <w:tcPr>
            <w:tcW w:w="343" w:type="pct"/>
            <w:vMerge w:val="continue"/>
            <w:tcBorders>
              <w:left w:val="single" w:color="000000" w:sz="4" w:space="0"/>
              <w:right w:val="single" w:color="000000" w:sz="4" w:space="0"/>
            </w:tcBorders>
            <w:noWrap/>
            <w:vAlign w:val="center"/>
          </w:tcPr>
          <w:p>
            <w:pPr>
              <w:jc w:val="center"/>
              <w:rPr>
                <w:rFonts w:ascii="Calibri" w:hAnsi="Calibri" w:cs="Calibri"/>
                <w:color w:val="auto"/>
                <w:szCs w:val="21"/>
                <w:highlight w:val="none"/>
              </w:rPr>
            </w:pPr>
          </w:p>
        </w:tc>
        <w:tc>
          <w:tcPr>
            <w:tcW w:w="348" w:type="pct"/>
            <w:tcBorders>
              <w:top w:val="single" w:color="000000" w:sz="4" w:space="0"/>
              <w:left w:val="single" w:color="000000" w:sz="4" w:space="0"/>
              <w:bottom w:val="single" w:color="000000" w:sz="4" w:space="0"/>
              <w:right w:val="single" w:color="000000" w:sz="4" w:space="0"/>
            </w:tcBorders>
            <w:noWrap/>
            <w:vAlign w:val="center"/>
          </w:tcPr>
          <w:p>
            <w:pPr>
              <w:tabs>
                <w:tab w:val="left" w:pos="105"/>
              </w:tabs>
              <w:spacing w:line="240" w:lineRule="exact"/>
              <w:ind w:left="-120" w:leftChars="-50" w:right="-120" w:rightChars="-50"/>
              <w:jc w:val="center"/>
              <w:rPr>
                <w:rFonts w:ascii="Calibri" w:hAnsi="Calibri" w:cs="Calibri"/>
                <w:color w:val="auto"/>
                <w:szCs w:val="21"/>
                <w:highlight w:val="none"/>
              </w:rPr>
            </w:pPr>
            <w:r>
              <w:rPr>
                <w:color w:val="auto"/>
                <w:sz w:val="18"/>
                <w:szCs w:val="18"/>
                <w:highlight w:val="none"/>
              </w:rPr>
              <w:t>9.512</w:t>
            </w:r>
          </w:p>
        </w:tc>
        <w:tc>
          <w:tcPr>
            <w:tcW w:w="356" w:type="pct"/>
            <w:tcBorders>
              <w:top w:val="single" w:color="000000" w:sz="4" w:space="0"/>
              <w:left w:val="single" w:color="000000" w:sz="4" w:space="0"/>
              <w:bottom w:val="single" w:color="000000" w:sz="4" w:space="0"/>
              <w:right w:val="single" w:color="000000" w:sz="4" w:space="0"/>
            </w:tcBorders>
            <w:noWrap/>
            <w:vAlign w:val="center"/>
          </w:tcPr>
          <w:p>
            <w:pPr>
              <w:tabs>
                <w:tab w:val="left" w:pos="105"/>
              </w:tabs>
              <w:spacing w:line="240" w:lineRule="exact"/>
              <w:ind w:left="-120" w:leftChars="-50" w:right="-120" w:rightChars="-50"/>
              <w:jc w:val="center"/>
              <w:rPr>
                <w:rFonts w:ascii="Calibri" w:hAnsi="Calibri" w:cs="Calibri"/>
                <w:color w:val="auto"/>
                <w:szCs w:val="21"/>
                <w:highlight w:val="none"/>
              </w:rPr>
            </w:pPr>
            <w:r>
              <w:rPr>
                <w:rFonts w:hint="eastAsia"/>
                <w:color w:val="auto"/>
                <w:sz w:val="18"/>
                <w:szCs w:val="18"/>
                <w:highlight w:val="none"/>
              </w:rPr>
              <w:t>11.89</w:t>
            </w:r>
          </w:p>
        </w:tc>
        <w:tc>
          <w:tcPr>
            <w:tcW w:w="190" w:type="pct"/>
            <w:tcBorders>
              <w:top w:val="single" w:color="000000" w:sz="4" w:space="0"/>
              <w:left w:val="single" w:color="000000" w:sz="4" w:space="0"/>
              <w:bottom w:val="single" w:color="000000" w:sz="4" w:space="0"/>
              <w:right w:val="single" w:color="000000" w:sz="4" w:space="0"/>
            </w:tcBorders>
            <w:noWrap/>
            <w:vAlign w:val="center"/>
          </w:tcPr>
          <w:p>
            <w:pPr>
              <w:jc w:val="center"/>
              <w:rPr>
                <w:rFonts w:ascii="Calibri" w:hAnsi="Calibri" w:cs="Calibri"/>
                <w:color w:val="auto"/>
                <w:szCs w:val="21"/>
                <w:highlight w:val="none"/>
              </w:rPr>
            </w:pPr>
            <w:r>
              <w:rPr>
                <w:rFonts w:hint="eastAsia" w:ascii="Calibri" w:hAnsi="Calibri" w:cs="Calibri"/>
                <w:color w:val="auto"/>
                <w:szCs w:val="21"/>
                <w:highlight w:val="none"/>
              </w:rPr>
              <w:t>/</w:t>
            </w:r>
          </w:p>
        </w:tc>
        <w:tc>
          <w:tcPr>
            <w:tcW w:w="205" w:type="pct"/>
            <w:tcBorders>
              <w:top w:val="single" w:color="000000" w:sz="4" w:space="0"/>
              <w:left w:val="single" w:color="000000" w:sz="4" w:space="0"/>
              <w:bottom w:val="single" w:color="000000" w:sz="4" w:space="0"/>
              <w:right w:val="single" w:color="000000" w:sz="4" w:space="0"/>
            </w:tcBorders>
            <w:noWrap/>
            <w:vAlign w:val="center"/>
          </w:tcPr>
          <w:p>
            <w:pPr>
              <w:jc w:val="center"/>
              <w:rPr>
                <w:rFonts w:ascii="Calibri" w:hAnsi="Calibri" w:cs="Calibri"/>
                <w:color w:val="auto"/>
                <w:szCs w:val="21"/>
                <w:highlight w:val="none"/>
              </w:rPr>
            </w:pPr>
            <w:r>
              <w:rPr>
                <w:rFonts w:hint="eastAsia" w:ascii="Calibri" w:hAnsi="Calibri" w:cs="Calibri"/>
                <w:color w:val="auto"/>
                <w:szCs w:val="21"/>
                <w:highlight w:val="none"/>
              </w:rPr>
              <w:t>/</w:t>
            </w:r>
          </w:p>
        </w:tc>
        <w:tc>
          <w:tcPr>
            <w:tcW w:w="303" w:type="pct"/>
            <w:tcBorders>
              <w:top w:val="single" w:color="000000" w:sz="4" w:space="0"/>
              <w:left w:val="single" w:color="000000" w:sz="4" w:space="0"/>
              <w:bottom w:val="single" w:color="000000" w:sz="4" w:space="0"/>
              <w:right w:val="single" w:color="000000" w:sz="4" w:space="0"/>
            </w:tcBorders>
            <w:noWrap/>
            <w:vAlign w:val="center"/>
          </w:tcPr>
          <w:p>
            <w:pPr>
              <w:jc w:val="center"/>
              <w:rPr>
                <w:rFonts w:ascii="Calibri" w:hAnsi="Calibri" w:cs="Calibri"/>
                <w:color w:val="auto"/>
                <w:szCs w:val="21"/>
                <w:highlight w:val="none"/>
              </w:rPr>
            </w:pPr>
            <w:r>
              <w:rPr>
                <w:rFonts w:hint="eastAsia" w:ascii="Calibri" w:hAnsi="Calibri" w:cs="Calibri"/>
                <w:color w:val="auto"/>
                <w:szCs w:val="21"/>
                <w:highlight w:val="none"/>
              </w:rPr>
              <w:t>污染系数法</w:t>
            </w:r>
          </w:p>
        </w:tc>
        <w:tc>
          <w:tcPr>
            <w:tcW w:w="377" w:type="pct"/>
            <w:vMerge w:val="continue"/>
            <w:tcBorders>
              <w:left w:val="single" w:color="000000" w:sz="4" w:space="0"/>
              <w:right w:val="single" w:color="000000" w:sz="4" w:space="0"/>
            </w:tcBorders>
            <w:noWrap/>
            <w:vAlign w:val="center"/>
          </w:tcPr>
          <w:p>
            <w:pPr>
              <w:jc w:val="center"/>
              <w:rPr>
                <w:rFonts w:ascii="Calibri" w:hAnsi="Calibri" w:cs="Calibri"/>
                <w:color w:val="auto"/>
                <w:szCs w:val="21"/>
                <w:highlight w:val="none"/>
              </w:rPr>
            </w:pPr>
          </w:p>
        </w:tc>
        <w:tc>
          <w:tcPr>
            <w:tcW w:w="374" w:type="pct"/>
            <w:tcBorders>
              <w:top w:val="single" w:color="000000" w:sz="4" w:space="0"/>
              <w:left w:val="single" w:color="000000" w:sz="4" w:space="0"/>
              <w:bottom w:val="single" w:color="000000" w:sz="4" w:space="0"/>
              <w:right w:val="single" w:color="000000" w:sz="4" w:space="0"/>
            </w:tcBorders>
            <w:noWrap/>
            <w:vAlign w:val="center"/>
          </w:tcPr>
          <w:p>
            <w:pPr>
              <w:tabs>
                <w:tab w:val="left" w:pos="105"/>
              </w:tabs>
              <w:spacing w:line="240" w:lineRule="exact"/>
              <w:ind w:left="-120" w:leftChars="-50" w:right="-120" w:rightChars="-50"/>
              <w:jc w:val="center"/>
              <w:rPr>
                <w:rFonts w:ascii="Calibri" w:hAnsi="Calibri" w:cs="Calibri"/>
                <w:color w:val="auto"/>
                <w:szCs w:val="21"/>
                <w:highlight w:val="none"/>
              </w:rPr>
            </w:pPr>
            <w:r>
              <w:rPr>
                <w:color w:val="auto"/>
                <w:sz w:val="18"/>
                <w:szCs w:val="18"/>
                <w:highlight w:val="none"/>
              </w:rPr>
              <w:t>9.512</w:t>
            </w:r>
          </w:p>
        </w:tc>
        <w:tc>
          <w:tcPr>
            <w:tcW w:w="543" w:type="pct"/>
            <w:tcBorders>
              <w:top w:val="single" w:color="000000" w:sz="4" w:space="0"/>
              <w:left w:val="single" w:color="000000" w:sz="4" w:space="0"/>
              <w:bottom w:val="single" w:color="000000" w:sz="4" w:space="0"/>
              <w:right w:val="single" w:color="000000" w:sz="4" w:space="0"/>
            </w:tcBorders>
            <w:noWrap/>
            <w:vAlign w:val="center"/>
          </w:tcPr>
          <w:p>
            <w:pPr>
              <w:tabs>
                <w:tab w:val="left" w:pos="105"/>
              </w:tabs>
              <w:spacing w:line="240" w:lineRule="exact"/>
              <w:ind w:left="-120" w:leftChars="-50" w:right="-120" w:rightChars="-50"/>
              <w:jc w:val="center"/>
              <w:rPr>
                <w:rFonts w:ascii="Calibri" w:hAnsi="Calibri" w:cs="Calibri"/>
                <w:color w:val="auto"/>
                <w:szCs w:val="21"/>
                <w:highlight w:val="none"/>
              </w:rPr>
            </w:pPr>
            <w:r>
              <w:rPr>
                <w:rFonts w:hint="eastAsia"/>
                <w:color w:val="auto"/>
                <w:sz w:val="18"/>
                <w:szCs w:val="18"/>
                <w:highlight w:val="none"/>
              </w:rPr>
              <w:t>11.89</w:t>
            </w:r>
          </w:p>
        </w:tc>
        <w:tc>
          <w:tcPr>
            <w:tcW w:w="375" w:type="pct"/>
            <w:tcBorders>
              <w:top w:val="single" w:color="000000" w:sz="4" w:space="0"/>
              <w:left w:val="single" w:color="000000" w:sz="4" w:space="0"/>
              <w:bottom w:val="single" w:color="000000" w:sz="4" w:space="0"/>
              <w:right w:val="single" w:color="000000" w:sz="4" w:space="0"/>
            </w:tcBorders>
            <w:noWrap/>
            <w:vAlign w:val="center"/>
          </w:tcPr>
          <w:p>
            <w:pPr>
              <w:jc w:val="center"/>
              <w:rPr>
                <w:rFonts w:ascii="Calibri" w:hAnsi="Calibri" w:cs="Calibri"/>
                <w:color w:val="auto"/>
                <w:szCs w:val="21"/>
                <w:highlight w:val="none"/>
              </w:rPr>
            </w:pPr>
            <w:r>
              <w:rPr>
                <w:rFonts w:hint="eastAsia" w:ascii="Calibri" w:hAnsi="Calibri" w:cs="Calibri"/>
                <w:color w:val="auto"/>
                <w:szCs w:val="21"/>
                <w:highlight w:val="none"/>
              </w:rPr>
              <w:t>800</w:t>
            </w:r>
          </w:p>
        </w:tc>
      </w:tr>
      <w:tr>
        <w:tblPrEx>
          <w:tblCellMar>
            <w:top w:w="15" w:type="dxa"/>
            <w:left w:w="15" w:type="dxa"/>
            <w:bottom w:w="15" w:type="dxa"/>
            <w:right w:w="15" w:type="dxa"/>
          </w:tblCellMar>
        </w:tblPrEx>
        <w:trPr>
          <w:trHeight w:val="270" w:hRule="atLeast"/>
        </w:trPr>
        <w:tc>
          <w:tcPr>
            <w:tcW w:w="213" w:type="pct"/>
            <w:vMerge w:val="continue"/>
            <w:tcBorders>
              <w:left w:val="single" w:color="000000" w:sz="4" w:space="0"/>
              <w:right w:val="single" w:color="000000" w:sz="4" w:space="0"/>
            </w:tcBorders>
            <w:noWrap/>
            <w:vAlign w:val="center"/>
          </w:tcPr>
          <w:p>
            <w:pPr>
              <w:jc w:val="center"/>
              <w:rPr>
                <w:rFonts w:ascii="Calibri" w:hAnsi="Calibri" w:cs="Calibri"/>
                <w:color w:val="auto"/>
                <w:szCs w:val="21"/>
                <w:highlight w:val="none"/>
              </w:rPr>
            </w:pPr>
          </w:p>
        </w:tc>
        <w:tc>
          <w:tcPr>
            <w:tcW w:w="273" w:type="pct"/>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Calibri" w:hAnsi="Calibri" w:cs="Calibri"/>
                <w:color w:val="auto"/>
                <w:szCs w:val="21"/>
                <w:highlight w:val="none"/>
              </w:rPr>
            </w:pPr>
          </w:p>
        </w:tc>
        <w:tc>
          <w:tcPr>
            <w:tcW w:w="332" w:type="pct"/>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Calibri" w:hAnsi="Calibri" w:cs="Calibri"/>
                <w:color w:val="auto"/>
                <w:szCs w:val="21"/>
                <w:highlight w:val="none"/>
              </w:rPr>
            </w:pPr>
          </w:p>
        </w:tc>
        <w:tc>
          <w:tcPr>
            <w:tcW w:w="493" w:type="pct"/>
            <w:tcBorders>
              <w:top w:val="single" w:color="000000" w:sz="4" w:space="0"/>
              <w:left w:val="single" w:color="000000" w:sz="4" w:space="0"/>
              <w:bottom w:val="single" w:color="000000" w:sz="4" w:space="0"/>
              <w:right w:val="single" w:color="000000" w:sz="4" w:space="0"/>
            </w:tcBorders>
            <w:noWrap/>
            <w:vAlign w:val="center"/>
          </w:tcPr>
          <w:p>
            <w:pPr>
              <w:tabs>
                <w:tab w:val="left" w:pos="105"/>
              </w:tabs>
              <w:spacing w:line="240" w:lineRule="exact"/>
              <w:ind w:left="-120" w:leftChars="-50" w:right="-120" w:rightChars="-50"/>
              <w:jc w:val="center"/>
              <w:rPr>
                <w:rFonts w:ascii="Calibri" w:hAnsi="Calibri" w:cs="Calibri"/>
                <w:color w:val="auto"/>
                <w:szCs w:val="21"/>
                <w:highlight w:val="none"/>
              </w:rPr>
            </w:pPr>
            <w:r>
              <w:rPr>
                <w:color w:val="auto"/>
                <w:szCs w:val="21"/>
                <w:highlight w:val="none"/>
              </w:rPr>
              <w:t>沥青烟气</w:t>
            </w:r>
          </w:p>
        </w:tc>
        <w:tc>
          <w:tcPr>
            <w:tcW w:w="268" w:type="pct"/>
            <w:tcBorders>
              <w:top w:val="single" w:color="000000" w:sz="4" w:space="0"/>
              <w:left w:val="single" w:color="000000" w:sz="4" w:space="0"/>
              <w:bottom w:val="single" w:color="000000" w:sz="4" w:space="0"/>
              <w:right w:val="single" w:color="000000" w:sz="4" w:space="0"/>
            </w:tcBorders>
            <w:noWrap/>
            <w:vAlign w:val="center"/>
          </w:tcPr>
          <w:p>
            <w:pPr>
              <w:jc w:val="center"/>
              <w:rPr>
                <w:rFonts w:ascii="Calibri" w:hAnsi="Calibri" w:cs="Calibri"/>
                <w:color w:val="auto"/>
                <w:szCs w:val="21"/>
                <w:highlight w:val="none"/>
              </w:rPr>
            </w:pPr>
            <w:r>
              <w:rPr>
                <w:rFonts w:hint="eastAsia" w:ascii="Calibri" w:hAnsi="Calibri" w:cs="Calibri"/>
                <w:color w:val="auto"/>
                <w:szCs w:val="21"/>
                <w:highlight w:val="none"/>
              </w:rPr>
              <w:t>污染系数法</w:t>
            </w:r>
          </w:p>
        </w:tc>
        <w:tc>
          <w:tcPr>
            <w:tcW w:w="343" w:type="pct"/>
            <w:vMerge w:val="continue"/>
            <w:tcBorders>
              <w:left w:val="single" w:color="000000" w:sz="4" w:space="0"/>
              <w:right w:val="single" w:color="000000" w:sz="4" w:space="0"/>
            </w:tcBorders>
            <w:noWrap/>
            <w:vAlign w:val="center"/>
          </w:tcPr>
          <w:p>
            <w:pPr>
              <w:jc w:val="center"/>
              <w:rPr>
                <w:rFonts w:ascii="Calibri" w:hAnsi="Calibri" w:cs="Calibri"/>
                <w:color w:val="auto"/>
                <w:szCs w:val="21"/>
                <w:highlight w:val="none"/>
              </w:rPr>
            </w:pPr>
          </w:p>
        </w:tc>
        <w:tc>
          <w:tcPr>
            <w:tcW w:w="348" w:type="pct"/>
            <w:tcBorders>
              <w:top w:val="single" w:color="000000" w:sz="4" w:space="0"/>
              <w:left w:val="single" w:color="000000" w:sz="4" w:space="0"/>
              <w:bottom w:val="single" w:color="000000" w:sz="4" w:space="0"/>
              <w:right w:val="single" w:color="000000" w:sz="4" w:space="0"/>
            </w:tcBorders>
            <w:noWrap/>
            <w:vAlign w:val="center"/>
          </w:tcPr>
          <w:p>
            <w:pPr>
              <w:jc w:val="center"/>
              <w:rPr>
                <w:rFonts w:ascii="Calibri" w:hAnsi="Calibri" w:cs="Calibri"/>
                <w:color w:val="auto"/>
                <w:szCs w:val="21"/>
                <w:highlight w:val="none"/>
              </w:rPr>
            </w:pPr>
            <w:r>
              <w:rPr>
                <w:rFonts w:hint="eastAsia" w:ascii="Calibri" w:hAnsi="Calibri" w:cs="Calibri"/>
                <w:color w:val="auto"/>
                <w:szCs w:val="21"/>
                <w:highlight w:val="none"/>
              </w:rPr>
              <w:t>3.752</w:t>
            </w:r>
          </w:p>
        </w:tc>
        <w:tc>
          <w:tcPr>
            <w:tcW w:w="356" w:type="pct"/>
            <w:tcBorders>
              <w:top w:val="single" w:color="000000" w:sz="4" w:space="0"/>
              <w:left w:val="single" w:color="000000" w:sz="4" w:space="0"/>
              <w:bottom w:val="single" w:color="000000" w:sz="4" w:space="0"/>
              <w:right w:val="single" w:color="000000" w:sz="4" w:space="0"/>
            </w:tcBorders>
            <w:noWrap/>
            <w:vAlign w:val="center"/>
          </w:tcPr>
          <w:p>
            <w:pPr>
              <w:pStyle w:val="31"/>
              <w:spacing w:line="240" w:lineRule="auto"/>
              <w:rPr>
                <w:rFonts w:ascii="Calibri" w:hAnsi="Calibri" w:cs="Calibri"/>
                <w:color w:val="auto"/>
                <w:sz w:val="21"/>
                <w:szCs w:val="21"/>
                <w:highlight w:val="none"/>
              </w:rPr>
            </w:pPr>
            <w:r>
              <w:rPr>
                <w:rFonts w:ascii="Times New Roman" w:eastAsia="宋体"/>
                <w:color w:val="auto"/>
                <w:sz w:val="21"/>
                <w:szCs w:val="21"/>
                <w:highlight w:val="none"/>
              </w:rPr>
              <w:t>0.394</w:t>
            </w:r>
          </w:p>
        </w:tc>
        <w:tc>
          <w:tcPr>
            <w:tcW w:w="190" w:type="pct"/>
            <w:tcBorders>
              <w:top w:val="single" w:color="000000" w:sz="4" w:space="0"/>
              <w:left w:val="single" w:color="000000" w:sz="4" w:space="0"/>
              <w:bottom w:val="single" w:color="000000" w:sz="4" w:space="0"/>
              <w:right w:val="single" w:color="000000" w:sz="4" w:space="0"/>
            </w:tcBorders>
            <w:noWrap/>
            <w:vAlign w:val="center"/>
          </w:tcPr>
          <w:p>
            <w:pPr>
              <w:jc w:val="center"/>
              <w:rPr>
                <w:rFonts w:ascii="Calibri" w:hAnsi="Calibri" w:cs="Calibri"/>
                <w:color w:val="auto"/>
                <w:szCs w:val="21"/>
                <w:highlight w:val="none"/>
              </w:rPr>
            </w:pPr>
            <w:r>
              <w:rPr>
                <w:rFonts w:hint="eastAsia" w:ascii="Calibri" w:hAnsi="Calibri" w:cs="Calibri"/>
                <w:color w:val="auto"/>
                <w:szCs w:val="21"/>
                <w:highlight w:val="none"/>
              </w:rPr>
              <w:t>/</w:t>
            </w:r>
          </w:p>
        </w:tc>
        <w:tc>
          <w:tcPr>
            <w:tcW w:w="205" w:type="pct"/>
            <w:tcBorders>
              <w:top w:val="single" w:color="000000" w:sz="4" w:space="0"/>
              <w:left w:val="single" w:color="000000" w:sz="4" w:space="0"/>
              <w:bottom w:val="single" w:color="000000" w:sz="4" w:space="0"/>
              <w:right w:val="single" w:color="000000" w:sz="4" w:space="0"/>
            </w:tcBorders>
            <w:noWrap/>
            <w:vAlign w:val="center"/>
          </w:tcPr>
          <w:p>
            <w:pPr>
              <w:jc w:val="center"/>
              <w:rPr>
                <w:rFonts w:ascii="Calibri" w:hAnsi="Calibri" w:cs="Calibri"/>
                <w:color w:val="auto"/>
                <w:szCs w:val="21"/>
                <w:highlight w:val="none"/>
              </w:rPr>
            </w:pPr>
            <w:r>
              <w:rPr>
                <w:rFonts w:hint="eastAsia" w:ascii="Calibri" w:hAnsi="Calibri" w:cs="Calibri"/>
                <w:color w:val="auto"/>
                <w:szCs w:val="21"/>
                <w:highlight w:val="none"/>
              </w:rPr>
              <w:t>/</w:t>
            </w:r>
          </w:p>
        </w:tc>
        <w:tc>
          <w:tcPr>
            <w:tcW w:w="303" w:type="pct"/>
            <w:tcBorders>
              <w:top w:val="single" w:color="000000" w:sz="4" w:space="0"/>
              <w:left w:val="single" w:color="000000" w:sz="4" w:space="0"/>
              <w:bottom w:val="single" w:color="000000" w:sz="4" w:space="0"/>
              <w:right w:val="single" w:color="000000" w:sz="4" w:space="0"/>
            </w:tcBorders>
            <w:noWrap/>
            <w:vAlign w:val="center"/>
          </w:tcPr>
          <w:p>
            <w:pPr>
              <w:jc w:val="center"/>
              <w:rPr>
                <w:rFonts w:ascii="Calibri" w:hAnsi="Calibri" w:cs="Calibri"/>
                <w:color w:val="auto"/>
                <w:szCs w:val="21"/>
                <w:highlight w:val="none"/>
              </w:rPr>
            </w:pPr>
            <w:r>
              <w:rPr>
                <w:rFonts w:hint="eastAsia" w:ascii="Calibri" w:hAnsi="Calibri" w:cs="Calibri"/>
                <w:color w:val="auto"/>
                <w:szCs w:val="21"/>
                <w:highlight w:val="none"/>
              </w:rPr>
              <w:t>污染系数法</w:t>
            </w:r>
          </w:p>
        </w:tc>
        <w:tc>
          <w:tcPr>
            <w:tcW w:w="377" w:type="pct"/>
            <w:vMerge w:val="continue"/>
            <w:tcBorders>
              <w:left w:val="single" w:color="000000" w:sz="4" w:space="0"/>
              <w:right w:val="single" w:color="000000" w:sz="4" w:space="0"/>
            </w:tcBorders>
            <w:noWrap/>
            <w:vAlign w:val="center"/>
          </w:tcPr>
          <w:p>
            <w:pPr>
              <w:jc w:val="center"/>
              <w:rPr>
                <w:rFonts w:ascii="Calibri" w:hAnsi="Calibri" w:cs="Calibri"/>
                <w:color w:val="auto"/>
                <w:szCs w:val="21"/>
                <w:highlight w:val="none"/>
              </w:rPr>
            </w:pPr>
          </w:p>
        </w:tc>
        <w:tc>
          <w:tcPr>
            <w:tcW w:w="374" w:type="pct"/>
            <w:tcBorders>
              <w:top w:val="single" w:color="000000" w:sz="4" w:space="0"/>
              <w:left w:val="single" w:color="000000" w:sz="4" w:space="0"/>
              <w:bottom w:val="single" w:color="000000" w:sz="4" w:space="0"/>
              <w:right w:val="single" w:color="000000" w:sz="4" w:space="0"/>
            </w:tcBorders>
            <w:noWrap/>
            <w:vAlign w:val="center"/>
          </w:tcPr>
          <w:p>
            <w:pPr>
              <w:jc w:val="center"/>
              <w:rPr>
                <w:rFonts w:ascii="Calibri" w:hAnsi="Calibri" w:cs="Calibri"/>
                <w:color w:val="auto"/>
                <w:szCs w:val="21"/>
                <w:highlight w:val="none"/>
              </w:rPr>
            </w:pPr>
            <w:r>
              <w:rPr>
                <w:rFonts w:hint="eastAsia" w:ascii="Calibri" w:hAnsi="Calibri" w:cs="Calibri"/>
                <w:color w:val="auto"/>
                <w:szCs w:val="21"/>
                <w:highlight w:val="none"/>
              </w:rPr>
              <w:t>3.752</w:t>
            </w:r>
          </w:p>
        </w:tc>
        <w:tc>
          <w:tcPr>
            <w:tcW w:w="543" w:type="pct"/>
            <w:tcBorders>
              <w:top w:val="single" w:color="000000" w:sz="4" w:space="0"/>
              <w:left w:val="single" w:color="000000" w:sz="4" w:space="0"/>
              <w:bottom w:val="single" w:color="000000" w:sz="4" w:space="0"/>
              <w:right w:val="single" w:color="000000" w:sz="4" w:space="0"/>
            </w:tcBorders>
            <w:noWrap/>
            <w:vAlign w:val="center"/>
          </w:tcPr>
          <w:p>
            <w:pPr>
              <w:pStyle w:val="31"/>
              <w:spacing w:line="240" w:lineRule="auto"/>
              <w:rPr>
                <w:rFonts w:ascii="Calibri" w:hAnsi="Calibri" w:cs="Calibri"/>
                <w:color w:val="auto"/>
                <w:sz w:val="21"/>
                <w:szCs w:val="21"/>
                <w:highlight w:val="none"/>
              </w:rPr>
            </w:pPr>
            <w:r>
              <w:rPr>
                <w:rFonts w:ascii="Times New Roman" w:eastAsia="宋体"/>
                <w:color w:val="auto"/>
                <w:sz w:val="21"/>
                <w:szCs w:val="21"/>
                <w:highlight w:val="none"/>
              </w:rPr>
              <w:t>0.394</w:t>
            </w:r>
          </w:p>
        </w:tc>
        <w:tc>
          <w:tcPr>
            <w:tcW w:w="375" w:type="pct"/>
            <w:tcBorders>
              <w:top w:val="single" w:color="000000" w:sz="4" w:space="0"/>
              <w:left w:val="single" w:color="000000" w:sz="4" w:space="0"/>
              <w:bottom w:val="single" w:color="000000" w:sz="4" w:space="0"/>
              <w:right w:val="single" w:color="000000" w:sz="4" w:space="0"/>
            </w:tcBorders>
            <w:noWrap/>
            <w:vAlign w:val="center"/>
          </w:tcPr>
          <w:p>
            <w:pPr>
              <w:jc w:val="center"/>
              <w:rPr>
                <w:rFonts w:ascii="Calibri" w:hAnsi="Calibri" w:cs="Calibri"/>
                <w:color w:val="auto"/>
                <w:szCs w:val="21"/>
                <w:highlight w:val="none"/>
              </w:rPr>
            </w:pPr>
            <w:r>
              <w:rPr>
                <w:rFonts w:hint="eastAsia" w:ascii="Calibri" w:hAnsi="Calibri" w:cs="Calibri"/>
                <w:color w:val="auto"/>
                <w:szCs w:val="21"/>
                <w:highlight w:val="none"/>
              </w:rPr>
              <w:t>800</w:t>
            </w:r>
          </w:p>
        </w:tc>
      </w:tr>
      <w:tr>
        <w:tblPrEx>
          <w:tblCellMar>
            <w:top w:w="15" w:type="dxa"/>
            <w:left w:w="15" w:type="dxa"/>
            <w:bottom w:w="15" w:type="dxa"/>
            <w:right w:w="15" w:type="dxa"/>
          </w:tblCellMar>
        </w:tblPrEx>
        <w:trPr>
          <w:trHeight w:val="270" w:hRule="atLeast"/>
        </w:trPr>
        <w:tc>
          <w:tcPr>
            <w:tcW w:w="213" w:type="pct"/>
            <w:vMerge w:val="continue"/>
            <w:tcBorders>
              <w:left w:val="single" w:color="000000" w:sz="4" w:space="0"/>
              <w:right w:val="single" w:color="000000" w:sz="4" w:space="0"/>
            </w:tcBorders>
            <w:noWrap/>
            <w:vAlign w:val="center"/>
          </w:tcPr>
          <w:p>
            <w:pPr>
              <w:jc w:val="center"/>
              <w:rPr>
                <w:rFonts w:ascii="Calibri" w:hAnsi="Calibri" w:cs="Calibri"/>
                <w:color w:val="auto"/>
                <w:szCs w:val="21"/>
                <w:highlight w:val="none"/>
              </w:rPr>
            </w:pPr>
          </w:p>
        </w:tc>
        <w:tc>
          <w:tcPr>
            <w:tcW w:w="273" w:type="pct"/>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Calibri" w:hAnsi="Calibri" w:cs="Calibri"/>
                <w:color w:val="auto"/>
                <w:szCs w:val="21"/>
                <w:highlight w:val="none"/>
              </w:rPr>
            </w:pPr>
          </w:p>
        </w:tc>
        <w:tc>
          <w:tcPr>
            <w:tcW w:w="332" w:type="pct"/>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Calibri" w:hAnsi="Calibri" w:cs="Calibri"/>
                <w:color w:val="auto"/>
                <w:szCs w:val="21"/>
                <w:highlight w:val="none"/>
              </w:rPr>
            </w:pPr>
          </w:p>
        </w:tc>
        <w:tc>
          <w:tcPr>
            <w:tcW w:w="493" w:type="pct"/>
            <w:tcBorders>
              <w:top w:val="single" w:color="000000" w:sz="4" w:space="0"/>
              <w:left w:val="single" w:color="000000" w:sz="4" w:space="0"/>
              <w:bottom w:val="single" w:color="000000" w:sz="4" w:space="0"/>
              <w:right w:val="single" w:color="000000" w:sz="4" w:space="0"/>
            </w:tcBorders>
            <w:noWrap/>
            <w:vAlign w:val="center"/>
          </w:tcPr>
          <w:p>
            <w:pPr>
              <w:tabs>
                <w:tab w:val="left" w:pos="105"/>
              </w:tabs>
              <w:spacing w:line="240" w:lineRule="exact"/>
              <w:ind w:left="-120" w:leftChars="-50" w:right="-120" w:rightChars="-50"/>
              <w:jc w:val="center"/>
              <w:rPr>
                <w:rFonts w:ascii="Calibri" w:hAnsi="Calibri" w:cs="Calibri"/>
                <w:color w:val="auto"/>
                <w:szCs w:val="21"/>
                <w:highlight w:val="none"/>
              </w:rPr>
            </w:pPr>
            <w:r>
              <w:rPr>
                <w:color w:val="auto"/>
                <w:szCs w:val="21"/>
                <w:highlight w:val="none"/>
              </w:rPr>
              <w:t>苯并[a]芘</w:t>
            </w:r>
          </w:p>
        </w:tc>
        <w:tc>
          <w:tcPr>
            <w:tcW w:w="268" w:type="pct"/>
            <w:tcBorders>
              <w:top w:val="single" w:color="000000" w:sz="4" w:space="0"/>
              <w:left w:val="single" w:color="000000" w:sz="4" w:space="0"/>
              <w:bottom w:val="single" w:color="000000" w:sz="4" w:space="0"/>
              <w:right w:val="single" w:color="000000" w:sz="4" w:space="0"/>
            </w:tcBorders>
            <w:noWrap/>
            <w:vAlign w:val="center"/>
          </w:tcPr>
          <w:p>
            <w:pPr>
              <w:jc w:val="center"/>
              <w:rPr>
                <w:rFonts w:ascii="Calibri" w:hAnsi="Calibri" w:cs="Calibri"/>
                <w:color w:val="auto"/>
                <w:szCs w:val="21"/>
                <w:highlight w:val="none"/>
              </w:rPr>
            </w:pPr>
            <w:r>
              <w:rPr>
                <w:rFonts w:hint="eastAsia" w:ascii="Calibri" w:hAnsi="Calibri" w:cs="Calibri"/>
                <w:color w:val="auto"/>
                <w:szCs w:val="21"/>
                <w:highlight w:val="none"/>
              </w:rPr>
              <w:t>污染系数法</w:t>
            </w:r>
          </w:p>
        </w:tc>
        <w:tc>
          <w:tcPr>
            <w:tcW w:w="343" w:type="pct"/>
            <w:vMerge w:val="continue"/>
            <w:tcBorders>
              <w:left w:val="single" w:color="000000" w:sz="4" w:space="0"/>
              <w:right w:val="single" w:color="000000" w:sz="4" w:space="0"/>
            </w:tcBorders>
            <w:noWrap/>
            <w:vAlign w:val="center"/>
          </w:tcPr>
          <w:p>
            <w:pPr>
              <w:jc w:val="center"/>
              <w:rPr>
                <w:rFonts w:ascii="Calibri" w:hAnsi="Calibri" w:cs="Calibri"/>
                <w:color w:val="auto"/>
                <w:szCs w:val="21"/>
                <w:highlight w:val="none"/>
              </w:rPr>
            </w:pPr>
          </w:p>
        </w:tc>
        <w:tc>
          <w:tcPr>
            <w:tcW w:w="348" w:type="pct"/>
            <w:tcBorders>
              <w:top w:val="single" w:color="000000" w:sz="4" w:space="0"/>
              <w:left w:val="single" w:color="000000" w:sz="4" w:space="0"/>
              <w:bottom w:val="single" w:color="000000" w:sz="4" w:space="0"/>
              <w:right w:val="single" w:color="000000" w:sz="4" w:space="0"/>
            </w:tcBorders>
            <w:noWrap/>
            <w:vAlign w:val="center"/>
          </w:tcPr>
          <w:p>
            <w:pPr>
              <w:jc w:val="center"/>
              <w:rPr>
                <w:rFonts w:ascii="Calibri" w:hAnsi="Calibri" w:cs="Calibri"/>
                <w:color w:val="auto"/>
                <w:szCs w:val="21"/>
                <w:highlight w:val="none"/>
              </w:rPr>
            </w:pPr>
            <w:r>
              <w:rPr>
                <w:rFonts w:hint="eastAsia" w:ascii="Calibri" w:hAnsi="Calibri" w:cs="Calibri"/>
                <w:color w:val="auto"/>
                <w:szCs w:val="21"/>
                <w:highlight w:val="none"/>
              </w:rPr>
              <w:t>6.65</w:t>
            </w:r>
            <w:r>
              <w:rPr>
                <w:color w:val="auto"/>
                <w:szCs w:val="21"/>
                <w:highlight w:val="none"/>
              </w:rPr>
              <w:t>*10-</w:t>
            </w:r>
            <w:r>
              <w:rPr>
                <w:rFonts w:hint="eastAsia"/>
                <w:color w:val="auto"/>
                <w:szCs w:val="21"/>
                <w:highlight w:val="none"/>
                <w:vertAlign w:val="superscript"/>
              </w:rPr>
              <w:t>5</w:t>
            </w:r>
          </w:p>
        </w:tc>
        <w:tc>
          <w:tcPr>
            <w:tcW w:w="356" w:type="pct"/>
            <w:tcBorders>
              <w:top w:val="single" w:color="000000" w:sz="4" w:space="0"/>
              <w:left w:val="single" w:color="000000" w:sz="4" w:space="0"/>
              <w:bottom w:val="single" w:color="000000" w:sz="4" w:space="0"/>
              <w:right w:val="single" w:color="000000" w:sz="4" w:space="0"/>
            </w:tcBorders>
            <w:noWrap/>
            <w:vAlign w:val="center"/>
          </w:tcPr>
          <w:p>
            <w:pPr>
              <w:pStyle w:val="31"/>
              <w:spacing w:line="240" w:lineRule="auto"/>
              <w:rPr>
                <w:rFonts w:ascii="Calibri" w:hAnsi="Calibri" w:cs="Calibri"/>
                <w:color w:val="auto"/>
                <w:sz w:val="21"/>
                <w:szCs w:val="21"/>
                <w:highlight w:val="none"/>
              </w:rPr>
            </w:pPr>
            <w:r>
              <w:rPr>
                <w:rFonts w:ascii="Times New Roman" w:eastAsia="宋体"/>
                <w:color w:val="auto"/>
                <w:sz w:val="21"/>
                <w:szCs w:val="21"/>
                <w:highlight w:val="none"/>
              </w:rPr>
              <w:t>6.98*10-</w:t>
            </w:r>
            <w:r>
              <w:rPr>
                <w:rFonts w:ascii="Times New Roman" w:eastAsia="宋体"/>
                <w:color w:val="auto"/>
                <w:sz w:val="21"/>
                <w:szCs w:val="21"/>
                <w:highlight w:val="none"/>
                <w:vertAlign w:val="superscript"/>
              </w:rPr>
              <w:t>6</w:t>
            </w:r>
          </w:p>
        </w:tc>
        <w:tc>
          <w:tcPr>
            <w:tcW w:w="190" w:type="pct"/>
            <w:tcBorders>
              <w:top w:val="single" w:color="000000" w:sz="4" w:space="0"/>
              <w:left w:val="single" w:color="000000" w:sz="4" w:space="0"/>
              <w:bottom w:val="single" w:color="000000" w:sz="4" w:space="0"/>
              <w:right w:val="single" w:color="000000" w:sz="4" w:space="0"/>
            </w:tcBorders>
            <w:noWrap/>
            <w:vAlign w:val="center"/>
          </w:tcPr>
          <w:p>
            <w:pPr>
              <w:jc w:val="center"/>
              <w:rPr>
                <w:rFonts w:ascii="Calibri" w:hAnsi="Calibri" w:cs="Calibri"/>
                <w:color w:val="auto"/>
                <w:szCs w:val="21"/>
                <w:highlight w:val="none"/>
              </w:rPr>
            </w:pPr>
            <w:r>
              <w:rPr>
                <w:rFonts w:hint="eastAsia" w:ascii="Calibri" w:hAnsi="Calibri" w:cs="Calibri"/>
                <w:color w:val="auto"/>
                <w:szCs w:val="21"/>
                <w:highlight w:val="none"/>
              </w:rPr>
              <w:t>/</w:t>
            </w:r>
          </w:p>
        </w:tc>
        <w:tc>
          <w:tcPr>
            <w:tcW w:w="205" w:type="pct"/>
            <w:tcBorders>
              <w:top w:val="single" w:color="000000" w:sz="4" w:space="0"/>
              <w:left w:val="single" w:color="000000" w:sz="4" w:space="0"/>
              <w:bottom w:val="single" w:color="000000" w:sz="4" w:space="0"/>
              <w:right w:val="single" w:color="000000" w:sz="4" w:space="0"/>
            </w:tcBorders>
            <w:noWrap/>
            <w:vAlign w:val="center"/>
          </w:tcPr>
          <w:p>
            <w:pPr>
              <w:jc w:val="center"/>
              <w:rPr>
                <w:rFonts w:ascii="Calibri" w:hAnsi="Calibri" w:cs="Calibri"/>
                <w:color w:val="auto"/>
                <w:szCs w:val="21"/>
                <w:highlight w:val="none"/>
              </w:rPr>
            </w:pPr>
            <w:r>
              <w:rPr>
                <w:rFonts w:hint="eastAsia" w:ascii="Calibri" w:hAnsi="Calibri" w:cs="Calibri"/>
                <w:color w:val="auto"/>
                <w:szCs w:val="21"/>
                <w:highlight w:val="none"/>
              </w:rPr>
              <w:t>/</w:t>
            </w:r>
          </w:p>
        </w:tc>
        <w:tc>
          <w:tcPr>
            <w:tcW w:w="303" w:type="pct"/>
            <w:tcBorders>
              <w:top w:val="single" w:color="000000" w:sz="4" w:space="0"/>
              <w:left w:val="single" w:color="000000" w:sz="4" w:space="0"/>
              <w:bottom w:val="single" w:color="000000" w:sz="4" w:space="0"/>
              <w:right w:val="single" w:color="000000" w:sz="4" w:space="0"/>
            </w:tcBorders>
            <w:noWrap/>
            <w:vAlign w:val="center"/>
          </w:tcPr>
          <w:p>
            <w:pPr>
              <w:jc w:val="center"/>
              <w:rPr>
                <w:rFonts w:ascii="Calibri" w:hAnsi="Calibri" w:cs="Calibri"/>
                <w:color w:val="auto"/>
                <w:szCs w:val="21"/>
                <w:highlight w:val="none"/>
              </w:rPr>
            </w:pPr>
            <w:r>
              <w:rPr>
                <w:rFonts w:hint="eastAsia" w:ascii="Calibri" w:hAnsi="Calibri" w:cs="Calibri"/>
                <w:color w:val="auto"/>
                <w:szCs w:val="21"/>
                <w:highlight w:val="none"/>
              </w:rPr>
              <w:t>污染系数法</w:t>
            </w:r>
          </w:p>
        </w:tc>
        <w:tc>
          <w:tcPr>
            <w:tcW w:w="377" w:type="pct"/>
            <w:vMerge w:val="continue"/>
            <w:tcBorders>
              <w:left w:val="single" w:color="000000" w:sz="4" w:space="0"/>
              <w:right w:val="single" w:color="000000" w:sz="4" w:space="0"/>
            </w:tcBorders>
            <w:noWrap/>
            <w:vAlign w:val="center"/>
          </w:tcPr>
          <w:p>
            <w:pPr>
              <w:jc w:val="center"/>
              <w:rPr>
                <w:rFonts w:ascii="Calibri" w:hAnsi="Calibri" w:cs="Calibri"/>
                <w:color w:val="auto"/>
                <w:szCs w:val="21"/>
                <w:highlight w:val="none"/>
              </w:rPr>
            </w:pPr>
          </w:p>
        </w:tc>
        <w:tc>
          <w:tcPr>
            <w:tcW w:w="374" w:type="pct"/>
            <w:tcBorders>
              <w:top w:val="single" w:color="000000" w:sz="4" w:space="0"/>
              <w:left w:val="single" w:color="000000" w:sz="4" w:space="0"/>
              <w:bottom w:val="single" w:color="000000" w:sz="4" w:space="0"/>
              <w:right w:val="single" w:color="000000" w:sz="4" w:space="0"/>
            </w:tcBorders>
            <w:noWrap/>
            <w:vAlign w:val="center"/>
          </w:tcPr>
          <w:p>
            <w:pPr>
              <w:jc w:val="center"/>
              <w:rPr>
                <w:rFonts w:ascii="Calibri" w:hAnsi="Calibri" w:cs="Calibri"/>
                <w:color w:val="auto"/>
                <w:szCs w:val="21"/>
                <w:highlight w:val="none"/>
              </w:rPr>
            </w:pPr>
            <w:r>
              <w:rPr>
                <w:rFonts w:hint="eastAsia" w:ascii="Calibri" w:hAnsi="Calibri" w:cs="Calibri"/>
                <w:color w:val="auto"/>
                <w:szCs w:val="21"/>
                <w:highlight w:val="none"/>
              </w:rPr>
              <w:t>6.65</w:t>
            </w:r>
            <w:r>
              <w:rPr>
                <w:color w:val="auto"/>
                <w:szCs w:val="21"/>
                <w:highlight w:val="none"/>
              </w:rPr>
              <w:t>*10-</w:t>
            </w:r>
            <w:r>
              <w:rPr>
                <w:rFonts w:hint="eastAsia"/>
                <w:color w:val="auto"/>
                <w:szCs w:val="21"/>
                <w:highlight w:val="none"/>
                <w:vertAlign w:val="superscript"/>
              </w:rPr>
              <w:t>5</w:t>
            </w:r>
          </w:p>
        </w:tc>
        <w:tc>
          <w:tcPr>
            <w:tcW w:w="543" w:type="pct"/>
            <w:tcBorders>
              <w:top w:val="single" w:color="000000" w:sz="4" w:space="0"/>
              <w:left w:val="single" w:color="000000" w:sz="4" w:space="0"/>
              <w:bottom w:val="single" w:color="000000" w:sz="4" w:space="0"/>
              <w:right w:val="single" w:color="000000" w:sz="4" w:space="0"/>
            </w:tcBorders>
            <w:noWrap/>
            <w:vAlign w:val="center"/>
          </w:tcPr>
          <w:p>
            <w:pPr>
              <w:pStyle w:val="31"/>
              <w:spacing w:line="240" w:lineRule="auto"/>
              <w:rPr>
                <w:rFonts w:ascii="Calibri" w:hAnsi="Calibri" w:cs="Calibri"/>
                <w:color w:val="auto"/>
                <w:sz w:val="21"/>
                <w:szCs w:val="21"/>
                <w:highlight w:val="none"/>
              </w:rPr>
            </w:pPr>
            <w:r>
              <w:rPr>
                <w:rFonts w:ascii="Times New Roman" w:eastAsia="宋体"/>
                <w:color w:val="auto"/>
                <w:sz w:val="21"/>
                <w:szCs w:val="21"/>
                <w:highlight w:val="none"/>
              </w:rPr>
              <w:t>6.98*10-</w:t>
            </w:r>
            <w:r>
              <w:rPr>
                <w:rFonts w:ascii="Times New Roman" w:eastAsia="宋体"/>
                <w:color w:val="auto"/>
                <w:sz w:val="21"/>
                <w:szCs w:val="21"/>
                <w:highlight w:val="none"/>
                <w:vertAlign w:val="superscript"/>
              </w:rPr>
              <w:t>6</w:t>
            </w:r>
          </w:p>
        </w:tc>
        <w:tc>
          <w:tcPr>
            <w:tcW w:w="375" w:type="pct"/>
            <w:tcBorders>
              <w:top w:val="single" w:color="000000" w:sz="4" w:space="0"/>
              <w:left w:val="single" w:color="000000" w:sz="4" w:space="0"/>
              <w:bottom w:val="single" w:color="000000" w:sz="4" w:space="0"/>
              <w:right w:val="single" w:color="000000" w:sz="4" w:space="0"/>
            </w:tcBorders>
            <w:noWrap/>
            <w:vAlign w:val="center"/>
          </w:tcPr>
          <w:p>
            <w:pPr>
              <w:jc w:val="center"/>
              <w:rPr>
                <w:rFonts w:ascii="Calibri" w:hAnsi="Calibri" w:cs="Calibri"/>
                <w:color w:val="auto"/>
                <w:szCs w:val="21"/>
                <w:highlight w:val="none"/>
              </w:rPr>
            </w:pPr>
            <w:r>
              <w:rPr>
                <w:rFonts w:hint="eastAsia" w:ascii="Calibri" w:hAnsi="Calibri" w:cs="Calibri"/>
                <w:color w:val="auto"/>
                <w:szCs w:val="21"/>
                <w:highlight w:val="none"/>
              </w:rPr>
              <w:t>800</w:t>
            </w:r>
          </w:p>
        </w:tc>
      </w:tr>
      <w:tr>
        <w:tblPrEx>
          <w:tblCellMar>
            <w:top w:w="15" w:type="dxa"/>
            <w:left w:w="15" w:type="dxa"/>
            <w:bottom w:w="15" w:type="dxa"/>
            <w:right w:w="15" w:type="dxa"/>
          </w:tblCellMar>
        </w:tblPrEx>
        <w:trPr>
          <w:trHeight w:val="270" w:hRule="atLeast"/>
        </w:trPr>
        <w:tc>
          <w:tcPr>
            <w:tcW w:w="213" w:type="pct"/>
            <w:vMerge w:val="continue"/>
            <w:tcBorders>
              <w:left w:val="single" w:color="000000" w:sz="4" w:space="0"/>
              <w:right w:val="single" w:color="000000" w:sz="4" w:space="0"/>
            </w:tcBorders>
            <w:noWrap/>
            <w:vAlign w:val="center"/>
          </w:tcPr>
          <w:p>
            <w:pPr>
              <w:jc w:val="center"/>
              <w:rPr>
                <w:rFonts w:ascii="Calibri" w:hAnsi="Calibri" w:cs="Calibri"/>
                <w:color w:val="auto"/>
                <w:szCs w:val="21"/>
                <w:highlight w:val="none"/>
              </w:rPr>
            </w:pPr>
          </w:p>
        </w:tc>
        <w:tc>
          <w:tcPr>
            <w:tcW w:w="273" w:type="pct"/>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Calibri" w:hAnsi="Calibri" w:cs="Calibri"/>
                <w:color w:val="auto"/>
                <w:szCs w:val="21"/>
                <w:highlight w:val="none"/>
              </w:rPr>
            </w:pPr>
          </w:p>
        </w:tc>
        <w:tc>
          <w:tcPr>
            <w:tcW w:w="332" w:type="pct"/>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Calibri" w:hAnsi="Calibri" w:cs="Calibri"/>
                <w:color w:val="auto"/>
                <w:szCs w:val="21"/>
                <w:highlight w:val="none"/>
              </w:rPr>
            </w:pPr>
          </w:p>
        </w:tc>
        <w:tc>
          <w:tcPr>
            <w:tcW w:w="493" w:type="pct"/>
            <w:tcBorders>
              <w:top w:val="single" w:color="000000" w:sz="4" w:space="0"/>
              <w:left w:val="single" w:color="000000" w:sz="4" w:space="0"/>
              <w:bottom w:val="single" w:color="000000" w:sz="4" w:space="0"/>
              <w:right w:val="single" w:color="000000" w:sz="4" w:space="0"/>
            </w:tcBorders>
            <w:noWrap/>
            <w:vAlign w:val="center"/>
          </w:tcPr>
          <w:p>
            <w:pPr>
              <w:tabs>
                <w:tab w:val="left" w:pos="105"/>
              </w:tabs>
              <w:spacing w:line="240" w:lineRule="exact"/>
              <w:ind w:left="-120" w:leftChars="-50" w:right="-120" w:rightChars="-50"/>
              <w:jc w:val="center"/>
              <w:rPr>
                <w:rFonts w:ascii="Calibri" w:hAnsi="Calibri" w:cs="Calibri"/>
                <w:color w:val="auto"/>
                <w:szCs w:val="21"/>
                <w:highlight w:val="none"/>
              </w:rPr>
            </w:pPr>
            <w:r>
              <w:rPr>
                <w:color w:val="auto"/>
                <w:szCs w:val="21"/>
                <w:highlight w:val="none"/>
              </w:rPr>
              <w:t>非甲烷总烃</w:t>
            </w:r>
          </w:p>
        </w:tc>
        <w:tc>
          <w:tcPr>
            <w:tcW w:w="268" w:type="pct"/>
            <w:tcBorders>
              <w:top w:val="single" w:color="000000" w:sz="4" w:space="0"/>
              <w:left w:val="single" w:color="000000" w:sz="4" w:space="0"/>
              <w:bottom w:val="single" w:color="000000" w:sz="4" w:space="0"/>
              <w:right w:val="single" w:color="000000" w:sz="4" w:space="0"/>
            </w:tcBorders>
            <w:noWrap/>
            <w:vAlign w:val="center"/>
          </w:tcPr>
          <w:p>
            <w:pPr>
              <w:jc w:val="center"/>
              <w:rPr>
                <w:rFonts w:ascii="Calibri" w:hAnsi="Calibri" w:cs="Calibri"/>
                <w:color w:val="auto"/>
                <w:szCs w:val="21"/>
                <w:highlight w:val="none"/>
              </w:rPr>
            </w:pPr>
            <w:r>
              <w:rPr>
                <w:rFonts w:hint="eastAsia" w:ascii="Calibri" w:hAnsi="Calibri" w:cs="Calibri"/>
                <w:color w:val="auto"/>
                <w:szCs w:val="21"/>
                <w:highlight w:val="none"/>
              </w:rPr>
              <w:t>污染系数法</w:t>
            </w:r>
          </w:p>
        </w:tc>
        <w:tc>
          <w:tcPr>
            <w:tcW w:w="343" w:type="pct"/>
            <w:vMerge w:val="continue"/>
            <w:tcBorders>
              <w:left w:val="single" w:color="000000" w:sz="4" w:space="0"/>
              <w:bottom w:val="single" w:color="000000" w:sz="4" w:space="0"/>
              <w:right w:val="single" w:color="000000" w:sz="4" w:space="0"/>
            </w:tcBorders>
            <w:noWrap/>
            <w:vAlign w:val="center"/>
          </w:tcPr>
          <w:p>
            <w:pPr>
              <w:jc w:val="center"/>
              <w:rPr>
                <w:rFonts w:ascii="Calibri" w:hAnsi="Calibri" w:cs="Calibri"/>
                <w:color w:val="auto"/>
                <w:szCs w:val="21"/>
                <w:highlight w:val="none"/>
              </w:rPr>
            </w:pPr>
          </w:p>
        </w:tc>
        <w:tc>
          <w:tcPr>
            <w:tcW w:w="348" w:type="pct"/>
            <w:tcBorders>
              <w:top w:val="single" w:color="000000" w:sz="4" w:space="0"/>
              <w:left w:val="single" w:color="000000" w:sz="4" w:space="0"/>
              <w:bottom w:val="single" w:color="000000" w:sz="4" w:space="0"/>
              <w:right w:val="single" w:color="000000" w:sz="4" w:space="0"/>
            </w:tcBorders>
            <w:noWrap/>
            <w:vAlign w:val="center"/>
          </w:tcPr>
          <w:p>
            <w:pPr>
              <w:jc w:val="center"/>
              <w:rPr>
                <w:rFonts w:ascii="Calibri" w:hAnsi="Calibri" w:cs="Calibri"/>
                <w:color w:val="auto"/>
                <w:szCs w:val="21"/>
                <w:highlight w:val="none"/>
              </w:rPr>
            </w:pPr>
            <w:r>
              <w:rPr>
                <w:rFonts w:hint="eastAsia" w:ascii="Calibri" w:hAnsi="Calibri" w:cs="Calibri"/>
                <w:color w:val="auto"/>
                <w:szCs w:val="21"/>
                <w:highlight w:val="none"/>
              </w:rPr>
              <w:t>0.0198</w:t>
            </w:r>
          </w:p>
        </w:tc>
        <w:tc>
          <w:tcPr>
            <w:tcW w:w="356" w:type="pct"/>
            <w:tcBorders>
              <w:top w:val="single" w:color="000000" w:sz="4" w:space="0"/>
              <w:left w:val="single" w:color="000000" w:sz="4" w:space="0"/>
              <w:bottom w:val="single" w:color="000000" w:sz="4" w:space="0"/>
              <w:right w:val="single" w:color="000000" w:sz="4" w:space="0"/>
            </w:tcBorders>
            <w:noWrap/>
            <w:vAlign w:val="center"/>
          </w:tcPr>
          <w:p>
            <w:pPr>
              <w:pStyle w:val="31"/>
              <w:spacing w:line="240" w:lineRule="auto"/>
              <w:rPr>
                <w:rFonts w:ascii="Calibri" w:hAnsi="Calibri" w:cs="Calibri"/>
                <w:color w:val="auto"/>
                <w:sz w:val="21"/>
                <w:szCs w:val="21"/>
                <w:highlight w:val="none"/>
              </w:rPr>
            </w:pPr>
            <w:r>
              <w:rPr>
                <w:rFonts w:ascii="Times New Roman" w:eastAsia="宋体"/>
                <w:color w:val="auto"/>
                <w:sz w:val="21"/>
                <w:szCs w:val="21"/>
                <w:highlight w:val="none"/>
              </w:rPr>
              <w:t>0.00208</w:t>
            </w:r>
          </w:p>
        </w:tc>
        <w:tc>
          <w:tcPr>
            <w:tcW w:w="190" w:type="pct"/>
            <w:tcBorders>
              <w:top w:val="single" w:color="000000" w:sz="4" w:space="0"/>
              <w:left w:val="single" w:color="000000" w:sz="4" w:space="0"/>
              <w:bottom w:val="single" w:color="000000" w:sz="4" w:space="0"/>
              <w:right w:val="single" w:color="000000" w:sz="4" w:space="0"/>
            </w:tcBorders>
            <w:noWrap/>
            <w:vAlign w:val="center"/>
          </w:tcPr>
          <w:p>
            <w:pPr>
              <w:jc w:val="center"/>
              <w:rPr>
                <w:rFonts w:ascii="Calibri" w:hAnsi="Calibri" w:cs="Calibri"/>
                <w:color w:val="auto"/>
                <w:szCs w:val="21"/>
                <w:highlight w:val="none"/>
              </w:rPr>
            </w:pPr>
            <w:r>
              <w:rPr>
                <w:rFonts w:hint="eastAsia" w:ascii="Calibri" w:hAnsi="Calibri" w:cs="Calibri"/>
                <w:color w:val="auto"/>
                <w:szCs w:val="21"/>
                <w:highlight w:val="none"/>
              </w:rPr>
              <w:t>/</w:t>
            </w:r>
          </w:p>
        </w:tc>
        <w:tc>
          <w:tcPr>
            <w:tcW w:w="205" w:type="pct"/>
            <w:tcBorders>
              <w:top w:val="single" w:color="000000" w:sz="4" w:space="0"/>
              <w:left w:val="single" w:color="000000" w:sz="4" w:space="0"/>
              <w:bottom w:val="single" w:color="000000" w:sz="4" w:space="0"/>
              <w:right w:val="single" w:color="000000" w:sz="4" w:space="0"/>
            </w:tcBorders>
            <w:noWrap/>
            <w:vAlign w:val="center"/>
          </w:tcPr>
          <w:p>
            <w:pPr>
              <w:jc w:val="center"/>
              <w:rPr>
                <w:rFonts w:ascii="Calibri" w:hAnsi="Calibri" w:cs="Calibri"/>
                <w:color w:val="auto"/>
                <w:szCs w:val="21"/>
                <w:highlight w:val="none"/>
              </w:rPr>
            </w:pPr>
            <w:r>
              <w:rPr>
                <w:rFonts w:hint="eastAsia" w:ascii="Calibri" w:hAnsi="Calibri" w:cs="Calibri"/>
                <w:color w:val="auto"/>
                <w:szCs w:val="21"/>
                <w:highlight w:val="none"/>
              </w:rPr>
              <w:t>/</w:t>
            </w:r>
          </w:p>
        </w:tc>
        <w:tc>
          <w:tcPr>
            <w:tcW w:w="303" w:type="pct"/>
            <w:tcBorders>
              <w:top w:val="single" w:color="000000" w:sz="4" w:space="0"/>
              <w:left w:val="single" w:color="000000" w:sz="4" w:space="0"/>
              <w:bottom w:val="single" w:color="000000" w:sz="4" w:space="0"/>
              <w:right w:val="single" w:color="000000" w:sz="4" w:space="0"/>
            </w:tcBorders>
            <w:noWrap/>
            <w:vAlign w:val="center"/>
          </w:tcPr>
          <w:p>
            <w:pPr>
              <w:jc w:val="center"/>
              <w:rPr>
                <w:rFonts w:ascii="Calibri" w:hAnsi="Calibri" w:cs="Calibri"/>
                <w:color w:val="auto"/>
                <w:szCs w:val="21"/>
                <w:highlight w:val="none"/>
              </w:rPr>
            </w:pPr>
            <w:r>
              <w:rPr>
                <w:rFonts w:hint="eastAsia" w:ascii="Calibri" w:hAnsi="Calibri" w:cs="Calibri"/>
                <w:color w:val="auto"/>
                <w:szCs w:val="21"/>
                <w:highlight w:val="none"/>
              </w:rPr>
              <w:t>污染系数法</w:t>
            </w:r>
          </w:p>
        </w:tc>
        <w:tc>
          <w:tcPr>
            <w:tcW w:w="377" w:type="pct"/>
            <w:vMerge w:val="continue"/>
            <w:tcBorders>
              <w:left w:val="single" w:color="000000" w:sz="4" w:space="0"/>
              <w:bottom w:val="single" w:color="000000" w:sz="4" w:space="0"/>
              <w:right w:val="single" w:color="000000" w:sz="4" w:space="0"/>
            </w:tcBorders>
            <w:noWrap/>
            <w:vAlign w:val="center"/>
          </w:tcPr>
          <w:p>
            <w:pPr>
              <w:jc w:val="center"/>
              <w:rPr>
                <w:rFonts w:ascii="Calibri" w:hAnsi="Calibri" w:cs="Calibri"/>
                <w:color w:val="auto"/>
                <w:szCs w:val="21"/>
                <w:highlight w:val="none"/>
              </w:rPr>
            </w:pPr>
          </w:p>
        </w:tc>
        <w:tc>
          <w:tcPr>
            <w:tcW w:w="374" w:type="pct"/>
            <w:tcBorders>
              <w:top w:val="single" w:color="000000" w:sz="4" w:space="0"/>
              <w:left w:val="single" w:color="000000" w:sz="4" w:space="0"/>
              <w:bottom w:val="single" w:color="000000" w:sz="4" w:space="0"/>
              <w:right w:val="single" w:color="000000" w:sz="4" w:space="0"/>
            </w:tcBorders>
            <w:noWrap/>
            <w:vAlign w:val="center"/>
          </w:tcPr>
          <w:p>
            <w:pPr>
              <w:jc w:val="center"/>
              <w:rPr>
                <w:rFonts w:ascii="Calibri" w:hAnsi="Calibri" w:cs="Calibri"/>
                <w:color w:val="auto"/>
                <w:szCs w:val="21"/>
                <w:highlight w:val="none"/>
              </w:rPr>
            </w:pPr>
            <w:r>
              <w:rPr>
                <w:rFonts w:hint="eastAsia" w:ascii="Calibri" w:hAnsi="Calibri" w:cs="Calibri"/>
                <w:color w:val="auto"/>
                <w:szCs w:val="21"/>
                <w:highlight w:val="none"/>
              </w:rPr>
              <w:t>0.0198</w:t>
            </w:r>
          </w:p>
        </w:tc>
        <w:tc>
          <w:tcPr>
            <w:tcW w:w="543" w:type="pct"/>
            <w:tcBorders>
              <w:top w:val="single" w:color="000000" w:sz="4" w:space="0"/>
              <w:left w:val="single" w:color="000000" w:sz="4" w:space="0"/>
              <w:bottom w:val="single" w:color="000000" w:sz="4" w:space="0"/>
              <w:right w:val="single" w:color="000000" w:sz="4" w:space="0"/>
            </w:tcBorders>
            <w:noWrap/>
            <w:vAlign w:val="center"/>
          </w:tcPr>
          <w:p>
            <w:pPr>
              <w:pStyle w:val="31"/>
              <w:spacing w:line="240" w:lineRule="auto"/>
              <w:rPr>
                <w:rFonts w:ascii="Calibri" w:hAnsi="Calibri" w:cs="Calibri"/>
                <w:color w:val="auto"/>
                <w:sz w:val="21"/>
                <w:szCs w:val="21"/>
                <w:highlight w:val="none"/>
              </w:rPr>
            </w:pPr>
            <w:r>
              <w:rPr>
                <w:rFonts w:ascii="Times New Roman" w:eastAsia="宋体"/>
                <w:color w:val="auto"/>
                <w:sz w:val="21"/>
                <w:szCs w:val="21"/>
                <w:highlight w:val="none"/>
              </w:rPr>
              <w:t>0.00208</w:t>
            </w:r>
          </w:p>
        </w:tc>
        <w:tc>
          <w:tcPr>
            <w:tcW w:w="375" w:type="pct"/>
            <w:tcBorders>
              <w:top w:val="single" w:color="000000" w:sz="4" w:space="0"/>
              <w:left w:val="single" w:color="000000" w:sz="4" w:space="0"/>
              <w:bottom w:val="single" w:color="000000" w:sz="4" w:space="0"/>
              <w:right w:val="single" w:color="000000" w:sz="4" w:space="0"/>
            </w:tcBorders>
            <w:noWrap/>
            <w:vAlign w:val="center"/>
          </w:tcPr>
          <w:p>
            <w:pPr>
              <w:jc w:val="center"/>
              <w:rPr>
                <w:rFonts w:ascii="Calibri" w:hAnsi="Calibri" w:cs="Calibri"/>
                <w:color w:val="auto"/>
                <w:szCs w:val="21"/>
                <w:highlight w:val="none"/>
              </w:rPr>
            </w:pPr>
            <w:r>
              <w:rPr>
                <w:rFonts w:hint="eastAsia" w:ascii="Calibri" w:hAnsi="Calibri" w:cs="Calibri"/>
                <w:color w:val="auto"/>
                <w:szCs w:val="21"/>
                <w:highlight w:val="none"/>
              </w:rPr>
              <w:t>800</w:t>
            </w:r>
          </w:p>
        </w:tc>
      </w:tr>
      <w:tr>
        <w:tblPrEx>
          <w:tblCellMar>
            <w:top w:w="15" w:type="dxa"/>
            <w:left w:w="15" w:type="dxa"/>
            <w:bottom w:w="15" w:type="dxa"/>
            <w:right w:w="15" w:type="dxa"/>
          </w:tblCellMar>
        </w:tblPrEx>
        <w:trPr>
          <w:trHeight w:val="330" w:hRule="atLeast"/>
        </w:trPr>
        <w:tc>
          <w:tcPr>
            <w:tcW w:w="213" w:type="pct"/>
            <w:vMerge w:val="continue"/>
            <w:tcBorders>
              <w:left w:val="single" w:color="000000" w:sz="4" w:space="0"/>
              <w:right w:val="single" w:color="000000" w:sz="4" w:space="0"/>
            </w:tcBorders>
            <w:noWrap/>
            <w:vAlign w:val="center"/>
          </w:tcPr>
          <w:p>
            <w:pPr>
              <w:jc w:val="center"/>
              <w:rPr>
                <w:rFonts w:ascii="Calibri" w:hAnsi="Calibri" w:cs="Calibri"/>
                <w:color w:val="auto"/>
                <w:szCs w:val="21"/>
                <w:highlight w:val="none"/>
              </w:rPr>
            </w:pPr>
          </w:p>
        </w:tc>
        <w:tc>
          <w:tcPr>
            <w:tcW w:w="273" w:type="pct"/>
            <w:vMerge w:val="restart"/>
            <w:tcBorders>
              <w:top w:val="single" w:color="000000" w:sz="4" w:space="0"/>
              <w:left w:val="single" w:color="000000" w:sz="4" w:space="0"/>
              <w:right w:val="single" w:color="000000" w:sz="4" w:space="0"/>
            </w:tcBorders>
            <w:noWrap/>
            <w:vAlign w:val="center"/>
          </w:tcPr>
          <w:p>
            <w:pPr>
              <w:widowControl/>
              <w:jc w:val="center"/>
              <w:textAlignment w:val="bottom"/>
              <w:rPr>
                <w:rFonts w:ascii="Calibri" w:hAnsi="Calibri" w:cs="Calibri"/>
                <w:color w:val="auto"/>
                <w:szCs w:val="21"/>
                <w:highlight w:val="none"/>
              </w:rPr>
            </w:pPr>
            <w:r>
              <w:rPr>
                <w:rFonts w:hint="eastAsia" w:cs="Calibri"/>
                <w:color w:val="auto"/>
                <w:kern w:val="0"/>
                <w:szCs w:val="21"/>
                <w:highlight w:val="none"/>
                <w:lang w:bidi="ar"/>
              </w:rPr>
              <w:t>导热油炉</w:t>
            </w:r>
          </w:p>
        </w:tc>
        <w:tc>
          <w:tcPr>
            <w:tcW w:w="332" w:type="pct"/>
            <w:vMerge w:val="restart"/>
            <w:tcBorders>
              <w:top w:val="single" w:color="000000" w:sz="4" w:space="0"/>
              <w:left w:val="single" w:color="000000" w:sz="4" w:space="0"/>
              <w:right w:val="single" w:color="000000" w:sz="4" w:space="0"/>
            </w:tcBorders>
            <w:noWrap/>
            <w:vAlign w:val="center"/>
          </w:tcPr>
          <w:p>
            <w:pPr>
              <w:widowControl/>
              <w:jc w:val="center"/>
              <w:textAlignment w:val="bottom"/>
              <w:rPr>
                <w:rFonts w:ascii="Calibri" w:hAnsi="Calibri" w:cs="Calibri"/>
                <w:color w:val="auto"/>
                <w:szCs w:val="21"/>
                <w:highlight w:val="none"/>
              </w:rPr>
            </w:pPr>
            <w:r>
              <w:rPr>
                <w:rFonts w:hint="eastAsia" w:cs="Calibri"/>
                <w:color w:val="auto"/>
                <w:kern w:val="0"/>
                <w:szCs w:val="21"/>
                <w:highlight w:val="none"/>
                <w:lang w:bidi="ar"/>
              </w:rPr>
              <w:t>排气筒G2</w:t>
            </w:r>
          </w:p>
        </w:tc>
        <w:tc>
          <w:tcPr>
            <w:tcW w:w="493"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bottom"/>
              <w:rPr>
                <w:rFonts w:ascii="Calibri" w:hAnsi="Calibri" w:cs="Calibri"/>
                <w:color w:val="auto"/>
                <w:szCs w:val="21"/>
                <w:highlight w:val="none"/>
              </w:rPr>
            </w:pPr>
            <w:r>
              <w:rPr>
                <w:rFonts w:hint="eastAsia" w:cs="Calibri"/>
                <w:color w:val="auto"/>
                <w:kern w:val="0"/>
                <w:szCs w:val="21"/>
                <w:highlight w:val="none"/>
                <w:lang w:bidi="ar"/>
              </w:rPr>
              <w:t>SO2</w:t>
            </w:r>
          </w:p>
        </w:tc>
        <w:tc>
          <w:tcPr>
            <w:tcW w:w="268" w:type="pct"/>
            <w:tcBorders>
              <w:top w:val="single" w:color="000000" w:sz="4" w:space="0"/>
              <w:left w:val="single" w:color="000000" w:sz="4" w:space="0"/>
              <w:bottom w:val="single" w:color="000000" w:sz="4" w:space="0"/>
              <w:right w:val="single" w:color="000000" w:sz="4" w:space="0"/>
            </w:tcBorders>
            <w:noWrap/>
            <w:vAlign w:val="center"/>
          </w:tcPr>
          <w:p>
            <w:pPr>
              <w:jc w:val="center"/>
              <w:rPr>
                <w:rFonts w:ascii="Calibri" w:hAnsi="Calibri" w:cs="Calibri"/>
                <w:color w:val="auto"/>
                <w:szCs w:val="21"/>
                <w:highlight w:val="none"/>
              </w:rPr>
            </w:pPr>
            <w:r>
              <w:rPr>
                <w:rFonts w:hint="eastAsia" w:ascii="Calibri" w:hAnsi="Calibri" w:cs="Calibri"/>
                <w:color w:val="auto"/>
                <w:szCs w:val="21"/>
                <w:highlight w:val="none"/>
              </w:rPr>
              <w:t>污染系数法</w:t>
            </w:r>
          </w:p>
        </w:tc>
        <w:tc>
          <w:tcPr>
            <w:tcW w:w="343" w:type="pct"/>
            <w:tcBorders>
              <w:top w:val="single" w:color="000000" w:sz="4" w:space="0"/>
              <w:left w:val="single" w:color="000000" w:sz="4" w:space="0"/>
              <w:bottom w:val="single" w:color="000000" w:sz="4" w:space="0"/>
              <w:right w:val="single" w:color="000000" w:sz="4" w:space="0"/>
            </w:tcBorders>
            <w:noWrap/>
            <w:vAlign w:val="center"/>
          </w:tcPr>
          <w:p>
            <w:pPr>
              <w:jc w:val="center"/>
              <w:rPr>
                <w:rFonts w:ascii="Calibri" w:hAnsi="Calibri" w:cs="Calibri"/>
                <w:color w:val="auto"/>
                <w:szCs w:val="21"/>
                <w:highlight w:val="none"/>
              </w:rPr>
            </w:pPr>
            <w:r>
              <w:rPr>
                <w:color w:val="auto"/>
                <w:kern w:val="0"/>
                <w:szCs w:val="21"/>
                <w:highlight w:val="none"/>
                <w:lang w:bidi="ar"/>
              </w:rPr>
              <w:t>681.296</w:t>
            </w:r>
          </w:p>
        </w:tc>
        <w:tc>
          <w:tcPr>
            <w:tcW w:w="348"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bottom"/>
              <w:rPr>
                <w:rFonts w:ascii="Calibri" w:hAnsi="Calibri" w:cs="Calibri"/>
                <w:color w:val="auto"/>
                <w:szCs w:val="21"/>
                <w:highlight w:val="none"/>
              </w:rPr>
            </w:pPr>
            <w:r>
              <w:rPr>
                <w:color w:val="auto"/>
                <w:kern w:val="0"/>
                <w:szCs w:val="21"/>
                <w:highlight w:val="none"/>
                <w:lang w:bidi="ar"/>
              </w:rPr>
              <w:t>29.36</w:t>
            </w:r>
          </w:p>
        </w:tc>
        <w:tc>
          <w:tcPr>
            <w:tcW w:w="356" w:type="pct"/>
            <w:tcBorders>
              <w:top w:val="single" w:color="000000" w:sz="4" w:space="0"/>
              <w:left w:val="single" w:color="000000" w:sz="4" w:space="0"/>
              <w:bottom w:val="single" w:color="000000" w:sz="4" w:space="0"/>
              <w:right w:val="single" w:color="000000" w:sz="4" w:space="0"/>
            </w:tcBorders>
            <w:noWrap/>
            <w:vAlign w:val="center"/>
          </w:tcPr>
          <w:p>
            <w:pPr>
              <w:spacing w:line="220" w:lineRule="exact"/>
              <w:ind w:left="-120" w:leftChars="-50" w:right="-120" w:rightChars="-50"/>
              <w:jc w:val="center"/>
              <w:rPr>
                <w:rFonts w:ascii="Calibri" w:hAnsi="Calibri" w:cs="Calibri"/>
                <w:color w:val="auto"/>
                <w:szCs w:val="21"/>
                <w:highlight w:val="none"/>
              </w:rPr>
            </w:pPr>
            <w:r>
              <w:rPr>
                <w:color w:val="auto"/>
                <w:szCs w:val="21"/>
                <w:highlight w:val="none"/>
              </w:rPr>
              <w:t>0.02</w:t>
            </w:r>
          </w:p>
        </w:tc>
        <w:tc>
          <w:tcPr>
            <w:tcW w:w="190" w:type="pct"/>
            <w:tcBorders>
              <w:top w:val="single" w:color="000000" w:sz="4" w:space="0"/>
              <w:left w:val="single" w:color="000000" w:sz="4" w:space="0"/>
              <w:bottom w:val="single" w:color="000000" w:sz="4" w:space="0"/>
              <w:right w:val="single" w:color="000000" w:sz="4" w:space="0"/>
            </w:tcBorders>
            <w:noWrap/>
            <w:vAlign w:val="center"/>
          </w:tcPr>
          <w:p>
            <w:pPr>
              <w:jc w:val="center"/>
              <w:rPr>
                <w:rFonts w:ascii="Calibri" w:hAnsi="Calibri" w:cs="Calibri"/>
                <w:color w:val="auto"/>
                <w:szCs w:val="21"/>
                <w:highlight w:val="none"/>
              </w:rPr>
            </w:pPr>
            <w:r>
              <w:rPr>
                <w:rFonts w:hint="eastAsia" w:ascii="Calibri" w:hAnsi="Calibri" w:cs="Calibri"/>
                <w:color w:val="auto"/>
                <w:szCs w:val="21"/>
                <w:highlight w:val="none"/>
              </w:rPr>
              <w:t>/</w:t>
            </w:r>
          </w:p>
        </w:tc>
        <w:tc>
          <w:tcPr>
            <w:tcW w:w="205" w:type="pct"/>
            <w:tcBorders>
              <w:top w:val="single" w:color="000000" w:sz="4" w:space="0"/>
              <w:left w:val="single" w:color="000000" w:sz="4" w:space="0"/>
              <w:bottom w:val="single" w:color="000000" w:sz="4" w:space="0"/>
              <w:right w:val="single" w:color="000000" w:sz="4" w:space="0"/>
            </w:tcBorders>
            <w:noWrap/>
            <w:vAlign w:val="center"/>
          </w:tcPr>
          <w:p>
            <w:pPr>
              <w:jc w:val="center"/>
              <w:rPr>
                <w:rFonts w:ascii="Calibri" w:hAnsi="Calibri" w:cs="Calibri"/>
                <w:color w:val="auto"/>
                <w:szCs w:val="21"/>
                <w:highlight w:val="none"/>
              </w:rPr>
            </w:pPr>
            <w:r>
              <w:rPr>
                <w:rFonts w:hint="eastAsia" w:ascii="Calibri" w:hAnsi="Calibri" w:cs="Calibri"/>
                <w:color w:val="auto"/>
                <w:szCs w:val="21"/>
                <w:highlight w:val="none"/>
              </w:rPr>
              <w:t>/</w:t>
            </w:r>
          </w:p>
        </w:tc>
        <w:tc>
          <w:tcPr>
            <w:tcW w:w="303" w:type="pct"/>
            <w:tcBorders>
              <w:top w:val="single" w:color="000000" w:sz="4" w:space="0"/>
              <w:left w:val="single" w:color="000000" w:sz="4" w:space="0"/>
              <w:bottom w:val="single" w:color="000000" w:sz="4" w:space="0"/>
              <w:right w:val="single" w:color="000000" w:sz="4" w:space="0"/>
            </w:tcBorders>
            <w:noWrap/>
            <w:vAlign w:val="center"/>
          </w:tcPr>
          <w:p>
            <w:pPr>
              <w:jc w:val="center"/>
              <w:rPr>
                <w:rFonts w:ascii="Calibri" w:hAnsi="Calibri" w:cs="Calibri"/>
                <w:color w:val="auto"/>
                <w:szCs w:val="21"/>
                <w:highlight w:val="none"/>
              </w:rPr>
            </w:pPr>
            <w:r>
              <w:rPr>
                <w:rFonts w:hint="eastAsia" w:ascii="Calibri" w:hAnsi="Calibri" w:cs="Calibri"/>
                <w:color w:val="auto"/>
                <w:szCs w:val="21"/>
                <w:highlight w:val="none"/>
              </w:rPr>
              <w:t>污染系数法</w:t>
            </w:r>
          </w:p>
        </w:tc>
        <w:tc>
          <w:tcPr>
            <w:tcW w:w="377" w:type="pct"/>
            <w:tcBorders>
              <w:top w:val="single" w:color="000000" w:sz="4" w:space="0"/>
              <w:left w:val="single" w:color="000000" w:sz="4" w:space="0"/>
              <w:bottom w:val="single" w:color="000000" w:sz="4" w:space="0"/>
              <w:right w:val="single" w:color="000000" w:sz="4" w:space="0"/>
            </w:tcBorders>
            <w:noWrap/>
            <w:vAlign w:val="center"/>
          </w:tcPr>
          <w:p>
            <w:pPr>
              <w:jc w:val="center"/>
              <w:rPr>
                <w:rFonts w:ascii="Calibri" w:hAnsi="Calibri" w:cs="Calibri"/>
                <w:color w:val="auto"/>
                <w:szCs w:val="21"/>
                <w:highlight w:val="none"/>
              </w:rPr>
            </w:pPr>
            <w:r>
              <w:rPr>
                <w:color w:val="auto"/>
                <w:kern w:val="0"/>
                <w:szCs w:val="21"/>
                <w:highlight w:val="none"/>
                <w:lang w:bidi="ar"/>
              </w:rPr>
              <w:t>681.296</w:t>
            </w:r>
          </w:p>
        </w:tc>
        <w:tc>
          <w:tcPr>
            <w:tcW w:w="374"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bottom"/>
              <w:rPr>
                <w:rFonts w:ascii="Calibri" w:hAnsi="Calibri" w:cs="Calibri"/>
                <w:color w:val="auto"/>
                <w:szCs w:val="21"/>
                <w:highlight w:val="none"/>
              </w:rPr>
            </w:pPr>
            <w:r>
              <w:rPr>
                <w:color w:val="auto"/>
                <w:kern w:val="0"/>
                <w:szCs w:val="21"/>
                <w:highlight w:val="none"/>
                <w:lang w:bidi="ar"/>
              </w:rPr>
              <w:t>29.36</w:t>
            </w:r>
          </w:p>
        </w:tc>
        <w:tc>
          <w:tcPr>
            <w:tcW w:w="543" w:type="pct"/>
            <w:tcBorders>
              <w:top w:val="single" w:color="000000" w:sz="4" w:space="0"/>
              <w:left w:val="single" w:color="000000" w:sz="4" w:space="0"/>
              <w:bottom w:val="single" w:color="000000" w:sz="4" w:space="0"/>
              <w:right w:val="single" w:color="000000" w:sz="4" w:space="0"/>
            </w:tcBorders>
            <w:noWrap/>
            <w:vAlign w:val="center"/>
          </w:tcPr>
          <w:p>
            <w:pPr>
              <w:spacing w:line="220" w:lineRule="exact"/>
              <w:ind w:left="-120" w:leftChars="-50" w:right="-120" w:rightChars="-50"/>
              <w:jc w:val="center"/>
              <w:rPr>
                <w:rFonts w:ascii="Calibri" w:hAnsi="Calibri" w:cs="Calibri"/>
                <w:color w:val="auto"/>
                <w:szCs w:val="21"/>
                <w:highlight w:val="none"/>
              </w:rPr>
            </w:pPr>
            <w:r>
              <w:rPr>
                <w:color w:val="auto"/>
                <w:szCs w:val="21"/>
                <w:highlight w:val="none"/>
              </w:rPr>
              <w:t>0.02</w:t>
            </w:r>
          </w:p>
        </w:tc>
        <w:tc>
          <w:tcPr>
            <w:tcW w:w="375" w:type="pct"/>
            <w:tcBorders>
              <w:top w:val="single" w:color="000000" w:sz="4" w:space="0"/>
              <w:left w:val="single" w:color="000000" w:sz="4" w:space="0"/>
              <w:bottom w:val="single" w:color="000000" w:sz="4" w:space="0"/>
              <w:right w:val="single" w:color="000000" w:sz="4" w:space="0"/>
            </w:tcBorders>
            <w:noWrap/>
            <w:vAlign w:val="center"/>
          </w:tcPr>
          <w:p>
            <w:pPr>
              <w:jc w:val="center"/>
              <w:rPr>
                <w:rFonts w:ascii="Calibri" w:hAnsi="Calibri" w:cs="Calibri"/>
                <w:color w:val="auto"/>
                <w:szCs w:val="21"/>
                <w:highlight w:val="none"/>
              </w:rPr>
            </w:pPr>
            <w:r>
              <w:rPr>
                <w:rFonts w:hint="eastAsia" w:ascii="Calibri" w:hAnsi="Calibri" w:cs="Calibri"/>
                <w:color w:val="auto"/>
                <w:szCs w:val="21"/>
                <w:highlight w:val="none"/>
              </w:rPr>
              <w:t>600</w:t>
            </w:r>
          </w:p>
        </w:tc>
      </w:tr>
      <w:tr>
        <w:tblPrEx>
          <w:tblCellMar>
            <w:top w:w="15" w:type="dxa"/>
            <w:left w:w="15" w:type="dxa"/>
            <w:bottom w:w="15" w:type="dxa"/>
            <w:right w:w="15" w:type="dxa"/>
          </w:tblCellMar>
        </w:tblPrEx>
        <w:trPr>
          <w:trHeight w:val="270" w:hRule="atLeast"/>
        </w:trPr>
        <w:tc>
          <w:tcPr>
            <w:tcW w:w="213" w:type="pct"/>
            <w:vMerge w:val="continue"/>
            <w:tcBorders>
              <w:left w:val="single" w:color="000000" w:sz="4" w:space="0"/>
              <w:right w:val="single" w:color="000000" w:sz="4" w:space="0"/>
            </w:tcBorders>
            <w:noWrap/>
            <w:vAlign w:val="center"/>
          </w:tcPr>
          <w:p>
            <w:pPr>
              <w:jc w:val="center"/>
              <w:rPr>
                <w:rFonts w:ascii="Calibri" w:hAnsi="Calibri" w:cs="Calibri"/>
                <w:color w:val="auto"/>
                <w:szCs w:val="21"/>
                <w:highlight w:val="none"/>
              </w:rPr>
            </w:pPr>
          </w:p>
        </w:tc>
        <w:tc>
          <w:tcPr>
            <w:tcW w:w="273" w:type="pct"/>
            <w:vMerge w:val="continue"/>
            <w:tcBorders>
              <w:left w:val="single" w:color="000000" w:sz="4" w:space="0"/>
              <w:right w:val="single" w:color="000000" w:sz="4" w:space="0"/>
            </w:tcBorders>
            <w:noWrap/>
            <w:vAlign w:val="center"/>
          </w:tcPr>
          <w:p>
            <w:pPr>
              <w:jc w:val="center"/>
              <w:rPr>
                <w:rFonts w:ascii="Calibri" w:hAnsi="Calibri" w:cs="Calibri"/>
                <w:color w:val="auto"/>
                <w:szCs w:val="21"/>
                <w:highlight w:val="none"/>
              </w:rPr>
            </w:pPr>
          </w:p>
        </w:tc>
        <w:tc>
          <w:tcPr>
            <w:tcW w:w="332" w:type="pct"/>
            <w:vMerge w:val="continue"/>
            <w:tcBorders>
              <w:left w:val="single" w:color="000000" w:sz="4" w:space="0"/>
              <w:right w:val="single" w:color="000000" w:sz="4" w:space="0"/>
            </w:tcBorders>
            <w:noWrap/>
            <w:vAlign w:val="center"/>
          </w:tcPr>
          <w:p>
            <w:pPr>
              <w:jc w:val="center"/>
              <w:rPr>
                <w:rFonts w:ascii="Calibri" w:hAnsi="Calibri" w:cs="Calibri"/>
                <w:color w:val="auto"/>
                <w:szCs w:val="21"/>
                <w:highlight w:val="none"/>
              </w:rPr>
            </w:pPr>
          </w:p>
        </w:tc>
        <w:tc>
          <w:tcPr>
            <w:tcW w:w="493"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bottom"/>
              <w:rPr>
                <w:rFonts w:ascii="Calibri" w:hAnsi="Calibri" w:cs="Calibri"/>
                <w:color w:val="auto"/>
                <w:szCs w:val="21"/>
                <w:highlight w:val="none"/>
              </w:rPr>
            </w:pPr>
            <w:r>
              <w:rPr>
                <w:rFonts w:hint="eastAsia" w:cs="Calibri"/>
                <w:color w:val="auto"/>
                <w:szCs w:val="21"/>
                <w:highlight w:val="none"/>
              </w:rPr>
              <w:t>NOx</w:t>
            </w:r>
          </w:p>
        </w:tc>
        <w:tc>
          <w:tcPr>
            <w:tcW w:w="268" w:type="pct"/>
            <w:tcBorders>
              <w:top w:val="single" w:color="000000" w:sz="4" w:space="0"/>
              <w:left w:val="single" w:color="000000" w:sz="4" w:space="0"/>
              <w:bottom w:val="single" w:color="000000" w:sz="4" w:space="0"/>
              <w:right w:val="single" w:color="000000" w:sz="4" w:space="0"/>
            </w:tcBorders>
            <w:noWrap/>
            <w:vAlign w:val="center"/>
          </w:tcPr>
          <w:p>
            <w:pPr>
              <w:jc w:val="center"/>
              <w:rPr>
                <w:rFonts w:ascii="Calibri" w:hAnsi="Calibri" w:cs="Calibri"/>
                <w:color w:val="auto"/>
                <w:szCs w:val="21"/>
                <w:highlight w:val="none"/>
              </w:rPr>
            </w:pPr>
            <w:r>
              <w:rPr>
                <w:rFonts w:hint="eastAsia" w:ascii="Calibri" w:hAnsi="Calibri" w:cs="Calibri"/>
                <w:color w:val="auto"/>
                <w:szCs w:val="21"/>
                <w:highlight w:val="none"/>
              </w:rPr>
              <w:t>污染系数法</w:t>
            </w:r>
          </w:p>
        </w:tc>
        <w:tc>
          <w:tcPr>
            <w:tcW w:w="343" w:type="pct"/>
            <w:tcBorders>
              <w:top w:val="single" w:color="000000" w:sz="4" w:space="0"/>
              <w:left w:val="single" w:color="000000" w:sz="4" w:space="0"/>
              <w:bottom w:val="single" w:color="000000" w:sz="4" w:space="0"/>
              <w:right w:val="single" w:color="000000" w:sz="4" w:space="0"/>
            </w:tcBorders>
            <w:noWrap/>
            <w:vAlign w:val="center"/>
          </w:tcPr>
          <w:p>
            <w:pPr>
              <w:jc w:val="center"/>
              <w:rPr>
                <w:rFonts w:ascii="Calibri" w:hAnsi="Calibri" w:cs="Calibri"/>
                <w:color w:val="auto"/>
                <w:szCs w:val="21"/>
                <w:highlight w:val="none"/>
              </w:rPr>
            </w:pPr>
          </w:p>
        </w:tc>
        <w:tc>
          <w:tcPr>
            <w:tcW w:w="348"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bottom"/>
              <w:rPr>
                <w:rFonts w:ascii="Calibri" w:hAnsi="Calibri" w:cs="Calibri"/>
                <w:color w:val="auto"/>
                <w:szCs w:val="21"/>
                <w:highlight w:val="none"/>
              </w:rPr>
            </w:pPr>
            <w:r>
              <w:rPr>
                <w:rFonts w:hint="eastAsia"/>
                <w:color w:val="auto"/>
                <w:kern w:val="0"/>
                <w:szCs w:val="21"/>
                <w:highlight w:val="none"/>
                <w:lang w:bidi="ar"/>
              </w:rPr>
              <w:t>147.28</w:t>
            </w:r>
          </w:p>
        </w:tc>
        <w:tc>
          <w:tcPr>
            <w:tcW w:w="356" w:type="pct"/>
            <w:tcBorders>
              <w:top w:val="single" w:color="000000" w:sz="4" w:space="0"/>
              <w:left w:val="single" w:color="000000" w:sz="4" w:space="0"/>
              <w:bottom w:val="single" w:color="000000" w:sz="4" w:space="0"/>
              <w:right w:val="single" w:color="000000" w:sz="4" w:space="0"/>
            </w:tcBorders>
            <w:noWrap/>
            <w:vAlign w:val="center"/>
          </w:tcPr>
          <w:p>
            <w:pPr>
              <w:spacing w:line="220" w:lineRule="exact"/>
              <w:ind w:left="-120" w:leftChars="-50" w:right="-120" w:rightChars="-50"/>
              <w:jc w:val="center"/>
              <w:rPr>
                <w:rFonts w:ascii="Calibri" w:hAnsi="Calibri" w:cs="Calibri"/>
                <w:color w:val="auto"/>
                <w:szCs w:val="21"/>
                <w:highlight w:val="none"/>
              </w:rPr>
            </w:pPr>
            <w:r>
              <w:rPr>
                <w:color w:val="auto"/>
                <w:szCs w:val="21"/>
                <w:highlight w:val="none"/>
              </w:rPr>
              <w:t>0.0</w:t>
            </w:r>
            <w:r>
              <w:rPr>
                <w:rFonts w:hint="eastAsia"/>
                <w:color w:val="auto"/>
                <w:szCs w:val="21"/>
                <w:highlight w:val="none"/>
              </w:rPr>
              <w:t>8</w:t>
            </w:r>
          </w:p>
        </w:tc>
        <w:tc>
          <w:tcPr>
            <w:tcW w:w="190" w:type="pct"/>
            <w:tcBorders>
              <w:top w:val="single" w:color="000000" w:sz="4" w:space="0"/>
              <w:left w:val="single" w:color="000000" w:sz="4" w:space="0"/>
              <w:bottom w:val="single" w:color="000000" w:sz="4" w:space="0"/>
              <w:right w:val="single" w:color="000000" w:sz="4" w:space="0"/>
            </w:tcBorders>
            <w:noWrap/>
            <w:vAlign w:val="center"/>
          </w:tcPr>
          <w:p>
            <w:pPr>
              <w:jc w:val="center"/>
              <w:rPr>
                <w:rFonts w:ascii="Calibri" w:hAnsi="Calibri" w:cs="Calibri"/>
                <w:color w:val="auto"/>
                <w:szCs w:val="21"/>
                <w:highlight w:val="none"/>
              </w:rPr>
            </w:pPr>
            <w:r>
              <w:rPr>
                <w:rFonts w:hint="eastAsia" w:ascii="Calibri" w:hAnsi="Calibri" w:cs="Calibri"/>
                <w:color w:val="auto"/>
                <w:szCs w:val="21"/>
                <w:highlight w:val="none"/>
              </w:rPr>
              <w:t>/</w:t>
            </w:r>
          </w:p>
        </w:tc>
        <w:tc>
          <w:tcPr>
            <w:tcW w:w="205" w:type="pct"/>
            <w:tcBorders>
              <w:top w:val="single" w:color="000000" w:sz="4" w:space="0"/>
              <w:left w:val="single" w:color="000000" w:sz="4" w:space="0"/>
              <w:bottom w:val="single" w:color="000000" w:sz="4" w:space="0"/>
              <w:right w:val="single" w:color="000000" w:sz="4" w:space="0"/>
            </w:tcBorders>
            <w:noWrap/>
            <w:vAlign w:val="center"/>
          </w:tcPr>
          <w:p>
            <w:pPr>
              <w:jc w:val="center"/>
              <w:rPr>
                <w:rFonts w:ascii="Calibri" w:hAnsi="Calibri" w:cs="Calibri"/>
                <w:color w:val="auto"/>
                <w:szCs w:val="21"/>
                <w:highlight w:val="none"/>
              </w:rPr>
            </w:pPr>
            <w:r>
              <w:rPr>
                <w:rFonts w:hint="eastAsia" w:ascii="Calibri" w:hAnsi="Calibri" w:cs="Calibri"/>
                <w:color w:val="auto"/>
                <w:szCs w:val="21"/>
                <w:highlight w:val="none"/>
              </w:rPr>
              <w:t>/</w:t>
            </w:r>
          </w:p>
        </w:tc>
        <w:tc>
          <w:tcPr>
            <w:tcW w:w="303" w:type="pct"/>
            <w:tcBorders>
              <w:top w:val="single" w:color="000000" w:sz="4" w:space="0"/>
              <w:left w:val="single" w:color="000000" w:sz="4" w:space="0"/>
              <w:bottom w:val="single" w:color="000000" w:sz="4" w:space="0"/>
              <w:right w:val="single" w:color="000000" w:sz="4" w:space="0"/>
            </w:tcBorders>
            <w:noWrap/>
            <w:vAlign w:val="center"/>
          </w:tcPr>
          <w:p>
            <w:pPr>
              <w:jc w:val="center"/>
              <w:rPr>
                <w:rFonts w:ascii="Calibri" w:hAnsi="Calibri" w:cs="Calibri"/>
                <w:color w:val="auto"/>
                <w:szCs w:val="21"/>
                <w:highlight w:val="none"/>
              </w:rPr>
            </w:pPr>
            <w:r>
              <w:rPr>
                <w:rFonts w:hint="eastAsia" w:ascii="Calibri" w:hAnsi="Calibri" w:cs="Calibri"/>
                <w:color w:val="auto"/>
                <w:szCs w:val="21"/>
                <w:highlight w:val="none"/>
              </w:rPr>
              <w:t>污染系数法</w:t>
            </w:r>
          </w:p>
        </w:tc>
        <w:tc>
          <w:tcPr>
            <w:tcW w:w="377" w:type="pct"/>
            <w:tcBorders>
              <w:top w:val="single" w:color="000000" w:sz="4" w:space="0"/>
              <w:left w:val="single" w:color="000000" w:sz="4" w:space="0"/>
              <w:bottom w:val="single" w:color="000000" w:sz="4" w:space="0"/>
              <w:right w:val="single" w:color="000000" w:sz="4" w:space="0"/>
            </w:tcBorders>
            <w:noWrap/>
            <w:vAlign w:val="center"/>
          </w:tcPr>
          <w:p>
            <w:pPr>
              <w:jc w:val="center"/>
              <w:rPr>
                <w:rFonts w:ascii="Calibri" w:hAnsi="Calibri" w:cs="Calibri"/>
                <w:color w:val="auto"/>
                <w:szCs w:val="21"/>
                <w:highlight w:val="none"/>
              </w:rPr>
            </w:pPr>
          </w:p>
        </w:tc>
        <w:tc>
          <w:tcPr>
            <w:tcW w:w="374"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bottom"/>
              <w:rPr>
                <w:rFonts w:ascii="Calibri" w:hAnsi="Calibri" w:cs="Calibri"/>
                <w:color w:val="auto"/>
                <w:szCs w:val="21"/>
                <w:highlight w:val="none"/>
              </w:rPr>
            </w:pPr>
            <w:r>
              <w:rPr>
                <w:rFonts w:hint="eastAsia"/>
                <w:color w:val="auto"/>
                <w:kern w:val="0"/>
                <w:szCs w:val="21"/>
                <w:highlight w:val="none"/>
                <w:lang w:bidi="ar"/>
              </w:rPr>
              <w:t>147.28</w:t>
            </w:r>
          </w:p>
        </w:tc>
        <w:tc>
          <w:tcPr>
            <w:tcW w:w="543" w:type="pct"/>
            <w:tcBorders>
              <w:top w:val="single" w:color="000000" w:sz="4" w:space="0"/>
              <w:left w:val="single" w:color="000000" w:sz="4" w:space="0"/>
              <w:bottom w:val="single" w:color="000000" w:sz="4" w:space="0"/>
              <w:right w:val="single" w:color="000000" w:sz="4" w:space="0"/>
            </w:tcBorders>
            <w:noWrap/>
            <w:vAlign w:val="center"/>
          </w:tcPr>
          <w:p>
            <w:pPr>
              <w:spacing w:line="220" w:lineRule="exact"/>
              <w:ind w:left="-120" w:leftChars="-50" w:right="-120" w:rightChars="-50"/>
              <w:jc w:val="center"/>
              <w:rPr>
                <w:rFonts w:ascii="Calibri" w:hAnsi="Calibri" w:cs="Calibri"/>
                <w:color w:val="auto"/>
                <w:szCs w:val="21"/>
                <w:highlight w:val="none"/>
              </w:rPr>
            </w:pPr>
            <w:r>
              <w:rPr>
                <w:color w:val="auto"/>
                <w:szCs w:val="21"/>
                <w:highlight w:val="none"/>
              </w:rPr>
              <w:t>0.0</w:t>
            </w:r>
            <w:r>
              <w:rPr>
                <w:rFonts w:hint="eastAsia"/>
                <w:color w:val="auto"/>
                <w:szCs w:val="21"/>
                <w:highlight w:val="none"/>
              </w:rPr>
              <w:t>8</w:t>
            </w:r>
          </w:p>
        </w:tc>
        <w:tc>
          <w:tcPr>
            <w:tcW w:w="375" w:type="pct"/>
            <w:tcBorders>
              <w:top w:val="single" w:color="000000" w:sz="4" w:space="0"/>
              <w:left w:val="single" w:color="000000" w:sz="4" w:space="0"/>
              <w:bottom w:val="single" w:color="000000" w:sz="4" w:space="0"/>
              <w:right w:val="single" w:color="000000" w:sz="4" w:space="0"/>
            </w:tcBorders>
            <w:noWrap/>
            <w:vAlign w:val="center"/>
          </w:tcPr>
          <w:p>
            <w:pPr>
              <w:jc w:val="center"/>
              <w:rPr>
                <w:rFonts w:ascii="Calibri" w:hAnsi="Calibri" w:cs="Calibri"/>
                <w:color w:val="auto"/>
                <w:szCs w:val="21"/>
                <w:highlight w:val="none"/>
              </w:rPr>
            </w:pPr>
            <w:r>
              <w:rPr>
                <w:rFonts w:hint="eastAsia" w:ascii="Calibri" w:hAnsi="Calibri" w:cs="Calibri"/>
                <w:color w:val="auto"/>
                <w:szCs w:val="21"/>
                <w:highlight w:val="none"/>
              </w:rPr>
              <w:t>600</w:t>
            </w:r>
          </w:p>
        </w:tc>
      </w:tr>
      <w:tr>
        <w:tblPrEx>
          <w:tblCellMar>
            <w:top w:w="15" w:type="dxa"/>
            <w:left w:w="15" w:type="dxa"/>
            <w:bottom w:w="15" w:type="dxa"/>
            <w:right w:w="15" w:type="dxa"/>
          </w:tblCellMar>
        </w:tblPrEx>
        <w:trPr>
          <w:trHeight w:val="270" w:hRule="atLeast"/>
        </w:trPr>
        <w:tc>
          <w:tcPr>
            <w:tcW w:w="213" w:type="pct"/>
            <w:vMerge w:val="continue"/>
            <w:tcBorders>
              <w:left w:val="single" w:color="000000" w:sz="4" w:space="0"/>
              <w:right w:val="single" w:color="000000" w:sz="4" w:space="0"/>
            </w:tcBorders>
            <w:noWrap/>
            <w:vAlign w:val="center"/>
          </w:tcPr>
          <w:p>
            <w:pPr>
              <w:jc w:val="center"/>
              <w:rPr>
                <w:rFonts w:ascii="Calibri" w:hAnsi="Calibri" w:cs="Calibri"/>
                <w:color w:val="auto"/>
                <w:szCs w:val="21"/>
                <w:highlight w:val="none"/>
              </w:rPr>
            </w:pPr>
          </w:p>
        </w:tc>
        <w:tc>
          <w:tcPr>
            <w:tcW w:w="273" w:type="pct"/>
            <w:vMerge w:val="continue"/>
            <w:tcBorders>
              <w:left w:val="single" w:color="000000" w:sz="4" w:space="0"/>
              <w:bottom w:val="single" w:color="000000" w:sz="4" w:space="0"/>
              <w:right w:val="single" w:color="000000" w:sz="4" w:space="0"/>
            </w:tcBorders>
            <w:noWrap/>
            <w:vAlign w:val="center"/>
          </w:tcPr>
          <w:p>
            <w:pPr>
              <w:jc w:val="center"/>
              <w:rPr>
                <w:rFonts w:ascii="Calibri" w:hAnsi="Calibri" w:cs="Calibri"/>
                <w:color w:val="auto"/>
                <w:szCs w:val="21"/>
                <w:highlight w:val="none"/>
              </w:rPr>
            </w:pPr>
          </w:p>
        </w:tc>
        <w:tc>
          <w:tcPr>
            <w:tcW w:w="332" w:type="pct"/>
            <w:vMerge w:val="continue"/>
            <w:tcBorders>
              <w:left w:val="single" w:color="000000" w:sz="4" w:space="0"/>
              <w:bottom w:val="single" w:color="000000" w:sz="4" w:space="0"/>
              <w:right w:val="single" w:color="000000" w:sz="4" w:space="0"/>
            </w:tcBorders>
            <w:noWrap/>
            <w:vAlign w:val="center"/>
          </w:tcPr>
          <w:p>
            <w:pPr>
              <w:jc w:val="center"/>
              <w:rPr>
                <w:rFonts w:ascii="Calibri" w:hAnsi="Calibri" w:cs="Calibri"/>
                <w:color w:val="auto"/>
                <w:szCs w:val="21"/>
                <w:highlight w:val="none"/>
              </w:rPr>
            </w:pPr>
          </w:p>
        </w:tc>
        <w:tc>
          <w:tcPr>
            <w:tcW w:w="493" w:type="pct"/>
            <w:tcBorders>
              <w:top w:val="single" w:color="000000" w:sz="4" w:space="0"/>
              <w:left w:val="single" w:color="000000" w:sz="4" w:space="0"/>
              <w:bottom w:val="single" w:color="000000" w:sz="4" w:space="0"/>
              <w:right w:val="single" w:color="000000" w:sz="4" w:space="0"/>
            </w:tcBorders>
            <w:noWrap/>
            <w:vAlign w:val="center"/>
          </w:tcPr>
          <w:p>
            <w:pPr>
              <w:jc w:val="center"/>
              <w:rPr>
                <w:rFonts w:ascii="Calibri" w:hAnsi="Calibri" w:cs="Calibri"/>
                <w:color w:val="auto"/>
                <w:szCs w:val="21"/>
                <w:highlight w:val="none"/>
              </w:rPr>
            </w:pPr>
            <w:r>
              <w:rPr>
                <w:rFonts w:hint="eastAsia" w:ascii="Calibri" w:hAnsi="Calibri" w:cs="Calibri"/>
                <w:color w:val="auto"/>
                <w:szCs w:val="21"/>
                <w:highlight w:val="none"/>
              </w:rPr>
              <w:t>粉尘</w:t>
            </w:r>
          </w:p>
        </w:tc>
        <w:tc>
          <w:tcPr>
            <w:tcW w:w="268" w:type="pct"/>
            <w:tcBorders>
              <w:top w:val="single" w:color="000000" w:sz="4" w:space="0"/>
              <w:left w:val="single" w:color="000000" w:sz="4" w:space="0"/>
              <w:bottom w:val="single" w:color="000000" w:sz="4" w:space="0"/>
              <w:right w:val="single" w:color="000000" w:sz="4" w:space="0"/>
            </w:tcBorders>
            <w:noWrap/>
            <w:vAlign w:val="center"/>
          </w:tcPr>
          <w:p>
            <w:pPr>
              <w:jc w:val="center"/>
              <w:rPr>
                <w:rFonts w:ascii="Calibri" w:hAnsi="Calibri" w:cs="Calibri"/>
                <w:color w:val="auto"/>
                <w:szCs w:val="21"/>
                <w:highlight w:val="none"/>
              </w:rPr>
            </w:pPr>
            <w:r>
              <w:rPr>
                <w:rFonts w:hint="eastAsia" w:ascii="Calibri" w:hAnsi="Calibri" w:cs="Calibri"/>
                <w:color w:val="auto"/>
                <w:szCs w:val="21"/>
                <w:highlight w:val="none"/>
              </w:rPr>
              <w:t>污染系数法</w:t>
            </w:r>
          </w:p>
        </w:tc>
        <w:tc>
          <w:tcPr>
            <w:tcW w:w="343" w:type="pct"/>
            <w:tcBorders>
              <w:top w:val="single" w:color="000000" w:sz="4" w:space="0"/>
              <w:left w:val="single" w:color="000000" w:sz="4" w:space="0"/>
              <w:bottom w:val="single" w:color="000000" w:sz="4" w:space="0"/>
              <w:right w:val="single" w:color="000000" w:sz="4" w:space="0"/>
            </w:tcBorders>
            <w:noWrap/>
            <w:vAlign w:val="center"/>
          </w:tcPr>
          <w:p>
            <w:pPr>
              <w:jc w:val="center"/>
              <w:rPr>
                <w:rFonts w:ascii="Calibri" w:hAnsi="Calibri" w:cs="Calibri"/>
                <w:color w:val="auto"/>
                <w:szCs w:val="21"/>
                <w:highlight w:val="none"/>
              </w:rPr>
            </w:pPr>
          </w:p>
        </w:tc>
        <w:tc>
          <w:tcPr>
            <w:tcW w:w="348" w:type="pct"/>
            <w:tcBorders>
              <w:top w:val="single" w:color="000000" w:sz="4" w:space="0"/>
              <w:left w:val="single" w:color="000000" w:sz="4" w:space="0"/>
              <w:bottom w:val="single" w:color="000000" w:sz="4" w:space="0"/>
              <w:right w:val="single" w:color="000000" w:sz="4" w:space="0"/>
            </w:tcBorders>
            <w:noWrap/>
            <w:vAlign w:val="center"/>
          </w:tcPr>
          <w:p>
            <w:pPr>
              <w:spacing w:line="220" w:lineRule="exact"/>
              <w:ind w:left="-120" w:leftChars="-50" w:right="-120" w:rightChars="-50"/>
              <w:jc w:val="center"/>
              <w:rPr>
                <w:rFonts w:ascii="Calibri" w:hAnsi="Calibri" w:cs="Calibri"/>
                <w:color w:val="auto"/>
                <w:szCs w:val="21"/>
                <w:highlight w:val="none"/>
              </w:rPr>
            </w:pPr>
            <w:r>
              <w:rPr>
                <w:rFonts w:hint="eastAsia"/>
                <w:color w:val="auto"/>
                <w:szCs w:val="21"/>
                <w:highlight w:val="none"/>
              </w:rPr>
              <w:t>22.27</w:t>
            </w:r>
          </w:p>
        </w:tc>
        <w:tc>
          <w:tcPr>
            <w:tcW w:w="356" w:type="pct"/>
            <w:tcBorders>
              <w:top w:val="single" w:color="000000" w:sz="4" w:space="0"/>
              <w:left w:val="single" w:color="000000" w:sz="4" w:space="0"/>
              <w:bottom w:val="single" w:color="000000" w:sz="4" w:space="0"/>
              <w:right w:val="single" w:color="000000" w:sz="4" w:space="0"/>
            </w:tcBorders>
            <w:noWrap/>
            <w:vAlign w:val="center"/>
          </w:tcPr>
          <w:p>
            <w:pPr>
              <w:spacing w:line="220" w:lineRule="exact"/>
              <w:ind w:left="-120" w:leftChars="-50" w:right="-120" w:rightChars="-50"/>
              <w:jc w:val="center"/>
              <w:rPr>
                <w:rFonts w:ascii="Calibri" w:hAnsi="Calibri" w:cs="Calibri"/>
                <w:color w:val="auto"/>
                <w:szCs w:val="21"/>
                <w:highlight w:val="none"/>
              </w:rPr>
            </w:pPr>
            <w:r>
              <w:rPr>
                <w:color w:val="auto"/>
                <w:szCs w:val="21"/>
                <w:highlight w:val="none"/>
              </w:rPr>
              <w:t>0.0072</w:t>
            </w:r>
          </w:p>
        </w:tc>
        <w:tc>
          <w:tcPr>
            <w:tcW w:w="190" w:type="pct"/>
            <w:tcBorders>
              <w:top w:val="single" w:color="000000" w:sz="4" w:space="0"/>
              <w:left w:val="single" w:color="000000" w:sz="4" w:space="0"/>
              <w:bottom w:val="single" w:color="000000" w:sz="4" w:space="0"/>
              <w:right w:val="single" w:color="000000" w:sz="4" w:space="0"/>
            </w:tcBorders>
            <w:noWrap/>
            <w:vAlign w:val="center"/>
          </w:tcPr>
          <w:p>
            <w:pPr>
              <w:jc w:val="center"/>
              <w:rPr>
                <w:rFonts w:ascii="Calibri" w:hAnsi="Calibri" w:cs="Calibri"/>
                <w:color w:val="auto"/>
                <w:szCs w:val="21"/>
                <w:highlight w:val="none"/>
              </w:rPr>
            </w:pPr>
            <w:r>
              <w:rPr>
                <w:rFonts w:hint="eastAsia" w:ascii="Calibri" w:hAnsi="Calibri" w:cs="Calibri"/>
                <w:color w:val="auto"/>
                <w:szCs w:val="21"/>
                <w:highlight w:val="none"/>
              </w:rPr>
              <w:t>/</w:t>
            </w:r>
          </w:p>
        </w:tc>
        <w:tc>
          <w:tcPr>
            <w:tcW w:w="205" w:type="pct"/>
            <w:tcBorders>
              <w:top w:val="single" w:color="000000" w:sz="4" w:space="0"/>
              <w:left w:val="single" w:color="000000" w:sz="4" w:space="0"/>
              <w:bottom w:val="single" w:color="000000" w:sz="4" w:space="0"/>
              <w:right w:val="single" w:color="000000" w:sz="4" w:space="0"/>
            </w:tcBorders>
            <w:noWrap/>
            <w:vAlign w:val="center"/>
          </w:tcPr>
          <w:p>
            <w:pPr>
              <w:jc w:val="center"/>
              <w:rPr>
                <w:rFonts w:ascii="Calibri" w:hAnsi="Calibri" w:cs="Calibri"/>
                <w:color w:val="auto"/>
                <w:szCs w:val="21"/>
                <w:highlight w:val="none"/>
              </w:rPr>
            </w:pPr>
            <w:r>
              <w:rPr>
                <w:rFonts w:hint="eastAsia" w:ascii="Calibri" w:hAnsi="Calibri" w:cs="Calibri"/>
                <w:color w:val="auto"/>
                <w:szCs w:val="21"/>
                <w:highlight w:val="none"/>
              </w:rPr>
              <w:t>/</w:t>
            </w:r>
          </w:p>
        </w:tc>
        <w:tc>
          <w:tcPr>
            <w:tcW w:w="303" w:type="pct"/>
            <w:tcBorders>
              <w:top w:val="single" w:color="000000" w:sz="4" w:space="0"/>
              <w:left w:val="single" w:color="000000" w:sz="4" w:space="0"/>
              <w:bottom w:val="single" w:color="000000" w:sz="4" w:space="0"/>
              <w:right w:val="single" w:color="000000" w:sz="4" w:space="0"/>
            </w:tcBorders>
            <w:noWrap/>
            <w:vAlign w:val="center"/>
          </w:tcPr>
          <w:p>
            <w:pPr>
              <w:jc w:val="center"/>
              <w:rPr>
                <w:rFonts w:ascii="Calibri" w:hAnsi="Calibri" w:cs="Calibri"/>
                <w:color w:val="auto"/>
                <w:szCs w:val="21"/>
                <w:highlight w:val="none"/>
              </w:rPr>
            </w:pPr>
            <w:r>
              <w:rPr>
                <w:rFonts w:hint="eastAsia" w:ascii="Calibri" w:hAnsi="Calibri" w:cs="Calibri"/>
                <w:color w:val="auto"/>
                <w:szCs w:val="21"/>
                <w:highlight w:val="none"/>
              </w:rPr>
              <w:t>污染系数法</w:t>
            </w:r>
          </w:p>
        </w:tc>
        <w:tc>
          <w:tcPr>
            <w:tcW w:w="377" w:type="pct"/>
            <w:tcBorders>
              <w:top w:val="single" w:color="000000" w:sz="4" w:space="0"/>
              <w:left w:val="single" w:color="000000" w:sz="4" w:space="0"/>
              <w:bottom w:val="single" w:color="000000" w:sz="4" w:space="0"/>
              <w:right w:val="single" w:color="000000" w:sz="4" w:space="0"/>
            </w:tcBorders>
            <w:noWrap/>
            <w:vAlign w:val="center"/>
          </w:tcPr>
          <w:p>
            <w:pPr>
              <w:jc w:val="center"/>
              <w:rPr>
                <w:rFonts w:ascii="Calibri" w:hAnsi="Calibri" w:cs="Calibri"/>
                <w:color w:val="auto"/>
                <w:szCs w:val="21"/>
                <w:highlight w:val="none"/>
              </w:rPr>
            </w:pPr>
          </w:p>
        </w:tc>
        <w:tc>
          <w:tcPr>
            <w:tcW w:w="374" w:type="pct"/>
            <w:tcBorders>
              <w:top w:val="single" w:color="000000" w:sz="4" w:space="0"/>
              <w:left w:val="single" w:color="000000" w:sz="4" w:space="0"/>
              <w:bottom w:val="single" w:color="000000" w:sz="4" w:space="0"/>
              <w:right w:val="single" w:color="000000" w:sz="4" w:space="0"/>
            </w:tcBorders>
            <w:noWrap/>
            <w:vAlign w:val="center"/>
          </w:tcPr>
          <w:p>
            <w:pPr>
              <w:spacing w:line="220" w:lineRule="exact"/>
              <w:ind w:left="-120" w:leftChars="-50" w:right="-120" w:rightChars="-50"/>
              <w:jc w:val="center"/>
              <w:rPr>
                <w:rFonts w:ascii="Calibri" w:hAnsi="Calibri" w:cs="Calibri"/>
                <w:color w:val="auto"/>
                <w:szCs w:val="21"/>
                <w:highlight w:val="none"/>
              </w:rPr>
            </w:pPr>
            <w:r>
              <w:rPr>
                <w:rFonts w:hint="eastAsia"/>
                <w:color w:val="auto"/>
                <w:szCs w:val="21"/>
                <w:highlight w:val="none"/>
              </w:rPr>
              <w:t>22.27</w:t>
            </w:r>
          </w:p>
        </w:tc>
        <w:tc>
          <w:tcPr>
            <w:tcW w:w="543" w:type="pct"/>
            <w:tcBorders>
              <w:top w:val="single" w:color="000000" w:sz="4" w:space="0"/>
              <w:left w:val="single" w:color="000000" w:sz="4" w:space="0"/>
              <w:bottom w:val="single" w:color="000000" w:sz="4" w:space="0"/>
              <w:right w:val="single" w:color="000000" w:sz="4" w:space="0"/>
            </w:tcBorders>
            <w:noWrap/>
            <w:vAlign w:val="center"/>
          </w:tcPr>
          <w:p>
            <w:pPr>
              <w:spacing w:line="220" w:lineRule="exact"/>
              <w:ind w:left="-120" w:leftChars="-50" w:right="-120" w:rightChars="-50"/>
              <w:jc w:val="center"/>
              <w:rPr>
                <w:rFonts w:ascii="Calibri" w:hAnsi="Calibri" w:cs="Calibri"/>
                <w:color w:val="auto"/>
                <w:szCs w:val="21"/>
                <w:highlight w:val="none"/>
              </w:rPr>
            </w:pPr>
            <w:r>
              <w:rPr>
                <w:color w:val="auto"/>
                <w:szCs w:val="21"/>
                <w:highlight w:val="none"/>
              </w:rPr>
              <w:t>0.0072</w:t>
            </w:r>
          </w:p>
        </w:tc>
        <w:tc>
          <w:tcPr>
            <w:tcW w:w="375" w:type="pct"/>
            <w:tcBorders>
              <w:top w:val="single" w:color="000000" w:sz="4" w:space="0"/>
              <w:left w:val="single" w:color="000000" w:sz="4" w:space="0"/>
              <w:bottom w:val="single" w:color="000000" w:sz="4" w:space="0"/>
              <w:right w:val="single" w:color="000000" w:sz="4" w:space="0"/>
            </w:tcBorders>
            <w:noWrap/>
            <w:vAlign w:val="center"/>
          </w:tcPr>
          <w:p>
            <w:pPr>
              <w:jc w:val="center"/>
              <w:rPr>
                <w:rFonts w:ascii="Calibri" w:hAnsi="Calibri" w:cs="Calibri"/>
                <w:color w:val="auto"/>
                <w:szCs w:val="21"/>
                <w:highlight w:val="none"/>
              </w:rPr>
            </w:pPr>
            <w:r>
              <w:rPr>
                <w:rFonts w:hint="eastAsia" w:ascii="Calibri" w:hAnsi="Calibri" w:cs="Calibri"/>
                <w:color w:val="auto"/>
                <w:szCs w:val="21"/>
                <w:highlight w:val="none"/>
              </w:rPr>
              <w:t>600</w:t>
            </w:r>
          </w:p>
        </w:tc>
      </w:tr>
      <w:tr>
        <w:tblPrEx>
          <w:tblCellMar>
            <w:top w:w="15" w:type="dxa"/>
            <w:left w:w="15" w:type="dxa"/>
            <w:bottom w:w="15" w:type="dxa"/>
            <w:right w:w="15" w:type="dxa"/>
          </w:tblCellMar>
        </w:tblPrEx>
        <w:trPr>
          <w:trHeight w:val="270" w:hRule="atLeast"/>
        </w:trPr>
        <w:tc>
          <w:tcPr>
            <w:tcW w:w="213" w:type="pct"/>
            <w:vMerge w:val="continue"/>
            <w:tcBorders>
              <w:left w:val="single" w:color="000000" w:sz="4" w:space="0"/>
              <w:right w:val="single" w:color="000000" w:sz="4" w:space="0"/>
            </w:tcBorders>
            <w:noWrap/>
            <w:vAlign w:val="center"/>
          </w:tcPr>
          <w:p>
            <w:pPr>
              <w:jc w:val="center"/>
              <w:rPr>
                <w:rFonts w:ascii="Calibri" w:hAnsi="Calibri" w:cs="Calibri"/>
                <w:color w:val="auto"/>
                <w:szCs w:val="21"/>
                <w:highlight w:val="none"/>
              </w:rPr>
            </w:pPr>
          </w:p>
        </w:tc>
        <w:tc>
          <w:tcPr>
            <w:tcW w:w="273" w:type="pct"/>
            <w:tcBorders>
              <w:left w:val="single" w:color="000000" w:sz="4" w:space="0"/>
              <w:bottom w:val="single" w:color="000000" w:sz="4" w:space="0"/>
              <w:right w:val="single" w:color="000000" w:sz="4" w:space="0"/>
            </w:tcBorders>
            <w:noWrap/>
            <w:vAlign w:val="center"/>
          </w:tcPr>
          <w:p>
            <w:pPr>
              <w:jc w:val="center"/>
              <w:rPr>
                <w:rFonts w:ascii="Calibri" w:hAnsi="Calibri" w:cs="Calibri"/>
                <w:color w:val="auto"/>
                <w:szCs w:val="21"/>
                <w:highlight w:val="none"/>
              </w:rPr>
            </w:pPr>
            <w:r>
              <w:rPr>
                <w:color w:val="auto"/>
                <w:szCs w:val="21"/>
                <w:highlight w:val="none"/>
              </w:rPr>
              <w:t>原料堆场1</w:t>
            </w:r>
          </w:p>
        </w:tc>
        <w:tc>
          <w:tcPr>
            <w:tcW w:w="332" w:type="pct"/>
            <w:tcBorders>
              <w:left w:val="single" w:color="000000" w:sz="4" w:space="0"/>
              <w:bottom w:val="single" w:color="000000" w:sz="4" w:space="0"/>
              <w:right w:val="single" w:color="000000" w:sz="4" w:space="0"/>
            </w:tcBorders>
            <w:noWrap/>
            <w:vAlign w:val="center"/>
          </w:tcPr>
          <w:p>
            <w:pPr>
              <w:jc w:val="center"/>
              <w:rPr>
                <w:rFonts w:ascii="Calibri" w:hAnsi="Calibri" w:cs="Calibri"/>
                <w:color w:val="auto"/>
                <w:szCs w:val="21"/>
                <w:highlight w:val="none"/>
              </w:rPr>
            </w:pPr>
            <w:r>
              <w:rPr>
                <w:rFonts w:hint="eastAsia" w:cs="Calibri"/>
                <w:color w:val="auto"/>
                <w:kern w:val="0"/>
                <w:szCs w:val="21"/>
                <w:highlight w:val="none"/>
                <w:lang w:bidi="ar"/>
              </w:rPr>
              <w:t>无组织排放</w:t>
            </w:r>
          </w:p>
        </w:tc>
        <w:tc>
          <w:tcPr>
            <w:tcW w:w="493" w:type="pct"/>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Calibri" w:hAnsi="Calibri" w:cs="Calibri"/>
                <w:color w:val="auto"/>
                <w:szCs w:val="21"/>
                <w:highlight w:val="none"/>
              </w:rPr>
            </w:pPr>
            <w:r>
              <w:rPr>
                <w:color w:val="auto"/>
                <w:szCs w:val="21"/>
                <w:highlight w:val="none"/>
              </w:rPr>
              <w:t>TSP</w:t>
            </w:r>
          </w:p>
        </w:tc>
        <w:tc>
          <w:tcPr>
            <w:tcW w:w="268" w:type="pct"/>
            <w:tcBorders>
              <w:top w:val="single" w:color="000000" w:sz="4" w:space="0"/>
              <w:left w:val="single" w:color="000000" w:sz="4" w:space="0"/>
              <w:bottom w:val="single" w:color="000000" w:sz="4" w:space="0"/>
              <w:right w:val="single" w:color="000000" w:sz="4" w:space="0"/>
            </w:tcBorders>
            <w:noWrap/>
            <w:vAlign w:val="center"/>
          </w:tcPr>
          <w:p>
            <w:pPr>
              <w:jc w:val="center"/>
              <w:rPr>
                <w:rFonts w:ascii="Calibri" w:hAnsi="Calibri" w:cs="Calibri"/>
                <w:color w:val="auto"/>
                <w:szCs w:val="21"/>
                <w:highlight w:val="none"/>
              </w:rPr>
            </w:pPr>
            <w:r>
              <w:rPr>
                <w:rFonts w:hint="eastAsia" w:cs="Calibri"/>
                <w:color w:val="auto"/>
                <w:szCs w:val="21"/>
                <w:highlight w:val="none"/>
              </w:rPr>
              <w:t>类比法</w:t>
            </w:r>
          </w:p>
        </w:tc>
        <w:tc>
          <w:tcPr>
            <w:tcW w:w="343" w:type="pct"/>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Calibri" w:hAnsi="Calibri" w:cs="Calibri"/>
                <w:color w:val="auto"/>
                <w:szCs w:val="21"/>
                <w:highlight w:val="none"/>
              </w:rPr>
            </w:pPr>
            <w:r>
              <w:rPr>
                <w:rFonts w:hint="eastAsia" w:ascii="Calibri" w:hAnsi="Calibri" w:cs="Calibri"/>
                <w:color w:val="auto"/>
                <w:szCs w:val="21"/>
                <w:highlight w:val="none"/>
              </w:rPr>
              <w:t>-</w:t>
            </w:r>
          </w:p>
        </w:tc>
        <w:tc>
          <w:tcPr>
            <w:tcW w:w="348" w:type="pct"/>
            <w:tcBorders>
              <w:top w:val="single" w:color="000000" w:sz="4" w:space="0"/>
              <w:left w:val="single" w:color="000000" w:sz="4" w:space="0"/>
              <w:bottom w:val="single" w:color="000000" w:sz="4" w:space="0"/>
              <w:right w:val="single" w:color="000000" w:sz="4" w:space="0"/>
            </w:tcBorders>
            <w:noWrap/>
            <w:vAlign w:val="center"/>
          </w:tcPr>
          <w:p>
            <w:pPr>
              <w:spacing w:line="220" w:lineRule="exact"/>
              <w:ind w:left="-120" w:leftChars="-50" w:right="-120" w:rightChars="-50"/>
              <w:jc w:val="center"/>
              <w:rPr>
                <w:color w:val="auto"/>
                <w:szCs w:val="21"/>
                <w:highlight w:val="none"/>
              </w:rPr>
            </w:pPr>
            <w:r>
              <w:rPr>
                <w:rFonts w:hint="eastAsia"/>
                <w:color w:val="auto"/>
                <w:szCs w:val="21"/>
                <w:highlight w:val="none"/>
              </w:rPr>
              <w:t>-</w:t>
            </w:r>
          </w:p>
        </w:tc>
        <w:tc>
          <w:tcPr>
            <w:tcW w:w="356" w:type="pct"/>
            <w:tcBorders>
              <w:top w:val="single" w:color="000000" w:sz="4" w:space="0"/>
              <w:left w:val="single" w:color="000000" w:sz="4" w:space="0"/>
              <w:bottom w:val="single" w:color="000000" w:sz="4" w:space="0"/>
              <w:right w:val="single" w:color="000000" w:sz="4" w:space="0"/>
            </w:tcBorders>
            <w:noWrap/>
            <w:vAlign w:val="center"/>
          </w:tcPr>
          <w:p>
            <w:pPr>
              <w:spacing w:line="220" w:lineRule="exact"/>
              <w:ind w:left="-120" w:leftChars="-50" w:right="-120" w:rightChars="-50"/>
              <w:jc w:val="center"/>
              <w:rPr>
                <w:color w:val="auto"/>
                <w:szCs w:val="21"/>
                <w:highlight w:val="none"/>
              </w:rPr>
            </w:pPr>
            <w:r>
              <w:rPr>
                <w:color w:val="auto"/>
                <w:szCs w:val="21"/>
                <w:highlight w:val="none"/>
              </w:rPr>
              <w:t>0.568</w:t>
            </w:r>
          </w:p>
        </w:tc>
        <w:tc>
          <w:tcPr>
            <w:tcW w:w="190" w:type="pct"/>
            <w:vMerge w:val="restart"/>
            <w:tcBorders>
              <w:top w:val="single" w:color="000000" w:sz="4" w:space="0"/>
              <w:left w:val="single" w:color="000000" w:sz="4" w:space="0"/>
              <w:right w:val="single" w:color="000000" w:sz="4" w:space="0"/>
            </w:tcBorders>
            <w:noWrap/>
            <w:vAlign w:val="center"/>
          </w:tcPr>
          <w:p>
            <w:pPr>
              <w:jc w:val="center"/>
              <w:rPr>
                <w:rFonts w:ascii="Calibri" w:hAnsi="Calibri" w:cs="Calibri"/>
                <w:color w:val="auto"/>
                <w:szCs w:val="21"/>
                <w:highlight w:val="none"/>
              </w:rPr>
            </w:pPr>
            <w:r>
              <w:rPr>
                <w:color w:val="auto"/>
                <w:szCs w:val="21"/>
                <w:highlight w:val="none"/>
              </w:rPr>
              <w:t>加装喷淋设施，料仓设为三面封闭式堆棚</w:t>
            </w:r>
          </w:p>
        </w:tc>
        <w:tc>
          <w:tcPr>
            <w:tcW w:w="205" w:type="pct"/>
            <w:tcBorders>
              <w:top w:val="single" w:color="000000" w:sz="4" w:space="0"/>
              <w:left w:val="single" w:color="000000" w:sz="4" w:space="0"/>
              <w:bottom w:val="single" w:color="000000" w:sz="4" w:space="0"/>
              <w:right w:val="single" w:color="000000" w:sz="4" w:space="0"/>
            </w:tcBorders>
            <w:noWrap/>
            <w:vAlign w:val="center"/>
          </w:tcPr>
          <w:p>
            <w:pPr>
              <w:jc w:val="center"/>
              <w:rPr>
                <w:rFonts w:ascii="Calibri" w:hAnsi="Calibri" w:cs="Calibri"/>
                <w:color w:val="auto"/>
                <w:szCs w:val="21"/>
                <w:highlight w:val="none"/>
              </w:rPr>
            </w:pPr>
            <w:r>
              <w:rPr>
                <w:rFonts w:hint="eastAsia" w:cs="Calibri"/>
                <w:color w:val="auto"/>
                <w:szCs w:val="21"/>
                <w:highlight w:val="none"/>
              </w:rPr>
              <w:t>/</w:t>
            </w:r>
          </w:p>
        </w:tc>
        <w:tc>
          <w:tcPr>
            <w:tcW w:w="303" w:type="pct"/>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Calibri" w:hAnsi="Calibri" w:cs="Calibri"/>
                <w:color w:val="auto"/>
                <w:szCs w:val="21"/>
                <w:highlight w:val="none"/>
              </w:rPr>
            </w:pPr>
            <w:r>
              <w:rPr>
                <w:rFonts w:hint="eastAsia" w:cs="Calibri"/>
                <w:color w:val="auto"/>
                <w:szCs w:val="21"/>
                <w:highlight w:val="none"/>
              </w:rPr>
              <w:t>类比法</w:t>
            </w:r>
          </w:p>
        </w:tc>
        <w:tc>
          <w:tcPr>
            <w:tcW w:w="377" w:type="pct"/>
            <w:tcBorders>
              <w:top w:val="single" w:color="000000" w:sz="4" w:space="0"/>
              <w:left w:val="single" w:color="000000" w:sz="4" w:space="0"/>
              <w:bottom w:val="single" w:color="000000" w:sz="4" w:space="0"/>
              <w:right w:val="single" w:color="000000" w:sz="4" w:space="0"/>
            </w:tcBorders>
            <w:noWrap/>
            <w:vAlign w:val="center"/>
          </w:tcPr>
          <w:p>
            <w:pPr>
              <w:jc w:val="center"/>
              <w:rPr>
                <w:rFonts w:ascii="Calibri" w:hAnsi="Calibri" w:cs="Calibri"/>
                <w:color w:val="auto"/>
                <w:szCs w:val="21"/>
                <w:highlight w:val="none"/>
              </w:rPr>
            </w:pPr>
            <w:r>
              <w:rPr>
                <w:rFonts w:hint="eastAsia" w:ascii="Calibri" w:hAnsi="Calibri" w:cs="Calibri"/>
                <w:color w:val="auto"/>
                <w:szCs w:val="21"/>
                <w:highlight w:val="none"/>
              </w:rPr>
              <w:t>-</w:t>
            </w:r>
          </w:p>
        </w:tc>
        <w:tc>
          <w:tcPr>
            <w:tcW w:w="374" w:type="pct"/>
            <w:tcBorders>
              <w:top w:val="single" w:color="000000" w:sz="4" w:space="0"/>
              <w:left w:val="single" w:color="000000" w:sz="4" w:space="0"/>
              <w:bottom w:val="single" w:color="000000" w:sz="4" w:space="0"/>
              <w:right w:val="single" w:color="000000" w:sz="4" w:space="0"/>
            </w:tcBorders>
            <w:noWrap/>
            <w:vAlign w:val="center"/>
          </w:tcPr>
          <w:p>
            <w:pPr>
              <w:spacing w:line="220" w:lineRule="exact"/>
              <w:ind w:left="-120" w:leftChars="-50" w:right="-120" w:rightChars="-50"/>
              <w:jc w:val="center"/>
              <w:rPr>
                <w:rFonts w:hint="eastAsia"/>
                <w:color w:val="auto"/>
                <w:szCs w:val="21"/>
                <w:highlight w:val="none"/>
              </w:rPr>
            </w:pPr>
            <w:r>
              <w:rPr>
                <w:rFonts w:hint="eastAsia"/>
                <w:color w:val="auto"/>
                <w:szCs w:val="21"/>
                <w:highlight w:val="none"/>
              </w:rPr>
              <w:t>-</w:t>
            </w:r>
          </w:p>
        </w:tc>
        <w:tc>
          <w:tcPr>
            <w:tcW w:w="543" w:type="pct"/>
            <w:tcBorders>
              <w:top w:val="single" w:color="000000" w:sz="4" w:space="0"/>
              <w:left w:val="single" w:color="000000" w:sz="4" w:space="0"/>
              <w:bottom w:val="single" w:color="000000" w:sz="4" w:space="0"/>
              <w:right w:val="single" w:color="000000" w:sz="4" w:space="0"/>
            </w:tcBorders>
            <w:noWrap/>
            <w:vAlign w:val="center"/>
          </w:tcPr>
          <w:p>
            <w:pPr>
              <w:spacing w:line="220" w:lineRule="exact"/>
              <w:ind w:left="-120" w:leftChars="-50" w:right="-120" w:rightChars="-50"/>
              <w:jc w:val="center"/>
              <w:rPr>
                <w:color w:val="auto"/>
                <w:szCs w:val="21"/>
                <w:highlight w:val="none"/>
              </w:rPr>
            </w:pPr>
            <w:r>
              <w:rPr>
                <w:color w:val="auto"/>
                <w:szCs w:val="21"/>
                <w:highlight w:val="none"/>
              </w:rPr>
              <w:t>0.0852</w:t>
            </w:r>
          </w:p>
        </w:tc>
        <w:tc>
          <w:tcPr>
            <w:tcW w:w="375" w:type="pct"/>
            <w:tcBorders>
              <w:top w:val="single" w:color="000000" w:sz="4" w:space="0"/>
              <w:left w:val="single" w:color="000000" w:sz="4" w:space="0"/>
              <w:bottom w:val="single" w:color="000000" w:sz="4" w:space="0"/>
              <w:right w:val="single" w:color="000000" w:sz="4" w:space="0"/>
            </w:tcBorders>
            <w:noWrap/>
            <w:vAlign w:val="center"/>
          </w:tcPr>
          <w:p>
            <w:pPr>
              <w:jc w:val="center"/>
              <w:rPr>
                <w:rFonts w:ascii="Calibri" w:hAnsi="Calibri" w:cs="Calibri"/>
                <w:color w:val="auto"/>
                <w:szCs w:val="21"/>
                <w:highlight w:val="none"/>
              </w:rPr>
            </w:pPr>
            <w:r>
              <w:rPr>
                <w:rFonts w:hint="eastAsia" w:cs="Calibri"/>
                <w:color w:val="auto"/>
                <w:szCs w:val="21"/>
                <w:highlight w:val="none"/>
              </w:rPr>
              <w:t>2400</w:t>
            </w:r>
          </w:p>
        </w:tc>
      </w:tr>
      <w:tr>
        <w:tblPrEx>
          <w:tblCellMar>
            <w:top w:w="15" w:type="dxa"/>
            <w:left w:w="15" w:type="dxa"/>
            <w:bottom w:w="15" w:type="dxa"/>
            <w:right w:w="15" w:type="dxa"/>
          </w:tblCellMar>
        </w:tblPrEx>
        <w:trPr>
          <w:trHeight w:val="270" w:hRule="atLeast"/>
        </w:trPr>
        <w:tc>
          <w:tcPr>
            <w:tcW w:w="213" w:type="pct"/>
            <w:vMerge w:val="continue"/>
            <w:tcBorders>
              <w:left w:val="single" w:color="000000" w:sz="4" w:space="0"/>
              <w:bottom w:val="single" w:color="000000" w:sz="4" w:space="0"/>
              <w:right w:val="single" w:color="000000" w:sz="4" w:space="0"/>
            </w:tcBorders>
            <w:noWrap/>
            <w:vAlign w:val="center"/>
          </w:tcPr>
          <w:p>
            <w:pPr>
              <w:jc w:val="center"/>
              <w:rPr>
                <w:rFonts w:ascii="Calibri" w:hAnsi="Calibri" w:cs="Calibri"/>
                <w:color w:val="auto"/>
                <w:szCs w:val="21"/>
                <w:highlight w:val="none"/>
              </w:rPr>
            </w:pPr>
          </w:p>
        </w:tc>
        <w:tc>
          <w:tcPr>
            <w:tcW w:w="273" w:type="pct"/>
            <w:tcBorders>
              <w:left w:val="single" w:color="000000" w:sz="4" w:space="0"/>
              <w:bottom w:val="single" w:color="000000" w:sz="4" w:space="0"/>
              <w:right w:val="single" w:color="000000" w:sz="4" w:space="0"/>
            </w:tcBorders>
            <w:noWrap/>
            <w:vAlign w:val="center"/>
          </w:tcPr>
          <w:p>
            <w:pPr>
              <w:jc w:val="center"/>
              <w:rPr>
                <w:rFonts w:ascii="Calibri" w:hAnsi="Calibri" w:cs="Calibri"/>
                <w:color w:val="auto"/>
                <w:szCs w:val="21"/>
                <w:highlight w:val="none"/>
              </w:rPr>
            </w:pPr>
            <w:r>
              <w:rPr>
                <w:color w:val="auto"/>
                <w:szCs w:val="21"/>
                <w:highlight w:val="none"/>
              </w:rPr>
              <w:t>原料堆场2</w:t>
            </w:r>
          </w:p>
        </w:tc>
        <w:tc>
          <w:tcPr>
            <w:tcW w:w="332" w:type="pct"/>
            <w:tcBorders>
              <w:left w:val="single" w:color="000000" w:sz="4" w:space="0"/>
              <w:bottom w:val="single" w:color="000000" w:sz="4" w:space="0"/>
              <w:right w:val="single" w:color="000000" w:sz="4" w:space="0"/>
            </w:tcBorders>
            <w:noWrap/>
            <w:vAlign w:val="center"/>
          </w:tcPr>
          <w:p>
            <w:pPr>
              <w:jc w:val="center"/>
              <w:rPr>
                <w:rFonts w:ascii="Calibri" w:hAnsi="Calibri" w:cs="Calibri"/>
                <w:color w:val="auto"/>
                <w:szCs w:val="21"/>
                <w:highlight w:val="none"/>
              </w:rPr>
            </w:pPr>
            <w:r>
              <w:rPr>
                <w:rFonts w:hint="eastAsia" w:cs="Calibri"/>
                <w:color w:val="auto"/>
                <w:kern w:val="0"/>
                <w:szCs w:val="21"/>
                <w:highlight w:val="none"/>
                <w:lang w:bidi="ar"/>
              </w:rPr>
              <w:t>无组织排放</w:t>
            </w:r>
          </w:p>
        </w:tc>
        <w:tc>
          <w:tcPr>
            <w:tcW w:w="493" w:type="pct"/>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Calibri" w:hAnsi="Calibri" w:cs="Calibri"/>
                <w:color w:val="auto"/>
                <w:szCs w:val="21"/>
                <w:highlight w:val="none"/>
              </w:rPr>
            </w:pPr>
            <w:r>
              <w:rPr>
                <w:color w:val="auto"/>
                <w:szCs w:val="21"/>
                <w:highlight w:val="none"/>
              </w:rPr>
              <w:t>TSP</w:t>
            </w:r>
          </w:p>
        </w:tc>
        <w:tc>
          <w:tcPr>
            <w:tcW w:w="268" w:type="pct"/>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Calibri" w:hAnsi="Calibri" w:cs="Calibri"/>
                <w:color w:val="auto"/>
                <w:szCs w:val="21"/>
                <w:highlight w:val="none"/>
              </w:rPr>
            </w:pPr>
            <w:r>
              <w:rPr>
                <w:rFonts w:hint="eastAsia" w:cs="Calibri"/>
                <w:color w:val="auto"/>
                <w:szCs w:val="21"/>
                <w:highlight w:val="none"/>
              </w:rPr>
              <w:t>类比法</w:t>
            </w:r>
          </w:p>
        </w:tc>
        <w:tc>
          <w:tcPr>
            <w:tcW w:w="343" w:type="pct"/>
            <w:tcBorders>
              <w:top w:val="single" w:color="000000" w:sz="4" w:space="0"/>
              <w:left w:val="single" w:color="000000" w:sz="4" w:space="0"/>
              <w:bottom w:val="single" w:color="000000" w:sz="4" w:space="0"/>
              <w:right w:val="single" w:color="000000" w:sz="4" w:space="0"/>
            </w:tcBorders>
            <w:noWrap/>
            <w:vAlign w:val="center"/>
          </w:tcPr>
          <w:p>
            <w:pPr>
              <w:jc w:val="center"/>
              <w:rPr>
                <w:rFonts w:ascii="Calibri" w:hAnsi="Calibri" w:cs="Calibri"/>
                <w:color w:val="auto"/>
                <w:szCs w:val="21"/>
                <w:highlight w:val="none"/>
              </w:rPr>
            </w:pPr>
            <w:r>
              <w:rPr>
                <w:rFonts w:hint="eastAsia" w:ascii="Calibri" w:hAnsi="Calibri" w:cs="Calibri"/>
                <w:color w:val="auto"/>
                <w:szCs w:val="21"/>
                <w:highlight w:val="none"/>
              </w:rPr>
              <w:t>-</w:t>
            </w:r>
          </w:p>
        </w:tc>
        <w:tc>
          <w:tcPr>
            <w:tcW w:w="348" w:type="pct"/>
            <w:tcBorders>
              <w:top w:val="single" w:color="000000" w:sz="4" w:space="0"/>
              <w:left w:val="single" w:color="000000" w:sz="4" w:space="0"/>
              <w:bottom w:val="single" w:color="000000" w:sz="4" w:space="0"/>
              <w:right w:val="single" w:color="000000" w:sz="4" w:space="0"/>
            </w:tcBorders>
            <w:noWrap/>
            <w:vAlign w:val="center"/>
          </w:tcPr>
          <w:p>
            <w:pPr>
              <w:spacing w:line="220" w:lineRule="exact"/>
              <w:ind w:left="-120" w:leftChars="-50" w:right="-120" w:rightChars="-50"/>
              <w:jc w:val="center"/>
              <w:rPr>
                <w:rFonts w:hint="eastAsia"/>
                <w:color w:val="auto"/>
                <w:szCs w:val="21"/>
                <w:highlight w:val="none"/>
              </w:rPr>
            </w:pPr>
            <w:r>
              <w:rPr>
                <w:rFonts w:hint="eastAsia"/>
                <w:color w:val="auto"/>
                <w:szCs w:val="21"/>
                <w:highlight w:val="none"/>
              </w:rPr>
              <w:t>-</w:t>
            </w:r>
          </w:p>
        </w:tc>
        <w:tc>
          <w:tcPr>
            <w:tcW w:w="356" w:type="pct"/>
            <w:tcBorders>
              <w:top w:val="single" w:color="000000" w:sz="4" w:space="0"/>
              <w:left w:val="single" w:color="000000" w:sz="4" w:space="0"/>
              <w:bottom w:val="single" w:color="000000" w:sz="4" w:space="0"/>
              <w:right w:val="single" w:color="000000" w:sz="4" w:space="0"/>
            </w:tcBorders>
            <w:noWrap/>
            <w:vAlign w:val="center"/>
          </w:tcPr>
          <w:p>
            <w:pPr>
              <w:spacing w:line="220" w:lineRule="exact"/>
              <w:ind w:left="-120" w:leftChars="-50" w:right="-120" w:rightChars="-50"/>
              <w:jc w:val="center"/>
              <w:rPr>
                <w:color w:val="auto"/>
                <w:szCs w:val="21"/>
                <w:highlight w:val="none"/>
              </w:rPr>
            </w:pPr>
            <w:r>
              <w:rPr>
                <w:color w:val="auto"/>
                <w:szCs w:val="21"/>
                <w:highlight w:val="none"/>
              </w:rPr>
              <w:t>0.568</w:t>
            </w:r>
          </w:p>
        </w:tc>
        <w:tc>
          <w:tcPr>
            <w:tcW w:w="190" w:type="pct"/>
            <w:vMerge w:val="continue"/>
            <w:tcBorders>
              <w:left w:val="single" w:color="000000" w:sz="4" w:space="0"/>
              <w:bottom w:val="single" w:color="000000" w:sz="4" w:space="0"/>
              <w:right w:val="single" w:color="000000" w:sz="4" w:space="0"/>
            </w:tcBorders>
            <w:noWrap/>
            <w:vAlign w:val="center"/>
          </w:tcPr>
          <w:p>
            <w:pPr>
              <w:jc w:val="center"/>
              <w:rPr>
                <w:rFonts w:hint="eastAsia" w:ascii="Calibri" w:hAnsi="Calibri" w:cs="Calibri"/>
                <w:color w:val="auto"/>
                <w:szCs w:val="21"/>
                <w:highlight w:val="none"/>
              </w:rPr>
            </w:pPr>
          </w:p>
        </w:tc>
        <w:tc>
          <w:tcPr>
            <w:tcW w:w="205" w:type="pct"/>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Calibri" w:hAnsi="Calibri" w:cs="Calibri"/>
                <w:color w:val="auto"/>
                <w:szCs w:val="21"/>
                <w:highlight w:val="none"/>
              </w:rPr>
            </w:pPr>
          </w:p>
        </w:tc>
        <w:tc>
          <w:tcPr>
            <w:tcW w:w="303" w:type="pct"/>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Calibri" w:hAnsi="Calibri" w:cs="Calibri"/>
                <w:color w:val="auto"/>
                <w:szCs w:val="21"/>
                <w:highlight w:val="none"/>
              </w:rPr>
            </w:pPr>
            <w:r>
              <w:rPr>
                <w:rFonts w:hint="eastAsia" w:cs="Calibri"/>
                <w:color w:val="auto"/>
                <w:szCs w:val="21"/>
                <w:highlight w:val="none"/>
              </w:rPr>
              <w:t>类比法</w:t>
            </w:r>
          </w:p>
        </w:tc>
        <w:tc>
          <w:tcPr>
            <w:tcW w:w="377" w:type="pct"/>
            <w:tcBorders>
              <w:top w:val="single" w:color="000000" w:sz="4" w:space="0"/>
              <w:left w:val="single" w:color="000000" w:sz="4" w:space="0"/>
              <w:bottom w:val="single" w:color="000000" w:sz="4" w:space="0"/>
              <w:right w:val="single" w:color="000000" w:sz="4" w:space="0"/>
            </w:tcBorders>
            <w:noWrap/>
            <w:vAlign w:val="center"/>
          </w:tcPr>
          <w:p>
            <w:pPr>
              <w:jc w:val="center"/>
              <w:rPr>
                <w:rFonts w:ascii="Calibri" w:hAnsi="Calibri" w:cs="Calibri"/>
                <w:color w:val="auto"/>
                <w:szCs w:val="21"/>
                <w:highlight w:val="none"/>
              </w:rPr>
            </w:pPr>
            <w:r>
              <w:rPr>
                <w:rFonts w:hint="eastAsia" w:ascii="Calibri" w:hAnsi="Calibri" w:cs="Calibri"/>
                <w:color w:val="auto"/>
                <w:szCs w:val="21"/>
                <w:highlight w:val="none"/>
              </w:rPr>
              <w:t>-</w:t>
            </w:r>
          </w:p>
        </w:tc>
        <w:tc>
          <w:tcPr>
            <w:tcW w:w="374" w:type="pct"/>
            <w:tcBorders>
              <w:top w:val="single" w:color="000000" w:sz="4" w:space="0"/>
              <w:left w:val="single" w:color="000000" w:sz="4" w:space="0"/>
              <w:bottom w:val="single" w:color="000000" w:sz="4" w:space="0"/>
              <w:right w:val="single" w:color="000000" w:sz="4" w:space="0"/>
            </w:tcBorders>
            <w:noWrap/>
            <w:vAlign w:val="center"/>
          </w:tcPr>
          <w:p>
            <w:pPr>
              <w:spacing w:line="220" w:lineRule="exact"/>
              <w:ind w:left="-120" w:leftChars="-50" w:right="-120" w:rightChars="-50"/>
              <w:jc w:val="center"/>
              <w:rPr>
                <w:rFonts w:hint="eastAsia"/>
                <w:color w:val="auto"/>
                <w:szCs w:val="21"/>
                <w:highlight w:val="none"/>
              </w:rPr>
            </w:pPr>
            <w:r>
              <w:rPr>
                <w:rFonts w:hint="eastAsia"/>
                <w:color w:val="auto"/>
                <w:szCs w:val="21"/>
                <w:highlight w:val="none"/>
              </w:rPr>
              <w:t>-</w:t>
            </w:r>
          </w:p>
        </w:tc>
        <w:tc>
          <w:tcPr>
            <w:tcW w:w="543" w:type="pct"/>
            <w:tcBorders>
              <w:top w:val="single" w:color="000000" w:sz="4" w:space="0"/>
              <w:left w:val="single" w:color="000000" w:sz="4" w:space="0"/>
              <w:bottom w:val="single" w:color="000000" w:sz="4" w:space="0"/>
              <w:right w:val="single" w:color="000000" w:sz="4" w:space="0"/>
            </w:tcBorders>
            <w:noWrap/>
            <w:vAlign w:val="center"/>
          </w:tcPr>
          <w:p>
            <w:pPr>
              <w:spacing w:line="220" w:lineRule="exact"/>
              <w:ind w:left="-120" w:leftChars="-50" w:right="-120" w:rightChars="-50"/>
              <w:jc w:val="center"/>
              <w:rPr>
                <w:color w:val="auto"/>
                <w:szCs w:val="21"/>
                <w:highlight w:val="none"/>
              </w:rPr>
            </w:pPr>
            <w:r>
              <w:rPr>
                <w:color w:val="auto"/>
                <w:szCs w:val="21"/>
                <w:highlight w:val="none"/>
              </w:rPr>
              <w:t>0.0852</w:t>
            </w:r>
          </w:p>
        </w:tc>
        <w:tc>
          <w:tcPr>
            <w:tcW w:w="375" w:type="pct"/>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Calibri" w:hAnsi="Calibri" w:cs="Calibri"/>
                <w:color w:val="auto"/>
                <w:szCs w:val="21"/>
                <w:highlight w:val="none"/>
              </w:rPr>
            </w:pPr>
            <w:r>
              <w:rPr>
                <w:rFonts w:hint="eastAsia" w:cs="Calibri"/>
                <w:color w:val="auto"/>
                <w:szCs w:val="21"/>
                <w:highlight w:val="none"/>
              </w:rPr>
              <w:t>2400</w:t>
            </w:r>
          </w:p>
        </w:tc>
      </w:tr>
      <w:tr>
        <w:tblPrEx>
          <w:tblCellMar>
            <w:top w:w="15" w:type="dxa"/>
            <w:left w:w="15" w:type="dxa"/>
            <w:bottom w:w="15" w:type="dxa"/>
            <w:right w:w="15" w:type="dxa"/>
          </w:tblCellMar>
        </w:tblPrEx>
        <w:trPr>
          <w:trHeight w:val="330" w:hRule="atLeast"/>
        </w:trPr>
        <w:tc>
          <w:tcPr>
            <w:tcW w:w="5000" w:type="pct"/>
            <w:gridSpan w:val="15"/>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bottom"/>
              <w:rPr>
                <w:rFonts w:ascii="Calibri" w:hAnsi="Calibri" w:cs="Calibri"/>
                <w:color w:val="auto"/>
                <w:szCs w:val="21"/>
                <w:highlight w:val="none"/>
              </w:rPr>
            </w:pPr>
            <w:r>
              <w:rPr>
                <w:rFonts w:ascii="Calibri" w:hAnsi="Calibri" w:cs="Calibri"/>
                <w:color w:val="auto"/>
                <w:kern w:val="0"/>
                <w:szCs w:val="21"/>
                <w:highlight w:val="none"/>
                <w:lang w:bidi="ar"/>
              </w:rPr>
              <w:t>注，对于新〔改、扯）建工程污染</w:t>
            </w:r>
            <w:r>
              <w:rPr>
                <w:rFonts w:hint="eastAsia" w:cs="Calibri"/>
                <w:color w:val="auto"/>
                <w:kern w:val="0"/>
                <w:szCs w:val="21"/>
                <w:highlight w:val="none"/>
                <w:lang w:bidi="ar"/>
              </w:rPr>
              <w:t>源源强核算，应为</w:t>
            </w:r>
            <w:r>
              <w:rPr>
                <w:rFonts w:ascii="Calibri" w:hAnsi="Calibri" w:cs="Calibri"/>
                <w:color w:val="auto"/>
                <w:kern w:val="0"/>
                <w:szCs w:val="21"/>
                <w:highlight w:val="none"/>
                <w:lang w:bidi="ar"/>
              </w:rPr>
              <w:t>最大值。</w:t>
            </w:r>
          </w:p>
        </w:tc>
      </w:tr>
    </w:tbl>
    <w:p>
      <w:pPr>
        <w:adjustRightInd w:val="0"/>
        <w:snapToGrid w:val="0"/>
        <w:jc w:val="center"/>
        <w:rPr>
          <w:rFonts w:hint="eastAsia" w:ascii="宋体" w:hAnsi="宋体" w:cs="宋体"/>
          <w:bCs/>
          <w:color w:val="auto"/>
          <w:sz w:val="24"/>
          <w:highlight w:val="none"/>
        </w:rPr>
      </w:pPr>
    </w:p>
    <w:p>
      <w:pPr>
        <w:pStyle w:val="2"/>
        <w:rPr>
          <w:rFonts w:hint="eastAsia" w:ascii="宋体" w:hAnsi="宋体" w:cs="宋体"/>
          <w:bCs/>
          <w:color w:val="auto"/>
          <w:sz w:val="24"/>
          <w:highlight w:val="none"/>
        </w:rPr>
      </w:pPr>
    </w:p>
    <w:p>
      <w:pPr>
        <w:pStyle w:val="2"/>
        <w:rPr>
          <w:rFonts w:hint="eastAsia" w:ascii="宋体" w:hAnsi="宋体" w:cs="宋体"/>
          <w:bCs/>
          <w:color w:val="auto"/>
          <w:sz w:val="24"/>
          <w:highlight w:val="none"/>
        </w:rPr>
      </w:pPr>
    </w:p>
    <w:p>
      <w:pPr>
        <w:pStyle w:val="2"/>
        <w:rPr>
          <w:rFonts w:hint="eastAsia" w:ascii="宋体" w:hAnsi="宋体" w:cs="宋体"/>
          <w:bCs/>
          <w:color w:val="auto"/>
          <w:sz w:val="24"/>
          <w:highlight w:val="none"/>
        </w:rPr>
      </w:pPr>
    </w:p>
    <w:p>
      <w:pPr>
        <w:pStyle w:val="2"/>
        <w:rPr>
          <w:rFonts w:hint="eastAsia" w:ascii="宋体" w:hAnsi="宋体" w:cs="宋体"/>
          <w:bCs/>
          <w:color w:val="auto"/>
          <w:sz w:val="24"/>
          <w:highlight w:val="none"/>
        </w:rPr>
      </w:pPr>
    </w:p>
    <w:p>
      <w:pPr>
        <w:pStyle w:val="2"/>
        <w:rPr>
          <w:rFonts w:hint="eastAsia" w:ascii="宋体" w:hAnsi="宋体" w:cs="宋体"/>
          <w:bCs/>
          <w:color w:val="auto"/>
          <w:sz w:val="24"/>
          <w:highlight w:val="none"/>
        </w:rPr>
      </w:pPr>
    </w:p>
    <w:p>
      <w:pPr>
        <w:pStyle w:val="2"/>
        <w:rPr>
          <w:rFonts w:hint="eastAsia" w:ascii="宋体" w:hAnsi="宋体" w:cs="宋体"/>
          <w:bCs/>
          <w:color w:val="auto"/>
          <w:sz w:val="24"/>
          <w:highlight w:val="none"/>
        </w:rPr>
      </w:pPr>
    </w:p>
    <w:p>
      <w:pPr>
        <w:pStyle w:val="2"/>
        <w:rPr>
          <w:rFonts w:hint="eastAsia" w:ascii="宋体" w:hAnsi="宋体" w:cs="宋体"/>
          <w:bCs/>
          <w:color w:val="auto"/>
          <w:sz w:val="24"/>
          <w:highlight w:val="none"/>
        </w:rPr>
      </w:pPr>
    </w:p>
    <w:p>
      <w:pPr>
        <w:pStyle w:val="2"/>
        <w:rPr>
          <w:rFonts w:hint="eastAsia" w:ascii="宋体" w:hAnsi="宋体" w:cs="宋体"/>
          <w:bCs/>
          <w:color w:val="auto"/>
          <w:sz w:val="24"/>
          <w:highlight w:val="none"/>
        </w:rPr>
      </w:pPr>
    </w:p>
    <w:p>
      <w:pPr>
        <w:pStyle w:val="2"/>
        <w:rPr>
          <w:rFonts w:hint="eastAsia" w:ascii="宋体" w:hAnsi="宋体" w:cs="宋体"/>
          <w:bCs/>
          <w:color w:val="auto"/>
          <w:sz w:val="24"/>
          <w:highlight w:val="none"/>
        </w:rPr>
      </w:pPr>
    </w:p>
    <w:p>
      <w:pPr>
        <w:pStyle w:val="2"/>
        <w:rPr>
          <w:rFonts w:hint="eastAsia" w:ascii="宋体" w:hAnsi="宋体" w:cs="宋体"/>
          <w:bCs/>
          <w:color w:val="auto"/>
          <w:sz w:val="24"/>
          <w:highlight w:val="none"/>
        </w:rPr>
      </w:pPr>
    </w:p>
    <w:p>
      <w:pPr>
        <w:pStyle w:val="2"/>
        <w:rPr>
          <w:rFonts w:hint="eastAsia" w:ascii="宋体" w:hAnsi="宋体" w:cs="宋体"/>
          <w:bCs/>
          <w:color w:val="auto"/>
          <w:sz w:val="24"/>
          <w:highlight w:val="none"/>
        </w:rPr>
      </w:pPr>
    </w:p>
    <w:p>
      <w:pPr>
        <w:pStyle w:val="2"/>
        <w:rPr>
          <w:rFonts w:hint="eastAsia" w:ascii="宋体" w:hAnsi="宋体" w:cs="宋体"/>
          <w:bCs/>
          <w:color w:val="auto"/>
          <w:sz w:val="24"/>
          <w:highlight w:val="none"/>
        </w:rPr>
      </w:pPr>
    </w:p>
    <w:p>
      <w:pPr>
        <w:pStyle w:val="2"/>
        <w:rPr>
          <w:rFonts w:hint="eastAsia" w:ascii="宋体" w:hAnsi="宋体" w:cs="宋体"/>
          <w:bCs/>
          <w:color w:val="auto"/>
          <w:sz w:val="24"/>
          <w:highlight w:val="none"/>
        </w:rPr>
      </w:pPr>
    </w:p>
    <w:p>
      <w:pPr>
        <w:pStyle w:val="2"/>
        <w:rPr>
          <w:rFonts w:hint="eastAsia" w:ascii="宋体" w:hAnsi="宋体" w:cs="宋体"/>
          <w:bCs/>
          <w:color w:val="auto"/>
          <w:sz w:val="24"/>
          <w:highlight w:val="none"/>
        </w:rPr>
      </w:pPr>
    </w:p>
    <w:p>
      <w:pPr>
        <w:pStyle w:val="2"/>
        <w:rPr>
          <w:rFonts w:hint="eastAsia" w:ascii="宋体" w:hAnsi="宋体" w:cs="宋体"/>
          <w:bCs/>
          <w:color w:val="auto"/>
          <w:sz w:val="24"/>
          <w:highlight w:val="none"/>
        </w:rPr>
      </w:pPr>
    </w:p>
    <w:p>
      <w:pPr>
        <w:pStyle w:val="2"/>
        <w:ind w:firstLine="560"/>
        <w:rPr>
          <w:rFonts w:hint="eastAsia"/>
          <w:color w:val="auto"/>
          <w:highlight w:val="none"/>
        </w:rPr>
        <w:sectPr>
          <w:pgSz w:w="16840" w:h="11907" w:orient="landscape"/>
          <w:pgMar w:top="1531" w:right="1701" w:bottom="1531" w:left="2127" w:header="851" w:footer="851" w:gutter="0"/>
          <w:pgBorders>
            <w:top w:val="none" w:sz="0" w:space="0"/>
            <w:left w:val="none" w:sz="0" w:space="0"/>
            <w:bottom w:val="none" w:sz="0" w:space="0"/>
            <w:right w:val="none" w:sz="0" w:space="0"/>
          </w:pgBorders>
          <w:cols w:space="720" w:num="1"/>
          <w:docGrid w:linePitch="312" w:charSpace="0"/>
        </w:sectPr>
      </w:pPr>
    </w:p>
    <w:tbl>
      <w:tblPr>
        <w:tblStyle w:val="39"/>
        <w:tblW w:w="898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42"/>
        <w:gridCol w:w="853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10" w:hRule="atLeast"/>
          <w:jc w:val="center"/>
        </w:trPr>
        <w:tc>
          <w:tcPr>
            <w:tcW w:w="442" w:type="dxa"/>
            <w:noWrap w:val="0"/>
            <w:tcMar>
              <w:left w:w="28" w:type="dxa"/>
              <w:right w:w="28" w:type="dxa"/>
            </w:tcMar>
            <w:vAlign w:val="center"/>
          </w:tcPr>
          <w:p>
            <w:pPr>
              <w:adjustRightInd w:val="0"/>
              <w:snapToGrid w:val="0"/>
              <w:jc w:val="center"/>
              <w:rPr>
                <w:rFonts w:hint="eastAsia" w:ascii="宋体" w:hAnsi="宋体" w:cs="宋体"/>
                <w:bCs/>
                <w:color w:val="auto"/>
                <w:sz w:val="24"/>
                <w:highlight w:val="none"/>
              </w:rPr>
            </w:pPr>
            <w:r>
              <w:rPr>
                <w:rFonts w:hint="eastAsia" w:ascii="宋体" w:hAnsi="宋体" w:cs="宋体"/>
                <w:bCs/>
                <w:color w:val="auto"/>
                <w:sz w:val="24"/>
                <w:highlight w:val="none"/>
              </w:rPr>
              <w:t>运营</w:t>
            </w:r>
          </w:p>
          <w:p>
            <w:pPr>
              <w:adjustRightInd w:val="0"/>
              <w:snapToGrid w:val="0"/>
              <w:jc w:val="center"/>
              <w:rPr>
                <w:rFonts w:hint="eastAsia" w:ascii="宋体" w:hAnsi="宋体" w:cs="宋体"/>
                <w:bCs/>
                <w:color w:val="auto"/>
                <w:sz w:val="24"/>
                <w:highlight w:val="none"/>
              </w:rPr>
            </w:pPr>
            <w:r>
              <w:rPr>
                <w:rFonts w:hint="eastAsia" w:ascii="宋体" w:hAnsi="宋体" w:cs="宋体"/>
                <w:bCs/>
                <w:color w:val="auto"/>
                <w:sz w:val="24"/>
                <w:highlight w:val="none"/>
              </w:rPr>
              <w:t>期环</w:t>
            </w:r>
          </w:p>
          <w:p>
            <w:pPr>
              <w:adjustRightInd w:val="0"/>
              <w:snapToGrid w:val="0"/>
              <w:jc w:val="center"/>
              <w:rPr>
                <w:rFonts w:hint="eastAsia" w:ascii="宋体" w:hAnsi="宋体" w:cs="宋体"/>
                <w:bCs/>
                <w:color w:val="auto"/>
                <w:sz w:val="24"/>
                <w:highlight w:val="none"/>
              </w:rPr>
            </w:pPr>
            <w:r>
              <w:rPr>
                <w:rFonts w:hint="eastAsia" w:ascii="宋体" w:hAnsi="宋体" w:cs="宋体"/>
                <w:bCs/>
                <w:color w:val="auto"/>
                <w:sz w:val="24"/>
                <w:highlight w:val="none"/>
              </w:rPr>
              <w:t>境影</w:t>
            </w:r>
          </w:p>
          <w:p>
            <w:pPr>
              <w:adjustRightInd w:val="0"/>
              <w:snapToGrid w:val="0"/>
              <w:jc w:val="center"/>
              <w:rPr>
                <w:rFonts w:hint="eastAsia" w:ascii="宋体" w:hAnsi="宋体" w:cs="宋体"/>
                <w:bCs/>
                <w:color w:val="auto"/>
                <w:sz w:val="24"/>
                <w:highlight w:val="none"/>
              </w:rPr>
            </w:pPr>
            <w:r>
              <w:rPr>
                <w:rFonts w:hint="eastAsia" w:ascii="宋体" w:hAnsi="宋体" w:cs="宋体"/>
                <w:bCs/>
                <w:color w:val="auto"/>
                <w:sz w:val="24"/>
                <w:highlight w:val="none"/>
              </w:rPr>
              <w:t>响和</w:t>
            </w:r>
          </w:p>
          <w:p>
            <w:pPr>
              <w:adjustRightInd w:val="0"/>
              <w:snapToGrid w:val="0"/>
              <w:jc w:val="center"/>
              <w:rPr>
                <w:rFonts w:hint="eastAsia"/>
                <w:color w:val="auto"/>
                <w:highlight w:val="none"/>
              </w:rPr>
            </w:pPr>
            <w:r>
              <w:rPr>
                <w:rFonts w:hint="eastAsia" w:ascii="宋体" w:hAnsi="宋体" w:cs="宋体"/>
                <w:bCs/>
                <w:color w:val="auto"/>
                <w:sz w:val="24"/>
                <w:highlight w:val="none"/>
              </w:rPr>
              <w:t>保护措施</w:t>
            </w:r>
          </w:p>
        </w:tc>
        <w:tc>
          <w:tcPr>
            <w:tcW w:w="8539" w:type="dxa"/>
            <w:noWrap w:val="0"/>
            <w:vAlign w:val="center"/>
          </w:tcPr>
          <w:p>
            <w:pPr>
              <w:widowControl/>
              <w:spacing w:line="360" w:lineRule="auto"/>
              <w:ind w:firstLine="480"/>
              <w:jc w:val="left"/>
              <w:rPr>
                <w:rFonts w:hint="eastAsia"/>
                <w:color w:val="auto"/>
                <w:sz w:val="24"/>
                <w:highlight w:val="none"/>
              </w:rPr>
            </w:pPr>
            <w:r>
              <w:rPr>
                <w:rFonts w:hint="eastAsia"/>
                <w:color w:val="auto"/>
                <w:sz w:val="24"/>
                <w:highlight w:val="none"/>
              </w:rPr>
              <w:t>改建后的项目废气源强核过程算如下：</w:t>
            </w:r>
          </w:p>
          <w:p>
            <w:pPr>
              <w:widowControl/>
              <w:spacing w:line="360" w:lineRule="auto"/>
              <w:ind w:firstLine="480"/>
              <w:jc w:val="left"/>
              <w:rPr>
                <w:color w:val="auto"/>
                <w:sz w:val="24"/>
                <w:highlight w:val="none"/>
              </w:rPr>
            </w:pPr>
            <w:r>
              <w:rPr>
                <w:rFonts w:hint="eastAsia"/>
                <w:color w:val="auto"/>
                <w:sz w:val="24"/>
                <w:highlight w:val="none"/>
              </w:rPr>
              <w:t>①燃气烟气</w:t>
            </w:r>
          </w:p>
          <w:p>
            <w:pPr>
              <w:widowControl/>
              <w:spacing w:line="360" w:lineRule="auto"/>
              <w:ind w:firstLine="480"/>
              <w:jc w:val="left"/>
              <w:rPr>
                <w:rFonts w:hint="default"/>
                <w:color w:val="auto"/>
                <w:sz w:val="24"/>
                <w:highlight w:val="none"/>
                <w:lang w:val="en-US" w:eastAsia="zh-CN"/>
              </w:rPr>
            </w:pPr>
            <w:r>
              <w:rPr>
                <w:rFonts w:hint="eastAsia"/>
                <w:color w:val="auto"/>
                <w:sz w:val="24"/>
                <w:highlight w:val="none"/>
                <w:lang w:val="en-US" w:eastAsia="zh-CN"/>
              </w:rPr>
              <w:t>由于项目产能未变，改建后导热油炉燃烧废气及干燥滚筒燃烧废气产生量未发生变化，其核算过程详见报告“与项目有关的原有环境污染问题”对现有项目的废气源强核算过程。</w:t>
            </w:r>
          </w:p>
          <w:p>
            <w:pPr>
              <w:widowControl/>
              <w:spacing w:line="360" w:lineRule="auto"/>
              <w:ind w:firstLine="480"/>
              <w:jc w:val="left"/>
              <w:rPr>
                <w:rFonts w:hint="eastAsia"/>
                <w:color w:val="auto"/>
                <w:sz w:val="24"/>
                <w:highlight w:val="none"/>
              </w:rPr>
            </w:pPr>
            <w:r>
              <w:rPr>
                <w:rFonts w:hint="eastAsia"/>
                <w:color w:val="auto"/>
                <w:sz w:val="24"/>
                <w:highlight w:val="none"/>
              </w:rPr>
              <w:t>导热油炉废气:</w:t>
            </w:r>
          </w:p>
          <w:p>
            <w:pPr>
              <w:widowControl/>
              <w:spacing w:line="360" w:lineRule="auto"/>
              <w:ind w:firstLine="480"/>
              <w:jc w:val="left"/>
              <w:rPr>
                <w:color w:val="auto"/>
                <w:sz w:val="24"/>
                <w:highlight w:val="none"/>
              </w:rPr>
            </w:pPr>
            <w:r>
              <w:rPr>
                <w:rFonts w:hint="eastAsia"/>
                <w:color w:val="auto"/>
                <w:sz w:val="24"/>
                <w:highlight w:val="none"/>
              </w:rPr>
              <w:t>导热油炉废气量为323259m</w:t>
            </w:r>
            <w:r>
              <w:rPr>
                <w:rFonts w:hint="eastAsia"/>
                <w:color w:val="auto"/>
                <w:sz w:val="24"/>
                <w:highlight w:val="none"/>
                <w:vertAlign w:val="superscript"/>
              </w:rPr>
              <w:t>3</w:t>
            </w:r>
            <w:r>
              <w:rPr>
                <w:rFonts w:hint="eastAsia"/>
                <w:color w:val="auto"/>
                <w:sz w:val="24"/>
                <w:highlight w:val="none"/>
              </w:rPr>
              <w:t>/a，二氧化硫排放量为0.012t/a，排放速率为0.02kg/h，排放浓度为37.12mg/m</w:t>
            </w:r>
            <w:r>
              <w:rPr>
                <w:rFonts w:hint="eastAsia"/>
                <w:color w:val="auto"/>
                <w:sz w:val="24"/>
                <w:highlight w:val="none"/>
                <w:vertAlign w:val="superscript"/>
              </w:rPr>
              <w:t>3</w:t>
            </w:r>
            <w:r>
              <w:rPr>
                <w:rFonts w:hint="eastAsia"/>
                <w:color w:val="auto"/>
                <w:sz w:val="24"/>
                <w:highlight w:val="none"/>
              </w:rPr>
              <w:t>，氮氧化物排放量为0.048t/a，排放速率为0.08kg/h，排放浓度为147.28mg/m</w:t>
            </w:r>
            <w:r>
              <w:rPr>
                <w:rFonts w:hint="eastAsia"/>
                <w:color w:val="auto"/>
                <w:sz w:val="24"/>
                <w:highlight w:val="none"/>
                <w:vertAlign w:val="superscript"/>
              </w:rPr>
              <w:t>3</w:t>
            </w:r>
            <w:r>
              <w:rPr>
                <w:rFonts w:hint="eastAsia"/>
                <w:color w:val="auto"/>
                <w:sz w:val="24"/>
                <w:highlight w:val="none"/>
              </w:rPr>
              <w:t>，烟尘排放量为0.0072t/a，排放速率为0.012kg/h，排放浓度为22.27mg/m</w:t>
            </w:r>
            <w:r>
              <w:rPr>
                <w:rFonts w:hint="eastAsia"/>
                <w:color w:val="auto"/>
                <w:sz w:val="24"/>
                <w:highlight w:val="none"/>
                <w:vertAlign w:val="superscript"/>
              </w:rPr>
              <w:t>3</w:t>
            </w:r>
            <w:r>
              <w:rPr>
                <w:rFonts w:hint="eastAsia"/>
                <w:color w:val="auto"/>
                <w:sz w:val="24"/>
                <w:highlight w:val="none"/>
              </w:rPr>
              <w:t>。处置措施未变，因此，排放量未变，与原项目保持一致。</w:t>
            </w:r>
          </w:p>
          <w:p>
            <w:pPr>
              <w:widowControl/>
              <w:spacing w:line="360" w:lineRule="auto"/>
              <w:ind w:firstLine="480"/>
              <w:jc w:val="left"/>
              <w:rPr>
                <w:rFonts w:hint="eastAsia"/>
                <w:color w:val="auto"/>
                <w:sz w:val="24"/>
                <w:highlight w:val="none"/>
              </w:rPr>
            </w:pPr>
            <w:r>
              <w:rPr>
                <w:rFonts w:hint="eastAsia"/>
                <w:color w:val="auto"/>
                <w:sz w:val="24"/>
                <w:highlight w:val="none"/>
              </w:rPr>
              <w:t>干燥滚筒燃烧废气及骨料加热产生的粉尘:</w:t>
            </w:r>
          </w:p>
          <w:p>
            <w:pPr>
              <w:snapToGrid w:val="0"/>
              <w:spacing w:line="360" w:lineRule="auto"/>
              <w:ind w:firstLine="480" w:firstLineChars="200"/>
              <w:rPr>
                <w:rFonts w:hint="eastAsia"/>
                <w:color w:val="auto"/>
                <w:sz w:val="24"/>
                <w:highlight w:val="none"/>
              </w:rPr>
            </w:pPr>
            <w:r>
              <w:rPr>
                <w:rFonts w:hint="eastAsia"/>
                <w:color w:val="auto"/>
                <w:sz w:val="24"/>
                <w:highlight w:val="none"/>
              </w:rPr>
              <w:t>烘干滚筒粉尘产生量</w:t>
            </w:r>
            <w:r>
              <w:rPr>
                <w:rFonts w:hint="eastAsia"/>
                <w:color w:val="auto"/>
                <w:sz w:val="24"/>
                <w:highlight w:val="none"/>
                <w:lang w:val="en-US" w:eastAsia="zh-CN"/>
              </w:rPr>
              <w:t>与原项目一致，</w:t>
            </w:r>
            <w:r>
              <w:rPr>
                <w:rFonts w:hint="eastAsia"/>
                <w:color w:val="auto"/>
                <w:sz w:val="24"/>
                <w:highlight w:val="none"/>
              </w:rPr>
              <w:t>约9.5t/a，</w:t>
            </w:r>
            <w:r>
              <w:rPr>
                <w:rFonts w:hint="eastAsia"/>
                <w:color w:val="auto"/>
                <w:sz w:val="24"/>
                <w:highlight w:val="none"/>
                <w:lang w:val="en-US" w:eastAsia="zh-CN"/>
              </w:rPr>
              <w:t>但</w:t>
            </w:r>
            <w:r>
              <w:rPr>
                <w:rFonts w:hint="eastAsia"/>
                <w:color w:val="auto"/>
                <w:sz w:val="24"/>
                <w:highlight w:val="none"/>
              </w:rPr>
              <w:t>粉尘产生的速率</w:t>
            </w:r>
            <w:r>
              <w:rPr>
                <w:rFonts w:hint="eastAsia"/>
                <w:color w:val="auto"/>
                <w:sz w:val="24"/>
                <w:highlight w:val="none"/>
                <w:lang w:val="en-US" w:eastAsia="zh-CN"/>
              </w:rPr>
              <w:t>与原项目不同，</w:t>
            </w:r>
            <w:r>
              <w:rPr>
                <w:rFonts w:hint="eastAsia"/>
                <w:color w:val="auto"/>
                <w:sz w:val="24"/>
                <w:highlight w:val="none"/>
              </w:rPr>
              <w:t>约为11.875kg/h(烘干滚筒年工作800h)</w:t>
            </w:r>
            <w:r>
              <w:rPr>
                <w:rFonts w:hint="eastAsia"/>
                <w:color w:val="auto"/>
                <w:sz w:val="24"/>
                <w:highlight w:val="none"/>
                <w:lang w:eastAsia="zh-CN"/>
              </w:rPr>
              <w:t>，</w:t>
            </w:r>
            <w:r>
              <w:rPr>
                <w:rFonts w:hint="eastAsia"/>
                <w:color w:val="auto"/>
                <w:sz w:val="24"/>
                <w:highlight w:val="none"/>
                <w:lang w:val="en-US" w:eastAsia="zh-CN"/>
              </w:rPr>
              <w:t>这主要是由于烘干滚筒的年工作时间与原项目不一致</w:t>
            </w:r>
            <w:r>
              <w:rPr>
                <w:rFonts w:hint="eastAsia"/>
                <w:color w:val="auto"/>
                <w:sz w:val="24"/>
                <w:highlight w:val="none"/>
              </w:rPr>
              <w:t>。</w:t>
            </w:r>
          </w:p>
          <w:p>
            <w:pPr>
              <w:widowControl/>
              <w:spacing w:line="360" w:lineRule="auto"/>
              <w:ind w:firstLine="480"/>
              <w:rPr>
                <w:color w:val="auto"/>
                <w:sz w:val="24"/>
                <w:highlight w:val="none"/>
              </w:rPr>
            </w:pPr>
            <w:r>
              <w:rPr>
                <w:rFonts w:hint="eastAsia"/>
                <w:color w:val="auto"/>
                <w:sz w:val="24"/>
                <w:highlight w:val="none"/>
              </w:rPr>
              <w:t>改建项目干燥滚筒燃烧废气及骨料加热产生的粉尘所产生的污染物产生量为二氧化硫0.02t/a，NOx0.0794t/a，颗粒物9.512t/a。烘干滚筒骨料加热产生的粉尘和燃气烟气等混合废气通过引风机（风量105000m</w:t>
            </w:r>
            <w:r>
              <w:rPr>
                <w:rFonts w:hint="eastAsia"/>
                <w:color w:val="auto"/>
                <w:sz w:val="24"/>
                <w:highlight w:val="none"/>
                <w:vertAlign w:val="superscript"/>
              </w:rPr>
              <w:t>3</w:t>
            </w:r>
            <w:r>
              <w:rPr>
                <w:rFonts w:hint="eastAsia"/>
                <w:color w:val="auto"/>
                <w:sz w:val="24"/>
                <w:highlight w:val="none"/>
              </w:rPr>
              <w:t>/h）引入二级除尘系统（第一级惯性除尘，第二级分室反吹袋式除尘，惯性除尘效率为50%，布袋除尘效率为99%），除尘后的废气经过一根高15m、内径1.2m排气筒（1#排气筒）排放。则粉（烟）尘有组织排放量为0.0095t/a，即0.0119kg/h，浓度为0.11mg/m</w:t>
            </w:r>
            <w:r>
              <w:rPr>
                <w:rFonts w:hint="eastAsia"/>
                <w:color w:val="auto"/>
                <w:sz w:val="24"/>
                <w:highlight w:val="none"/>
                <w:vertAlign w:val="superscript"/>
              </w:rPr>
              <w:t>3</w:t>
            </w:r>
            <w:r>
              <w:rPr>
                <w:rFonts w:hint="eastAsia"/>
                <w:color w:val="auto"/>
                <w:sz w:val="24"/>
                <w:highlight w:val="none"/>
              </w:rPr>
              <w:t>;SO</w:t>
            </w:r>
            <w:r>
              <w:rPr>
                <w:rFonts w:hint="eastAsia"/>
                <w:color w:val="auto"/>
                <w:sz w:val="24"/>
                <w:highlight w:val="none"/>
                <w:vertAlign w:val="subscript"/>
              </w:rPr>
              <w:t>2</w:t>
            </w:r>
            <w:r>
              <w:rPr>
                <w:rFonts w:hint="eastAsia"/>
                <w:color w:val="auto"/>
                <w:sz w:val="24"/>
                <w:highlight w:val="none"/>
              </w:rPr>
              <w:t>有组织排放量为0.02t/a，即0.025kg/h，浓度为0.24mg/m</w:t>
            </w:r>
            <w:r>
              <w:rPr>
                <w:rFonts w:hint="eastAsia"/>
                <w:color w:val="auto"/>
                <w:sz w:val="24"/>
                <w:highlight w:val="none"/>
                <w:vertAlign w:val="superscript"/>
              </w:rPr>
              <w:t>3</w:t>
            </w:r>
            <w:r>
              <w:rPr>
                <w:rFonts w:hint="eastAsia"/>
                <w:color w:val="auto"/>
                <w:sz w:val="24"/>
                <w:highlight w:val="none"/>
              </w:rPr>
              <w:t>;NOx有组织排放量为0.0794t/a，即 0.09925kg/h，浓度为0.95mg/m</w:t>
            </w:r>
            <w:r>
              <w:rPr>
                <w:rFonts w:hint="eastAsia"/>
                <w:color w:val="auto"/>
                <w:sz w:val="24"/>
                <w:highlight w:val="none"/>
                <w:vertAlign w:val="superscript"/>
              </w:rPr>
              <w:t>3</w:t>
            </w:r>
            <w:r>
              <w:rPr>
                <w:rFonts w:hint="eastAsia"/>
                <w:color w:val="auto"/>
                <w:sz w:val="24"/>
                <w:highlight w:val="none"/>
              </w:rPr>
              <w:t>。因此，改建后该工段粉尘较现有项目排放量减少。</w:t>
            </w:r>
          </w:p>
          <w:p>
            <w:pPr>
              <w:widowControl/>
              <w:spacing w:line="360" w:lineRule="auto"/>
              <w:ind w:firstLine="480"/>
              <w:jc w:val="left"/>
              <w:rPr>
                <w:color w:val="auto"/>
                <w:sz w:val="24"/>
                <w:highlight w:val="none"/>
              </w:rPr>
            </w:pPr>
            <w:r>
              <w:rPr>
                <w:rFonts w:hint="eastAsia"/>
                <w:color w:val="auto"/>
                <w:sz w:val="24"/>
                <w:highlight w:val="none"/>
              </w:rPr>
              <w:t>②</w:t>
            </w:r>
            <w:r>
              <w:rPr>
                <w:color w:val="auto"/>
                <w:sz w:val="24"/>
                <w:highlight w:val="none"/>
              </w:rPr>
              <w:t>原料堆场扬尘</w:t>
            </w:r>
          </w:p>
          <w:p>
            <w:pPr>
              <w:widowControl/>
              <w:spacing w:line="360" w:lineRule="auto"/>
              <w:ind w:firstLine="480"/>
              <w:rPr>
                <w:rFonts w:hint="default" w:eastAsia="宋体"/>
                <w:color w:val="auto"/>
                <w:sz w:val="24"/>
                <w:highlight w:val="none"/>
                <w:lang w:val="en-US" w:eastAsia="zh-CN"/>
              </w:rPr>
            </w:pPr>
            <w:r>
              <w:rPr>
                <w:color w:val="auto"/>
                <w:sz w:val="24"/>
                <w:highlight w:val="none"/>
              </w:rPr>
              <w:t>本项目年加工</w:t>
            </w:r>
            <w:r>
              <w:rPr>
                <w:rFonts w:hint="eastAsia"/>
                <w:color w:val="auto"/>
                <w:sz w:val="24"/>
                <w:highlight w:val="none"/>
              </w:rPr>
              <w:t>生产1万吨沥青混凝土拌和料</w:t>
            </w:r>
            <w:r>
              <w:rPr>
                <w:color w:val="auto"/>
                <w:sz w:val="24"/>
                <w:highlight w:val="none"/>
              </w:rPr>
              <w:t>，经核算，</w:t>
            </w:r>
            <w:r>
              <w:rPr>
                <w:rFonts w:hint="eastAsia"/>
                <w:color w:val="auto"/>
                <w:sz w:val="24"/>
                <w:highlight w:val="none"/>
                <w:lang w:val="en-US" w:eastAsia="zh-CN"/>
              </w:rPr>
              <w:t>根据原辅材料矿石年用量为9500t，</w:t>
            </w:r>
            <w:r>
              <w:rPr>
                <w:color w:val="auto"/>
                <w:sz w:val="24"/>
                <w:highlight w:val="none"/>
              </w:rPr>
              <w:t>本项目运营期粉尘产生量</w:t>
            </w:r>
            <w:r>
              <w:rPr>
                <w:rFonts w:hint="eastAsia"/>
                <w:color w:val="auto"/>
                <w:sz w:val="24"/>
                <w:highlight w:val="none"/>
                <w:lang w:val="en-US" w:eastAsia="zh-CN"/>
              </w:rPr>
              <w:t>与原项目一致</w:t>
            </w:r>
            <w:r>
              <w:rPr>
                <w:color w:val="auto"/>
                <w:sz w:val="24"/>
                <w:highlight w:val="none"/>
              </w:rPr>
              <w:t>为</w:t>
            </w:r>
            <w:r>
              <w:rPr>
                <w:rFonts w:hint="eastAsia"/>
                <w:color w:val="auto"/>
                <w:sz w:val="24"/>
                <w:highlight w:val="none"/>
              </w:rPr>
              <w:t>3</w:t>
            </w:r>
            <w:r>
              <w:rPr>
                <w:color w:val="auto"/>
                <w:sz w:val="24"/>
                <w:highlight w:val="none"/>
              </w:rPr>
              <w:t>t/a，</w:t>
            </w:r>
            <w:r>
              <w:rPr>
                <w:rFonts w:hint="eastAsia"/>
                <w:color w:val="auto"/>
                <w:sz w:val="24"/>
                <w:highlight w:val="none"/>
              </w:rPr>
              <w:t>由于原料堆场1为三面封闭式顶棚设计，同时进行喷淋洒水</w:t>
            </w:r>
            <w:r>
              <w:rPr>
                <w:color w:val="auto"/>
                <w:sz w:val="24"/>
                <w:highlight w:val="none"/>
              </w:rPr>
              <w:t>，除尘效率达到85%，</w:t>
            </w:r>
            <w:r>
              <w:rPr>
                <w:rFonts w:hint="eastAsia"/>
                <w:color w:val="auto"/>
                <w:sz w:val="24"/>
                <w:highlight w:val="none"/>
              </w:rPr>
              <w:t>因此原料堆场1的粉尘排放量为0.225t/a，0.0852kg/h；而原料堆场2升级改造后，由露天堆放改为三面封闭式顶棚设计，同时进行喷淋洒水，因此其除尘效率达85%，其排放量按照0.225t/a，0.0852kg/h</w:t>
            </w:r>
            <w:r>
              <w:rPr>
                <w:color w:val="auto"/>
                <w:sz w:val="24"/>
                <w:highlight w:val="none"/>
              </w:rPr>
              <w:t>。</w:t>
            </w:r>
            <w:r>
              <w:rPr>
                <w:rFonts w:hint="eastAsia"/>
                <w:color w:val="auto"/>
                <w:sz w:val="24"/>
                <w:highlight w:val="none"/>
                <w:lang w:val="en-US" w:eastAsia="zh-CN"/>
              </w:rPr>
              <w:t>主要为原料堆场2的升级改造，较原项目比较，减少了扬尘的排放量。</w:t>
            </w:r>
          </w:p>
          <w:p>
            <w:pPr>
              <w:widowControl/>
              <w:spacing w:line="360" w:lineRule="auto"/>
              <w:ind w:firstLine="480"/>
              <w:jc w:val="left"/>
              <w:rPr>
                <w:rFonts w:hint="eastAsia"/>
                <w:color w:val="auto"/>
                <w:sz w:val="24"/>
                <w:highlight w:val="none"/>
              </w:rPr>
            </w:pPr>
            <w:r>
              <w:rPr>
                <w:rFonts w:hint="eastAsia"/>
                <w:color w:val="auto"/>
                <w:sz w:val="24"/>
                <w:highlight w:val="none"/>
              </w:rPr>
              <w:t>③沥青烟</w:t>
            </w:r>
          </w:p>
          <w:p>
            <w:pPr>
              <w:widowControl/>
              <w:spacing w:line="360" w:lineRule="auto"/>
              <w:ind w:firstLine="480"/>
              <w:rPr>
                <w:rFonts w:hint="eastAsia"/>
                <w:color w:val="auto"/>
                <w:sz w:val="24"/>
                <w:highlight w:val="none"/>
              </w:rPr>
            </w:pPr>
            <w:r>
              <w:rPr>
                <w:rFonts w:hint="eastAsia"/>
                <w:color w:val="auto"/>
                <w:sz w:val="24"/>
                <w:highlight w:val="none"/>
              </w:rPr>
              <w:t>本项目沥青用量为500t/a，搅拌设备运行时间共计800h，</w:t>
            </w:r>
            <w:r>
              <w:rPr>
                <w:rFonts w:hint="eastAsia"/>
                <w:color w:val="auto"/>
                <w:sz w:val="24"/>
                <w:highlight w:val="none"/>
                <w:lang w:val="en-US" w:eastAsia="zh-CN"/>
              </w:rPr>
              <w:t>根据原项目源强核算过程，</w:t>
            </w:r>
            <w:r>
              <w:rPr>
                <w:rFonts w:hint="eastAsia"/>
                <w:color w:val="auto"/>
                <w:sz w:val="24"/>
                <w:highlight w:val="none"/>
              </w:rPr>
              <w:t>可计算</w:t>
            </w:r>
            <w:r>
              <w:rPr>
                <w:rFonts w:hint="eastAsia"/>
                <w:color w:val="auto"/>
                <w:sz w:val="24"/>
                <w:highlight w:val="none"/>
                <w:lang w:val="en-US" w:eastAsia="zh-CN"/>
              </w:rPr>
              <w:t>改建后</w:t>
            </w:r>
            <w:r>
              <w:rPr>
                <w:rFonts w:hint="eastAsia"/>
                <w:color w:val="auto"/>
                <w:sz w:val="24"/>
                <w:highlight w:val="none"/>
              </w:rPr>
              <w:t>沥青烟产生量为0.315t/a，产生速率为0.394kg/h。</w:t>
            </w:r>
          </w:p>
          <w:p>
            <w:pPr>
              <w:widowControl/>
              <w:spacing w:line="360" w:lineRule="auto"/>
              <w:ind w:firstLine="480"/>
              <w:rPr>
                <w:rFonts w:hint="eastAsia"/>
                <w:color w:val="auto"/>
                <w:sz w:val="24"/>
                <w:highlight w:val="none"/>
              </w:rPr>
            </w:pPr>
            <w:r>
              <w:rPr>
                <w:rFonts w:hint="eastAsia"/>
                <w:color w:val="auto"/>
                <w:sz w:val="24"/>
                <w:highlight w:val="none"/>
              </w:rPr>
              <w:t>根据《工业生产中有害物物质手册》(化学工业出版社)中提供的数据，沥青烟中苯并[a]芘含量约0.01～0.02‰，本次评价取最大值0.02‰，则苯并[a]芘废气产生量约为6.98*10</w:t>
            </w:r>
            <w:r>
              <w:rPr>
                <w:rFonts w:hint="eastAsia"/>
                <w:color w:val="auto"/>
                <w:sz w:val="24"/>
                <w:highlight w:val="none"/>
                <w:vertAlign w:val="superscript"/>
              </w:rPr>
              <w:t>-6</w:t>
            </w:r>
            <w:r>
              <w:rPr>
                <w:rFonts w:hint="eastAsia"/>
                <w:color w:val="auto"/>
                <w:sz w:val="24"/>
                <w:highlight w:val="none"/>
              </w:rPr>
              <w:t>kg/h，则苯并芘产生量共计0.0000063t/a。</w:t>
            </w:r>
          </w:p>
          <w:p>
            <w:pPr>
              <w:widowControl/>
              <w:spacing w:line="360" w:lineRule="auto"/>
              <w:ind w:firstLine="480"/>
              <w:rPr>
                <w:rFonts w:hint="eastAsia"/>
                <w:color w:val="auto"/>
                <w:sz w:val="24"/>
                <w:highlight w:val="none"/>
              </w:rPr>
            </w:pPr>
            <w:r>
              <w:rPr>
                <w:rFonts w:hint="eastAsia"/>
                <w:color w:val="auto"/>
                <w:sz w:val="24"/>
                <w:highlight w:val="none"/>
              </w:rPr>
              <w:t>非甲烷总</w:t>
            </w:r>
            <w:r>
              <w:rPr>
                <w:rFonts w:hint="eastAsia"/>
                <w:color w:val="auto"/>
                <w:sz w:val="24"/>
                <w:highlight w:val="none"/>
                <w:lang w:val="en-US" w:eastAsia="zh-CN"/>
              </w:rPr>
              <w:t>烃</w:t>
            </w:r>
            <w:r>
              <w:rPr>
                <w:rFonts w:hint="eastAsia"/>
                <w:color w:val="auto"/>
                <w:sz w:val="24"/>
                <w:highlight w:val="none"/>
              </w:rPr>
              <w:t>：本项目非甲烷总</w:t>
            </w:r>
            <w:r>
              <w:rPr>
                <w:rFonts w:hint="eastAsia"/>
                <w:color w:val="auto"/>
                <w:sz w:val="24"/>
                <w:highlight w:val="none"/>
                <w:lang w:val="en-US" w:eastAsia="zh-CN"/>
              </w:rPr>
              <w:t>烃</w:t>
            </w:r>
            <w:r>
              <w:rPr>
                <w:rFonts w:hint="eastAsia"/>
                <w:color w:val="auto"/>
                <w:sz w:val="24"/>
                <w:highlight w:val="none"/>
              </w:rPr>
              <w:t>产生量</w:t>
            </w:r>
            <w:r>
              <w:rPr>
                <w:rFonts w:hint="eastAsia"/>
                <w:color w:val="auto"/>
                <w:sz w:val="24"/>
                <w:highlight w:val="none"/>
                <w:lang w:val="en-US" w:eastAsia="zh-CN"/>
              </w:rPr>
              <w:t>与原项目保持一致</w:t>
            </w:r>
            <w:r>
              <w:rPr>
                <w:rFonts w:hint="eastAsia"/>
                <w:color w:val="auto"/>
                <w:sz w:val="24"/>
                <w:highlight w:val="none"/>
              </w:rPr>
              <w:t>为0.00125t/a。</w:t>
            </w:r>
          </w:p>
          <w:p>
            <w:pPr>
              <w:widowControl/>
              <w:spacing w:line="360" w:lineRule="auto"/>
              <w:ind w:firstLine="480"/>
              <w:jc w:val="left"/>
              <w:rPr>
                <w:rFonts w:hint="eastAsia"/>
                <w:color w:val="auto"/>
                <w:sz w:val="24"/>
                <w:highlight w:val="none"/>
              </w:rPr>
            </w:pPr>
            <w:r>
              <w:rPr>
                <w:rFonts w:hint="eastAsia"/>
                <w:color w:val="auto"/>
                <w:sz w:val="24"/>
                <w:highlight w:val="none"/>
              </w:rPr>
              <w:t>产生的沥青烟、苯并[a]芘、非甲烷总烃通过设置的环形集气罩收集后（收集效率90%）引入总集气管道;搅拌缸内沥青烟气由风管引入总集气管道，沥青烟气收集后引入烘干滚筒燃烧器中燃烧后跟燃气废气一并从1#排气筒排放，燃烧处理效率达90%。因此沥青烟的有组织排放量为0.0284t/a，排放速率为0.0355kg/h；苯并[a]芘的有组织排放量为5.67*10</w:t>
            </w:r>
            <w:r>
              <w:rPr>
                <w:rFonts w:hint="eastAsia"/>
                <w:color w:val="auto"/>
                <w:sz w:val="24"/>
                <w:highlight w:val="none"/>
                <w:vertAlign w:val="superscript"/>
              </w:rPr>
              <w:t>-7</w:t>
            </w:r>
            <w:r>
              <w:rPr>
                <w:rFonts w:hint="eastAsia"/>
                <w:color w:val="auto"/>
                <w:sz w:val="24"/>
                <w:highlight w:val="none"/>
              </w:rPr>
              <w:t>t/a，排放速率为6.282*10</w:t>
            </w:r>
            <w:r>
              <w:rPr>
                <w:rFonts w:hint="eastAsia"/>
                <w:color w:val="auto"/>
                <w:sz w:val="24"/>
                <w:highlight w:val="none"/>
                <w:vertAlign w:val="superscript"/>
              </w:rPr>
              <w:t>-7</w:t>
            </w:r>
            <w:r>
              <w:rPr>
                <w:rFonts w:hint="eastAsia"/>
                <w:color w:val="auto"/>
                <w:sz w:val="24"/>
                <w:highlight w:val="none"/>
              </w:rPr>
              <w:t>kg/h；非甲烷总烃的有组织排放量为0.0001125t/a，排放速率为0.000188kg/h。</w:t>
            </w:r>
          </w:p>
          <w:p>
            <w:pPr>
              <w:widowControl/>
              <w:spacing w:line="360" w:lineRule="auto"/>
              <w:ind w:firstLine="480"/>
              <w:jc w:val="left"/>
              <w:rPr>
                <w:rFonts w:hint="eastAsia"/>
                <w:color w:val="auto"/>
                <w:sz w:val="24"/>
                <w:highlight w:val="none"/>
              </w:rPr>
            </w:pPr>
            <w:r>
              <w:rPr>
                <w:rFonts w:hint="eastAsia"/>
                <w:color w:val="auto"/>
                <w:sz w:val="24"/>
                <w:highlight w:val="none"/>
              </w:rPr>
              <w:t>沥青烟无组织排放量为0.0315t/a，0.0394kg/h；苯并[a]芘无组织排放量为6.3*10</w:t>
            </w:r>
            <w:r>
              <w:rPr>
                <w:rFonts w:hint="eastAsia"/>
                <w:color w:val="auto"/>
                <w:sz w:val="24"/>
                <w:highlight w:val="none"/>
                <w:vertAlign w:val="superscript"/>
              </w:rPr>
              <w:t>-7</w:t>
            </w:r>
            <w:r>
              <w:rPr>
                <w:rFonts w:hint="eastAsia"/>
                <w:color w:val="auto"/>
                <w:sz w:val="24"/>
                <w:highlight w:val="none"/>
              </w:rPr>
              <w:t>t/a，6.98*10</w:t>
            </w:r>
            <w:r>
              <w:rPr>
                <w:rFonts w:hint="eastAsia"/>
                <w:color w:val="auto"/>
                <w:sz w:val="24"/>
                <w:highlight w:val="none"/>
                <w:vertAlign w:val="superscript"/>
              </w:rPr>
              <w:t>-7</w:t>
            </w:r>
            <w:r>
              <w:rPr>
                <w:rFonts w:hint="eastAsia"/>
                <w:color w:val="auto"/>
                <w:sz w:val="24"/>
                <w:highlight w:val="none"/>
              </w:rPr>
              <w:t>kg/h、非甲烷总烃0.000125t/a，0.000208kg/h</w:t>
            </w:r>
          </w:p>
          <w:p>
            <w:pPr>
              <w:pStyle w:val="16"/>
              <w:spacing w:before="0" w:after="0" w:line="360" w:lineRule="auto"/>
              <w:ind w:right="0" w:firstLine="480" w:firstLineChars="200"/>
              <w:rPr>
                <w:snapToGrid w:val="0"/>
                <w:color w:val="auto"/>
                <w:sz w:val="24"/>
                <w:szCs w:val="24"/>
                <w:highlight w:val="none"/>
              </w:rPr>
            </w:pPr>
            <w:r>
              <w:rPr>
                <w:rFonts w:hint="eastAsia"/>
                <w:snapToGrid w:val="0"/>
                <w:color w:val="auto"/>
                <w:sz w:val="24"/>
                <w:szCs w:val="24"/>
                <w:highlight w:val="none"/>
              </w:rPr>
              <w:t>④</w:t>
            </w:r>
            <w:r>
              <w:rPr>
                <w:snapToGrid w:val="0"/>
                <w:color w:val="auto"/>
                <w:sz w:val="24"/>
                <w:szCs w:val="24"/>
                <w:highlight w:val="none"/>
              </w:rPr>
              <w:t>道路扬尘</w:t>
            </w:r>
          </w:p>
          <w:p>
            <w:pPr>
              <w:pStyle w:val="16"/>
              <w:spacing w:before="0" w:after="0" w:line="360" w:lineRule="auto"/>
              <w:ind w:right="0" w:firstLine="480" w:firstLineChars="200"/>
              <w:rPr>
                <w:snapToGrid w:val="0"/>
                <w:color w:val="auto"/>
                <w:sz w:val="24"/>
                <w:szCs w:val="24"/>
                <w:highlight w:val="none"/>
              </w:rPr>
            </w:pPr>
            <w:r>
              <w:rPr>
                <w:snapToGrid w:val="0"/>
                <w:color w:val="auto"/>
                <w:sz w:val="24"/>
                <w:szCs w:val="24"/>
                <w:highlight w:val="none"/>
              </w:rPr>
              <w:t>车辆行驶产生的扬尘，在道路完全干燥的情况下，可按下列经验公式计算：</w:t>
            </w:r>
          </w:p>
          <w:p>
            <w:pPr>
              <w:pStyle w:val="16"/>
              <w:spacing w:before="0" w:after="0" w:line="360" w:lineRule="auto"/>
              <w:ind w:right="0" w:firstLine="480" w:firstLineChars="200"/>
              <w:jc w:val="center"/>
              <w:rPr>
                <w:snapToGrid w:val="0"/>
                <w:color w:val="auto"/>
                <w:sz w:val="24"/>
                <w:szCs w:val="24"/>
                <w:highlight w:val="none"/>
              </w:rPr>
            </w:pPr>
            <w:r>
              <w:rPr>
                <w:snapToGrid w:val="0"/>
                <w:color w:val="auto"/>
                <w:sz w:val="24"/>
                <w:szCs w:val="24"/>
                <w:highlight w:val="none"/>
              </w:rPr>
              <w:t>Qi=0.0079VW</w:t>
            </w:r>
            <w:r>
              <w:rPr>
                <w:snapToGrid w:val="0"/>
                <w:color w:val="auto"/>
                <w:sz w:val="24"/>
                <w:szCs w:val="24"/>
                <w:highlight w:val="none"/>
                <w:vertAlign w:val="superscript"/>
              </w:rPr>
              <w:t>0.85</w:t>
            </w:r>
            <w:r>
              <w:rPr>
                <w:snapToGrid w:val="0"/>
                <w:color w:val="auto"/>
                <w:sz w:val="24"/>
                <w:szCs w:val="24"/>
                <w:highlight w:val="none"/>
              </w:rPr>
              <w:t>P</w:t>
            </w:r>
            <w:r>
              <w:rPr>
                <w:snapToGrid w:val="0"/>
                <w:color w:val="auto"/>
                <w:sz w:val="24"/>
                <w:szCs w:val="24"/>
                <w:highlight w:val="none"/>
                <w:vertAlign w:val="superscript"/>
              </w:rPr>
              <w:t>0.72</w:t>
            </w:r>
          </w:p>
          <w:p>
            <w:pPr>
              <w:pStyle w:val="16"/>
              <w:spacing w:before="0" w:after="0" w:line="360" w:lineRule="auto"/>
              <w:ind w:right="0" w:firstLine="480" w:firstLineChars="200"/>
              <w:rPr>
                <w:snapToGrid w:val="0"/>
                <w:color w:val="auto"/>
                <w:sz w:val="24"/>
                <w:szCs w:val="24"/>
                <w:highlight w:val="none"/>
              </w:rPr>
            </w:pPr>
            <w:r>
              <w:rPr>
                <w:snapToGrid w:val="0"/>
                <w:color w:val="auto"/>
                <w:sz w:val="24"/>
                <w:szCs w:val="24"/>
                <w:highlight w:val="none"/>
              </w:rPr>
              <w:t>式中：Qi：汽车行驶时的扬尘，kg/km ▪辆；</w:t>
            </w:r>
          </w:p>
          <w:p>
            <w:pPr>
              <w:pStyle w:val="16"/>
              <w:spacing w:before="0" w:after="0" w:line="360" w:lineRule="auto"/>
              <w:ind w:right="0" w:firstLine="480" w:firstLineChars="200"/>
              <w:rPr>
                <w:snapToGrid w:val="0"/>
                <w:color w:val="auto"/>
                <w:sz w:val="24"/>
                <w:szCs w:val="24"/>
                <w:highlight w:val="none"/>
              </w:rPr>
            </w:pPr>
            <w:r>
              <w:rPr>
                <w:snapToGrid w:val="0"/>
                <w:color w:val="auto"/>
                <w:sz w:val="24"/>
                <w:szCs w:val="24"/>
                <w:highlight w:val="none"/>
              </w:rPr>
              <w:t xml:space="preserve">      V：汽车速度，km/h；</w:t>
            </w:r>
          </w:p>
          <w:p>
            <w:pPr>
              <w:pStyle w:val="16"/>
              <w:spacing w:before="0" w:after="0" w:line="360" w:lineRule="auto"/>
              <w:ind w:right="0" w:firstLine="480" w:firstLineChars="200"/>
              <w:rPr>
                <w:snapToGrid w:val="0"/>
                <w:color w:val="auto"/>
                <w:sz w:val="24"/>
                <w:szCs w:val="24"/>
                <w:highlight w:val="none"/>
              </w:rPr>
            </w:pPr>
            <w:r>
              <w:rPr>
                <w:snapToGrid w:val="0"/>
                <w:color w:val="auto"/>
                <w:sz w:val="24"/>
                <w:szCs w:val="24"/>
                <w:highlight w:val="none"/>
              </w:rPr>
              <w:t xml:space="preserve">      W：汽车载重量，t；</w:t>
            </w:r>
          </w:p>
          <w:p>
            <w:pPr>
              <w:pStyle w:val="16"/>
              <w:spacing w:before="0" w:after="0" w:line="360" w:lineRule="auto"/>
              <w:ind w:right="0" w:firstLine="480" w:firstLineChars="200"/>
              <w:rPr>
                <w:snapToGrid w:val="0"/>
                <w:color w:val="auto"/>
                <w:sz w:val="24"/>
                <w:szCs w:val="24"/>
                <w:highlight w:val="none"/>
              </w:rPr>
            </w:pPr>
            <w:r>
              <w:rPr>
                <w:snapToGrid w:val="0"/>
                <w:color w:val="auto"/>
                <w:sz w:val="24"/>
                <w:szCs w:val="24"/>
                <w:highlight w:val="none"/>
              </w:rPr>
              <w:t xml:space="preserve">      P:道路表面粉尘量，kg/m2。</w:t>
            </w:r>
          </w:p>
          <w:p>
            <w:pPr>
              <w:pStyle w:val="16"/>
              <w:spacing w:before="0" w:after="0" w:line="360" w:lineRule="auto"/>
              <w:ind w:right="0" w:firstLine="480" w:firstLineChars="200"/>
              <w:rPr>
                <w:snapToGrid w:val="0"/>
                <w:color w:val="auto"/>
                <w:sz w:val="24"/>
                <w:szCs w:val="24"/>
                <w:highlight w:val="none"/>
              </w:rPr>
            </w:pPr>
            <w:r>
              <w:rPr>
                <w:snapToGrid w:val="0"/>
                <w:color w:val="auto"/>
                <w:sz w:val="24"/>
                <w:szCs w:val="24"/>
                <w:highlight w:val="none"/>
              </w:rPr>
              <w:t>本项目</w:t>
            </w:r>
            <w:r>
              <w:rPr>
                <w:rFonts w:hint="eastAsia"/>
                <w:snapToGrid w:val="0"/>
                <w:color w:val="auto"/>
                <w:sz w:val="24"/>
                <w:szCs w:val="24"/>
                <w:highlight w:val="none"/>
              </w:rPr>
              <w:t>砂</w:t>
            </w:r>
            <w:r>
              <w:rPr>
                <w:snapToGrid w:val="0"/>
                <w:color w:val="auto"/>
                <w:sz w:val="24"/>
                <w:szCs w:val="24"/>
                <w:highlight w:val="none"/>
              </w:rPr>
              <w:t>石采用自卸汽车运输，每辆车运输25t，空车重约10.0t，重车重约35.0t，在厂区行驶速度10km/h，在不同路面清洁度情况下得扬尘量如下表</w:t>
            </w:r>
            <w:r>
              <w:rPr>
                <w:rFonts w:hint="eastAsia"/>
                <w:snapToGrid w:val="0"/>
                <w:color w:val="auto"/>
                <w:sz w:val="24"/>
                <w:szCs w:val="24"/>
                <w:highlight w:val="none"/>
              </w:rPr>
              <w:t>4-3</w:t>
            </w:r>
            <w:r>
              <w:rPr>
                <w:snapToGrid w:val="0"/>
                <w:color w:val="auto"/>
                <w:sz w:val="24"/>
                <w:szCs w:val="24"/>
                <w:highlight w:val="none"/>
              </w:rPr>
              <w:t>：</w:t>
            </w:r>
          </w:p>
          <w:p>
            <w:pPr>
              <w:autoSpaceDE w:val="0"/>
              <w:autoSpaceDN w:val="0"/>
              <w:adjustRightInd w:val="0"/>
              <w:spacing w:before="120" w:beforeLines="50"/>
              <w:ind w:firstLine="482"/>
              <w:jc w:val="center"/>
              <w:rPr>
                <w:b/>
                <w:color w:val="auto"/>
                <w:highlight w:val="none"/>
              </w:rPr>
            </w:pPr>
            <w:r>
              <w:rPr>
                <w:b/>
                <w:color w:val="auto"/>
                <w:highlight w:val="none"/>
              </w:rPr>
              <w:t>表</w:t>
            </w:r>
            <w:r>
              <w:rPr>
                <w:rFonts w:hint="eastAsia"/>
                <w:b/>
                <w:color w:val="auto"/>
                <w:highlight w:val="none"/>
              </w:rPr>
              <w:t xml:space="preserve">4-3 </w:t>
            </w:r>
            <w:r>
              <w:rPr>
                <w:b/>
                <w:color w:val="auto"/>
                <w:highlight w:val="none"/>
              </w:rPr>
              <w:t>车辆行驶扬尘量（单位：kg/km ▪辆）</w:t>
            </w:r>
          </w:p>
          <w:tbl>
            <w:tblPr>
              <w:tblStyle w:val="39"/>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35"/>
              <w:gridCol w:w="1135"/>
              <w:gridCol w:w="1136"/>
              <w:gridCol w:w="1135"/>
              <w:gridCol w:w="1135"/>
              <w:gridCol w:w="1135"/>
              <w:gridCol w:w="113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35" w:type="dxa"/>
                  <w:noWrap w:val="0"/>
                  <w:vAlign w:val="center"/>
                </w:tcPr>
                <w:p>
                  <w:pPr>
                    <w:jc w:val="center"/>
                    <w:rPr>
                      <w:color w:val="auto"/>
                      <w:szCs w:val="21"/>
                      <w:highlight w:val="none"/>
                    </w:rPr>
                  </w:pPr>
                  <w:r>
                    <w:rPr>
                      <w:color w:val="auto"/>
                      <w:szCs w:val="21"/>
                      <w:highlight w:val="none"/>
                    </w:rPr>
                    <w:t>路况车况</w:t>
                  </w:r>
                </w:p>
              </w:tc>
              <w:tc>
                <w:tcPr>
                  <w:tcW w:w="1135" w:type="dxa"/>
                  <w:noWrap w:val="0"/>
                  <w:vAlign w:val="center"/>
                </w:tcPr>
                <w:p>
                  <w:pPr>
                    <w:jc w:val="center"/>
                    <w:rPr>
                      <w:color w:val="auto"/>
                      <w:szCs w:val="21"/>
                      <w:highlight w:val="none"/>
                    </w:rPr>
                  </w:pPr>
                  <w:r>
                    <w:rPr>
                      <w:color w:val="auto"/>
                      <w:szCs w:val="21"/>
                      <w:highlight w:val="none"/>
                    </w:rPr>
                    <w:t>0.1</w:t>
                  </w:r>
                </w:p>
                <w:p>
                  <w:pPr>
                    <w:jc w:val="center"/>
                    <w:rPr>
                      <w:color w:val="auto"/>
                      <w:szCs w:val="21"/>
                      <w:highlight w:val="none"/>
                    </w:rPr>
                  </w:pPr>
                  <w:r>
                    <w:rPr>
                      <w:color w:val="auto"/>
                      <w:szCs w:val="21"/>
                      <w:highlight w:val="none"/>
                    </w:rPr>
                    <w:t>（kg/m</w:t>
                  </w:r>
                  <w:r>
                    <w:rPr>
                      <w:color w:val="auto"/>
                      <w:szCs w:val="21"/>
                      <w:highlight w:val="none"/>
                      <w:vertAlign w:val="superscript"/>
                    </w:rPr>
                    <w:t>2</w:t>
                  </w:r>
                  <w:r>
                    <w:rPr>
                      <w:color w:val="auto"/>
                      <w:szCs w:val="21"/>
                      <w:highlight w:val="none"/>
                    </w:rPr>
                    <w:t>）</w:t>
                  </w:r>
                </w:p>
              </w:tc>
              <w:tc>
                <w:tcPr>
                  <w:tcW w:w="1136" w:type="dxa"/>
                  <w:noWrap w:val="0"/>
                  <w:vAlign w:val="center"/>
                </w:tcPr>
                <w:p>
                  <w:pPr>
                    <w:jc w:val="center"/>
                    <w:rPr>
                      <w:color w:val="auto"/>
                      <w:szCs w:val="21"/>
                      <w:highlight w:val="none"/>
                    </w:rPr>
                  </w:pPr>
                  <w:r>
                    <w:rPr>
                      <w:color w:val="auto"/>
                      <w:szCs w:val="21"/>
                      <w:highlight w:val="none"/>
                    </w:rPr>
                    <w:t>0.2</w:t>
                  </w:r>
                </w:p>
                <w:p>
                  <w:pPr>
                    <w:jc w:val="center"/>
                    <w:rPr>
                      <w:color w:val="auto"/>
                      <w:szCs w:val="21"/>
                      <w:highlight w:val="none"/>
                    </w:rPr>
                  </w:pPr>
                  <w:r>
                    <w:rPr>
                      <w:color w:val="auto"/>
                      <w:szCs w:val="21"/>
                      <w:highlight w:val="none"/>
                    </w:rPr>
                    <w:t>（kg/m</w:t>
                  </w:r>
                  <w:r>
                    <w:rPr>
                      <w:color w:val="auto"/>
                      <w:szCs w:val="21"/>
                      <w:highlight w:val="none"/>
                      <w:vertAlign w:val="superscript"/>
                    </w:rPr>
                    <w:t>2</w:t>
                  </w:r>
                  <w:r>
                    <w:rPr>
                      <w:color w:val="auto"/>
                      <w:szCs w:val="21"/>
                      <w:highlight w:val="none"/>
                    </w:rPr>
                    <w:t>）</w:t>
                  </w:r>
                </w:p>
              </w:tc>
              <w:tc>
                <w:tcPr>
                  <w:tcW w:w="1135" w:type="dxa"/>
                  <w:noWrap w:val="0"/>
                  <w:vAlign w:val="center"/>
                </w:tcPr>
                <w:p>
                  <w:pPr>
                    <w:jc w:val="center"/>
                    <w:rPr>
                      <w:color w:val="auto"/>
                      <w:szCs w:val="21"/>
                      <w:highlight w:val="none"/>
                    </w:rPr>
                  </w:pPr>
                  <w:r>
                    <w:rPr>
                      <w:color w:val="auto"/>
                      <w:szCs w:val="21"/>
                      <w:highlight w:val="none"/>
                    </w:rPr>
                    <w:t>0.3</w:t>
                  </w:r>
                </w:p>
                <w:p>
                  <w:pPr>
                    <w:jc w:val="center"/>
                    <w:rPr>
                      <w:color w:val="auto"/>
                      <w:szCs w:val="21"/>
                      <w:highlight w:val="none"/>
                    </w:rPr>
                  </w:pPr>
                  <w:r>
                    <w:rPr>
                      <w:color w:val="auto"/>
                      <w:szCs w:val="21"/>
                      <w:highlight w:val="none"/>
                    </w:rPr>
                    <w:t>（kg/m</w:t>
                  </w:r>
                  <w:r>
                    <w:rPr>
                      <w:color w:val="auto"/>
                      <w:szCs w:val="21"/>
                      <w:highlight w:val="none"/>
                      <w:vertAlign w:val="superscript"/>
                    </w:rPr>
                    <w:t>2</w:t>
                  </w:r>
                  <w:r>
                    <w:rPr>
                      <w:color w:val="auto"/>
                      <w:szCs w:val="21"/>
                      <w:highlight w:val="none"/>
                    </w:rPr>
                    <w:t>）</w:t>
                  </w:r>
                </w:p>
              </w:tc>
              <w:tc>
                <w:tcPr>
                  <w:tcW w:w="1135" w:type="dxa"/>
                  <w:noWrap w:val="0"/>
                  <w:vAlign w:val="center"/>
                </w:tcPr>
                <w:p>
                  <w:pPr>
                    <w:jc w:val="center"/>
                    <w:rPr>
                      <w:color w:val="auto"/>
                      <w:szCs w:val="21"/>
                      <w:highlight w:val="none"/>
                    </w:rPr>
                  </w:pPr>
                  <w:r>
                    <w:rPr>
                      <w:color w:val="auto"/>
                      <w:szCs w:val="21"/>
                      <w:highlight w:val="none"/>
                    </w:rPr>
                    <w:t>0.4</w:t>
                  </w:r>
                </w:p>
                <w:p>
                  <w:pPr>
                    <w:jc w:val="center"/>
                    <w:rPr>
                      <w:color w:val="auto"/>
                      <w:szCs w:val="21"/>
                      <w:highlight w:val="none"/>
                    </w:rPr>
                  </w:pPr>
                  <w:r>
                    <w:rPr>
                      <w:color w:val="auto"/>
                      <w:szCs w:val="21"/>
                      <w:highlight w:val="none"/>
                    </w:rPr>
                    <w:t>（kg/m</w:t>
                  </w:r>
                  <w:r>
                    <w:rPr>
                      <w:color w:val="auto"/>
                      <w:szCs w:val="21"/>
                      <w:highlight w:val="none"/>
                      <w:vertAlign w:val="superscript"/>
                    </w:rPr>
                    <w:t>2</w:t>
                  </w:r>
                  <w:r>
                    <w:rPr>
                      <w:color w:val="auto"/>
                      <w:szCs w:val="21"/>
                      <w:highlight w:val="none"/>
                    </w:rPr>
                    <w:t>）</w:t>
                  </w:r>
                </w:p>
              </w:tc>
              <w:tc>
                <w:tcPr>
                  <w:tcW w:w="1135" w:type="dxa"/>
                  <w:noWrap w:val="0"/>
                  <w:vAlign w:val="center"/>
                </w:tcPr>
                <w:p>
                  <w:pPr>
                    <w:jc w:val="center"/>
                    <w:rPr>
                      <w:color w:val="auto"/>
                      <w:szCs w:val="21"/>
                      <w:highlight w:val="none"/>
                    </w:rPr>
                  </w:pPr>
                  <w:r>
                    <w:rPr>
                      <w:color w:val="auto"/>
                      <w:szCs w:val="21"/>
                      <w:highlight w:val="none"/>
                    </w:rPr>
                    <w:t>0.5</w:t>
                  </w:r>
                </w:p>
                <w:p>
                  <w:pPr>
                    <w:jc w:val="center"/>
                    <w:rPr>
                      <w:color w:val="auto"/>
                      <w:szCs w:val="21"/>
                      <w:highlight w:val="none"/>
                    </w:rPr>
                  </w:pPr>
                  <w:r>
                    <w:rPr>
                      <w:color w:val="auto"/>
                      <w:szCs w:val="21"/>
                      <w:highlight w:val="none"/>
                    </w:rPr>
                    <w:t>（kg/m</w:t>
                  </w:r>
                  <w:r>
                    <w:rPr>
                      <w:color w:val="auto"/>
                      <w:szCs w:val="21"/>
                      <w:highlight w:val="none"/>
                      <w:vertAlign w:val="superscript"/>
                    </w:rPr>
                    <w:t>2</w:t>
                  </w:r>
                  <w:r>
                    <w:rPr>
                      <w:color w:val="auto"/>
                      <w:szCs w:val="21"/>
                      <w:highlight w:val="none"/>
                    </w:rPr>
                    <w:t>）</w:t>
                  </w:r>
                </w:p>
              </w:tc>
              <w:tc>
                <w:tcPr>
                  <w:tcW w:w="1135" w:type="dxa"/>
                  <w:noWrap w:val="0"/>
                  <w:vAlign w:val="center"/>
                </w:tcPr>
                <w:p>
                  <w:pPr>
                    <w:jc w:val="center"/>
                    <w:rPr>
                      <w:color w:val="auto"/>
                      <w:szCs w:val="21"/>
                      <w:highlight w:val="none"/>
                    </w:rPr>
                  </w:pPr>
                  <w:r>
                    <w:rPr>
                      <w:color w:val="auto"/>
                      <w:szCs w:val="21"/>
                      <w:highlight w:val="none"/>
                    </w:rPr>
                    <w:t>0.6</w:t>
                  </w:r>
                </w:p>
                <w:p>
                  <w:pPr>
                    <w:jc w:val="center"/>
                    <w:rPr>
                      <w:color w:val="auto"/>
                      <w:szCs w:val="21"/>
                      <w:highlight w:val="none"/>
                    </w:rPr>
                  </w:pPr>
                  <w:r>
                    <w:rPr>
                      <w:color w:val="auto"/>
                      <w:szCs w:val="21"/>
                      <w:highlight w:val="none"/>
                    </w:rPr>
                    <w:t>（kg/m</w:t>
                  </w:r>
                  <w:r>
                    <w:rPr>
                      <w:color w:val="auto"/>
                      <w:szCs w:val="21"/>
                      <w:highlight w:val="none"/>
                      <w:vertAlign w:val="superscript"/>
                    </w:rPr>
                    <w:t>2</w:t>
                  </w:r>
                  <w:r>
                    <w:rPr>
                      <w:color w:val="auto"/>
                      <w:szCs w:val="21"/>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35" w:type="dxa"/>
                  <w:noWrap w:val="0"/>
                  <w:vAlign w:val="center"/>
                </w:tcPr>
                <w:p>
                  <w:pPr>
                    <w:jc w:val="center"/>
                    <w:rPr>
                      <w:color w:val="auto"/>
                      <w:szCs w:val="21"/>
                      <w:highlight w:val="none"/>
                    </w:rPr>
                  </w:pPr>
                  <w:r>
                    <w:rPr>
                      <w:color w:val="auto"/>
                      <w:szCs w:val="21"/>
                      <w:highlight w:val="none"/>
                    </w:rPr>
                    <w:t>空车（10t）</w:t>
                  </w:r>
                </w:p>
              </w:tc>
              <w:tc>
                <w:tcPr>
                  <w:tcW w:w="1135" w:type="dxa"/>
                  <w:noWrap w:val="0"/>
                  <w:vAlign w:val="center"/>
                </w:tcPr>
                <w:p>
                  <w:pPr>
                    <w:jc w:val="center"/>
                    <w:rPr>
                      <w:color w:val="auto"/>
                      <w:szCs w:val="21"/>
                      <w:highlight w:val="none"/>
                    </w:rPr>
                  </w:pPr>
                  <w:r>
                    <w:rPr>
                      <w:color w:val="auto"/>
                      <w:szCs w:val="21"/>
                      <w:highlight w:val="none"/>
                    </w:rPr>
                    <w:t>0.107</w:t>
                  </w:r>
                </w:p>
              </w:tc>
              <w:tc>
                <w:tcPr>
                  <w:tcW w:w="1136" w:type="dxa"/>
                  <w:noWrap w:val="0"/>
                  <w:vAlign w:val="center"/>
                </w:tcPr>
                <w:p>
                  <w:pPr>
                    <w:jc w:val="center"/>
                    <w:rPr>
                      <w:color w:val="auto"/>
                      <w:szCs w:val="21"/>
                      <w:highlight w:val="none"/>
                    </w:rPr>
                  </w:pPr>
                  <w:r>
                    <w:rPr>
                      <w:color w:val="auto"/>
                      <w:szCs w:val="21"/>
                      <w:highlight w:val="none"/>
                    </w:rPr>
                    <w:t>0.176</w:t>
                  </w:r>
                </w:p>
              </w:tc>
              <w:tc>
                <w:tcPr>
                  <w:tcW w:w="1135" w:type="dxa"/>
                  <w:noWrap w:val="0"/>
                  <w:vAlign w:val="center"/>
                </w:tcPr>
                <w:p>
                  <w:pPr>
                    <w:jc w:val="center"/>
                    <w:rPr>
                      <w:color w:val="auto"/>
                      <w:szCs w:val="21"/>
                      <w:highlight w:val="none"/>
                    </w:rPr>
                  </w:pPr>
                  <w:r>
                    <w:rPr>
                      <w:color w:val="auto"/>
                      <w:szCs w:val="21"/>
                      <w:highlight w:val="none"/>
                    </w:rPr>
                    <w:t>0.235</w:t>
                  </w:r>
                </w:p>
              </w:tc>
              <w:tc>
                <w:tcPr>
                  <w:tcW w:w="1135" w:type="dxa"/>
                  <w:noWrap w:val="0"/>
                  <w:vAlign w:val="center"/>
                </w:tcPr>
                <w:p>
                  <w:pPr>
                    <w:jc w:val="center"/>
                    <w:rPr>
                      <w:color w:val="auto"/>
                      <w:szCs w:val="21"/>
                      <w:highlight w:val="none"/>
                    </w:rPr>
                  </w:pPr>
                  <w:r>
                    <w:rPr>
                      <w:color w:val="auto"/>
                      <w:szCs w:val="21"/>
                      <w:highlight w:val="none"/>
                    </w:rPr>
                    <w:t>0.289</w:t>
                  </w:r>
                </w:p>
              </w:tc>
              <w:tc>
                <w:tcPr>
                  <w:tcW w:w="1135" w:type="dxa"/>
                  <w:noWrap w:val="0"/>
                  <w:vAlign w:val="center"/>
                </w:tcPr>
                <w:p>
                  <w:pPr>
                    <w:jc w:val="center"/>
                    <w:rPr>
                      <w:color w:val="auto"/>
                      <w:szCs w:val="21"/>
                      <w:highlight w:val="none"/>
                    </w:rPr>
                  </w:pPr>
                  <w:r>
                    <w:rPr>
                      <w:color w:val="auto"/>
                      <w:szCs w:val="21"/>
                      <w:highlight w:val="none"/>
                    </w:rPr>
                    <w:t>0.34</w:t>
                  </w:r>
                </w:p>
              </w:tc>
              <w:tc>
                <w:tcPr>
                  <w:tcW w:w="1135" w:type="dxa"/>
                  <w:noWrap w:val="0"/>
                  <w:vAlign w:val="center"/>
                </w:tcPr>
                <w:p>
                  <w:pPr>
                    <w:jc w:val="center"/>
                    <w:rPr>
                      <w:color w:val="auto"/>
                      <w:szCs w:val="21"/>
                      <w:highlight w:val="none"/>
                    </w:rPr>
                  </w:pPr>
                  <w:r>
                    <w:rPr>
                      <w:color w:val="auto"/>
                      <w:szCs w:val="21"/>
                      <w:highlight w:val="none"/>
                    </w:rPr>
                    <w:t>0.387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35" w:type="dxa"/>
                  <w:noWrap w:val="0"/>
                  <w:vAlign w:val="center"/>
                </w:tcPr>
                <w:p>
                  <w:pPr>
                    <w:jc w:val="center"/>
                    <w:rPr>
                      <w:color w:val="auto"/>
                      <w:szCs w:val="21"/>
                      <w:highlight w:val="none"/>
                    </w:rPr>
                  </w:pPr>
                  <w:r>
                    <w:rPr>
                      <w:color w:val="auto"/>
                      <w:szCs w:val="21"/>
                      <w:highlight w:val="none"/>
                    </w:rPr>
                    <w:t>重车（35t）</w:t>
                  </w:r>
                </w:p>
              </w:tc>
              <w:tc>
                <w:tcPr>
                  <w:tcW w:w="1135" w:type="dxa"/>
                  <w:noWrap w:val="0"/>
                  <w:vAlign w:val="center"/>
                </w:tcPr>
                <w:p>
                  <w:pPr>
                    <w:jc w:val="center"/>
                    <w:rPr>
                      <w:color w:val="auto"/>
                      <w:szCs w:val="21"/>
                      <w:highlight w:val="none"/>
                    </w:rPr>
                  </w:pPr>
                  <w:r>
                    <w:rPr>
                      <w:color w:val="auto"/>
                      <w:szCs w:val="21"/>
                      <w:highlight w:val="none"/>
                    </w:rPr>
                    <w:t>0.309</w:t>
                  </w:r>
                </w:p>
              </w:tc>
              <w:tc>
                <w:tcPr>
                  <w:tcW w:w="1136" w:type="dxa"/>
                  <w:noWrap w:val="0"/>
                  <w:vAlign w:val="center"/>
                </w:tcPr>
                <w:p>
                  <w:pPr>
                    <w:jc w:val="center"/>
                    <w:rPr>
                      <w:color w:val="auto"/>
                      <w:szCs w:val="21"/>
                      <w:highlight w:val="none"/>
                    </w:rPr>
                  </w:pPr>
                  <w:r>
                    <w:rPr>
                      <w:color w:val="auto"/>
                      <w:szCs w:val="21"/>
                      <w:highlight w:val="none"/>
                    </w:rPr>
                    <w:t>0.509</w:t>
                  </w:r>
                </w:p>
              </w:tc>
              <w:tc>
                <w:tcPr>
                  <w:tcW w:w="1135" w:type="dxa"/>
                  <w:noWrap w:val="0"/>
                  <w:vAlign w:val="center"/>
                </w:tcPr>
                <w:p>
                  <w:pPr>
                    <w:jc w:val="center"/>
                    <w:rPr>
                      <w:color w:val="auto"/>
                      <w:szCs w:val="21"/>
                      <w:highlight w:val="none"/>
                    </w:rPr>
                  </w:pPr>
                  <w:r>
                    <w:rPr>
                      <w:color w:val="auto"/>
                      <w:szCs w:val="21"/>
                      <w:highlight w:val="none"/>
                    </w:rPr>
                    <w:t>0.682</w:t>
                  </w:r>
                </w:p>
              </w:tc>
              <w:tc>
                <w:tcPr>
                  <w:tcW w:w="1135" w:type="dxa"/>
                  <w:noWrap w:val="0"/>
                  <w:vAlign w:val="center"/>
                </w:tcPr>
                <w:p>
                  <w:pPr>
                    <w:jc w:val="center"/>
                    <w:rPr>
                      <w:color w:val="auto"/>
                      <w:szCs w:val="21"/>
                      <w:highlight w:val="none"/>
                    </w:rPr>
                  </w:pPr>
                  <w:r>
                    <w:rPr>
                      <w:color w:val="auto"/>
                      <w:szCs w:val="21"/>
                      <w:highlight w:val="none"/>
                    </w:rPr>
                    <w:t>0.839</w:t>
                  </w:r>
                </w:p>
              </w:tc>
              <w:tc>
                <w:tcPr>
                  <w:tcW w:w="1135" w:type="dxa"/>
                  <w:noWrap w:val="0"/>
                  <w:vAlign w:val="center"/>
                </w:tcPr>
                <w:p>
                  <w:pPr>
                    <w:jc w:val="center"/>
                    <w:rPr>
                      <w:color w:val="auto"/>
                      <w:szCs w:val="21"/>
                      <w:highlight w:val="none"/>
                    </w:rPr>
                  </w:pPr>
                  <w:r>
                    <w:rPr>
                      <w:color w:val="auto"/>
                      <w:szCs w:val="21"/>
                      <w:highlight w:val="none"/>
                    </w:rPr>
                    <w:t>0.985</w:t>
                  </w:r>
                </w:p>
              </w:tc>
              <w:tc>
                <w:tcPr>
                  <w:tcW w:w="1135" w:type="dxa"/>
                  <w:noWrap w:val="0"/>
                  <w:vAlign w:val="center"/>
                </w:tcPr>
                <w:p>
                  <w:pPr>
                    <w:jc w:val="center"/>
                    <w:rPr>
                      <w:color w:val="auto"/>
                      <w:szCs w:val="21"/>
                      <w:highlight w:val="none"/>
                    </w:rPr>
                  </w:pPr>
                  <w:r>
                    <w:rPr>
                      <w:color w:val="auto"/>
                      <w:szCs w:val="21"/>
                      <w:highlight w:val="none"/>
                    </w:rPr>
                    <w:t>1.123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35" w:type="dxa"/>
                  <w:noWrap w:val="0"/>
                  <w:vAlign w:val="center"/>
                </w:tcPr>
                <w:p>
                  <w:pPr>
                    <w:jc w:val="center"/>
                    <w:rPr>
                      <w:color w:val="auto"/>
                      <w:szCs w:val="21"/>
                      <w:highlight w:val="none"/>
                    </w:rPr>
                  </w:pPr>
                  <w:r>
                    <w:rPr>
                      <w:color w:val="auto"/>
                      <w:szCs w:val="21"/>
                      <w:highlight w:val="none"/>
                    </w:rPr>
                    <w:t>合计</w:t>
                  </w:r>
                </w:p>
              </w:tc>
              <w:tc>
                <w:tcPr>
                  <w:tcW w:w="1135" w:type="dxa"/>
                  <w:noWrap w:val="0"/>
                  <w:vAlign w:val="center"/>
                </w:tcPr>
                <w:p>
                  <w:pPr>
                    <w:jc w:val="center"/>
                    <w:rPr>
                      <w:color w:val="auto"/>
                      <w:szCs w:val="21"/>
                      <w:highlight w:val="none"/>
                    </w:rPr>
                  </w:pPr>
                  <w:r>
                    <w:rPr>
                      <w:color w:val="auto"/>
                      <w:szCs w:val="21"/>
                      <w:highlight w:val="none"/>
                    </w:rPr>
                    <w:t>0.416</w:t>
                  </w:r>
                </w:p>
              </w:tc>
              <w:tc>
                <w:tcPr>
                  <w:tcW w:w="1136" w:type="dxa"/>
                  <w:noWrap w:val="0"/>
                  <w:vAlign w:val="center"/>
                </w:tcPr>
                <w:p>
                  <w:pPr>
                    <w:jc w:val="center"/>
                    <w:rPr>
                      <w:color w:val="auto"/>
                      <w:szCs w:val="21"/>
                      <w:highlight w:val="none"/>
                    </w:rPr>
                  </w:pPr>
                  <w:r>
                    <w:rPr>
                      <w:color w:val="auto"/>
                      <w:szCs w:val="21"/>
                      <w:highlight w:val="none"/>
                    </w:rPr>
                    <w:t>0.685</w:t>
                  </w:r>
                </w:p>
              </w:tc>
              <w:tc>
                <w:tcPr>
                  <w:tcW w:w="1135" w:type="dxa"/>
                  <w:noWrap w:val="0"/>
                  <w:vAlign w:val="center"/>
                </w:tcPr>
                <w:p>
                  <w:pPr>
                    <w:jc w:val="center"/>
                    <w:rPr>
                      <w:color w:val="auto"/>
                      <w:szCs w:val="21"/>
                      <w:highlight w:val="none"/>
                    </w:rPr>
                  </w:pPr>
                  <w:r>
                    <w:rPr>
                      <w:color w:val="auto"/>
                      <w:szCs w:val="21"/>
                      <w:highlight w:val="none"/>
                    </w:rPr>
                    <w:t>0.917</w:t>
                  </w:r>
                </w:p>
              </w:tc>
              <w:tc>
                <w:tcPr>
                  <w:tcW w:w="1135" w:type="dxa"/>
                  <w:noWrap w:val="0"/>
                  <w:vAlign w:val="center"/>
                </w:tcPr>
                <w:p>
                  <w:pPr>
                    <w:jc w:val="center"/>
                    <w:rPr>
                      <w:color w:val="auto"/>
                      <w:szCs w:val="21"/>
                      <w:highlight w:val="none"/>
                    </w:rPr>
                  </w:pPr>
                  <w:r>
                    <w:rPr>
                      <w:color w:val="auto"/>
                      <w:szCs w:val="21"/>
                      <w:highlight w:val="none"/>
                    </w:rPr>
                    <w:t>1.128</w:t>
                  </w:r>
                </w:p>
              </w:tc>
              <w:tc>
                <w:tcPr>
                  <w:tcW w:w="1135" w:type="dxa"/>
                  <w:noWrap w:val="0"/>
                  <w:vAlign w:val="center"/>
                </w:tcPr>
                <w:p>
                  <w:pPr>
                    <w:jc w:val="center"/>
                    <w:rPr>
                      <w:color w:val="auto"/>
                      <w:szCs w:val="21"/>
                      <w:highlight w:val="none"/>
                    </w:rPr>
                  </w:pPr>
                  <w:r>
                    <w:rPr>
                      <w:color w:val="auto"/>
                      <w:szCs w:val="21"/>
                      <w:highlight w:val="none"/>
                    </w:rPr>
                    <w:t>1.325</w:t>
                  </w:r>
                </w:p>
              </w:tc>
              <w:tc>
                <w:tcPr>
                  <w:tcW w:w="1135" w:type="dxa"/>
                  <w:noWrap w:val="0"/>
                  <w:vAlign w:val="center"/>
                </w:tcPr>
                <w:p>
                  <w:pPr>
                    <w:jc w:val="center"/>
                    <w:rPr>
                      <w:color w:val="auto"/>
                      <w:szCs w:val="21"/>
                      <w:highlight w:val="none"/>
                    </w:rPr>
                  </w:pPr>
                  <w:r>
                    <w:rPr>
                      <w:color w:val="auto"/>
                      <w:szCs w:val="21"/>
                      <w:highlight w:val="none"/>
                    </w:rPr>
                    <w:t>1.510</w:t>
                  </w:r>
                </w:p>
              </w:tc>
            </w:tr>
          </w:tbl>
          <w:p>
            <w:pPr>
              <w:pStyle w:val="16"/>
              <w:spacing w:before="0" w:after="0" w:line="360" w:lineRule="auto"/>
              <w:ind w:right="0" w:firstLine="480" w:firstLineChars="200"/>
              <w:rPr>
                <w:snapToGrid w:val="0"/>
                <w:color w:val="auto"/>
                <w:sz w:val="24"/>
                <w:szCs w:val="24"/>
                <w:highlight w:val="none"/>
              </w:rPr>
            </w:pPr>
            <w:r>
              <w:rPr>
                <w:snapToGrid w:val="0"/>
                <w:color w:val="auto"/>
                <w:sz w:val="24"/>
                <w:szCs w:val="24"/>
                <w:highlight w:val="none"/>
              </w:rPr>
              <w:t>项目年</w:t>
            </w:r>
            <w:r>
              <w:rPr>
                <w:rFonts w:hint="eastAsia"/>
                <w:snapToGrid w:val="0"/>
                <w:color w:val="auto"/>
                <w:sz w:val="24"/>
                <w:szCs w:val="24"/>
                <w:highlight w:val="none"/>
              </w:rPr>
              <w:t>砂石</w:t>
            </w:r>
            <w:r>
              <w:rPr>
                <w:snapToGrid w:val="0"/>
                <w:color w:val="auto"/>
                <w:sz w:val="24"/>
                <w:szCs w:val="24"/>
                <w:highlight w:val="none"/>
              </w:rPr>
              <w:t>运输量约为</w:t>
            </w:r>
            <w:r>
              <w:rPr>
                <w:rFonts w:hint="eastAsia"/>
                <w:snapToGrid w:val="0"/>
                <w:color w:val="auto"/>
                <w:sz w:val="24"/>
                <w:szCs w:val="24"/>
                <w:highlight w:val="none"/>
              </w:rPr>
              <w:t>9500</w:t>
            </w:r>
            <w:r>
              <w:rPr>
                <w:snapToGrid w:val="0"/>
                <w:color w:val="auto"/>
                <w:sz w:val="24"/>
                <w:szCs w:val="24"/>
                <w:highlight w:val="none"/>
              </w:rPr>
              <w:t>t/a，运出</w:t>
            </w:r>
            <w:r>
              <w:rPr>
                <w:rFonts w:hint="eastAsia"/>
                <w:snapToGrid w:val="0"/>
                <w:color w:val="auto"/>
                <w:sz w:val="24"/>
                <w:szCs w:val="24"/>
                <w:highlight w:val="none"/>
              </w:rPr>
              <w:t>沥青混凝土产品量</w:t>
            </w:r>
            <w:r>
              <w:rPr>
                <w:snapToGrid w:val="0"/>
                <w:color w:val="auto"/>
                <w:sz w:val="24"/>
                <w:szCs w:val="24"/>
                <w:highlight w:val="none"/>
              </w:rPr>
              <w:t>为</w:t>
            </w:r>
            <w:r>
              <w:rPr>
                <w:rFonts w:hint="eastAsia"/>
                <w:snapToGrid w:val="0"/>
                <w:color w:val="auto"/>
                <w:sz w:val="24"/>
                <w:szCs w:val="24"/>
                <w:highlight w:val="none"/>
              </w:rPr>
              <w:t>10000</w:t>
            </w:r>
            <w:r>
              <w:rPr>
                <w:snapToGrid w:val="0"/>
                <w:color w:val="auto"/>
                <w:sz w:val="24"/>
                <w:szCs w:val="24"/>
                <w:highlight w:val="none"/>
              </w:rPr>
              <w:t>t/a，车型主要以载重25t载重车为主，按进出均装料计算，年平均需运量为</w:t>
            </w:r>
            <w:r>
              <w:rPr>
                <w:rFonts w:hint="eastAsia"/>
                <w:snapToGrid w:val="0"/>
                <w:color w:val="auto"/>
                <w:sz w:val="24"/>
                <w:szCs w:val="24"/>
                <w:highlight w:val="none"/>
              </w:rPr>
              <w:t>780</w:t>
            </w:r>
            <w:r>
              <w:rPr>
                <w:snapToGrid w:val="0"/>
                <w:color w:val="auto"/>
                <w:sz w:val="24"/>
                <w:szCs w:val="24"/>
                <w:highlight w:val="none"/>
              </w:rPr>
              <w:t>辆次，每天约运输</w:t>
            </w:r>
            <w:r>
              <w:rPr>
                <w:rFonts w:hint="eastAsia"/>
                <w:snapToGrid w:val="0"/>
                <w:color w:val="auto"/>
                <w:sz w:val="24"/>
                <w:szCs w:val="24"/>
                <w:highlight w:val="none"/>
              </w:rPr>
              <w:t>3</w:t>
            </w:r>
            <w:r>
              <w:rPr>
                <w:snapToGrid w:val="0"/>
                <w:color w:val="auto"/>
                <w:sz w:val="24"/>
                <w:szCs w:val="24"/>
                <w:highlight w:val="none"/>
              </w:rPr>
              <w:t>次，即空载和满载车流量共达</w:t>
            </w:r>
            <w:r>
              <w:rPr>
                <w:rFonts w:hint="eastAsia"/>
                <w:snapToGrid w:val="0"/>
                <w:color w:val="auto"/>
                <w:sz w:val="24"/>
                <w:szCs w:val="24"/>
                <w:highlight w:val="none"/>
              </w:rPr>
              <w:t>1560</w:t>
            </w:r>
            <w:r>
              <w:rPr>
                <w:snapToGrid w:val="0"/>
                <w:color w:val="auto"/>
                <w:sz w:val="24"/>
                <w:szCs w:val="24"/>
                <w:highlight w:val="none"/>
              </w:rPr>
              <w:t>辆/年，</w:t>
            </w:r>
            <w:r>
              <w:rPr>
                <w:rFonts w:hint="eastAsia"/>
                <w:snapToGrid w:val="0"/>
                <w:color w:val="auto"/>
                <w:sz w:val="24"/>
                <w:szCs w:val="24"/>
                <w:highlight w:val="none"/>
              </w:rPr>
              <w:t>6</w:t>
            </w:r>
            <w:r>
              <w:rPr>
                <w:snapToGrid w:val="0"/>
                <w:color w:val="auto"/>
                <w:sz w:val="24"/>
                <w:szCs w:val="24"/>
                <w:highlight w:val="none"/>
              </w:rPr>
              <w:t>辆次/天，车辆在厂区行驶距离按</w:t>
            </w:r>
            <w:r>
              <w:rPr>
                <w:rFonts w:hint="eastAsia"/>
                <w:snapToGrid w:val="0"/>
                <w:color w:val="auto"/>
                <w:sz w:val="24"/>
                <w:szCs w:val="24"/>
                <w:highlight w:val="none"/>
              </w:rPr>
              <w:t>500</w:t>
            </w:r>
            <w:r>
              <w:rPr>
                <w:snapToGrid w:val="0"/>
                <w:color w:val="auto"/>
                <w:sz w:val="24"/>
                <w:szCs w:val="24"/>
                <w:highlight w:val="none"/>
              </w:rPr>
              <w:t>米计，本项目厂区为混凝土路面，本次环境影响评价对道路路况以0.3kg/m</w:t>
            </w:r>
            <w:r>
              <w:rPr>
                <w:snapToGrid w:val="0"/>
                <w:color w:val="auto"/>
                <w:sz w:val="24"/>
                <w:szCs w:val="24"/>
                <w:highlight w:val="none"/>
                <w:vertAlign w:val="superscript"/>
              </w:rPr>
              <w:t>2</w:t>
            </w:r>
            <w:r>
              <w:rPr>
                <w:snapToGrid w:val="0"/>
                <w:color w:val="auto"/>
                <w:sz w:val="24"/>
                <w:szCs w:val="24"/>
                <w:highlight w:val="none"/>
              </w:rPr>
              <w:t>计，则项目区内汽车行驶时道路扬尘量约为</w:t>
            </w:r>
            <w:r>
              <w:rPr>
                <w:rFonts w:hint="eastAsia"/>
                <w:snapToGrid w:val="0"/>
                <w:color w:val="auto"/>
                <w:sz w:val="24"/>
                <w:szCs w:val="24"/>
                <w:highlight w:val="none"/>
              </w:rPr>
              <w:t>1.3755</w:t>
            </w:r>
            <w:r>
              <w:rPr>
                <w:snapToGrid w:val="0"/>
                <w:color w:val="auto"/>
                <w:sz w:val="24"/>
                <w:szCs w:val="24"/>
                <w:highlight w:val="none"/>
              </w:rPr>
              <w:t>kg/d，</w:t>
            </w:r>
            <w:r>
              <w:rPr>
                <w:rFonts w:hint="eastAsia"/>
                <w:snapToGrid w:val="0"/>
                <w:color w:val="auto"/>
                <w:sz w:val="24"/>
                <w:szCs w:val="24"/>
                <w:highlight w:val="none"/>
              </w:rPr>
              <w:t>0.412</w:t>
            </w:r>
            <w:r>
              <w:rPr>
                <w:snapToGrid w:val="0"/>
                <w:color w:val="auto"/>
                <w:sz w:val="24"/>
                <w:szCs w:val="24"/>
                <w:highlight w:val="none"/>
              </w:rPr>
              <w:t>t/a，</w:t>
            </w:r>
            <w:r>
              <w:rPr>
                <w:rFonts w:hint="eastAsia"/>
                <w:snapToGrid w:val="0"/>
                <w:color w:val="auto"/>
                <w:sz w:val="24"/>
                <w:szCs w:val="24"/>
                <w:highlight w:val="none"/>
              </w:rPr>
              <w:t>0.115</w:t>
            </w:r>
            <w:r>
              <w:rPr>
                <w:snapToGrid w:val="0"/>
                <w:color w:val="auto"/>
                <w:sz w:val="24"/>
                <w:szCs w:val="24"/>
                <w:highlight w:val="none"/>
              </w:rPr>
              <w:t>kg/h。（每年运输</w:t>
            </w:r>
            <w:r>
              <w:rPr>
                <w:rFonts w:hint="eastAsia"/>
                <w:snapToGrid w:val="0"/>
                <w:color w:val="auto"/>
                <w:sz w:val="24"/>
                <w:szCs w:val="24"/>
                <w:highlight w:val="none"/>
              </w:rPr>
              <w:t>300</w:t>
            </w:r>
            <w:r>
              <w:rPr>
                <w:snapToGrid w:val="0"/>
                <w:color w:val="auto"/>
                <w:sz w:val="24"/>
                <w:szCs w:val="24"/>
                <w:highlight w:val="none"/>
              </w:rPr>
              <w:t>天，每天运输时间为</w:t>
            </w:r>
            <w:r>
              <w:rPr>
                <w:rFonts w:hint="eastAsia"/>
                <w:snapToGrid w:val="0"/>
                <w:color w:val="auto"/>
                <w:sz w:val="24"/>
                <w:szCs w:val="24"/>
                <w:highlight w:val="none"/>
              </w:rPr>
              <w:t>12</w:t>
            </w:r>
            <w:r>
              <w:rPr>
                <w:snapToGrid w:val="0"/>
                <w:color w:val="auto"/>
                <w:sz w:val="24"/>
                <w:szCs w:val="24"/>
                <w:highlight w:val="none"/>
              </w:rPr>
              <w:t>h）。</w:t>
            </w:r>
          </w:p>
          <w:p>
            <w:pPr>
              <w:pStyle w:val="16"/>
              <w:spacing w:before="0" w:after="0" w:line="360" w:lineRule="auto"/>
              <w:ind w:right="0" w:firstLine="480" w:firstLineChars="200"/>
              <w:rPr>
                <w:snapToGrid w:val="0"/>
                <w:color w:val="auto"/>
                <w:sz w:val="24"/>
                <w:szCs w:val="24"/>
                <w:highlight w:val="none"/>
              </w:rPr>
            </w:pPr>
            <w:r>
              <w:rPr>
                <w:snapToGrid w:val="0"/>
                <w:color w:val="auto"/>
                <w:sz w:val="24"/>
                <w:szCs w:val="24"/>
                <w:highlight w:val="none"/>
              </w:rPr>
              <w:t>本项目</w:t>
            </w:r>
            <w:r>
              <w:rPr>
                <w:rFonts w:hint="eastAsia"/>
                <w:snapToGrid w:val="0"/>
                <w:color w:val="auto"/>
                <w:sz w:val="24"/>
                <w:szCs w:val="24"/>
                <w:highlight w:val="none"/>
              </w:rPr>
              <w:t>技改将原露天堆场修建为三面封闭式顶棚结构，同时加装喷淋系统</w:t>
            </w:r>
            <w:r>
              <w:rPr>
                <w:snapToGrid w:val="0"/>
                <w:color w:val="auto"/>
                <w:sz w:val="24"/>
                <w:szCs w:val="24"/>
                <w:highlight w:val="none"/>
              </w:rPr>
              <w:t>，对厂区内地面派专人定期进行清扫、洒水，以减少道路扬尘。类比分析，经采取以上措施后扬尘量可减少85%，预计扬尘量为</w:t>
            </w:r>
            <w:r>
              <w:rPr>
                <w:rFonts w:hint="eastAsia"/>
                <w:snapToGrid w:val="0"/>
                <w:color w:val="auto"/>
                <w:sz w:val="24"/>
                <w:szCs w:val="24"/>
                <w:highlight w:val="none"/>
              </w:rPr>
              <w:t>61.8kg</w:t>
            </w:r>
            <w:r>
              <w:rPr>
                <w:snapToGrid w:val="0"/>
                <w:color w:val="auto"/>
                <w:sz w:val="24"/>
                <w:szCs w:val="24"/>
                <w:highlight w:val="none"/>
              </w:rPr>
              <w:t>/a、</w:t>
            </w:r>
            <w:r>
              <w:rPr>
                <w:rFonts w:hint="eastAsia"/>
                <w:snapToGrid w:val="0"/>
                <w:color w:val="auto"/>
                <w:sz w:val="24"/>
                <w:szCs w:val="24"/>
                <w:highlight w:val="none"/>
              </w:rPr>
              <w:t>0.206</w:t>
            </w:r>
            <w:r>
              <w:rPr>
                <w:snapToGrid w:val="0"/>
                <w:color w:val="auto"/>
                <w:sz w:val="24"/>
                <w:szCs w:val="24"/>
                <w:highlight w:val="none"/>
              </w:rPr>
              <w:t>kg/d、</w:t>
            </w:r>
            <w:r>
              <w:rPr>
                <w:rFonts w:hint="eastAsia"/>
                <w:snapToGrid w:val="0"/>
                <w:color w:val="auto"/>
                <w:sz w:val="24"/>
                <w:szCs w:val="24"/>
                <w:highlight w:val="none"/>
              </w:rPr>
              <w:t>0.0172</w:t>
            </w:r>
            <w:r>
              <w:rPr>
                <w:snapToGrid w:val="0"/>
                <w:color w:val="auto"/>
                <w:sz w:val="24"/>
                <w:szCs w:val="24"/>
                <w:highlight w:val="none"/>
              </w:rPr>
              <w:t>kg/h。</w:t>
            </w:r>
          </w:p>
          <w:p>
            <w:pPr>
              <w:pStyle w:val="16"/>
              <w:spacing w:before="0" w:after="0" w:line="360" w:lineRule="auto"/>
              <w:ind w:right="0" w:firstLine="480" w:firstLineChars="200"/>
              <w:rPr>
                <w:snapToGrid w:val="0"/>
                <w:color w:val="auto"/>
                <w:sz w:val="24"/>
                <w:szCs w:val="24"/>
                <w:highlight w:val="none"/>
              </w:rPr>
            </w:pPr>
            <w:r>
              <w:rPr>
                <w:rFonts w:hint="eastAsia"/>
                <w:snapToGrid w:val="0"/>
                <w:color w:val="auto"/>
                <w:sz w:val="24"/>
                <w:szCs w:val="24"/>
                <w:highlight w:val="none"/>
              </w:rPr>
              <w:t>⑤</w:t>
            </w:r>
            <w:r>
              <w:rPr>
                <w:snapToGrid w:val="0"/>
                <w:color w:val="auto"/>
                <w:sz w:val="24"/>
                <w:szCs w:val="24"/>
                <w:highlight w:val="none"/>
              </w:rPr>
              <w:t>机械尾气</w:t>
            </w:r>
          </w:p>
          <w:p>
            <w:pPr>
              <w:pStyle w:val="16"/>
              <w:spacing w:before="0" w:after="0" w:line="360" w:lineRule="auto"/>
              <w:ind w:right="0" w:firstLine="480" w:firstLineChars="200"/>
              <w:rPr>
                <w:snapToGrid w:val="0"/>
                <w:color w:val="auto"/>
                <w:sz w:val="24"/>
                <w:szCs w:val="24"/>
                <w:highlight w:val="none"/>
              </w:rPr>
            </w:pPr>
            <w:r>
              <w:rPr>
                <w:snapToGrid w:val="0"/>
                <w:color w:val="auto"/>
                <w:sz w:val="24"/>
                <w:szCs w:val="24"/>
                <w:highlight w:val="none"/>
              </w:rPr>
              <w:t>车辆运输产生的尾气，也是影响空气环境的污染物之一。运输车辆使用汽油、柴油作能源，外排尾气中主要含有NOx、CO等污染物，生产设备和运输汽车少，外排尾气量小，且作业范围相对较大，周围扩散条件较好，经自然扩散后对周围环境影响较小。</w:t>
            </w:r>
          </w:p>
          <w:p>
            <w:pPr>
              <w:widowControl/>
              <w:spacing w:line="360" w:lineRule="auto"/>
              <w:jc w:val="center"/>
              <w:rPr>
                <w:rFonts w:hint="eastAsia"/>
                <w:color w:val="auto"/>
                <w:sz w:val="24"/>
                <w:highlight w:val="none"/>
              </w:rPr>
            </w:pPr>
            <w:r>
              <w:rPr>
                <w:rFonts w:hint="eastAsia"/>
                <w:color w:val="auto"/>
                <w:sz w:val="24"/>
                <w:highlight w:val="none"/>
              </w:rPr>
              <w:t>表4-4  改建后项目大气污染物排放情况</w:t>
            </w:r>
          </w:p>
          <w:tbl>
            <w:tblPr>
              <w:tblStyle w:val="39"/>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
            <w:tblGrid>
              <w:gridCol w:w="816"/>
              <w:gridCol w:w="1007"/>
              <w:gridCol w:w="932"/>
              <w:gridCol w:w="1053"/>
              <w:gridCol w:w="1346"/>
              <w:gridCol w:w="1089"/>
              <w:gridCol w:w="169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75" w:hRule="atLeast"/>
                <w:tblHeader/>
                <w:jc w:val="center"/>
              </w:trPr>
              <w:tc>
                <w:tcPr>
                  <w:tcW w:w="816" w:type="dxa"/>
                  <w:vMerge w:val="restart"/>
                  <w:shd w:val="clear" w:color="auto" w:fill="FFFFFF"/>
                  <w:noWrap w:val="0"/>
                  <w:vAlign w:val="center"/>
                </w:tcPr>
                <w:p>
                  <w:pPr>
                    <w:tabs>
                      <w:tab w:val="left" w:pos="105"/>
                    </w:tabs>
                    <w:spacing w:line="240" w:lineRule="exact"/>
                    <w:ind w:left="-120" w:leftChars="-50" w:right="-120" w:rightChars="-50"/>
                    <w:jc w:val="center"/>
                    <w:rPr>
                      <w:b/>
                      <w:color w:val="auto"/>
                      <w:sz w:val="18"/>
                      <w:szCs w:val="18"/>
                      <w:highlight w:val="none"/>
                    </w:rPr>
                  </w:pPr>
                  <w:r>
                    <w:rPr>
                      <w:b/>
                      <w:color w:val="auto"/>
                      <w:sz w:val="18"/>
                      <w:szCs w:val="18"/>
                      <w:highlight w:val="none"/>
                    </w:rPr>
                    <w:t>污染物产生设施</w:t>
                  </w:r>
                </w:p>
              </w:tc>
              <w:tc>
                <w:tcPr>
                  <w:tcW w:w="1007" w:type="dxa"/>
                  <w:vMerge w:val="restart"/>
                  <w:shd w:val="clear" w:color="auto" w:fill="FFFFFF"/>
                  <w:noWrap w:val="0"/>
                  <w:vAlign w:val="center"/>
                </w:tcPr>
                <w:p>
                  <w:pPr>
                    <w:tabs>
                      <w:tab w:val="left" w:pos="105"/>
                    </w:tabs>
                    <w:spacing w:line="240" w:lineRule="exact"/>
                    <w:ind w:left="-120" w:leftChars="-50" w:right="-120" w:rightChars="-50"/>
                    <w:jc w:val="center"/>
                    <w:rPr>
                      <w:b/>
                      <w:color w:val="auto"/>
                      <w:sz w:val="18"/>
                      <w:szCs w:val="18"/>
                      <w:highlight w:val="none"/>
                    </w:rPr>
                  </w:pPr>
                  <w:r>
                    <w:rPr>
                      <w:b/>
                      <w:color w:val="auto"/>
                      <w:sz w:val="18"/>
                      <w:szCs w:val="18"/>
                      <w:highlight w:val="none"/>
                    </w:rPr>
                    <w:t>废气产生环节</w:t>
                  </w:r>
                </w:p>
              </w:tc>
              <w:tc>
                <w:tcPr>
                  <w:tcW w:w="932" w:type="dxa"/>
                  <w:vMerge w:val="restart"/>
                  <w:shd w:val="clear" w:color="auto" w:fill="FFFFFF"/>
                  <w:noWrap w:val="0"/>
                  <w:vAlign w:val="center"/>
                </w:tcPr>
                <w:p>
                  <w:pPr>
                    <w:tabs>
                      <w:tab w:val="left" w:pos="105"/>
                    </w:tabs>
                    <w:spacing w:line="240" w:lineRule="exact"/>
                    <w:ind w:left="-120" w:leftChars="-50" w:right="-120" w:rightChars="-50"/>
                    <w:jc w:val="center"/>
                    <w:rPr>
                      <w:b/>
                      <w:color w:val="auto"/>
                      <w:sz w:val="18"/>
                      <w:szCs w:val="18"/>
                      <w:highlight w:val="none"/>
                    </w:rPr>
                  </w:pPr>
                  <w:r>
                    <w:rPr>
                      <w:b/>
                      <w:color w:val="auto"/>
                      <w:sz w:val="18"/>
                      <w:szCs w:val="18"/>
                      <w:highlight w:val="none"/>
                    </w:rPr>
                    <w:t>污染物种类</w:t>
                  </w:r>
                </w:p>
              </w:tc>
              <w:tc>
                <w:tcPr>
                  <w:tcW w:w="3488" w:type="dxa"/>
                  <w:gridSpan w:val="3"/>
                  <w:shd w:val="clear" w:color="auto" w:fill="FFFFFF"/>
                  <w:noWrap w:val="0"/>
                  <w:vAlign w:val="center"/>
                </w:tcPr>
                <w:p>
                  <w:pPr>
                    <w:tabs>
                      <w:tab w:val="left" w:pos="105"/>
                    </w:tabs>
                    <w:spacing w:line="240" w:lineRule="exact"/>
                    <w:ind w:left="-120" w:leftChars="-50" w:right="-120" w:rightChars="-50"/>
                    <w:jc w:val="center"/>
                    <w:rPr>
                      <w:b/>
                      <w:color w:val="auto"/>
                      <w:sz w:val="18"/>
                      <w:szCs w:val="18"/>
                      <w:highlight w:val="none"/>
                    </w:rPr>
                  </w:pPr>
                  <w:r>
                    <w:rPr>
                      <w:b/>
                      <w:color w:val="auto"/>
                      <w:sz w:val="18"/>
                      <w:szCs w:val="18"/>
                      <w:highlight w:val="none"/>
                    </w:rPr>
                    <w:t>产生情况</w:t>
                  </w:r>
                </w:p>
              </w:tc>
              <w:tc>
                <w:tcPr>
                  <w:tcW w:w="1692" w:type="dxa"/>
                  <w:vMerge w:val="restart"/>
                  <w:shd w:val="clear" w:color="auto" w:fill="FFFFFF"/>
                  <w:noWrap w:val="0"/>
                  <w:vAlign w:val="center"/>
                </w:tcPr>
                <w:p>
                  <w:pPr>
                    <w:tabs>
                      <w:tab w:val="left" w:pos="105"/>
                    </w:tabs>
                    <w:spacing w:line="240" w:lineRule="exact"/>
                    <w:ind w:left="-120" w:leftChars="-50" w:right="-120" w:rightChars="-50"/>
                    <w:jc w:val="center"/>
                    <w:rPr>
                      <w:b/>
                      <w:color w:val="auto"/>
                      <w:sz w:val="18"/>
                      <w:szCs w:val="18"/>
                      <w:highlight w:val="none"/>
                    </w:rPr>
                  </w:pPr>
                  <w:r>
                    <w:rPr>
                      <w:b/>
                      <w:color w:val="auto"/>
                      <w:sz w:val="18"/>
                      <w:szCs w:val="18"/>
                      <w:highlight w:val="none"/>
                    </w:rPr>
                    <w:t>源强核算来源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75" w:hRule="atLeast"/>
                <w:tblHeader/>
                <w:jc w:val="center"/>
              </w:trPr>
              <w:tc>
                <w:tcPr>
                  <w:tcW w:w="816" w:type="dxa"/>
                  <w:vMerge w:val="continue"/>
                  <w:shd w:val="clear" w:color="auto" w:fill="FFFFFF"/>
                  <w:noWrap w:val="0"/>
                  <w:vAlign w:val="center"/>
                </w:tcPr>
                <w:p>
                  <w:pPr>
                    <w:tabs>
                      <w:tab w:val="left" w:pos="105"/>
                    </w:tabs>
                    <w:spacing w:line="240" w:lineRule="exact"/>
                    <w:ind w:left="-120" w:leftChars="-50" w:right="-120" w:rightChars="-50"/>
                    <w:jc w:val="center"/>
                    <w:rPr>
                      <w:color w:val="auto"/>
                      <w:sz w:val="18"/>
                      <w:szCs w:val="18"/>
                      <w:highlight w:val="none"/>
                    </w:rPr>
                  </w:pPr>
                </w:p>
              </w:tc>
              <w:tc>
                <w:tcPr>
                  <w:tcW w:w="1007" w:type="dxa"/>
                  <w:vMerge w:val="continue"/>
                  <w:shd w:val="clear" w:color="auto" w:fill="FFFFFF"/>
                  <w:noWrap w:val="0"/>
                  <w:vAlign w:val="center"/>
                </w:tcPr>
                <w:p>
                  <w:pPr>
                    <w:tabs>
                      <w:tab w:val="left" w:pos="105"/>
                    </w:tabs>
                    <w:spacing w:line="240" w:lineRule="exact"/>
                    <w:ind w:left="-120" w:leftChars="-50" w:right="-120" w:rightChars="-50"/>
                    <w:jc w:val="center"/>
                    <w:rPr>
                      <w:color w:val="auto"/>
                      <w:sz w:val="18"/>
                      <w:szCs w:val="18"/>
                      <w:highlight w:val="none"/>
                    </w:rPr>
                  </w:pPr>
                </w:p>
              </w:tc>
              <w:tc>
                <w:tcPr>
                  <w:tcW w:w="932" w:type="dxa"/>
                  <w:vMerge w:val="continue"/>
                  <w:shd w:val="clear" w:color="auto" w:fill="FFFFFF"/>
                  <w:noWrap w:val="0"/>
                  <w:vAlign w:val="center"/>
                </w:tcPr>
                <w:p>
                  <w:pPr>
                    <w:tabs>
                      <w:tab w:val="left" w:pos="105"/>
                    </w:tabs>
                    <w:spacing w:line="240" w:lineRule="exact"/>
                    <w:ind w:left="-120" w:leftChars="-50" w:right="-120" w:rightChars="-50"/>
                    <w:jc w:val="center"/>
                    <w:rPr>
                      <w:color w:val="auto"/>
                      <w:sz w:val="18"/>
                      <w:szCs w:val="18"/>
                      <w:highlight w:val="none"/>
                    </w:rPr>
                  </w:pPr>
                </w:p>
              </w:tc>
              <w:tc>
                <w:tcPr>
                  <w:tcW w:w="1053" w:type="dxa"/>
                  <w:shd w:val="clear" w:color="auto" w:fill="FFFFFF"/>
                  <w:noWrap w:val="0"/>
                  <w:vAlign w:val="center"/>
                </w:tcPr>
                <w:p>
                  <w:pPr>
                    <w:tabs>
                      <w:tab w:val="left" w:pos="105"/>
                    </w:tabs>
                    <w:spacing w:line="240" w:lineRule="exact"/>
                    <w:ind w:left="-120" w:leftChars="-50" w:right="-120" w:rightChars="-50"/>
                    <w:jc w:val="center"/>
                    <w:rPr>
                      <w:b/>
                      <w:color w:val="auto"/>
                      <w:sz w:val="18"/>
                      <w:szCs w:val="18"/>
                      <w:highlight w:val="none"/>
                    </w:rPr>
                  </w:pPr>
                  <w:r>
                    <w:rPr>
                      <w:b/>
                      <w:color w:val="auto"/>
                      <w:sz w:val="18"/>
                      <w:szCs w:val="18"/>
                      <w:highlight w:val="none"/>
                    </w:rPr>
                    <w:t>产生量（t/a）</w:t>
                  </w:r>
                </w:p>
              </w:tc>
              <w:tc>
                <w:tcPr>
                  <w:tcW w:w="1346" w:type="dxa"/>
                  <w:shd w:val="clear" w:color="auto" w:fill="FFFFFF"/>
                  <w:noWrap w:val="0"/>
                  <w:vAlign w:val="center"/>
                </w:tcPr>
                <w:p>
                  <w:pPr>
                    <w:tabs>
                      <w:tab w:val="left" w:pos="105"/>
                    </w:tabs>
                    <w:spacing w:line="240" w:lineRule="exact"/>
                    <w:ind w:left="-120" w:leftChars="-50" w:right="-120" w:rightChars="-50"/>
                    <w:jc w:val="center"/>
                    <w:rPr>
                      <w:b/>
                      <w:color w:val="auto"/>
                      <w:sz w:val="18"/>
                      <w:szCs w:val="18"/>
                      <w:highlight w:val="none"/>
                    </w:rPr>
                  </w:pPr>
                  <w:r>
                    <w:rPr>
                      <w:b/>
                      <w:color w:val="auto"/>
                      <w:sz w:val="18"/>
                      <w:szCs w:val="18"/>
                      <w:highlight w:val="none"/>
                    </w:rPr>
                    <w:t>产生速率</w:t>
                  </w:r>
                </w:p>
                <w:p>
                  <w:pPr>
                    <w:tabs>
                      <w:tab w:val="left" w:pos="105"/>
                    </w:tabs>
                    <w:spacing w:line="240" w:lineRule="exact"/>
                    <w:ind w:left="-120" w:leftChars="-50" w:right="-120" w:rightChars="-50"/>
                    <w:jc w:val="center"/>
                    <w:rPr>
                      <w:b/>
                      <w:color w:val="auto"/>
                      <w:sz w:val="18"/>
                      <w:szCs w:val="18"/>
                      <w:highlight w:val="none"/>
                    </w:rPr>
                  </w:pPr>
                  <w:r>
                    <w:rPr>
                      <w:b/>
                      <w:color w:val="auto"/>
                      <w:sz w:val="18"/>
                      <w:szCs w:val="18"/>
                      <w:highlight w:val="none"/>
                    </w:rPr>
                    <w:t>（kg/h）</w:t>
                  </w:r>
                </w:p>
              </w:tc>
              <w:tc>
                <w:tcPr>
                  <w:tcW w:w="1089" w:type="dxa"/>
                  <w:shd w:val="clear" w:color="auto" w:fill="FFFFFF"/>
                  <w:noWrap w:val="0"/>
                  <w:vAlign w:val="center"/>
                </w:tcPr>
                <w:p>
                  <w:pPr>
                    <w:tabs>
                      <w:tab w:val="left" w:pos="105"/>
                    </w:tabs>
                    <w:spacing w:line="240" w:lineRule="exact"/>
                    <w:ind w:left="-120" w:leftChars="-50" w:right="-120" w:rightChars="-50"/>
                    <w:jc w:val="center"/>
                    <w:rPr>
                      <w:b/>
                      <w:color w:val="auto"/>
                      <w:sz w:val="18"/>
                      <w:szCs w:val="18"/>
                      <w:highlight w:val="none"/>
                    </w:rPr>
                  </w:pPr>
                  <w:r>
                    <w:rPr>
                      <w:b/>
                      <w:color w:val="auto"/>
                      <w:sz w:val="18"/>
                      <w:szCs w:val="18"/>
                      <w:highlight w:val="none"/>
                    </w:rPr>
                    <w:t>产生浓度（mg/m</w:t>
                  </w:r>
                  <w:r>
                    <w:rPr>
                      <w:b/>
                      <w:color w:val="auto"/>
                      <w:sz w:val="18"/>
                      <w:szCs w:val="18"/>
                      <w:highlight w:val="none"/>
                      <w:vertAlign w:val="superscript"/>
                    </w:rPr>
                    <w:t>3</w:t>
                  </w:r>
                  <w:r>
                    <w:rPr>
                      <w:b/>
                      <w:color w:val="auto"/>
                      <w:sz w:val="18"/>
                      <w:szCs w:val="18"/>
                      <w:highlight w:val="none"/>
                    </w:rPr>
                    <w:t>）</w:t>
                  </w:r>
                </w:p>
              </w:tc>
              <w:tc>
                <w:tcPr>
                  <w:tcW w:w="1692" w:type="dxa"/>
                  <w:vMerge w:val="continue"/>
                  <w:shd w:val="clear" w:color="auto" w:fill="FFFFFF"/>
                  <w:noWrap w:val="0"/>
                  <w:vAlign w:val="center"/>
                </w:tcPr>
                <w:p>
                  <w:pPr>
                    <w:tabs>
                      <w:tab w:val="left" w:pos="105"/>
                    </w:tabs>
                    <w:spacing w:line="240" w:lineRule="exact"/>
                    <w:ind w:left="-120" w:leftChars="-50" w:right="-120" w:rightChars="-50"/>
                    <w:jc w:val="center"/>
                    <w:rPr>
                      <w:b/>
                      <w:color w:val="auto"/>
                      <w:sz w:val="18"/>
                      <w:szCs w:val="18"/>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816" w:type="dxa"/>
                  <w:vMerge w:val="restart"/>
                  <w:shd w:val="clear" w:color="auto" w:fill="FFFFFF"/>
                  <w:noWrap w:val="0"/>
                  <w:vAlign w:val="center"/>
                </w:tcPr>
                <w:p>
                  <w:pPr>
                    <w:tabs>
                      <w:tab w:val="left" w:pos="105"/>
                    </w:tabs>
                    <w:spacing w:line="240" w:lineRule="exact"/>
                    <w:ind w:left="-120" w:leftChars="-50" w:right="-120" w:rightChars="-50"/>
                    <w:jc w:val="center"/>
                    <w:rPr>
                      <w:color w:val="auto"/>
                      <w:sz w:val="18"/>
                      <w:szCs w:val="18"/>
                      <w:highlight w:val="none"/>
                    </w:rPr>
                  </w:pPr>
                  <w:r>
                    <w:rPr>
                      <w:color w:val="auto"/>
                      <w:sz w:val="18"/>
                      <w:szCs w:val="18"/>
                      <w:highlight w:val="none"/>
                    </w:rPr>
                    <w:t>骨料加热及天然气燃烧器</w:t>
                  </w:r>
                </w:p>
              </w:tc>
              <w:tc>
                <w:tcPr>
                  <w:tcW w:w="1007" w:type="dxa"/>
                  <w:vMerge w:val="restart"/>
                  <w:shd w:val="clear" w:color="auto" w:fill="FFFFFF"/>
                  <w:noWrap w:val="0"/>
                  <w:vAlign w:val="center"/>
                </w:tcPr>
                <w:p>
                  <w:pPr>
                    <w:tabs>
                      <w:tab w:val="left" w:pos="105"/>
                    </w:tabs>
                    <w:spacing w:line="240" w:lineRule="exact"/>
                    <w:ind w:left="-120" w:leftChars="-50" w:right="-120" w:rightChars="-50"/>
                    <w:jc w:val="center"/>
                    <w:rPr>
                      <w:color w:val="auto"/>
                      <w:sz w:val="18"/>
                      <w:szCs w:val="18"/>
                      <w:highlight w:val="none"/>
                    </w:rPr>
                  </w:pPr>
                  <w:r>
                    <w:rPr>
                      <w:color w:val="auto"/>
                      <w:sz w:val="18"/>
                      <w:szCs w:val="18"/>
                      <w:highlight w:val="none"/>
                    </w:rPr>
                    <w:t>骨料干燥</w:t>
                  </w:r>
                </w:p>
              </w:tc>
              <w:tc>
                <w:tcPr>
                  <w:tcW w:w="932" w:type="dxa"/>
                  <w:shd w:val="clear" w:color="auto" w:fill="FFFFFF"/>
                  <w:noWrap w:val="0"/>
                  <w:vAlign w:val="center"/>
                </w:tcPr>
                <w:p>
                  <w:pPr>
                    <w:tabs>
                      <w:tab w:val="left" w:pos="105"/>
                    </w:tabs>
                    <w:spacing w:line="240" w:lineRule="exact"/>
                    <w:ind w:left="-120" w:leftChars="-50" w:right="-120" w:rightChars="-50"/>
                    <w:jc w:val="center"/>
                    <w:rPr>
                      <w:color w:val="auto"/>
                      <w:sz w:val="18"/>
                      <w:szCs w:val="18"/>
                      <w:highlight w:val="none"/>
                    </w:rPr>
                  </w:pPr>
                  <w:r>
                    <w:rPr>
                      <w:color w:val="auto"/>
                      <w:sz w:val="18"/>
                      <w:szCs w:val="18"/>
                      <w:highlight w:val="none"/>
                    </w:rPr>
                    <w:t>SO</w:t>
                  </w:r>
                  <w:r>
                    <w:rPr>
                      <w:color w:val="auto"/>
                      <w:sz w:val="18"/>
                      <w:szCs w:val="18"/>
                      <w:highlight w:val="none"/>
                      <w:vertAlign w:val="subscript"/>
                    </w:rPr>
                    <w:t>2</w:t>
                  </w:r>
                </w:p>
              </w:tc>
              <w:tc>
                <w:tcPr>
                  <w:tcW w:w="1053" w:type="dxa"/>
                  <w:shd w:val="clear" w:color="auto" w:fill="FFFFFF"/>
                  <w:noWrap w:val="0"/>
                  <w:vAlign w:val="center"/>
                </w:tcPr>
                <w:p>
                  <w:pPr>
                    <w:tabs>
                      <w:tab w:val="left" w:pos="105"/>
                    </w:tabs>
                    <w:spacing w:line="240" w:lineRule="exact"/>
                    <w:ind w:left="-120" w:leftChars="-50" w:right="-120" w:rightChars="-50"/>
                    <w:jc w:val="center"/>
                    <w:rPr>
                      <w:snapToGrid w:val="0"/>
                      <w:color w:val="auto"/>
                      <w:kern w:val="0"/>
                      <w:sz w:val="18"/>
                      <w:szCs w:val="18"/>
                      <w:highlight w:val="none"/>
                    </w:rPr>
                  </w:pPr>
                  <w:r>
                    <w:rPr>
                      <w:color w:val="auto"/>
                      <w:kern w:val="0"/>
                      <w:sz w:val="18"/>
                      <w:szCs w:val="18"/>
                      <w:highlight w:val="none"/>
                      <w:lang w:bidi="ar"/>
                    </w:rPr>
                    <w:t>0.02</w:t>
                  </w:r>
                </w:p>
              </w:tc>
              <w:tc>
                <w:tcPr>
                  <w:tcW w:w="1346" w:type="dxa"/>
                  <w:shd w:val="clear" w:color="auto" w:fill="FFFFFF"/>
                  <w:noWrap w:val="0"/>
                  <w:vAlign w:val="center"/>
                </w:tcPr>
                <w:p>
                  <w:pPr>
                    <w:tabs>
                      <w:tab w:val="left" w:pos="105"/>
                    </w:tabs>
                    <w:spacing w:line="240" w:lineRule="exact"/>
                    <w:ind w:left="-120" w:leftChars="-50" w:right="-120" w:rightChars="-50"/>
                    <w:jc w:val="center"/>
                    <w:rPr>
                      <w:color w:val="auto"/>
                      <w:sz w:val="18"/>
                      <w:szCs w:val="18"/>
                      <w:highlight w:val="none"/>
                    </w:rPr>
                  </w:pPr>
                  <w:r>
                    <w:rPr>
                      <w:color w:val="auto"/>
                      <w:sz w:val="18"/>
                      <w:szCs w:val="18"/>
                      <w:highlight w:val="none"/>
                    </w:rPr>
                    <w:t>0.025</w:t>
                  </w:r>
                </w:p>
              </w:tc>
              <w:tc>
                <w:tcPr>
                  <w:tcW w:w="1089" w:type="dxa"/>
                  <w:shd w:val="clear" w:color="auto" w:fill="FFFFFF"/>
                  <w:noWrap w:val="0"/>
                  <w:vAlign w:val="center"/>
                </w:tcPr>
                <w:p>
                  <w:pPr>
                    <w:tabs>
                      <w:tab w:val="left" w:pos="105"/>
                    </w:tabs>
                    <w:spacing w:line="240" w:lineRule="exact"/>
                    <w:ind w:left="-120" w:leftChars="-50" w:right="-120" w:rightChars="-50"/>
                    <w:jc w:val="center"/>
                    <w:rPr>
                      <w:color w:val="auto"/>
                      <w:sz w:val="18"/>
                      <w:szCs w:val="18"/>
                      <w:highlight w:val="none"/>
                    </w:rPr>
                  </w:pPr>
                  <w:r>
                    <w:rPr>
                      <w:rFonts w:hint="eastAsia"/>
                      <w:color w:val="auto"/>
                      <w:sz w:val="18"/>
                      <w:szCs w:val="18"/>
                      <w:highlight w:val="none"/>
                    </w:rPr>
                    <w:t>0.24</w:t>
                  </w:r>
                </w:p>
              </w:tc>
              <w:tc>
                <w:tcPr>
                  <w:tcW w:w="1692" w:type="dxa"/>
                  <w:vMerge w:val="restart"/>
                  <w:shd w:val="clear" w:color="auto" w:fill="FFFFFF"/>
                  <w:noWrap w:val="0"/>
                  <w:vAlign w:val="center"/>
                </w:tcPr>
                <w:p>
                  <w:pPr>
                    <w:tabs>
                      <w:tab w:val="left" w:pos="105"/>
                    </w:tabs>
                    <w:spacing w:line="240" w:lineRule="exact"/>
                    <w:ind w:left="-120" w:leftChars="-50" w:right="-120" w:rightChars="-50"/>
                    <w:jc w:val="center"/>
                    <w:rPr>
                      <w:rFonts w:hint="eastAsia"/>
                      <w:color w:val="auto"/>
                      <w:sz w:val="18"/>
                      <w:szCs w:val="18"/>
                      <w:highlight w:val="none"/>
                    </w:rPr>
                  </w:pPr>
                  <w:r>
                    <w:rPr>
                      <w:color w:val="auto"/>
                      <w:sz w:val="18"/>
                      <w:szCs w:val="18"/>
                      <w:highlight w:val="none"/>
                    </w:rPr>
                    <w:t>《锅炉产排污量系数手册（2021)》</w:t>
                  </w:r>
                  <w:r>
                    <w:rPr>
                      <w:rFonts w:hint="eastAsia"/>
                      <w:color w:val="auto"/>
                      <w:sz w:val="18"/>
                      <w:szCs w:val="18"/>
                      <w:highlight w:val="none"/>
                    </w:rPr>
                    <w:t>、《煤、天然气燃烧的污染物产生系数》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816" w:type="dxa"/>
                  <w:vMerge w:val="continue"/>
                  <w:shd w:val="clear" w:color="auto" w:fill="FFFFFF"/>
                  <w:noWrap w:val="0"/>
                  <w:vAlign w:val="center"/>
                </w:tcPr>
                <w:p>
                  <w:pPr>
                    <w:tabs>
                      <w:tab w:val="left" w:pos="105"/>
                    </w:tabs>
                    <w:spacing w:line="240" w:lineRule="exact"/>
                    <w:ind w:left="-120" w:leftChars="-50" w:right="-120" w:rightChars="-50"/>
                    <w:jc w:val="center"/>
                    <w:rPr>
                      <w:color w:val="auto"/>
                      <w:sz w:val="18"/>
                      <w:szCs w:val="18"/>
                      <w:highlight w:val="none"/>
                    </w:rPr>
                  </w:pPr>
                </w:p>
              </w:tc>
              <w:tc>
                <w:tcPr>
                  <w:tcW w:w="1007" w:type="dxa"/>
                  <w:vMerge w:val="continue"/>
                  <w:shd w:val="clear" w:color="auto" w:fill="FFFFFF"/>
                  <w:noWrap w:val="0"/>
                  <w:vAlign w:val="center"/>
                </w:tcPr>
                <w:p>
                  <w:pPr>
                    <w:tabs>
                      <w:tab w:val="left" w:pos="105"/>
                    </w:tabs>
                    <w:spacing w:line="240" w:lineRule="exact"/>
                    <w:ind w:left="-120" w:leftChars="-50" w:right="-120" w:rightChars="-50"/>
                    <w:jc w:val="center"/>
                    <w:rPr>
                      <w:color w:val="auto"/>
                      <w:sz w:val="18"/>
                      <w:szCs w:val="18"/>
                      <w:highlight w:val="none"/>
                    </w:rPr>
                  </w:pPr>
                </w:p>
              </w:tc>
              <w:tc>
                <w:tcPr>
                  <w:tcW w:w="932" w:type="dxa"/>
                  <w:shd w:val="clear" w:color="auto" w:fill="FFFFFF"/>
                  <w:noWrap w:val="0"/>
                  <w:vAlign w:val="center"/>
                </w:tcPr>
                <w:p>
                  <w:pPr>
                    <w:tabs>
                      <w:tab w:val="left" w:pos="105"/>
                    </w:tabs>
                    <w:spacing w:line="240" w:lineRule="exact"/>
                    <w:ind w:left="-120" w:leftChars="-50" w:right="-120" w:rightChars="-50"/>
                    <w:jc w:val="center"/>
                    <w:rPr>
                      <w:color w:val="auto"/>
                      <w:sz w:val="18"/>
                      <w:szCs w:val="18"/>
                      <w:highlight w:val="none"/>
                    </w:rPr>
                  </w:pPr>
                  <w:r>
                    <w:rPr>
                      <w:color w:val="auto"/>
                      <w:sz w:val="18"/>
                      <w:szCs w:val="18"/>
                      <w:highlight w:val="none"/>
                    </w:rPr>
                    <w:t>NOx</w:t>
                  </w:r>
                </w:p>
              </w:tc>
              <w:tc>
                <w:tcPr>
                  <w:tcW w:w="1053" w:type="dxa"/>
                  <w:shd w:val="clear" w:color="auto" w:fill="FFFFFF"/>
                  <w:noWrap w:val="0"/>
                  <w:vAlign w:val="center"/>
                </w:tcPr>
                <w:p>
                  <w:pPr>
                    <w:tabs>
                      <w:tab w:val="left" w:pos="105"/>
                    </w:tabs>
                    <w:spacing w:line="240" w:lineRule="exact"/>
                    <w:ind w:left="-120" w:leftChars="-50" w:right="-120" w:rightChars="-50"/>
                    <w:jc w:val="center"/>
                    <w:rPr>
                      <w:color w:val="auto"/>
                      <w:sz w:val="18"/>
                      <w:szCs w:val="18"/>
                      <w:highlight w:val="none"/>
                    </w:rPr>
                  </w:pPr>
                  <w:r>
                    <w:rPr>
                      <w:color w:val="auto"/>
                      <w:kern w:val="0"/>
                      <w:sz w:val="18"/>
                      <w:szCs w:val="18"/>
                      <w:highlight w:val="none"/>
                      <w:lang w:bidi="ar"/>
                    </w:rPr>
                    <w:t>0.0</w:t>
                  </w:r>
                  <w:r>
                    <w:rPr>
                      <w:rFonts w:hint="eastAsia"/>
                      <w:color w:val="auto"/>
                      <w:kern w:val="0"/>
                      <w:sz w:val="18"/>
                      <w:szCs w:val="18"/>
                      <w:highlight w:val="none"/>
                      <w:lang w:bidi="ar"/>
                    </w:rPr>
                    <w:t>794</w:t>
                  </w:r>
                </w:p>
              </w:tc>
              <w:tc>
                <w:tcPr>
                  <w:tcW w:w="1346" w:type="dxa"/>
                  <w:shd w:val="clear" w:color="auto" w:fill="FFFFFF"/>
                  <w:noWrap w:val="0"/>
                  <w:vAlign w:val="center"/>
                </w:tcPr>
                <w:p>
                  <w:pPr>
                    <w:tabs>
                      <w:tab w:val="left" w:pos="105"/>
                    </w:tabs>
                    <w:spacing w:line="240" w:lineRule="exact"/>
                    <w:ind w:left="-120" w:leftChars="-50" w:right="-120" w:rightChars="-50"/>
                    <w:jc w:val="center"/>
                    <w:rPr>
                      <w:color w:val="auto"/>
                      <w:sz w:val="18"/>
                      <w:szCs w:val="18"/>
                      <w:highlight w:val="none"/>
                    </w:rPr>
                  </w:pPr>
                  <w:r>
                    <w:rPr>
                      <w:color w:val="auto"/>
                      <w:sz w:val="18"/>
                      <w:szCs w:val="18"/>
                      <w:highlight w:val="none"/>
                    </w:rPr>
                    <w:t>0.09925</w:t>
                  </w:r>
                </w:p>
              </w:tc>
              <w:tc>
                <w:tcPr>
                  <w:tcW w:w="1089" w:type="dxa"/>
                  <w:shd w:val="clear" w:color="auto" w:fill="FFFFFF"/>
                  <w:noWrap w:val="0"/>
                  <w:vAlign w:val="center"/>
                </w:tcPr>
                <w:p>
                  <w:pPr>
                    <w:tabs>
                      <w:tab w:val="left" w:pos="105"/>
                    </w:tabs>
                    <w:spacing w:line="240" w:lineRule="exact"/>
                    <w:ind w:left="-120" w:leftChars="-50" w:right="-120" w:rightChars="-50"/>
                    <w:jc w:val="center"/>
                    <w:rPr>
                      <w:color w:val="auto"/>
                      <w:sz w:val="18"/>
                      <w:szCs w:val="18"/>
                      <w:highlight w:val="none"/>
                    </w:rPr>
                  </w:pPr>
                  <w:r>
                    <w:rPr>
                      <w:rFonts w:hint="eastAsia"/>
                      <w:color w:val="auto"/>
                      <w:sz w:val="18"/>
                      <w:szCs w:val="18"/>
                      <w:highlight w:val="none"/>
                    </w:rPr>
                    <w:t>0.95</w:t>
                  </w:r>
                </w:p>
              </w:tc>
              <w:tc>
                <w:tcPr>
                  <w:tcW w:w="1692" w:type="dxa"/>
                  <w:vMerge w:val="continue"/>
                  <w:shd w:val="clear" w:color="auto" w:fill="FFFFFF"/>
                  <w:noWrap w:val="0"/>
                  <w:vAlign w:val="center"/>
                </w:tcPr>
                <w:p>
                  <w:pPr>
                    <w:tabs>
                      <w:tab w:val="left" w:pos="105"/>
                    </w:tabs>
                    <w:spacing w:line="240" w:lineRule="exact"/>
                    <w:ind w:left="-120" w:leftChars="-50" w:right="-120" w:rightChars="-50"/>
                    <w:jc w:val="center"/>
                    <w:rPr>
                      <w:color w:val="auto"/>
                      <w:sz w:val="18"/>
                      <w:szCs w:val="18"/>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816" w:type="dxa"/>
                  <w:vMerge w:val="continue"/>
                  <w:shd w:val="clear" w:color="auto" w:fill="FFFFFF"/>
                  <w:noWrap w:val="0"/>
                  <w:vAlign w:val="center"/>
                </w:tcPr>
                <w:p>
                  <w:pPr>
                    <w:tabs>
                      <w:tab w:val="left" w:pos="105"/>
                    </w:tabs>
                    <w:spacing w:line="240" w:lineRule="exact"/>
                    <w:ind w:left="-120" w:leftChars="-50" w:right="-120" w:rightChars="-50"/>
                    <w:jc w:val="center"/>
                    <w:rPr>
                      <w:color w:val="auto"/>
                      <w:sz w:val="18"/>
                      <w:szCs w:val="18"/>
                      <w:highlight w:val="none"/>
                    </w:rPr>
                  </w:pPr>
                </w:p>
              </w:tc>
              <w:tc>
                <w:tcPr>
                  <w:tcW w:w="1007" w:type="dxa"/>
                  <w:vMerge w:val="continue"/>
                  <w:shd w:val="clear" w:color="auto" w:fill="FFFFFF"/>
                  <w:noWrap w:val="0"/>
                  <w:vAlign w:val="center"/>
                </w:tcPr>
                <w:p>
                  <w:pPr>
                    <w:tabs>
                      <w:tab w:val="left" w:pos="105"/>
                    </w:tabs>
                    <w:spacing w:line="240" w:lineRule="exact"/>
                    <w:ind w:left="-120" w:leftChars="-50" w:right="-120" w:rightChars="-50"/>
                    <w:jc w:val="center"/>
                    <w:rPr>
                      <w:color w:val="auto"/>
                      <w:sz w:val="18"/>
                      <w:szCs w:val="18"/>
                      <w:highlight w:val="none"/>
                    </w:rPr>
                  </w:pPr>
                </w:p>
              </w:tc>
              <w:tc>
                <w:tcPr>
                  <w:tcW w:w="932" w:type="dxa"/>
                  <w:shd w:val="clear" w:color="auto" w:fill="FFFFFF"/>
                  <w:noWrap w:val="0"/>
                  <w:vAlign w:val="center"/>
                </w:tcPr>
                <w:p>
                  <w:pPr>
                    <w:tabs>
                      <w:tab w:val="left" w:pos="105"/>
                    </w:tabs>
                    <w:spacing w:line="240" w:lineRule="exact"/>
                    <w:ind w:left="-120" w:leftChars="-50" w:right="-120" w:rightChars="-50"/>
                    <w:jc w:val="center"/>
                    <w:rPr>
                      <w:color w:val="auto"/>
                      <w:sz w:val="18"/>
                      <w:szCs w:val="18"/>
                      <w:highlight w:val="none"/>
                    </w:rPr>
                  </w:pPr>
                  <w:r>
                    <w:rPr>
                      <w:color w:val="auto"/>
                      <w:sz w:val="18"/>
                      <w:szCs w:val="18"/>
                      <w:highlight w:val="none"/>
                    </w:rPr>
                    <w:t>粉尘</w:t>
                  </w:r>
                </w:p>
              </w:tc>
              <w:tc>
                <w:tcPr>
                  <w:tcW w:w="1053" w:type="dxa"/>
                  <w:shd w:val="clear" w:color="auto" w:fill="FFFFFF"/>
                  <w:noWrap w:val="0"/>
                  <w:vAlign w:val="center"/>
                </w:tcPr>
                <w:p>
                  <w:pPr>
                    <w:tabs>
                      <w:tab w:val="left" w:pos="105"/>
                    </w:tabs>
                    <w:spacing w:line="240" w:lineRule="exact"/>
                    <w:ind w:left="-120" w:leftChars="-50" w:right="-120" w:rightChars="-50"/>
                    <w:jc w:val="center"/>
                    <w:rPr>
                      <w:color w:val="auto"/>
                      <w:sz w:val="18"/>
                      <w:szCs w:val="18"/>
                      <w:highlight w:val="none"/>
                    </w:rPr>
                  </w:pPr>
                  <w:r>
                    <w:rPr>
                      <w:color w:val="auto"/>
                      <w:sz w:val="18"/>
                      <w:szCs w:val="18"/>
                      <w:highlight w:val="none"/>
                    </w:rPr>
                    <w:t>9.512</w:t>
                  </w:r>
                </w:p>
              </w:tc>
              <w:tc>
                <w:tcPr>
                  <w:tcW w:w="1346" w:type="dxa"/>
                  <w:shd w:val="clear" w:color="auto" w:fill="FFFFFF"/>
                  <w:noWrap w:val="0"/>
                  <w:vAlign w:val="center"/>
                </w:tcPr>
                <w:p>
                  <w:pPr>
                    <w:tabs>
                      <w:tab w:val="left" w:pos="105"/>
                    </w:tabs>
                    <w:spacing w:line="240" w:lineRule="exact"/>
                    <w:ind w:left="-120" w:leftChars="-50" w:right="-120" w:rightChars="-50"/>
                    <w:jc w:val="center"/>
                    <w:rPr>
                      <w:color w:val="auto"/>
                      <w:sz w:val="18"/>
                      <w:szCs w:val="18"/>
                      <w:highlight w:val="none"/>
                    </w:rPr>
                  </w:pPr>
                  <w:r>
                    <w:rPr>
                      <w:rFonts w:hint="eastAsia"/>
                      <w:color w:val="auto"/>
                      <w:sz w:val="18"/>
                      <w:szCs w:val="18"/>
                      <w:highlight w:val="none"/>
                    </w:rPr>
                    <w:t>11.89</w:t>
                  </w:r>
                </w:p>
              </w:tc>
              <w:tc>
                <w:tcPr>
                  <w:tcW w:w="1089" w:type="dxa"/>
                  <w:shd w:val="clear" w:color="auto" w:fill="FFFFFF"/>
                  <w:noWrap w:val="0"/>
                  <w:vAlign w:val="center"/>
                </w:tcPr>
                <w:p>
                  <w:pPr>
                    <w:tabs>
                      <w:tab w:val="left" w:pos="105"/>
                    </w:tabs>
                    <w:spacing w:line="240" w:lineRule="exact"/>
                    <w:ind w:left="-120" w:leftChars="-50" w:right="-120" w:rightChars="-50"/>
                    <w:jc w:val="center"/>
                    <w:rPr>
                      <w:color w:val="auto"/>
                      <w:sz w:val="18"/>
                      <w:szCs w:val="18"/>
                      <w:highlight w:val="none"/>
                    </w:rPr>
                  </w:pPr>
                  <w:r>
                    <w:rPr>
                      <w:rFonts w:hint="eastAsia"/>
                      <w:color w:val="auto"/>
                      <w:sz w:val="18"/>
                      <w:szCs w:val="18"/>
                      <w:highlight w:val="none"/>
                    </w:rPr>
                    <w:t>113.24</w:t>
                  </w:r>
                </w:p>
              </w:tc>
              <w:tc>
                <w:tcPr>
                  <w:tcW w:w="1692" w:type="dxa"/>
                  <w:vMerge w:val="continue"/>
                  <w:shd w:val="clear" w:color="auto" w:fill="FFFFFF"/>
                  <w:noWrap w:val="0"/>
                  <w:vAlign w:val="center"/>
                </w:tcPr>
                <w:p>
                  <w:pPr>
                    <w:tabs>
                      <w:tab w:val="left" w:pos="105"/>
                    </w:tabs>
                    <w:spacing w:line="240" w:lineRule="exact"/>
                    <w:ind w:left="-120" w:leftChars="-50" w:right="-120" w:rightChars="-50"/>
                    <w:jc w:val="center"/>
                    <w:rPr>
                      <w:color w:val="auto"/>
                      <w:sz w:val="18"/>
                      <w:szCs w:val="18"/>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3" w:hRule="atLeast"/>
                <w:jc w:val="center"/>
              </w:trPr>
              <w:tc>
                <w:tcPr>
                  <w:tcW w:w="816" w:type="dxa"/>
                  <w:vMerge w:val="restart"/>
                  <w:shd w:val="clear" w:color="auto" w:fill="FFFFFF"/>
                  <w:noWrap w:val="0"/>
                  <w:vAlign w:val="center"/>
                </w:tcPr>
                <w:p>
                  <w:pPr>
                    <w:spacing w:line="220" w:lineRule="exact"/>
                    <w:ind w:left="-120" w:leftChars="-50" w:right="-120" w:rightChars="-50"/>
                    <w:jc w:val="center"/>
                    <w:rPr>
                      <w:color w:val="auto"/>
                      <w:sz w:val="18"/>
                      <w:szCs w:val="18"/>
                      <w:highlight w:val="none"/>
                    </w:rPr>
                  </w:pPr>
                  <w:r>
                    <w:rPr>
                      <w:color w:val="auto"/>
                      <w:sz w:val="18"/>
                      <w:szCs w:val="18"/>
                      <w:highlight w:val="none"/>
                    </w:rPr>
                    <w:t>沥青储罐及搅拌缸</w:t>
                  </w:r>
                </w:p>
              </w:tc>
              <w:tc>
                <w:tcPr>
                  <w:tcW w:w="1007" w:type="dxa"/>
                  <w:vMerge w:val="restart"/>
                  <w:shd w:val="clear" w:color="auto" w:fill="FFFFFF"/>
                  <w:noWrap w:val="0"/>
                  <w:vAlign w:val="center"/>
                </w:tcPr>
                <w:p>
                  <w:pPr>
                    <w:spacing w:line="220" w:lineRule="exact"/>
                    <w:ind w:left="-120" w:leftChars="-50" w:right="-120" w:rightChars="-50"/>
                    <w:jc w:val="center"/>
                    <w:rPr>
                      <w:color w:val="auto"/>
                      <w:sz w:val="18"/>
                      <w:szCs w:val="18"/>
                      <w:highlight w:val="none"/>
                    </w:rPr>
                  </w:pPr>
                  <w:r>
                    <w:rPr>
                      <w:color w:val="auto"/>
                      <w:sz w:val="18"/>
                      <w:szCs w:val="18"/>
                      <w:highlight w:val="none"/>
                    </w:rPr>
                    <w:t>沥青储罐</w:t>
                  </w:r>
                  <w:r>
                    <w:rPr>
                      <w:rFonts w:hint="eastAsia"/>
                      <w:color w:val="auto"/>
                      <w:sz w:val="18"/>
                      <w:szCs w:val="18"/>
                      <w:highlight w:val="none"/>
                    </w:rPr>
                    <w:t>加热产生沥青烟气</w:t>
                  </w:r>
                  <w:r>
                    <w:rPr>
                      <w:color w:val="auto"/>
                      <w:sz w:val="18"/>
                      <w:szCs w:val="18"/>
                      <w:highlight w:val="none"/>
                    </w:rPr>
                    <w:t>，搅拌杠沥青烟气</w:t>
                  </w:r>
                </w:p>
              </w:tc>
              <w:tc>
                <w:tcPr>
                  <w:tcW w:w="932" w:type="dxa"/>
                  <w:shd w:val="clear" w:color="auto" w:fill="FFFFFF"/>
                  <w:noWrap w:val="0"/>
                  <w:vAlign w:val="center"/>
                </w:tcPr>
                <w:p>
                  <w:pPr>
                    <w:tabs>
                      <w:tab w:val="left" w:pos="105"/>
                    </w:tabs>
                    <w:spacing w:line="240" w:lineRule="exact"/>
                    <w:ind w:left="-120" w:leftChars="-50" w:right="-120" w:rightChars="-50"/>
                    <w:jc w:val="center"/>
                    <w:rPr>
                      <w:color w:val="auto"/>
                      <w:sz w:val="18"/>
                      <w:szCs w:val="18"/>
                      <w:highlight w:val="none"/>
                    </w:rPr>
                  </w:pPr>
                  <w:r>
                    <w:rPr>
                      <w:color w:val="auto"/>
                      <w:sz w:val="18"/>
                      <w:szCs w:val="18"/>
                      <w:highlight w:val="none"/>
                    </w:rPr>
                    <w:t>沥青烟气</w:t>
                  </w:r>
                </w:p>
              </w:tc>
              <w:tc>
                <w:tcPr>
                  <w:tcW w:w="1053" w:type="dxa"/>
                  <w:shd w:val="clear" w:color="auto" w:fill="FFFFFF"/>
                  <w:noWrap w:val="0"/>
                  <w:vAlign w:val="center"/>
                </w:tcPr>
                <w:p>
                  <w:pPr>
                    <w:tabs>
                      <w:tab w:val="left" w:pos="0"/>
                    </w:tabs>
                    <w:adjustRightInd w:val="0"/>
                    <w:snapToGrid w:val="0"/>
                    <w:jc w:val="center"/>
                    <w:rPr>
                      <w:snapToGrid w:val="0"/>
                      <w:color w:val="auto"/>
                      <w:kern w:val="0"/>
                      <w:sz w:val="18"/>
                      <w:szCs w:val="18"/>
                      <w:highlight w:val="none"/>
                    </w:rPr>
                  </w:pPr>
                  <w:r>
                    <w:rPr>
                      <w:rFonts w:hint="eastAsia"/>
                      <w:snapToGrid w:val="0"/>
                      <w:color w:val="auto"/>
                      <w:kern w:val="0"/>
                      <w:sz w:val="18"/>
                      <w:szCs w:val="18"/>
                      <w:highlight w:val="none"/>
                    </w:rPr>
                    <w:t>0.315</w:t>
                  </w:r>
                </w:p>
              </w:tc>
              <w:tc>
                <w:tcPr>
                  <w:tcW w:w="1346" w:type="dxa"/>
                  <w:shd w:val="clear" w:color="auto" w:fill="FFFFFF"/>
                  <w:noWrap w:val="0"/>
                  <w:vAlign w:val="center"/>
                </w:tcPr>
                <w:p>
                  <w:pPr>
                    <w:pStyle w:val="31"/>
                    <w:spacing w:line="240" w:lineRule="auto"/>
                    <w:rPr>
                      <w:rFonts w:ascii="Times New Roman" w:eastAsia="宋体"/>
                      <w:color w:val="auto"/>
                      <w:sz w:val="18"/>
                      <w:szCs w:val="18"/>
                      <w:highlight w:val="none"/>
                    </w:rPr>
                  </w:pPr>
                  <w:r>
                    <w:rPr>
                      <w:rFonts w:hint="eastAsia" w:ascii="Times New Roman" w:eastAsia="宋体"/>
                      <w:color w:val="auto"/>
                      <w:sz w:val="18"/>
                      <w:szCs w:val="18"/>
                      <w:highlight w:val="none"/>
                    </w:rPr>
                    <w:t>0.394</w:t>
                  </w:r>
                </w:p>
              </w:tc>
              <w:tc>
                <w:tcPr>
                  <w:tcW w:w="1089" w:type="dxa"/>
                  <w:shd w:val="clear" w:color="auto" w:fill="FFFFFF"/>
                  <w:noWrap w:val="0"/>
                  <w:vAlign w:val="center"/>
                </w:tcPr>
                <w:p>
                  <w:pPr>
                    <w:widowControl/>
                    <w:jc w:val="center"/>
                    <w:textAlignment w:val="bottom"/>
                    <w:rPr>
                      <w:color w:val="auto"/>
                      <w:kern w:val="0"/>
                      <w:sz w:val="18"/>
                      <w:szCs w:val="18"/>
                      <w:highlight w:val="none"/>
                      <w:lang w:bidi="ar"/>
                    </w:rPr>
                  </w:pPr>
                  <w:r>
                    <w:rPr>
                      <w:color w:val="auto"/>
                      <w:kern w:val="0"/>
                      <w:sz w:val="18"/>
                      <w:szCs w:val="18"/>
                      <w:highlight w:val="none"/>
                      <w:lang w:bidi="ar"/>
                    </w:rPr>
                    <w:t>/</w:t>
                  </w:r>
                </w:p>
              </w:tc>
              <w:tc>
                <w:tcPr>
                  <w:tcW w:w="1692" w:type="dxa"/>
                  <w:shd w:val="clear" w:color="auto" w:fill="FFFFFF"/>
                  <w:noWrap w:val="0"/>
                  <w:vAlign w:val="center"/>
                </w:tcPr>
                <w:p>
                  <w:pPr>
                    <w:tabs>
                      <w:tab w:val="left" w:pos="0"/>
                    </w:tabs>
                    <w:adjustRightInd w:val="0"/>
                    <w:snapToGrid w:val="0"/>
                    <w:jc w:val="center"/>
                    <w:rPr>
                      <w:color w:val="auto"/>
                      <w:sz w:val="18"/>
                      <w:szCs w:val="18"/>
                      <w:highlight w:val="none"/>
                    </w:rPr>
                  </w:pPr>
                  <w:r>
                    <w:rPr>
                      <w:snapToGrid w:val="0"/>
                      <w:color w:val="auto"/>
                      <w:kern w:val="0"/>
                      <w:sz w:val="18"/>
                      <w:szCs w:val="18"/>
                      <w:highlight w:val="none"/>
                    </w:rPr>
                    <w:t>类比</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3" w:hRule="atLeast"/>
                <w:jc w:val="center"/>
              </w:trPr>
              <w:tc>
                <w:tcPr>
                  <w:tcW w:w="816" w:type="dxa"/>
                  <w:vMerge w:val="continue"/>
                  <w:shd w:val="clear" w:color="auto" w:fill="FFFFFF"/>
                  <w:noWrap w:val="0"/>
                  <w:vAlign w:val="center"/>
                </w:tcPr>
                <w:p>
                  <w:pPr>
                    <w:tabs>
                      <w:tab w:val="left" w:pos="105"/>
                    </w:tabs>
                    <w:spacing w:line="240" w:lineRule="exact"/>
                    <w:ind w:left="-120" w:leftChars="-50" w:right="-120" w:rightChars="-50"/>
                    <w:jc w:val="center"/>
                    <w:rPr>
                      <w:color w:val="auto"/>
                      <w:sz w:val="18"/>
                      <w:szCs w:val="18"/>
                      <w:highlight w:val="none"/>
                    </w:rPr>
                  </w:pPr>
                </w:p>
              </w:tc>
              <w:tc>
                <w:tcPr>
                  <w:tcW w:w="1007" w:type="dxa"/>
                  <w:vMerge w:val="continue"/>
                  <w:shd w:val="clear" w:color="auto" w:fill="FFFFFF"/>
                  <w:noWrap w:val="0"/>
                  <w:vAlign w:val="center"/>
                </w:tcPr>
                <w:p>
                  <w:pPr>
                    <w:tabs>
                      <w:tab w:val="left" w:pos="105"/>
                    </w:tabs>
                    <w:spacing w:line="240" w:lineRule="exact"/>
                    <w:ind w:left="-120" w:leftChars="-50" w:right="-120" w:rightChars="-50"/>
                    <w:jc w:val="center"/>
                    <w:rPr>
                      <w:color w:val="auto"/>
                      <w:sz w:val="18"/>
                      <w:szCs w:val="18"/>
                      <w:highlight w:val="none"/>
                    </w:rPr>
                  </w:pPr>
                </w:p>
              </w:tc>
              <w:tc>
                <w:tcPr>
                  <w:tcW w:w="932" w:type="dxa"/>
                  <w:shd w:val="clear" w:color="auto" w:fill="FFFFFF"/>
                  <w:noWrap w:val="0"/>
                  <w:vAlign w:val="center"/>
                </w:tcPr>
                <w:p>
                  <w:pPr>
                    <w:tabs>
                      <w:tab w:val="left" w:pos="105"/>
                    </w:tabs>
                    <w:spacing w:line="240" w:lineRule="exact"/>
                    <w:ind w:left="-120" w:leftChars="-50" w:right="-120" w:rightChars="-50"/>
                    <w:jc w:val="center"/>
                    <w:rPr>
                      <w:color w:val="auto"/>
                      <w:sz w:val="18"/>
                      <w:szCs w:val="18"/>
                      <w:highlight w:val="none"/>
                    </w:rPr>
                  </w:pPr>
                  <w:r>
                    <w:rPr>
                      <w:color w:val="auto"/>
                      <w:sz w:val="18"/>
                      <w:szCs w:val="18"/>
                      <w:highlight w:val="none"/>
                    </w:rPr>
                    <w:t>苯并[a]芘</w:t>
                  </w:r>
                </w:p>
              </w:tc>
              <w:tc>
                <w:tcPr>
                  <w:tcW w:w="1053" w:type="dxa"/>
                  <w:shd w:val="clear" w:color="auto" w:fill="FFFFFF"/>
                  <w:noWrap w:val="0"/>
                  <w:vAlign w:val="center"/>
                </w:tcPr>
                <w:p>
                  <w:pPr>
                    <w:tabs>
                      <w:tab w:val="left" w:pos="0"/>
                    </w:tabs>
                    <w:adjustRightInd w:val="0"/>
                    <w:snapToGrid w:val="0"/>
                    <w:jc w:val="center"/>
                    <w:rPr>
                      <w:snapToGrid w:val="0"/>
                      <w:color w:val="auto"/>
                      <w:kern w:val="0"/>
                      <w:sz w:val="18"/>
                      <w:szCs w:val="18"/>
                      <w:highlight w:val="none"/>
                    </w:rPr>
                  </w:pPr>
                  <w:r>
                    <w:rPr>
                      <w:snapToGrid w:val="0"/>
                      <w:color w:val="auto"/>
                      <w:kern w:val="0"/>
                      <w:sz w:val="18"/>
                      <w:szCs w:val="18"/>
                      <w:highlight w:val="none"/>
                    </w:rPr>
                    <w:t>0.0000063</w:t>
                  </w:r>
                </w:p>
              </w:tc>
              <w:tc>
                <w:tcPr>
                  <w:tcW w:w="1346" w:type="dxa"/>
                  <w:shd w:val="clear" w:color="auto" w:fill="FFFFFF"/>
                  <w:noWrap w:val="0"/>
                  <w:vAlign w:val="center"/>
                </w:tcPr>
                <w:p>
                  <w:pPr>
                    <w:pStyle w:val="31"/>
                    <w:spacing w:line="240" w:lineRule="auto"/>
                    <w:rPr>
                      <w:rFonts w:ascii="Times New Roman" w:eastAsia="宋体"/>
                      <w:color w:val="auto"/>
                      <w:sz w:val="18"/>
                      <w:szCs w:val="18"/>
                      <w:highlight w:val="none"/>
                    </w:rPr>
                  </w:pPr>
                  <w:r>
                    <w:rPr>
                      <w:rFonts w:ascii="Times New Roman" w:eastAsia="宋体"/>
                      <w:color w:val="auto"/>
                      <w:sz w:val="18"/>
                      <w:szCs w:val="18"/>
                      <w:highlight w:val="none"/>
                    </w:rPr>
                    <w:t>6.98*10</w:t>
                  </w:r>
                  <w:r>
                    <w:rPr>
                      <w:rFonts w:ascii="Times New Roman" w:eastAsia="宋体"/>
                      <w:color w:val="auto"/>
                      <w:sz w:val="18"/>
                      <w:szCs w:val="18"/>
                      <w:highlight w:val="none"/>
                      <w:vertAlign w:val="superscript"/>
                    </w:rPr>
                    <w:t>-6</w:t>
                  </w:r>
                </w:p>
              </w:tc>
              <w:tc>
                <w:tcPr>
                  <w:tcW w:w="1089" w:type="dxa"/>
                  <w:shd w:val="clear" w:color="auto" w:fill="FFFFFF"/>
                  <w:noWrap w:val="0"/>
                  <w:vAlign w:val="center"/>
                </w:tcPr>
                <w:p>
                  <w:pPr>
                    <w:tabs>
                      <w:tab w:val="left" w:pos="105"/>
                    </w:tabs>
                    <w:spacing w:line="240" w:lineRule="exact"/>
                    <w:ind w:left="-120" w:leftChars="-50" w:right="-120" w:rightChars="-50"/>
                    <w:jc w:val="center"/>
                    <w:rPr>
                      <w:color w:val="auto"/>
                      <w:sz w:val="18"/>
                      <w:szCs w:val="18"/>
                      <w:highlight w:val="none"/>
                    </w:rPr>
                  </w:pPr>
                  <w:r>
                    <w:rPr>
                      <w:color w:val="auto"/>
                      <w:sz w:val="18"/>
                      <w:szCs w:val="18"/>
                      <w:highlight w:val="none"/>
                    </w:rPr>
                    <w:t>/</w:t>
                  </w:r>
                </w:p>
              </w:tc>
              <w:tc>
                <w:tcPr>
                  <w:tcW w:w="1692" w:type="dxa"/>
                  <w:shd w:val="clear" w:color="auto" w:fill="FFFFFF"/>
                  <w:noWrap w:val="0"/>
                  <w:vAlign w:val="center"/>
                </w:tcPr>
                <w:p>
                  <w:pPr>
                    <w:tabs>
                      <w:tab w:val="left" w:pos="0"/>
                    </w:tabs>
                    <w:adjustRightInd w:val="0"/>
                    <w:snapToGrid w:val="0"/>
                    <w:jc w:val="center"/>
                    <w:rPr>
                      <w:color w:val="auto"/>
                      <w:sz w:val="18"/>
                      <w:szCs w:val="18"/>
                      <w:highlight w:val="none"/>
                    </w:rPr>
                  </w:pPr>
                  <w:r>
                    <w:rPr>
                      <w:snapToGrid w:val="0"/>
                      <w:color w:val="auto"/>
                      <w:kern w:val="0"/>
                      <w:sz w:val="18"/>
                      <w:szCs w:val="18"/>
                      <w:highlight w:val="none"/>
                    </w:rPr>
                    <w:t>类比</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3" w:hRule="atLeast"/>
                <w:jc w:val="center"/>
              </w:trPr>
              <w:tc>
                <w:tcPr>
                  <w:tcW w:w="816" w:type="dxa"/>
                  <w:vMerge w:val="continue"/>
                  <w:shd w:val="clear" w:color="auto" w:fill="FFFFFF"/>
                  <w:noWrap w:val="0"/>
                  <w:vAlign w:val="center"/>
                </w:tcPr>
                <w:p>
                  <w:pPr>
                    <w:tabs>
                      <w:tab w:val="left" w:pos="105"/>
                    </w:tabs>
                    <w:spacing w:line="240" w:lineRule="exact"/>
                    <w:ind w:left="-120" w:leftChars="-50" w:right="-120" w:rightChars="-50"/>
                    <w:jc w:val="center"/>
                    <w:rPr>
                      <w:color w:val="auto"/>
                      <w:sz w:val="18"/>
                      <w:szCs w:val="18"/>
                      <w:highlight w:val="none"/>
                    </w:rPr>
                  </w:pPr>
                </w:p>
              </w:tc>
              <w:tc>
                <w:tcPr>
                  <w:tcW w:w="1007" w:type="dxa"/>
                  <w:vMerge w:val="continue"/>
                  <w:shd w:val="clear" w:color="auto" w:fill="FFFFFF"/>
                  <w:noWrap w:val="0"/>
                  <w:vAlign w:val="center"/>
                </w:tcPr>
                <w:p>
                  <w:pPr>
                    <w:tabs>
                      <w:tab w:val="left" w:pos="105"/>
                    </w:tabs>
                    <w:spacing w:line="240" w:lineRule="exact"/>
                    <w:ind w:left="-120" w:leftChars="-50" w:right="-120" w:rightChars="-50"/>
                    <w:jc w:val="center"/>
                    <w:rPr>
                      <w:color w:val="auto"/>
                      <w:sz w:val="18"/>
                      <w:szCs w:val="18"/>
                      <w:highlight w:val="none"/>
                    </w:rPr>
                  </w:pPr>
                </w:p>
              </w:tc>
              <w:tc>
                <w:tcPr>
                  <w:tcW w:w="932" w:type="dxa"/>
                  <w:shd w:val="clear" w:color="auto" w:fill="FFFFFF"/>
                  <w:noWrap w:val="0"/>
                  <w:vAlign w:val="center"/>
                </w:tcPr>
                <w:p>
                  <w:pPr>
                    <w:tabs>
                      <w:tab w:val="left" w:pos="105"/>
                    </w:tabs>
                    <w:spacing w:line="240" w:lineRule="exact"/>
                    <w:ind w:left="-120" w:leftChars="-50" w:right="-120" w:rightChars="-50"/>
                    <w:jc w:val="center"/>
                    <w:rPr>
                      <w:color w:val="auto"/>
                      <w:sz w:val="18"/>
                      <w:szCs w:val="18"/>
                      <w:highlight w:val="none"/>
                    </w:rPr>
                  </w:pPr>
                  <w:r>
                    <w:rPr>
                      <w:color w:val="auto"/>
                      <w:sz w:val="18"/>
                      <w:szCs w:val="18"/>
                      <w:highlight w:val="none"/>
                    </w:rPr>
                    <w:t>非甲烷总烃</w:t>
                  </w:r>
                </w:p>
              </w:tc>
              <w:tc>
                <w:tcPr>
                  <w:tcW w:w="1053" w:type="dxa"/>
                  <w:shd w:val="clear" w:color="auto" w:fill="FFFFFF"/>
                  <w:noWrap w:val="0"/>
                  <w:vAlign w:val="center"/>
                </w:tcPr>
                <w:p>
                  <w:pPr>
                    <w:tabs>
                      <w:tab w:val="left" w:pos="0"/>
                    </w:tabs>
                    <w:adjustRightInd w:val="0"/>
                    <w:snapToGrid w:val="0"/>
                    <w:jc w:val="center"/>
                    <w:rPr>
                      <w:snapToGrid w:val="0"/>
                      <w:color w:val="auto"/>
                      <w:kern w:val="0"/>
                      <w:sz w:val="18"/>
                      <w:szCs w:val="18"/>
                      <w:highlight w:val="none"/>
                    </w:rPr>
                  </w:pPr>
                  <w:r>
                    <w:rPr>
                      <w:snapToGrid w:val="0"/>
                      <w:color w:val="auto"/>
                      <w:kern w:val="0"/>
                      <w:sz w:val="18"/>
                      <w:szCs w:val="18"/>
                      <w:highlight w:val="none"/>
                    </w:rPr>
                    <w:t>0.00125</w:t>
                  </w:r>
                </w:p>
              </w:tc>
              <w:tc>
                <w:tcPr>
                  <w:tcW w:w="1346" w:type="dxa"/>
                  <w:shd w:val="clear" w:color="auto" w:fill="FFFFFF"/>
                  <w:noWrap w:val="0"/>
                  <w:vAlign w:val="center"/>
                </w:tcPr>
                <w:p>
                  <w:pPr>
                    <w:pStyle w:val="31"/>
                    <w:spacing w:line="240" w:lineRule="auto"/>
                    <w:rPr>
                      <w:rFonts w:ascii="Times New Roman" w:eastAsia="宋体"/>
                      <w:color w:val="auto"/>
                      <w:sz w:val="18"/>
                      <w:szCs w:val="18"/>
                      <w:highlight w:val="none"/>
                    </w:rPr>
                  </w:pPr>
                  <w:r>
                    <w:rPr>
                      <w:rFonts w:ascii="Times New Roman" w:eastAsia="宋体"/>
                      <w:color w:val="auto"/>
                      <w:sz w:val="18"/>
                      <w:szCs w:val="18"/>
                      <w:highlight w:val="none"/>
                    </w:rPr>
                    <w:t>0.00208</w:t>
                  </w:r>
                </w:p>
              </w:tc>
              <w:tc>
                <w:tcPr>
                  <w:tcW w:w="1089" w:type="dxa"/>
                  <w:shd w:val="clear" w:color="auto" w:fill="FFFFFF"/>
                  <w:noWrap w:val="0"/>
                  <w:vAlign w:val="center"/>
                </w:tcPr>
                <w:p>
                  <w:pPr>
                    <w:tabs>
                      <w:tab w:val="left" w:pos="105"/>
                    </w:tabs>
                    <w:spacing w:line="240" w:lineRule="exact"/>
                    <w:ind w:left="-120" w:leftChars="-50" w:right="-120" w:rightChars="-50"/>
                    <w:jc w:val="center"/>
                    <w:rPr>
                      <w:color w:val="auto"/>
                      <w:sz w:val="18"/>
                      <w:szCs w:val="18"/>
                      <w:highlight w:val="none"/>
                    </w:rPr>
                  </w:pPr>
                  <w:r>
                    <w:rPr>
                      <w:color w:val="auto"/>
                      <w:sz w:val="18"/>
                      <w:szCs w:val="18"/>
                      <w:highlight w:val="none"/>
                    </w:rPr>
                    <w:t>/</w:t>
                  </w:r>
                </w:p>
              </w:tc>
              <w:tc>
                <w:tcPr>
                  <w:tcW w:w="1692" w:type="dxa"/>
                  <w:shd w:val="clear" w:color="auto" w:fill="FFFFFF"/>
                  <w:noWrap w:val="0"/>
                  <w:vAlign w:val="center"/>
                </w:tcPr>
                <w:p>
                  <w:pPr>
                    <w:tabs>
                      <w:tab w:val="left" w:pos="0"/>
                    </w:tabs>
                    <w:adjustRightInd w:val="0"/>
                    <w:snapToGrid w:val="0"/>
                    <w:jc w:val="center"/>
                    <w:rPr>
                      <w:color w:val="auto"/>
                      <w:sz w:val="18"/>
                      <w:szCs w:val="18"/>
                      <w:highlight w:val="none"/>
                    </w:rPr>
                  </w:pPr>
                  <w:r>
                    <w:rPr>
                      <w:snapToGrid w:val="0"/>
                      <w:color w:val="auto"/>
                      <w:kern w:val="0"/>
                      <w:sz w:val="18"/>
                      <w:szCs w:val="18"/>
                      <w:highlight w:val="none"/>
                    </w:rPr>
                    <w:t>类比</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816" w:type="dxa"/>
                  <w:vMerge w:val="restart"/>
                  <w:shd w:val="clear" w:color="auto" w:fill="FFFFFF"/>
                  <w:noWrap w:val="0"/>
                  <w:vAlign w:val="center"/>
                </w:tcPr>
                <w:p>
                  <w:pPr>
                    <w:spacing w:line="220" w:lineRule="exact"/>
                    <w:ind w:left="-120" w:leftChars="-50" w:right="-120" w:rightChars="-50"/>
                    <w:jc w:val="center"/>
                    <w:rPr>
                      <w:color w:val="auto"/>
                      <w:sz w:val="18"/>
                      <w:szCs w:val="18"/>
                      <w:highlight w:val="none"/>
                    </w:rPr>
                  </w:pPr>
                  <w:r>
                    <w:rPr>
                      <w:color w:val="auto"/>
                      <w:sz w:val="18"/>
                      <w:szCs w:val="18"/>
                      <w:highlight w:val="none"/>
                    </w:rPr>
                    <w:t>导热油炉</w:t>
                  </w:r>
                </w:p>
              </w:tc>
              <w:tc>
                <w:tcPr>
                  <w:tcW w:w="1007" w:type="dxa"/>
                  <w:vMerge w:val="restart"/>
                  <w:shd w:val="clear" w:color="auto" w:fill="FFFFFF"/>
                  <w:noWrap w:val="0"/>
                  <w:vAlign w:val="center"/>
                </w:tcPr>
                <w:p>
                  <w:pPr>
                    <w:spacing w:line="220" w:lineRule="exact"/>
                    <w:ind w:left="-120" w:leftChars="-50" w:right="-120" w:rightChars="-50"/>
                    <w:jc w:val="center"/>
                    <w:rPr>
                      <w:color w:val="auto"/>
                      <w:sz w:val="18"/>
                      <w:szCs w:val="18"/>
                      <w:highlight w:val="none"/>
                    </w:rPr>
                  </w:pPr>
                  <w:r>
                    <w:rPr>
                      <w:color w:val="auto"/>
                      <w:sz w:val="18"/>
                      <w:szCs w:val="18"/>
                      <w:highlight w:val="none"/>
                    </w:rPr>
                    <w:t>加热燃烧尾气</w:t>
                  </w:r>
                </w:p>
              </w:tc>
              <w:tc>
                <w:tcPr>
                  <w:tcW w:w="932" w:type="dxa"/>
                  <w:shd w:val="clear" w:color="auto" w:fill="FFFFFF"/>
                  <w:noWrap w:val="0"/>
                  <w:vAlign w:val="center"/>
                </w:tcPr>
                <w:p>
                  <w:pPr>
                    <w:tabs>
                      <w:tab w:val="left" w:pos="105"/>
                    </w:tabs>
                    <w:spacing w:line="240" w:lineRule="exact"/>
                    <w:ind w:left="-120" w:leftChars="-50" w:right="-120" w:rightChars="-50"/>
                    <w:jc w:val="center"/>
                    <w:rPr>
                      <w:color w:val="auto"/>
                      <w:sz w:val="18"/>
                      <w:szCs w:val="18"/>
                      <w:highlight w:val="none"/>
                    </w:rPr>
                  </w:pPr>
                  <w:r>
                    <w:rPr>
                      <w:color w:val="auto"/>
                      <w:sz w:val="18"/>
                      <w:szCs w:val="18"/>
                      <w:highlight w:val="none"/>
                    </w:rPr>
                    <w:t>SO</w:t>
                  </w:r>
                  <w:r>
                    <w:rPr>
                      <w:color w:val="auto"/>
                      <w:sz w:val="18"/>
                      <w:szCs w:val="18"/>
                      <w:highlight w:val="none"/>
                      <w:vertAlign w:val="subscript"/>
                    </w:rPr>
                    <w:t>2</w:t>
                  </w:r>
                </w:p>
              </w:tc>
              <w:tc>
                <w:tcPr>
                  <w:tcW w:w="1053" w:type="dxa"/>
                  <w:shd w:val="clear" w:color="auto" w:fill="FFFFFF"/>
                  <w:noWrap w:val="0"/>
                  <w:vAlign w:val="center"/>
                </w:tcPr>
                <w:p>
                  <w:pPr>
                    <w:widowControl/>
                    <w:jc w:val="center"/>
                    <w:textAlignment w:val="bottom"/>
                    <w:rPr>
                      <w:color w:val="auto"/>
                      <w:sz w:val="18"/>
                      <w:szCs w:val="18"/>
                      <w:highlight w:val="none"/>
                    </w:rPr>
                  </w:pPr>
                  <w:r>
                    <w:rPr>
                      <w:color w:val="auto"/>
                      <w:kern w:val="0"/>
                      <w:sz w:val="18"/>
                      <w:szCs w:val="18"/>
                      <w:highlight w:val="none"/>
                      <w:lang w:bidi="ar"/>
                    </w:rPr>
                    <w:t>0.012t/a</w:t>
                  </w:r>
                </w:p>
              </w:tc>
              <w:tc>
                <w:tcPr>
                  <w:tcW w:w="1346" w:type="dxa"/>
                  <w:shd w:val="clear" w:color="auto" w:fill="FFFFFF"/>
                  <w:noWrap w:val="0"/>
                  <w:vAlign w:val="center"/>
                </w:tcPr>
                <w:p>
                  <w:pPr>
                    <w:spacing w:line="220" w:lineRule="exact"/>
                    <w:ind w:left="-120" w:leftChars="-50" w:right="-120" w:rightChars="-50"/>
                    <w:jc w:val="center"/>
                    <w:rPr>
                      <w:color w:val="auto"/>
                      <w:sz w:val="18"/>
                      <w:szCs w:val="18"/>
                      <w:highlight w:val="none"/>
                    </w:rPr>
                  </w:pPr>
                  <w:r>
                    <w:rPr>
                      <w:color w:val="auto"/>
                      <w:sz w:val="18"/>
                      <w:szCs w:val="18"/>
                      <w:highlight w:val="none"/>
                    </w:rPr>
                    <w:t>0.02</w:t>
                  </w:r>
                </w:p>
              </w:tc>
              <w:tc>
                <w:tcPr>
                  <w:tcW w:w="1089" w:type="dxa"/>
                  <w:shd w:val="clear" w:color="auto" w:fill="FFFFFF"/>
                  <w:noWrap w:val="0"/>
                  <w:vAlign w:val="center"/>
                </w:tcPr>
                <w:p>
                  <w:pPr>
                    <w:widowControl/>
                    <w:jc w:val="center"/>
                    <w:textAlignment w:val="bottom"/>
                    <w:rPr>
                      <w:color w:val="auto"/>
                      <w:sz w:val="18"/>
                      <w:szCs w:val="18"/>
                      <w:highlight w:val="none"/>
                    </w:rPr>
                  </w:pPr>
                  <w:r>
                    <w:rPr>
                      <w:rFonts w:hint="eastAsia"/>
                      <w:color w:val="auto"/>
                      <w:kern w:val="0"/>
                      <w:sz w:val="18"/>
                      <w:szCs w:val="18"/>
                      <w:highlight w:val="none"/>
                      <w:lang w:bidi="ar"/>
                    </w:rPr>
                    <w:t>37.12</w:t>
                  </w:r>
                </w:p>
              </w:tc>
              <w:tc>
                <w:tcPr>
                  <w:tcW w:w="1692" w:type="dxa"/>
                  <w:vMerge w:val="restart"/>
                  <w:shd w:val="clear" w:color="auto" w:fill="FFFFFF"/>
                  <w:noWrap w:val="0"/>
                  <w:vAlign w:val="center"/>
                </w:tcPr>
                <w:p>
                  <w:pPr>
                    <w:spacing w:line="220" w:lineRule="exact"/>
                    <w:ind w:left="-120" w:leftChars="-50" w:right="-120" w:rightChars="-50"/>
                    <w:jc w:val="center"/>
                    <w:rPr>
                      <w:color w:val="auto"/>
                      <w:sz w:val="18"/>
                      <w:szCs w:val="18"/>
                      <w:highlight w:val="none"/>
                    </w:rPr>
                  </w:pPr>
                  <w:r>
                    <w:rPr>
                      <w:color w:val="auto"/>
                      <w:sz w:val="18"/>
                      <w:szCs w:val="18"/>
                      <w:highlight w:val="none"/>
                    </w:rPr>
                    <w:t>参照《锅炉产排污量系数手册（2021)》</w:t>
                  </w:r>
                  <w:r>
                    <w:rPr>
                      <w:rFonts w:hint="eastAsia"/>
                      <w:color w:val="auto"/>
                      <w:sz w:val="18"/>
                      <w:szCs w:val="18"/>
                      <w:highlight w:val="none"/>
                    </w:rPr>
                    <w:t>、《煤、天然气燃烧的污染物产生系数》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816" w:type="dxa"/>
                  <w:vMerge w:val="continue"/>
                  <w:shd w:val="clear" w:color="auto" w:fill="FFFFFF"/>
                  <w:noWrap w:val="0"/>
                  <w:vAlign w:val="center"/>
                </w:tcPr>
                <w:p>
                  <w:pPr>
                    <w:spacing w:line="220" w:lineRule="exact"/>
                    <w:ind w:left="-120" w:leftChars="-50" w:right="-120" w:rightChars="-50"/>
                    <w:jc w:val="center"/>
                    <w:rPr>
                      <w:color w:val="auto"/>
                      <w:sz w:val="18"/>
                      <w:szCs w:val="18"/>
                      <w:highlight w:val="none"/>
                    </w:rPr>
                  </w:pPr>
                </w:p>
              </w:tc>
              <w:tc>
                <w:tcPr>
                  <w:tcW w:w="1007" w:type="dxa"/>
                  <w:vMerge w:val="continue"/>
                  <w:shd w:val="clear" w:color="auto" w:fill="FFFFFF"/>
                  <w:noWrap w:val="0"/>
                  <w:vAlign w:val="center"/>
                </w:tcPr>
                <w:p>
                  <w:pPr>
                    <w:spacing w:line="220" w:lineRule="exact"/>
                    <w:ind w:left="-120" w:leftChars="-50" w:right="-120" w:rightChars="-50"/>
                    <w:jc w:val="center"/>
                    <w:rPr>
                      <w:color w:val="auto"/>
                      <w:sz w:val="18"/>
                      <w:szCs w:val="18"/>
                      <w:highlight w:val="none"/>
                    </w:rPr>
                  </w:pPr>
                </w:p>
              </w:tc>
              <w:tc>
                <w:tcPr>
                  <w:tcW w:w="932" w:type="dxa"/>
                  <w:shd w:val="clear" w:color="auto" w:fill="FFFFFF"/>
                  <w:noWrap w:val="0"/>
                  <w:vAlign w:val="center"/>
                </w:tcPr>
                <w:p>
                  <w:pPr>
                    <w:tabs>
                      <w:tab w:val="left" w:pos="105"/>
                    </w:tabs>
                    <w:spacing w:line="240" w:lineRule="exact"/>
                    <w:ind w:left="-120" w:leftChars="-50" w:right="-120" w:rightChars="-50"/>
                    <w:jc w:val="center"/>
                    <w:rPr>
                      <w:color w:val="auto"/>
                      <w:sz w:val="18"/>
                      <w:szCs w:val="18"/>
                      <w:highlight w:val="none"/>
                    </w:rPr>
                  </w:pPr>
                  <w:r>
                    <w:rPr>
                      <w:color w:val="auto"/>
                      <w:sz w:val="18"/>
                      <w:szCs w:val="18"/>
                      <w:highlight w:val="none"/>
                    </w:rPr>
                    <w:t>NOx</w:t>
                  </w:r>
                </w:p>
              </w:tc>
              <w:tc>
                <w:tcPr>
                  <w:tcW w:w="1053" w:type="dxa"/>
                  <w:shd w:val="clear" w:color="auto" w:fill="FFFFFF"/>
                  <w:noWrap w:val="0"/>
                  <w:vAlign w:val="center"/>
                </w:tcPr>
                <w:p>
                  <w:pPr>
                    <w:widowControl/>
                    <w:jc w:val="center"/>
                    <w:textAlignment w:val="bottom"/>
                    <w:rPr>
                      <w:color w:val="auto"/>
                      <w:sz w:val="18"/>
                      <w:szCs w:val="18"/>
                      <w:highlight w:val="none"/>
                    </w:rPr>
                  </w:pPr>
                  <w:r>
                    <w:rPr>
                      <w:color w:val="auto"/>
                      <w:kern w:val="0"/>
                      <w:sz w:val="18"/>
                      <w:szCs w:val="18"/>
                      <w:highlight w:val="none"/>
                      <w:lang w:bidi="ar"/>
                    </w:rPr>
                    <w:t>0.0</w:t>
                  </w:r>
                  <w:r>
                    <w:rPr>
                      <w:rFonts w:hint="eastAsia"/>
                      <w:color w:val="auto"/>
                      <w:kern w:val="0"/>
                      <w:sz w:val="18"/>
                      <w:szCs w:val="18"/>
                      <w:highlight w:val="none"/>
                      <w:lang w:bidi="ar"/>
                    </w:rPr>
                    <w:t>48</w:t>
                  </w:r>
                  <w:r>
                    <w:rPr>
                      <w:color w:val="auto"/>
                      <w:kern w:val="0"/>
                      <w:sz w:val="18"/>
                      <w:szCs w:val="18"/>
                      <w:highlight w:val="none"/>
                      <w:lang w:bidi="ar"/>
                    </w:rPr>
                    <w:t>t/a</w:t>
                  </w:r>
                </w:p>
              </w:tc>
              <w:tc>
                <w:tcPr>
                  <w:tcW w:w="1346" w:type="dxa"/>
                  <w:shd w:val="clear" w:color="auto" w:fill="FFFFFF"/>
                  <w:noWrap w:val="0"/>
                  <w:vAlign w:val="center"/>
                </w:tcPr>
                <w:p>
                  <w:pPr>
                    <w:spacing w:line="220" w:lineRule="exact"/>
                    <w:ind w:left="-120" w:leftChars="-50" w:right="-120" w:rightChars="-50"/>
                    <w:jc w:val="center"/>
                    <w:rPr>
                      <w:rFonts w:hint="eastAsia"/>
                      <w:color w:val="auto"/>
                      <w:sz w:val="18"/>
                      <w:szCs w:val="18"/>
                      <w:highlight w:val="none"/>
                    </w:rPr>
                  </w:pPr>
                  <w:r>
                    <w:rPr>
                      <w:color w:val="auto"/>
                      <w:sz w:val="18"/>
                      <w:szCs w:val="18"/>
                      <w:highlight w:val="none"/>
                    </w:rPr>
                    <w:t>0.0</w:t>
                  </w:r>
                  <w:r>
                    <w:rPr>
                      <w:rFonts w:hint="eastAsia"/>
                      <w:color w:val="auto"/>
                      <w:sz w:val="18"/>
                      <w:szCs w:val="18"/>
                      <w:highlight w:val="none"/>
                    </w:rPr>
                    <w:t>8</w:t>
                  </w:r>
                </w:p>
              </w:tc>
              <w:tc>
                <w:tcPr>
                  <w:tcW w:w="1089" w:type="dxa"/>
                  <w:shd w:val="clear" w:color="auto" w:fill="FFFFFF"/>
                  <w:noWrap w:val="0"/>
                  <w:vAlign w:val="center"/>
                </w:tcPr>
                <w:p>
                  <w:pPr>
                    <w:widowControl/>
                    <w:jc w:val="center"/>
                    <w:textAlignment w:val="bottom"/>
                    <w:rPr>
                      <w:color w:val="auto"/>
                      <w:sz w:val="18"/>
                      <w:szCs w:val="18"/>
                      <w:highlight w:val="none"/>
                    </w:rPr>
                  </w:pPr>
                  <w:r>
                    <w:rPr>
                      <w:rFonts w:hint="eastAsia"/>
                      <w:color w:val="auto"/>
                      <w:kern w:val="0"/>
                      <w:sz w:val="18"/>
                      <w:szCs w:val="18"/>
                      <w:highlight w:val="none"/>
                      <w:lang w:bidi="ar"/>
                    </w:rPr>
                    <w:t>147.28</w:t>
                  </w:r>
                </w:p>
              </w:tc>
              <w:tc>
                <w:tcPr>
                  <w:tcW w:w="1692" w:type="dxa"/>
                  <w:vMerge w:val="continue"/>
                  <w:shd w:val="clear" w:color="auto" w:fill="FFFFFF"/>
                  <w:noWrap w:val="0"/>
                  <w:vAlign w:val="center"/>
                </w:tcPr>
                <w:p>
                  <w:pPr>
                    <w:spacing w:line="220" w:lineRule="exact"/>
                    <w:ind w:left="-120" w:leftChars="-50" w:right="-120" w:rightChars="-50"/>
                    <w:jc w:val="center"/>
                    <w:rPr>
                      <w:color w:val="auto"/>
                      <w:sz w:val="18"/>
                      <w:szCs w:val="18"/>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816" w:type="dxa"/>
                  <w:vMerge w:val="continue"/>
                  <w:shd w:val="clear" w:color="auto" w:fill="FFFFFF"/>
                  <w:noWrap w:val="0"/>
                  <w:vAlign w:val="center"/>
                </w:tcPr>
                <w:p>
                  <w:pPr>
                    <w:spacing w:line="220" w:lineRule="exact"/>
                    <w:ind w:left="-120" w:leftChars="-50" w:right="-120" w:rightChars="-50"/>
                    <w:jc w:val="center"/>
                    <w:rPr>
                      <w:color w:val="auto"/>
                      <w:sz w:val="18"/>
                      <w:szCs w:val="18"/>
                      <w:highlight w:val="none"/>
                    </w:rPr>
                  </w:pPr>
                </w:p>
              </w:tc>
              <w:tc>
                <w:tcPr>
                  <w:tcW w:w="1007" w:type="dxa"/>
                  <w:vMerge w:val="continue"/>
                  <w:shd w:val="clear" w:color="auto" w:fill="FFFFFF"/>
                  <w:noWrap w:val="0"/>
                  <w:vAlign w:val="center"/>
                </w:tcPr>
                <w:p>
                  <w:pPr>
                    <w:spacing w:line="220" w:lineRule="exact"/>
                    <w:ind w:left="-120" w:leftChars="-50" w:right="-120" w:rightChars="-50"/>
                    <w:jc w:val="center"/>
                    <w:rPr>
                      <w:color w:val="auto"/>
                      <w:sz w:val="18"/>
                      <w:szCs w:val="18"/>
                      <w:highlight w:val="none"/>
                    </w:rPr>
                  </w:pPr>
                </w:p>
              </w:tc>
              <w:tc>
                <w:tcPr>
                  <w:tcW w:w="932" w:type="dxa"/>
                  <w:shd w:val="clear" w:color="auto" w:fill="FFFFFF"/>
                  <w:noWrap w:val="0"/>
                  <w:vAlign w:val="center"/>
                </w:tcPr>
                <w:p>
                  <w:pPr>
                    <w:tabs>
                      <w:tab w:val="left" w:pos="105"/>
                    </w:tabs>
                    <w:spacing w:line="240" w:lineRule="exact"/>
                    <w:ind w:left="-120" w:leftChars="-50" w:right="-120" w:rightChars="-50"/>
                    <w:jc w:val="center"/>
                    <w:rPr>
                      <w:color w:val="auto"/>
                      <w:sz w:val="18"/>
                      <w:szCs w:val="18"/>
                      <w:highlight w:val="none"/>
                    </w:rPr>
                  </w:pPr>
                  <w:r>
                    <w:rPr>
                      <w:color w:val="auto"/>
                      <w:sz w:val="18"/>
                      <w:szCs w:val="18"/>
                      <w:highlight w:val="none"/>
                    </w:rPr>
                    <w:t>粉尘</w:t>
                  </w:r>
                </w:p>
              </w:tc>
              <w:tc>
                <w:tcPr>
                  <w:tcW w:w="1053" w:type="dxa"/>
                  <w:shd w:val="clear" w:color="auto" w:fill="FFFFFF"/>
                  <w:noWrap w:val="0"/>
                  <w:vAlign w:val="center"/>
                </w:tcPr>
                <w:p>
                  <w:pPr>
                    <w:spacing w:line="220" w:lineRule="exact"/>
                    <w:ind w:left="-120" w:leftChars="-50" w:right="-120" w:rightChars="-50"/>
                    <w:jc w:val="center"/>
                    <w:rPr>
                      <w:color w:val="auto"/>
                      <w:sz w:val="18"/>
                      <w:szCs w:val="18"/>
                      <w:highlight w:val="none"/>
                    </w:rPr>
                  </w:pPr>
                  <w:r>
                    <w:rPr>
                      <w:color w:val="auto"/>
                      <w:kern w:val="0"/>
                      <w:sz w:val="18"/>
                      <w:szCs w:val="18"/>
                      <w:highlight w:val="none"/>
                      <w:lang w:bidi="ar"/>
                    </w:rPr>
                    <w:t>0.0072t/a</w:t>
                  </w:r>
                </w:p>
              </w:tc>
              <w:tc>
                <w:tcPr>
                  <w:tcW w:w="1346" w:type="dxa"/>
                  <w:shd w:val="clear" w:color="auto" w:fill="FFFFFF"/>
                  <w:noWrap w:val="0"/>
                  <w:vAlign w:val="center"/>
                </w:tcPr>
                <w:p>
                  <w:pPr>
                    <w:spacing w:line="220" w:lineRule="exact"/>
                    <w:ind w:left="-120" w:leftChars="-50" w:right="-120" w:rightChars="-50"/>
                    <w:jc w:val="center"/>
                    <w:rPr>
                      <w:color w:val="auto"/>
                      <w:sz w:val="18"/>
                      <w:szCs w:val="18"/>
                      <w:highlight w:val="none"/>
                    </w:rPr>
                  </w:pPr>
                  <w:r>
                    <w:rPr>
                      <w:color w:val="auto"/>
                      <w:sz w:val="18"/>
                      <w:szCs w:val="18"/>
                      <w:highlight w:val="none"/>
                    </w:rPr>
                    <w:t>0.0072</w:t>
                  </w:r>
                </w:p>
              </w:tc>
              <w:tc>
                <w:tcPr>
                  <w:tcW w:w="1089" w:type="dxa"/>
                  <w:shd w:val="clear" w:color="auto" w:fill="FFFFFF"/>
                  <w:noWrap w:val="0"/>
                  <w:vAlign w:val="center"/>
                </w:tcPr>
                <w:p>
                  <w:pPr>
                    <w:spacing w:line="220" w:lineRule="exact"/>
                    <w:ind w:left="-120" w:leftChars="-50" w:right="-120" w:rightChars="-50"/>
                    <w:jc w:val="center"/>
                    <w:rPr>
                      <w:color w:val="auto"/>
                      <w:sz w:val="18"/>
                      <w:szCs w:val="18"/>
                      <w:highlight w:val="none"/>
                    </w:rPr>
                  </w:pPr>
                  <w:r>
                    <w:rPr>
                      <w:rFonts w:hint="eastAsia"/>
                      <w:color w:val="auto"/>
                      <w:sz w:val="18"/>
                      <w:szCs w:val="18"/>
                      <w:highlight w:val="none"/>
                    </w:rPr>
                    <w:t>22.27</w:t>
                  </w:r>
                </w:p>
              </w:tc>
              <w:tc>
                <w:tcPr>
                  <w:tcW w:w="1692" w:type="dxa"/>
                  <w:vMerge w:val="continue"/>
                  <w:shd w:val="clear" w:color="auto" w:fill="FFFFFF"/>
                  <w:noWrap w:val="0"/>
                  <w:vAlign w:val="center"/>
                </w:tcPr>
                <w:p>
                  <w:pPr>
                    <w:spacing w:line="220" w:lineRule="exact"/>
                    <w:ind w:left="-120" w:leftChars="-50" w:right="-120" w:rightChars="-50"/>
                    <w:jc w:val="center"/>
                    <w:rPr>
                      <w:color w:val="auto"/>
                      <w:sz w:val="18"/>
                      <w:szCs w:val="18"/>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290" w:hRule="atLeast"/>
                <w:jc w:val="center"/>
              </w:trPr>
              <w:tc>
                <w:tcPr>
                  <w:tcW w:w="816" w:type="dxa"/>
                  <w:shd w:val="clear" w:color="auto" w:fill="FFFFFF"/>
                  <w:noWrap w:val="0"/>
                  <w:vAlign w:val="center"/>
                </w:tcPr>
                <w:p>
                  <w:pPr>
                    <w:spacing w:line="220" w:lineRule="exact"/>
                    <w:ind w:left="-120" w:leftChars="-50" w:right="-120" w:rightChars="-50"/>
                    <w:jc w:val="center"/>
                    <w:rPr>
                      <w:color w:val="auto"/>
                      <w:sz w:val="18"/>
                      <w:szCs w:val="18"/>
                      <w:highlight w:val="none"/>
                    </w:rPr>
                  </w:pPr>
                  <w:r>
                    <w:rPr>
                      <w:color w:val="auto"/>
                      <w:sz w:val="18"/>
                      <w:szCs w:val="18"/>
                      <w:highlight w:val="none"/>
                    </w:rPr>
                    <w:t>原料堆场1</w:t>
                  </w:r>
                </w:p>
              </w:tc>
              <w:tc>
                <w:tcPr>
                  <w:tcW w:w="1007" w:type="dxa"/>
                  <w:shd w:val="clear" w:color="auto" w:fill="FFFFFF"/>
                  <w:noWrap w:val="0"/>
                  <w:vAlign w:val="center"/>
                </w:tcPr>
                <w:p>
                  <w:pPr>
                    <w:spacing w:line="220" w:lineRule="exact"/>
                    <w:ind w:left="-120" w:leftChars="-50" w:right="-120" w:rightChars="-50"/>
                    <w:jc w:val="center"/>
                    <w:rPr>
                      <w:color w:val="auto"/>
                      <w:sz w:val="18"/>
                      <w:szCs w:val="18"/>
                      <w:highlight w:val="none"/>
                    </w:rPr>
                  </w:pPr>
                  <w:r>
                    <w:rPr>
                      <w:color w:val="auto"/>
                      <w:sz w:val="18"/>
                      <w:szCs w:val="18"/>
                      <w:highlight w:val="none"/>
                    </w:rPr>
                    <w:t>堆场扬尘</w:t>
                  </w:r>
                </w:p>
              </w:tc>
              <w:tc>
                <w:tcPr>
                  <w:tcW w:w="932" w:type="dxa"/>
                  <w:shd w:val="clear" w:color="auto" w:fill="FFFFFF"/>
                  <w:noWrap w:val="0"/>
                  <w:vAlign w:val="center"/>
                </w:tcPr>
                <w:p>
                  <w:pPr>
                    <w:tabs>
                      <w:tab w:val="left" w:pos="105"/>
                    </w:tabs>
                    <w:spacing w:line="240" w:lineRule="exact"/>
                    <w:ind w:left="-120" w:leftChars="-50" w:right="-120" w:rightChars="-50"/>
                    <w:jc w:val="center"/>
                    <w:rPr>
                      <w:color w:val="auto"/>
                      <w:sz w:val="18"/>
                      <w:szCs w:val="18"/>
                      <w:highlight w:val="none"/>
                    </w:rPr>
                  </w:pPr>
                  <w:r>
                    <w:rPr>
                      <w:color w:val="auto"/>
                      <w:sz w:val="18"/>
                      <w:szCs w:val="18"/>
                      <w:highlight w:val="none"/>
                    </w:rPr>
                    <w:t>TSP</w:t>
                  </w:r>
                </w:p>
              </w:tc>
              <w:tc>
                <w:tcPr>
                  <w:tcW w:w="1053" w:type="dxa"/>
                  <w:shd w:val="clear" w:color="auto" w:fill="FFFFFF"/>
                  <w:noWrap w:val="0"/>
                  <w:vAlign w:val="center"/>
                </w:tcPr>
                <w:p>
                  <w:pPr>
                    <w:spacing w:line="220" w:lineRule="exact"/>
                    <w:ind w:left="-120" w:leftChars="-50" w:right="-120" w:rightChars="-50"/>
                    <w:jc w:val="center"/>
                    <w:rPr>
                      <w:color w:val="auto"/>
                      <w:kern w:val="0"/>
                      <w:sz w:val="18"/>
                      <w:szCs w:val="18"/>
                      <w:highlight w:val="none"/>
                      <w:lang w:bidi="ar"/>
                    </w:rPr>
                  </w:pPr>
                  <w:r>
                    <w:rPr>
                      <w:color w:val="auto"/>
                      <w:kern w:val="0"/>
                      <w:sz w:val="18"/>
                      <w:szCs w:val="18"/>
                      <w:highlight w:val="none"/>
                      <w:lang w:bidi="ar"/>
                    </w:rPr>
                    <w:t>3</w:t>
                  </w:r>
                </w:p>
              </w:tc>
              <w:tc>
                <w:tcPr>
                  <w:tcW w:w="1346" w:type="dxa"/>
                  <w:shd w:val="clear" w:color="auto" w:fill="FFFFFF"/>
                  <w:noWrap w:val="0"/>
                  <w:vAlign w:val="center"/>
                </w:tcPr>
                <w:p>
                  <w:pPr>
                    <w:spacing w:line="220" w:lineRule="exact"/>
                    <w:ind w:left="-120" w:leftChars="-50" w:right="-120" w:rightChars="-50"/>
                    <w:jc w:val="center"/>
                    <w:rPr>
                      <w:color w:val="auto"/>
                      <w:sz w:val="18"/>
                      <w:szCs w:val="18"/>
                      <w:highlight w:val="none"/>
                    </w:rPr>
                  </w:pPr>
                  <w:r>
                    <w:rPr>
                      <w:color w:val="auto"/>
                      <w:sz w:val="18"/>
                      <w:szCs w:val="18"/>
                      <w:highlight w:val="none"/>
                    </w:rPr>
                    <w:t>0.568</w:t>
                  </w:r>
                </w:p>
              </w:tc>
              <w:tc>
                <w:tcPr>
                  <w:tcW w:w="1089" w:type="dxa"/>
                  <w:shd w:val="clear" w:color="auto" w:fill="FFFFFF"/>
                  <w:noWrap w:val="0"/>
                  <w:vAlign w:val="center"/>
                </w:tcPr>
                <w:p>
                  <w:pPr>
                    <w:spacing w:line="220" w:lineRule="exact"/>
                    <w:ind w:left="-120" w:leftChars="-50" w:right="-120" w:rightChars="-50"/>
                    <w:jc w:val="center"/>
                    <w:rPr>
                      <w:color w:val="auto"/>
                      <w:sz w:val="18"/>
                      <w:szCs w:val="18"/>
                      <w:highlight w:val="none"/>
                    </w:rPr>
                  </w:pPr>
                  <w:r>
                    <w:rPr>
                      <w:color w:val="auto"/>
                      <w:sz w:val="18"/>
                      <w:szCs w:val="18"/>
                      <w:highlight w:val="none"/>
                    </w:rPr>
                    <w:t>/</w:t>
                  </w:r>
                </w:p>
              </w:tc>
              <w:tc>
                <w:tcPr>
                  <w:tcW w:w="1692" w:type="dxa"/>
                  <w:shd w:val="clear" w:color="auto" w:fill="FFFFFF"/>
                  <w:noWrap w:val="0"/>
                  <w:vAlign w:val="center"/>
                </w:tcPr>
                <w:p>
                  <w:pPr>
                    <w:spacing w:line="220" w:lineRule="exact"/>
                    <w:ind w:left="-120" w:leftChars="-50" w:right="-120" w:rightChars="-50"/>
                    <w:jc w:val="center"/>
                    <w:rPr>
                      <w:color w:val="auto"/>
                      <w:sz w:val="18"/>
                      <w:szCs w:val="18"/>
                      <w:highlight w:val="none"/>
                    </w:rPr>
                  </w:pPr>
                  <w:r>
                    <w:rPr>
                      <w:rFonts w:hint="eastAsia"/>
                      <w:color w:val="auto"/>
                      <w:sz w:val="18"/>
                      <w:szCs w:val="18"/>
                      <w:highlight w:val="none"/>
                    </w:rPr>
                    <w:t>经验公式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816" w:type="dxa"/>
                  <w:shd w:val="clear" w:color="auto" w:fill="FFFFFF"/>
                  <w:noWrap w:val="0"/>
                  <w:vAlign w:val="center"/>
                </w:tcPr>
                <w:p>
                  <w:pPr>
                    <w:spacing w:line="220" w:lineRule="exact"/>
                    <w:ind w:left="-120" w:leftChars="-50" w:right="-120" w:rightChars="-50"/>
                    <w:jc w:val="center"/>
                    <w:rPr>
                      <w:color w:val="auto"/>
                      <w:sz w:val="18"/>
                      <w:szCs w:val="18"/>
                      <w:highlight w:val="none"/>
                    </w:rPr>
                  </w:pPr>
                  <w:r>
                    <w:rPr>
                      <w:color w:val="auto"/>
                      <w:sz w:val="18"/>
                      <w:szCs w:val="18"/>
                      <w:highlight w:val="none"/>
                    </w:rPr>
                    <w:t>原料堆场2</w:t>
                  </w:r>
                </w:p>
              </w:tc>
              <w:tc>
                <w:tcPr>
                  <w:tcW w:w="1007" w:type="dxa"/>
                  <w:shd w:val="clear" w:color="auto" w:fill="FFFFFF"/>
                  <w:noWrap w:val="0"/>
                  <w:vAlign w:val="center"/>
                </w:tcPr>
                <w:p>
                  <w:pPr>
                    <w:spacing w:line="220" w:lineRule="exact"/>
                    <w:ind w:left="-120" w:leftChars="-50" w:right="-120" w:rightChars="-50"/>
                    <w:jc w:val="center"/>
                    <w:rPr>
                      <w:color w:val="auto"/>
                      <w:sz w:val="18"/>
                      <w:szCs w:val="18"/>
                      <w:highlight w:val="none"/>
                    </w:rPr>
                  </w:pPr>
                  <w:r>
                    <w:rPr>
                      <w:color w:val="auto"/>
                      <w:sz w:val="18"/>
                      <w:szCs w:val="18"/>
                      <w:highlight w:val="none"/>
                    </w:rPr>
                    <w:t>堆场粉尘</w:t>
                  </w:r>
                </w:p>
              </w:tc>
              <w:tc>
                <w:tcPr>
                  <w:tcW w:w="932" w:type="dxa"/>
                  <w:shd w:val="clear" w:color="auto" w:fill="FFFFFF"/>
                  <w:noWrap w:val="0"/>
                  <w:vAlign w:val="center"/>
                </w:tcPr>
                <w:p>
                  <w:pPr>
                    <w:tabs>
                      <w:tab w:val="left" w:pos="105"/>
                    </w:tabs>
                    <w:spacing w:line="240" w:lineRule="exact"/>
                    <w:ind w:left="-120" w:leftChars="-50" w:right="-120" w:rightChars="-50"/>
                    <w:jc w:val="center"/>
                    <w:rPr>
                      <w:color w:val="auto"/>
                      <w:sz w:val="18"/>
                      <w:szCs w:val="18"/>
                      <w:highlight w:val="none"/>
                    </w:rPr>
                  </w:pPr>
                  <w:r>
                    <w:rPr>
                      <w:color w:val="auto"/>
                      <w:sz w:val="18"/>
                      <w:szCs w:val="18"/>
                      <w:highlight w:val="none"/>
                    </w:rPr>
                    <w:t>TSP</w:t>
                  </w:r>
                </w:p>
              </w:tc>
              <w:tc>
                <w:tcPr>
                  <w:tcW w:w="1053" w:type="dxa"/>
                  <w:shd w:val="clear" w:color="auto" w:fill="FFFFFF"/>
                  <w:noWrap w:val="0"/>
                  <w:vAlign w:val="center"/>
                </w:tcPr>
                <w:p>
                  <w:pPr>
                    <w:spacing w:line="220" w:lineRule="exact"/>
                    <w:ind w:left="-120" w:leftChars="-50" w:right="-120" w:rightChars="-50"/>
                    <w:jc w:val="center"/>
                    <w:rPr>
                      <w:color w:val="auto"/>
                      <w:kern w:val="0"/>
                      <w:sz w:val="18"/>
                      <w:szCs w:val="18"/>
                      <w:highlight w:val="none"/>
                      <w:lang w:bidi="ar"/>
                    </w:rPr>
                  </w:pPr>
                  <w:r>
                    <w:rPr>
                      <w:color w:val="auto"/>
                      <w:kern w:val="0"/>
                      <w:sz w:val="18"/>
                      <w:szCs w:val="18"/>
                      <w:highlight w:val="none"/>
                      <w:lang w:bidi="ar"/>
                    </w:rPr>
                    <w:t>3</w:t>
                  </w:r>
                </w:p>
              </w:tc>
              <w:tc>
                <w:tcPr>
                  <w:tcW w:w="1346" w:type="dxa"/>
                  <w:shd w:val="clear" w:color="auto" w:fill="FFFFFF"/>
                  <w:noWrap w:val="0"/>
                  <w:vAlign w:val="center"/>
                </w:tcPr>
                <w:p>
                  <w:pPr>
                    <w:spacing w:line="220" w:lineRule="exact"/>
                    <w:ind w:left="-120" w:leftChars="-50" w:right="-120" w:rightChars="-50"/>
                    <w:jc w:val="center"/>
                    <w:rPr>
                      <w:color w:val="auto"/>
                      <w:sz w:val="18"/>
                      <w:szCs w:val="18"/>
                      <w:highlight w:val="none"/>
                    </w:rPr>
                  </w:pPr>
                  <w:r>
                    <w:rPr>
                      <w:color w:val="auto"/>
                      <w:sz w:val="18"/>
                      <w:szCs w:val="18"/>
                      <w:highlight w:val="none"/>
                    </w:rPr>
                    <w:t>0.568</w:t>
                  </w:r>
                </w:p>
              </w:tc>
              <w:tc>
                <w:tcPr>
                  <w:tcW w:w="1089" w:type="dxa"/>
                  <w:shd w:val="clear" w:color="auto" w:fill="FFFFFF"/>
                  <w:noWrap w:val="0"/>
                  <w:vAlign w:val="center"/>
                </w:tcPr>
                <w:p>
                  <w:pPr>
                    <w:spacing w:line="220" w:lineRule="exact"/>
                    <w:ind w:left="-120" w:leftChars="-50" w:right="-120" w:rightChars="-50"/>
                    <w:jc w:val="center"/>
                    <w:rPr>
                      <w:color w:val="auto"/>
                      <w:sz w:val="18"/>
                      <w:szCs w:val="18"/>
                      <w:highlight w:val="none"/>
                    </w:rPr>
                  </w:pPr>
                  <w:r>
                    <w:rPr>
                      <w:color w:val="auto"/>
                      <w:sz w:val="18"/>
                      <w:szCs w:val="18"/>
                      <w:highlight w:val="none"/>
                    </w:rPr>
                    <w:t>/</w:t>
                  </w:r>
                </w:p>
              </w:tc>
              <w:tc>
                <w:tcPr>
                  <w:tcW w:w="1692" w:type="dxa"/>
                  <w:shd w:val="clear" w:color="auto" w:fill="FFFFFF"/>
                  <w:noWrap w:val="0"/>
                  <w:vAlign w:val="center"/>
                </w:tcPr>
                <w:p>
                  <w:pPr>
                    <w:spacing w:line="220" w:lineRule="exact"/>
                    <w:ind w:left="-120" w:leftChars="-50" w:right="-120" w:rightChars="-50"/>
                    <w:jc w:val="center"/>
                    <w:rPr>
                      <w:snapToGrid w:val="0"/>
                      <w:color w:val="auto"/>
                      <w:kern w:val="0"/>
                      <w:sz w:val="18"/>
                      <w:szCs w:val="18"/>
                      <w:highlight w:val="none"/>
                    </w:rPr>
                  </w:pPr>
                  <w:r>
                    <w:rPr>
                      <w:rFonts w:hint="eastAsia"/>
                      <w:snapToGrid w:val="0"/>
                      <w:color w:val="auto"/>
                      <w:kern w:val="0"/>
                      <w:sz w:val="18"/>
                      <w:szCs w:val="18"/>
                      <w:highlight w:val="none"/>
                    </w:rPr>
                    <w:t>经验公式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816" w:type="dxa"/>
                  <w:shd w:val="clear" w:color="auto" w:fill="FFFFFF"/>
                  <w:noWrap w:val="0"/>
                  <w:vAlign w:val="center"/>
                </w:tcPr>
                <w:p>
                  <w:pPr>
                    <w:tabs>
                      <w:tab w:val="left" w:pos="0"/>
                    </w:tabs>
                    <w:adjustRightInd w:val="0"/>
                    <w:snapToGrid w:val="0"/>
                    <w:jc w:val="center"/>
                    <w:rPr>
                      <w:color w:val="auto"/>
                      <w:sz w:val="18"/>
                      <w:szCs w:val="18"/>
                      <w:highlight w:val="none"/>
                    </w:rPr>
                  </w:pPr>
                  <w:r>
                    <w:rPr>
                      <w:snapToGrid w:val="0"/>
                      <w:color w:val="auto"/>
                      <w:kern w:val="0"/>
                      <w:sz w:val="18"/>
                      <w:szCs w:val="18"/>
                      <w:highlight w:val="none"/>
                    </w:rPr>
                    <w:t>汽车运输</w:t>
                  </w:r>
                </w:p>
              </w:tc>
              <w:tc>
                <w:tcPr>
                  <w:tcW w:w="1007" w:type="dxa"/>
                  <w:shd w:val="clear" w:color="auto" w:fill="FFFFFF"/>
                  <w:noWrap w:val="0"/>
                  <w:vAlign w:val="center"/>
                </w:tcPr>
                <w:p>
                  <w:pPr>
                    <w:tabs>
                      <w:tab w:val="left" w:pos="0"/>
                    </w:tabs>
                    <w:adjustRightInd w:val="0"/>
                    <w:snapToGrid w:val="0"/>
                    <w:jc w:val="center"/>
                    <w:rPr>
                      <w:color w:val="auto"/>
                      <w:sz w:val="18"/>
                      <w:szCs w:val="18"/>
                      <w:highlight w:val="none"/>
                    </w:rPr>
                  </w:pPr>
                  <w:r>
                    <w:rPr>
                      <w:snapToGrid w:val="0"/>
                      <w:color w:val="auto"/>
                      <w:kern w:val="0"/>
                      <w:sz w:val="18"/>
                      <w:szCs w:val="18"/>
                      <w:highlight w:val="none"/>
                    </w:rPr>
                    <w:t>运输</w:t>
                  </w:r>
                </w:p>
              </w:tc>
              <w:tc>
                <w:tcPr>
                  <w:tcW w:w="932" w:type="dxa"/>
                  <w:shd w:val="clear" w:color="auto" w:fill="FFFFFF"/>
                  <w:noWrap w:val="0"/>
                  <w:vAlign w:val="center"/>
                </w:tcPr>
                <w:p>
                  <w:pPr>
                    <w:tabs>
                      <w:tab w:val="left" w:pos="0"/>
                    </w:tabs>
                    <w:adjustRightInd w:val="0"/>
                    <w:snapToGrid w:val="0"/>
                    <w:jc w:val="center"/>
                    <w:rPr>
                      <w:color w:val="auto"/>
                      <w:sz w:val="18"/>
                      <w:szCs w:val="18"/>
                      <w:highlight w:val="none"/>
                    </w:rPr>
                  </w:pPr>
                  <w:r>
                    <w:rPr>
                      <w:snapToGrid w:val="0"/>
                      <w:color w:val="auto"/>
                      <w:kern w:val="0"/>
                      <w:sz w:val="18"/>
                      <w:szCs w:val="18"/>
                      <w:highlight w:val="none"/>
                    </w:rPr>
                    <w:t>扬尘</w:t>
                  </w:r>
                </w:p>
              </w:tc>
              <w:tc>
                <w:tcPr>
                  <w:tcW w:w="1053" w:type="dxa"/>
                  <w:shd w:val="clear" w:color="auto" w:fill="FFFFFF"/>
                  <w:noWrap w:val="0"/>
                  <w:vAlign w:val="center"/>
                </w:tcPr>
                <w:p>
                  <w:pPr>
                    <w:tabs>
                      <w:tab w:val="left" w:pos="0"/>
                    </w:tabs>
                    <w:adjustRightInd w:val="0"/>
                    <w:snapToGrid w:val="0"/>
                    <w:jc w:val="center"/>
                    <w:rPr>
                      <w:color w:val="auto"/>
                      <w:kern w:val="0"/>
                      <w:sz w:val="18"/>
                      <w:szCs w:val="18"/>
                      <w:highlight w:val="none"/>
                      <w:lang w:bidi="ar"/>
                    </w:rPr>
                  </w:pPr>
                  <w:r>
                    <w:rPr>
                      <w:snapToGrid w:val="0"/>
                      <w:color w:val="auto"/>
                      <w:kern w:val="0"/>
                      <w:sz w:val="18"/>
                      <w:szCs w:val="18"/>
                      <w:highlight w:val="none"/>
                    </w:rPr>
                    <w:t>21.87</w:t>
                  </w:r>
                </w:p>
              </w:tc>
              <w:tc>
                <w:tcPr>
                  <w:tcW w:w="1346" w:type="dxa"/>
                  <w:shd w:val="clear" w:color="auto" w:fill="FFFFFF"/>
                  <w:noWrap w:val="0"/>
                  <w:vAlign w:val="center"/>
                </w:tcPr>
                <w:p>
                  <w:pPr>
                    <w:tabs>
                      <w:tab w:val="left" w:pos="0"/>
                    </w:tabs>
                    <w:adjustRightInd w:val="0"/>
                    <w:snapToGrid w:val="0"/>
                    <w:jc w:val="center"/>
                    <w:rPr>
                      <w:color w:val="auto"/>
                      <w:sz w:val="18"/>
                      <w:szCs w:val="18"/>
                      <w:highlight w:val="none"/>
                    </w:rPr>
                  </w:pPr>
                  <w:r>
                    <w:rPr>
                      <w:snapToGrid w:val="0"/>
                      <w:color w:val="auto"/>
                      <w:kern w:val="0"/>
                      <w:sz w:val="18"/>
                      <w:szCs w:val="18"/>
                      <w:highlight w:val="none"/>
                    </w:rPr>
                    <w:t>6.075</w:t>
                  </w:r>
                </w:p>
              </w:tc>
              <w:tc>
                <w:tcPr>
                  <w:tcW w:w="1089" w:type="dxa"/>
                  <w:shd w:val="clear" w:color="auto" w:fill="FFFFFF"/>
                  <w:noWrap w:val="0"/>
                  <w:vAlign w:val="center"/>
                </w:tcPr>
                <w:p>
                  <w:pPr>
                    <w:tabs>
                      <w:tab w:val="left" w:pos="0"/>
                    </w:tabs>
                    <w:adjustRightInd w:val="0"/>
                    <w:snapToGrid w:val="0"/>
                    <w:jc w:val="center"/>
                    <w:rPr>
                      <w:color w:val="auto"/>
                      <w:sz w:val="18"/>
                      <w:szCs w:val="18"/>
                      <w:highlight w:val="none"/>
                    </w:rPr>
                  </w:pPr>
                  <w:r>
                    <w:rPr>
                      <w:snapToGrid w:val="0"/>
                      <w:color w:val="auto"/>
                      <w:kern w:val="0"/>
                      <w:sz w:val="18"/>
                      <w:szCs w:val="18"/>
                      <w:highlight w:val="none"/>
                    </w:rPr>
                    <w:t>/</w:t>
                  </w:r>
                </w:p>
              </w:tc>
              <w:tc>
                <w:tcPr>
                  <w:tcW w:w="1692" w:type="dxa"/>
                  <w:shd w:val="clear" w:color="auto" w:fill="FFFFFF"/>
                  <w:noWrap w:val="0"/>
                  <w:vAlign w:val="center"/>
                </w:tcPr>
                <w:p>
                  <w:pPr>
                    <w:tabs>
                      <w:tab w:val="left" w:pos="0"/>
                    </w:tabs>
                    <w:adjustRightInd w:val="0"/>
                    <w:snapToGrid w:val="0"/>
                    <w:jc w:val="center"/>
                    <w:rPr>
                      <w:snapToGrid w:val="0"/>
                      <w:color w:val="auto"/>
                      <w:kern w:val="0"/>
                      <w:sz w:val="18"/>
                      <w:szCs w:val="18"/>
                      <w:highlight w:val="none"/>
                    </w:rPr>
                  </w:pPr>
                  <w:r>
                    <w:rPr>
                      <w:snapToGrid w:val="0"/>
                      <w:color w:val="auto"/>
                      <w:kern w:val="0"/>
                      <w:sz w:val="18"/>
                      <w:szCs w:val="18"/>
                      <w:highlight w:val="none"/>
                    </w:rPr>
                    <w:t>类比</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816" w:type="dxa"/>
                  <w:shd w:val="clear" w:color="auto" w:fill="FFFFFF"/>
                  <w:noWrap w:val="0"/>
                  <w:vAlign w:val="center"/>
                </w:tcPr>
                <w:p>
                  <w:pPr>
                    <w:tabs>
                      <w:tab w:val="left" w:pos="0"/>
                    </w:tabs>
                    <w:adjustRightInd w:val="0"/>
                    <w:snapToGrid w:val="0"/>
                    <w:jc w:val="center"/>
                    <w:rPr>
                      <w:color w:val="auto"/>
                      <w:sz w:val="18"/>
                      <w:szCs w:val="18"/>
                      <w:highlight w:val="none"/>
                    </w:rPr>
                  </w:pPr>
                  <w:r>
                    <w:rPr>
                      <w:snapToGrid w:val="0"/>
                      <w:color w:val="auto"/>
                      <w:kern w:val="0"/>
                      <w:sz w:val="18"/>
                      <w:szCs w:val="18"/>
                      <w:highlight w:val="none"/>
                    </w:rPr>
                    <w:t>汽车尾气</w:t>
                  </w:r>
                </w:p>
              </w:tc>
              <w:tc>
                <w:tcPr>
                  <w:tcW w:w="1007" w:type="dxa"/>
                  <w:shd w:val="clear" w:color="auto" w:fill="FFFFFF"/>
                  <w:noWrap w:val="0"/>
                  <w:vAlign w:val="center"/>
                </w:tcPr>
                <w:p>
                  <w:pPr>
                    <w:tabs>
                      <w:tab w:val="left" w:pos="0"/>
                    </w:tabs>
                    <w:adjustRightInd w:val="0"/>
                    <w:snapToGrid w:val="0"/>
                    <w:jc w:val="center"/>
                    <w:rPr>
                      <w:color w:val="auto"/>
                      <w:sz w:val="18"/>
                      <w:szCs w:val="18"/>
                      <w:highlight w:val="none"/>
                    </w:rPr>
                  </w:pPr>
                  <w:r>
                    <w:rPr>
                      <w:snapToGrid w:val="0"/>
                      <w:color w:val="auto"/>
                      <w:kern w:val="0"/>
                      <w:sz w:val="18"/>
                      <w:szCs w:val="18"/>
                      <w:highlight w:val="none"/>
                    </w:rPr>
                    <w:t>运输</w:t>
                  </w:r>
                </w:p>
              </w:tc>
              <w:tc>
                <w:tcPr>
                  <w:tcW w:w="932" w:type="dxa"/>
                  <w:shd w:val="clear" w:color="auto" w:fill="FFFFFF"/>
                  <w:noWrap w:val="0"/>
                  <w:vAlign w:val="center"/>
                </w:tcPr>
                <w:p>
                  <w:pPr>
                    <w:tabs>
                      <w:tab w:val="left" w:pos="0"/>
                    </w:tabs>
                    <w:adjustRightInd w:val="0"/>
                    <w:snapToGrid w:val="0"/>
                    <w:jc w:val="center"/>
                    <w:rPr>
                      <w:color w:val="auto"/>
                      <w:sz w:val="18"/>
                      <w:szCs w:val="18"/>
                      <w:highlight w:val="none"/>
                    </w:rPr>
                  </w:pPr>
                  <w:r>
                    <w:rPr>
                      <w:snapToGrid w:val="0"/>
                      <w:color w:val="auto"/>
                      <w:kern w:val="0"/>
                      <w:sz w:val="18"/>
                      <w:szCs w:val="18"/>
                      <w:highlight w:val="none"/>
                    </w:rPr>
                    <w:t>尾气</w:t>
                  </w:r>
                </w:p>
              </w:tc>
              <w:tc>
                <w:tcPr>
                  <w:tcW w:w="1053" w:type="dxa"/>
                  <w:shd w:val="clear" w:color="auto" w:fill="FFFFFF"/>
                  <w:noWrap w:val="0"/>
                  <w:vAlign w:val="center"/>
                </w:tcPr>
                <w:p>
                  <w:pPr>
                    <w:tabs>
                      <w:tab w:val="left" w:pos="0"/>
                    </w:tabs>
                    <w:adjustRightInd w:val="0"/>
                    <w:snapToGrid w:val="0"/>
                    <w:jc w:val="center"/>
                    <w:rPr>
                      <w:color w:val="auto"/>
                      <w:kern w:val="0"/>
                      <w:sz w:val="18"/>
                      <w:szCs w:val="18"/>
                      <w:highlight w:val="none"/>
                      <w:lang w:bidi="ar"/>
                    </w:rPr>
                  </w:pPr>
                  <w:r>
                    <w:rPr>
                      <w:snapToGrid w:val="0"/>
                      <w:color w:val="auto"/>
                      <w:kern w:val="0"/>
                      <w:sz w:val="18"/>
                      <w:szCs w:val="18"/>
                      <w:highlight w:val="none"/>
                    </w:rPr>
                    <w:t>/</w:t>
                  </w:r>
                </w:p>
              </w:tc>
              <w:tc>
                <w:tcPr>
                  <w:tcW w:w="1346" w:type="dxa"/>
                  <w:shd w:val="clear" w:color="auto" w:fill="FFFFFF"/>
                  <w:noWrap w:val="0"/>
                  <w:vAlign w:val="center"/>
                </w:tcPr>
                <w:p>
                  <w:pPr>
                    <w:tabs>
                      <w:tab w:val="left" w:pos="0"/>
                    </w:tabs>
                    <w:adjustRightInd w:val="0"/>
                    <w:snapToGrid w:val="0"/>
                    <w:jc w:val="center"/>
                    <w:rPr>
                      <w:color w:val="auto"/>
                      <w:sz w:val="18"/>
                      <w:szCs w:val="18"/>
                      <w:highlight w:val="none"/>
                    </w:rPr>
                  </w:pPr>
                  <w:r>
                    <w:rPr>
                      <w:snapToGrid w:val="0"/>
                      <w:color w:val="auto"/>
                      <w:kern w:val="0"/>
                      <w:sz w:val="18"/>
                      <w:szCs w:val="18"/>
                      <w:highlight w:val="none"/>
                    </w:rPr>
                    <w:t>/</w:t>
                  </w:r>
                </w:p>
              </w:tc>
              <w:tc>
                <w:tcPr>
                  <w:tcW w:w="1089" w:type="dxa"/>
                  <w:shd w:val="clear" w:color="auto" w:fill="FFFFFF"/>
                  <w:noWrap w:val="0"/>
                  <w:vAlign w:val="center"/>
                </w:tcPr>
                <w:p>
                  <w:pPr>
                    <w:tabs>
                      <w:tab w:val="left" w:pos="0"/>
                    </w:tabs>
                    <w:adjustRightInd w:val="0"/>
                    <w:snapToGrid w:val="0"/>
                    <w:jc w:val="center"/>
                    <w:rPr>
                      <w:color w:val="auto"/>
                      <w:sz w:val="18"/>
                      <w:szCs w:val="18"/>
                      <w:highlight w:val="none"/>
                    </w:rPr>
                  </w:pPr>
                  <w:r>
                    <w:rPr>
                      <w:snapToGrid w:val="0"/>
                      <w:color w:val="auto"/>
                      <w:kern w:val="0"/>
                      <w:sz w:val="18"/>
                      <w:szCs w:val="18"/>
                      <w:highlight w:val="none"/>
                    </w:rPr>
                    <w:t>/</w:t>
                  </w:r>
                </w:p>
              </w:tc>
              <w:tc>
                <w:tcPr>
                  <w:tcW w:w="1692" w:type="dxa"/>
                  <w:shd w:val="clear" w:color="auto" w:fill="FFFFFF"/>
                  <w:noWrap w:val="0"/>
                  <w:vAlign w:val="center"/>
                </w:tcPr>
                <w:p>
                  <w:pPr>
                    <w:tabs>
                      <w:tab w:val="left" w:pos="0"/>
                    </w:tabs>
                    <w:adjustRightInd w:val="0"/>
                    <w:snapToGrid w:val="0"/>
                    <w:jc w:val="center"/>
                    <w:rPr>
                      <w:snapToGrid w:val="0"/>
                      <w:color w:val="auto"/>
                      <w:kern w:val="0"/>
                      <w:sz w:val="18"/>
                      <w:szCs w:val="18"/>
                      <w:highlight w:val="none"/>
                    </w:rPr>
                  </w:pPr>
                  <w:r>
                    <w:rPr>
                      <w:snapToGrid w:val="0"/>
                      <w:color w:val="auto"/>
                      <w:kern w:val="0"/>
                      <w:sz w:val="18"/>
                      <w:szCs w:val="18"/>
                      <w:highlight w:val="none"/>
                    </w:rPr>
                    <w:t>/</w:t>
                  </w:r>
                </w:p>
              </w:tc>
            </w:tr>
          </w:tbl>
          <w:p>
            <w:pPr>
              <w:adjustRightInd w:val="0"/>
              <w:snapToGrid w:val="0"/>
              <w:spacing w:line="360" w:lineRule="auto"/>
              <w:rPr>
                <w:rFonts w:hint="eastAsia"/>
                <w:snapToGrid w:val="0"/>
                <w:color w:val="auto"/>
                <w:kern w:val="0"/>
                <w:sz w:val="24"/>
                <w:highlight w:val="none"/>
              </w:rPr>
            </w:pPr>
            <w:r>
              <w:rPr>
                <w:rFonts w:hint="eastAsia"/>
                <w:snapToGrid w:val="0"/>
                <w:color w:val="auto"/>
                <w:kern w:val="0"/>
                <w:sz w:val="24"/>
                <w:highlight w:val="none"/>
              </w:rPr>
              <w:t>2、治理措施、排放方式、排放情况</w:t>
            </w:r>
          </w:p>
          <w:p>
            <w:pPr>
              <w:adjustRightInd w:val="0"/>
              <w:snapToGrid w:val="0"/>
              <w:spacing w:line="360" w:lineRule="auto"/>
              <w:ind w:firstLine="480" w:firstLineChars="200"/>
              <w:rPr>
                <w:rFonts w:hint="eastAsia"/>
                <w:snapToGrid w:val="0"/>
                <w:color w:val="auto"/>
                <w:kern w:val="0"/>
                <w:sz w:val="24"/>
                <w:highlight w:val="none"/>
              </w:rPr>
            </w:pPr>
            <w:r>
              <w:rPr>
                <w:rFonts w:hint="eastAsia"/>
                <w:snapToGrid w:val="0"/>
                <w:color w:val="auto"/>
                <w:kern w:val="0"/>
                <w:sz w:val="24"/>
                <w:highlight w:val="none"/>
              </w:rPr>
              <w:t>本项目废气治理措施、排放方式、排放情况详见下表所示：</w:t>
            </w:r>
          </w:p>
          <w:p>
            <w:pPr>
              <w:spacing w:line="360" w:lineRule="auto"/>
              <w:jc w:val="center"/>
              <w:rPr>
                <w:rFonts w:hint="eastAsia" w:eastAsia="黑体"/>
                <w:color w:val="auto"/>
                <w:sz w:val="24"/>
                <w:highlight w:val="none"/>
              </w:rPr>
            </w:pPr>
            <w:r>
              <w:rPr>
                <w:rFonts w:hint="eastAsia" w:eastAsia="黑体"/>
                <w:color w:val="auto"/>
                <w:sz w:val="24"/>
                <w:highlight w:val="none"/>
              </w:rPr>
              <w:t xml:space="preserve">表4-6（1）  </w:t>
            </w:r>
            <w:r>
              <w:rPr>
                <w:rFonts w:hint="eastAsia" w:ascii="黑体" w:hAnsi="黑体" w:eastAsia="黑体" w:cs="黑体"/>
                <w:snapToGrid w:val="0"/>
                <w:color w:val="auto"/>
                <w:kern w:val="0"/>
                <w:szCs w:val="21"/>
                <w:highlight w:val="none"/>
              </w:rPr>
              <w:t>废气治理措施、排放方式、排放情况表</w:t>
            </w:r>
          </w:p>
          <w:tbl>
            <w:tblPr>
              <w:tblStyle w:val="39"/>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
            <w:tblGrid>
              <w:gridCol w:w="408"/>
              <w:gridCol w:w="350"/>
              <w:gridCol w:w="484"/>
              <w:gridCol w:w="416"/>
              <w:gridCol w:w="534"/>
              <w:gridCol w:w="566"/>
              <w:gridCol w:w="750"/>
              <w:gridCol w:w="750"/>
              <w:gridCol w:w="1097"/>
              <w:gridCol w:w="571"/>
              <w:gridCol w:w="683"/>
              <w:gridCol w:w="785"/>
              <w:gridCol w:w="58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40" w:hRule="atLeast"/>
                <w:tblHeader/>
                <w:jc w:val="center"/>
              </w:trPr>
              <w:tc>
                <w:tcPr>
                  <w:tcW w:w="408" w:type="dxa"/>
                  <w:shd w:val="clear" w:color="auto" w:fill="FFFFFF"/>
                  <w:noWrap w:val="0"/>
                  <w:vAlign w:val="center"/>
                </w:tcPr>
                <w:p>
                  <w:pPr>
                    <w:tabs>
                      <w:tab w:val="left" w:pos="105"/>
                    </w:tabs>
                    <w:spacing w:line="240" w:lineRule="exact"/>
                    <w:ind w:left="-120" w:leftChars="-50" w:right="-120" w:rightChars="-50"/>
                    <w:jc w:val="center"/>
                    <w:rPr>
                      <w:b/>
                      <w:color w:val="auto"/>
                      <w:szCs w:val="21"/>
                      <w:highlight w:val="none"/>
                    </w:rPr>
                  </w:pPr>
                  <w:r>
                    <w:rPr>
                      <w:b/>
                      <w:color w:val="auto"/>
                      <w:szCs w:val="21"/>
                      <w:highlight w:val="none"/>
                    </w:rPr>
                    <w:t>废气</w:t>
                  </w:r>
                </w:p>
                <w:p>
                  <w:pPr>
                    <w:tabs>
                      <w:tab w:val="left" w:pos="105"/>
                    </w:tabs>
                    <w:spacing w:line="240" w:lineRule="exact"/>
                    <w:ind w:left="-120" w:leftChars="-50" w:right="-120" w:rightChars="-50"/>
                    <w:jc w:val="center"/>
                    <w:rPr>
                      <w:b/>
                      <w:color w:val="auto"/>
                      <w:szCs w:val="21"/>
                      <w:highlight w:val="none"/>
                    </w:rPr>
                  </w:pPr>
                  <w:r>
                    <w:rPr>
                      <w:b/>
                      <w:color w:val="auto"/>
                      <w:szCs w:val="21"/>
                      <w:highlight w:val="none"/>
                    </w:rPr>
                    <w:t>名称</w:t>
                  </w:r>
                </w:p>
              </w:tc>
              <w:tc>
                <w:tcPr>
                  <w:tcW w:w="350" w:type="dxa"/>
                  <w:shd w:val="clear" w:color="auto" w:fill="FFFFFF"/>
                  <w:noWrap w:val="0"/>
                  <w:vAlign w:val="center"/>
                </w:tcPr>
                <w:p>
                  <w:pPr>
                    <w:tabs>
                      <w:tab w:val="left" w:pos="105"/>
                    </w:tabs>
                    <w:spacing w:line="240" w:lineRule="exact"/>
                    <w:ind w:left="-120" w:leftChars="-50" w:right="-120" w:rightChars="-50"/>
                    <w:jc w:val="center"/>
                    <w:rPr>
                      <w:b/>
                      <w:color w:val="auto"/>
                      <w:szCs w:val="21"/>
                      <w:highlight w:val="none"/>
                    </w:rPr>
                  </w:pPr>
                  <w:r>
                    <w:rPr>
                      <w:b/>
                      <w:color w:val="auto"/>
                      <w:szCs w:val="21"/>
                      <w:highlight w:val="none"/>
                    </w:rPr>
                    <w:t>废气</w:t>
                  </w:r>
                </w:p>
                <w:p>
                  <w:pPr>
                    <w:tabs>
                      <w:tab w:val="left" w:pos="105"/>
                    </w:tabs>
                    <w:spacing w:line="240" w:lineRule="exact"/>
                    <w:ind w:left="-120" w:leftChars="-50" w:right="-120" w:rightChars="-50"/>
                    <w:jc w:val="center"/>
                    <w:rPr>
                      <w:b/>
                      <w:color w:val="auto"/>
                      <w:szCs w:val="21"/>
                      <w:highlight w:val="none"/>
                    </w:rPr>
                  </w:pPr>
                  <w:r>
                    <w:rPr>
                      <w:b/>
                      <w:color w:val="auto"/>
                      <w:szCs w:val="21"/>
                      <w:highlight w:val="none"/>
                    </w:rPr>
                    <w:t>编号</w:t>
                  </w:r>
                </w:p>
              </w:tc>
              <w:tc>
                <w:tcPr>
                  <w:tcW w:w="484" w:type="dxa"/>
                  <w:shd w:val="clear" w:color="auto" w:fill="FFFFFF"/>
                  <w:noWrap w:val="0"/>
                  <w:vAlign w:val="center"/>
                </w:tcPr>
                <w:p>
                  <w:pPr>
                    <w:tabs>
                      <w:tab w:val="left" w:pos="105"/>
                    </w:tabs>
                    <w:spacing w:line="220" w:lineRule="exact"/>
                    <w:ind w:left="-120" w:leftChars="-50" w:right="-120" w:rightChars="-50"/>
                    <w:jc w:val="center"/>
                    <w:rPr>
                      <w:b/>
                      <w:color w:val="auto"/>
                      <w:szCs w:val="21"/>
                      <w:highlight w:val="none"/>
                    </w:rPr>
                  </w:pPr>
                  <w:r>
                    <w:rPr>
                      <w:b/>
                      <w:color w:val="auto"/>
                      <w:szCs w:val="21"/>
                      <w:highlight w:val="none"/>
                    </w:rPr>
                    <w:t>运行</w:t>
                  </w:r>
                </w:p>
                <w:p>
                  <w:pPr>
                    <w:tabs>
                      <w:tab w:val="left" w:pos="105"/>
                    </w:tabs>
                    <w:spacing w:line="220" w:lineRule="exact"/>
                    <w:ind w:left="-120" w:leftChars="-50" w:right="-120" w:rightChars="-50"/>
                    <w:jc w:val="center"/>
                    <w:rPr>
                      <w:b/>
                      <w:color w:val="auto"/>
                      <w:szCs w:val="21"/>
                      <w:highlight w:val="none"/>
                    </w:rPr>
                  </w:pPr>
                  <w:r>
                    <w:rPr>
                      <w:b/>
                      <w:color w:val="auto"/>
                      <w:szCs w:val="21"/>
                      <w:highlight w:val="none"/>
                    </w:rPr>
                    <w:t>时间</w:t>
                  </w:r>
                </w:p>
                <w:p>
                  <w:pPr>
                    <w:tabs>
                      <w:tab w:val="left" w:pos="105"/>
                    </w:tabs>
                    <w:spacing w:line="240" w:lineRule="exact"/>
                    <w:ind w:left="-120" w:leftChars="-50" w:right="-120" w:rightChars="-50"/>
                    <w:jc w:val="center"/>
                    <w:rPr>
                      <w:b/>
                      <w:color w:val="auto"/>
                      <w:szCs w:val="21"/>
                      <w:highlight w:val="none"/>
                    </w:rPr>
                  </w:pPr>
                  <w:r>
                    <w:rPr>
                      <w:b/>
                      <w:color w:val="auto"/>
                      <w:szCs w:val="21"/>
                      <w:highlight w:val="none"/>
                    </w:rPr>
                    <w:t>（h）</w:t>
                  </w:r>
                </w:p>
              </w:tc>
              <w:tc>
                <w:tcPr>
                  <w:tcW w:w="416" w:type="dxa"/>
                  <w:shd w:val="clear" w:color="auto" w:fill="FFFFFF"/>
                  <w:noWrap w:val="0"/>
                  <w:vAlign w:val="center"/>
                </w:tcPr>
                <w:p>
                  <w:pPr>
                    <w:tabs>
                      <w:tab w:val="left" w:pos="105"/>
                    </w:tabs>
                    <w:spacing w:line="240" w:lineRule="exact"/>
                    <w:ind w:left="-120" w:leftChars="-50" w:right="-120" w:rightChars="-50"/>
                    <w:jc w:val="center"/>
                    <w:rPr>
                      <w:b/>
                      <w:color w:val="auto"/>
                      <w:szCs w:val="21"/>
                      <w:highlight w:val="none"/>
                    </w:rPr>
                  </w:pPr>
                  <w:r>
                    <w:rPr>
                      <w:b/>
                      <w:color w:val="auto"/>
                      <w:szCs w:val="21"/>
                      <w:highlight w:val="none"/>
                    </w:rPr>
                    <w:t>废气</w:t>
                  </w:r>
                </w:p>
                <w:p>
                  <w:pPr>
                    <w:tabs>
                      <w:tab w:val="left" w:pos="105"/>
                    </w:tabs>
                    <w:spacing w:line="240" w:lineRule="exact"/>
                    <w:ind w:left="-120" w:leftChars="-50" w:right="-120" w:rightChars="-50"/>
                    <w:jc w:val="center"/>
                    <w:rPr>
                      <w:b/>
                      <w:color w:val="auto"/>
                      <w:szCs w:val="21"/>
                      <w:highlight w:val="none"/>
                    </w:rPr>
                  </w:pPr>
                  <w:r>
                    <w:rPr>
                      <w:b/>
                      <w:color w:val="auto"/>
                      <w:szCs w:val="21"/>
                      <w:highlight w:val="none"/>
                    </w:rPr>
                    <w:t>源点</w:t>
                  </w:r>
                </w:p>
              </w:tc>
              <w:tc>
                <w:tcPr>
                  <w:tcW w:w="534" w:type="dxa"/>
                  <w:shd w:val="clear" w:color="auto" w:fill="FFFFFF"/>
                  <w:noWrap w:val="0"/>
                  <w:vAlign w:val="center"/>
                </w:tcPr>
                <w:p>
                  <w:pPr>
                    <w:tabs>
                      <w:tab w:val="left" w:pos="105"/>
                    </w:tabs>
                    <w:spacing w:line="240" w:lineRule="exact"/>
                    <w:ind w:left="-120" w:leftChars="-50" w:right="-120" w:rightChars="-50"/>
                    <w:jc w:val="center"/>
                    <w:rPr>
                      <w:b/>
                      <w:color w:val="auto"/>
                      <w:szCs w:val="21"/>
                      <w:highlight w:val="none"/>
                    </w:rPr>
                  </w:pPr>
                  <w:r>
                    <w:rPr>
                      <w:b/>
                      <w:color w:val="auto"/>
                      <w:szCs w:val="21"/>
                      <w:highlight w:val="none"/>
                    </w:rPr>
                    <w:t>废气量</w:t>
                  </w:r>
                </w:p>
                <w:p>
                  <w:pPr>
                    <w:tabs>
                      <w:tab w:val="left" w:pos="105"/>
                    </w:tabs>
                    <w:spacing w:line="240" w:lineRule="exact"/>
                    <w:ind w:left="-120" w:leftChars="-50" w:right="-120" w:rightChars="-50"/>
                    <w:jc w:val="center"/>
                    <w:rPr>
                      <w:b/>
                      <w:color w:val="auto"/>
                      <w:szCs w:val="21"/>
                      <w:highlight w:val="none"/>
                    </w:rPr>
                  </w:pPr>
                  <w:r>
                    <w:rPr>
                      <w:b/>
                      <w:color w:val="auto"/>
                      <w:szCs w:val="21"/>
                      <w:highlight w:val="none"/>
                    </w:rPr>
                    <w:t>（Nm</w:t>
                  </w:r>
                  <w:r>
                    <w:rPr>
                      <w:b/>
                      <w:color w:val="auto"/>
                      <w:szCs w:val="21"/>
                      <w:highlight w:val="none"/>
                      <w:vertAlign w:val="superscript"/>
                    </w:rPr>
                    <w:t>3</w:t>
                  </w:r>
                  <w:r>
                    <w:rPr>
                      <w:b/>
                      <w:color w:val="auto"/>
                      <w:szCs w:val="21"/>
                      <w:highlight w:val="none"/>
                    </w:rPr>
                    <w:t>/h）</w:t>
                  </w:r>
                </w:p>
              </w:tc>
              <w:tc>
                <w:tcPr>
                  <w:tcW w:w="566" w:type="dxa"/>
                  <w:shd w:val="clear" w:color="auto" w:fill="FFFFFF"/>
                  <w:noWrap w:val="0"/>
                  <w:vAlign w:val="center"/>
                </w:tcPr>
                <w:p>
                  <w:pPr>
                    <w:tabs>
                      <w:tab w:val="left" w:pos="105"/>
                    </w:tabs>
                    <w:spacing w:line="240" w:lineRule="exact"/>
                    <w:ind w:left="-120" w:leftChars="-50" w:right="-120" w:rightChars="-50"/>
                    <w:jc w:val="center"/>
                    <w:rPr>
                      <w:b/>
                      <w:color w:val="auto"/>
                      <w:szCs w:val="21"/>
                      <w:highlight w:val="none"/>
                    </w:rPr>
                  </w:pPr>
                  <w:r>
                    <w:rPr>
                      <w:b/>
                      <w:color w:val="auto"/>
                      <w:szCs w:val="21"/>
                      <w:highlight w:val="none"/>
                    </w:rPr>
                    <w:t>污染物</w:t>
                  </w:r>
                </w:p>
              </w:tc>
              <w:tc>
                <w:tcPr>
                  <w:tcW w:w="750" w:type="dxa"/>
                  <w:shd w:val="clear" w:color="auto" w:fill="FFFFFF"/>
                  <w:noWrap w:val="0"/>
                  <w:vAlign w:val="center"/>
                </w:tcPr>
                <w:p>
                  <w:pPr>
                    <w:tabs>
                      <w:tab w:val="left" w:pos="105"/>
                    </w:tabs>
                    <w:spacing w:line="240" w:lineRule="exact"/>
                    <w:ind w:left="-120" w:leftChars="-50" w:right="-120" w:rightChars="-50"/>
                    <w:jc w:val="center"/>
                    <w:rPr>
                      <w:b/>
                      <w:color w:val="auto"/>
                      <w:szCs w:val="21"/>
                      <w:highlight w:val="none"/>
                    </w:rPr>
                  </w:pPr>
                  <w:r>
                    <w:rPr>
                      <w:b/>
                      <w:color w:val="auto"/>
                      <w:szCs w:val="21"/>
                      <w:highlight w:val="none"/>
                    </w:rPr>
                    <w:t>产生浓度（mg/m</w:t>
                  </w:r>
                  <w:r>
                    <w:rPr>
                      <w:b/>
                      <w:color w:val="auto"/>
                      <w:szCs w:val="21"/>
                      <w:highlight w:val="none"/>
                      <w:vertAlign w:val="superscript"/>
                    </w:rPr>
                    <w:t>3</w:t>
                  </w:r>
                  <w:r>
                    <w:rPr>
                      <w:b/>
                      <w:color w:val="auto"/>
                      <w:szCs w:val="21"/>
                      <w:highlight w:val="none"/>
                    </w:rPr>
                    <w:t>）</w:t>
                  </w:r>
                </w:p>
              </w:tc>
              <w:tc>
                <w:tcPr>
                  <w:tcW w:w="750" w:type="dxa"/>
                  <w:shd w:val="clear" w:color="auto" w:fill="FFFFFF"/>
                  <w:noWrap w:val="0"/>
                  <w:vAlign w:val="center"/>
                </w:tcPr>
                <w:p>
                  <w:pPr>
                    <w:tabs>
                      <w:tab w:val="left" w:pos="105"/>
                    </w:tabs>
                    <w:spacing w:line="240" w:lineRule="exact"/>
                    <w:ind w:left="-120" w:leftChars="-50" w:right="-120" w:rightChars="-50"/>
                    <w:jc w:val="center"/>
                    <w:rPr>
                      <w:b/>
                      <w:color w:val="auto"/>
                      <w:szCs w:val="21"/>
                      <w:highlight w:val="none"/>
                    </w:rPr>
                  </w:pPr>
                  <w:r>
                    <w:rPr>
                      <w:b/>
                      <w:color w:val="auto"/>
                      <w:szCs w:val="21"/>
                      <w:highlight w:val="none"/>
                    </w:rPr>
                    <w:t>产生</w:t>
                  </w:r>
                </w:p>
                <w:p>
                  <w:pPr>
                    <w:tabs>
                      <w:tab w:val="left" w:pos="105"/>
                    </w:tabs>
                    <w:spacing w:line="240" w:lineRule="exact"/>
                    <w:ind w:left="-120" w:leftChars="-50" w:right="-120" w:rightChars="-50"/>
                    <w:jc w:val="center"/>
                    <w:rPr>
                      <w:b/>
                      <w:color w:val="auto"/>
                      <w:szCs w:val="21"/>
                      <w:highlight w:val="none"/>
                    </w:rPr>
                  </w:pPr>
                  <w:r>
                    <w:rPr>
                      <w:b/>
                      <w:color w:val="auto"/>
                      <w:szCs w:val="21"/>
                      <w:highlight w:val="none"/>
                    </w:rPr>
                    <w:t>速率</w:t>
                  </w:r>
                </w:p>
                <w:p>
                  <w:pPr>
                    <w:tabs>
                      <w:tab w:val="left" w:pos="105"/>
                    </w:tabs>
                    <w:spacing w:line="240" w:lineRule="exact"/>
                    <w:ind w:left="-120" w:leftChars="-50" w:right="-120" w:rightChars="-50"/>
                    <w:jc w:val="center"/>
                    <w:rPr>
                      <w:b/>
                      <w:color w:val="auto"/>
                      <w:szCs w:val="21"/>
                      <w:highlight w:val="none"/>
                    </w:rPr>
                  </w:pPr>
                  <w:r>
                    <w:rPr>
                      <w:b/>
                      <w:color w:val="auto"/>
                      <w:szCs w:val="21"/>
                      <w:highlight w:val="none"/>
                    </w:rPr>
                    <w:t>（kg/h）</w:t>
                  </w:r>
                </w:p>
              </w:tc>
              <w:tc>
                <w:tcPr>
                  <w:tcW w:w="1097" w:type="dxa"/>
                  <w:shd w:val="clear" w:color="auto" w:fill="FFFFFF"/>
                  <w:noWrap w:val="0"/>
                  <w:vAlign w:val="center"/>
                </w:tcPr>
                <w:p>
                  <w:pPr>
                    <w:tabs>
                      <w:tab w:val="left" w:pos="105"/>
                    </w:tabs>
                    <w:spacing w:line="240" w:lineRule="exact"/>
                    <w:ind w:left="-120" w:leftChars="-50" w:right="-120" w:rightChars="-50"/>
                    <w:jc w:val="center"/>
                    <w:rPr>
                      <w:b/>
                      <w:color w:val="auto"/>
                      <w:szCs w:val="21"/>
                      <w:highlight w:val="none"/>
                    </w:rPr>
                  </w:pPr>
                  <w:r>
                    <w:rPr>
                      <w:b/>
                      <w:color w:val="auto"/>
                      <w:szCs w:val="21"/>
                      <w:highlight w:val="none"/>
                    </w:rPr>
                    <w:t>治理措施</w:t>
                  </w:r>
                </w:p>
              </w:tc>
              <w:tc>
                <w:tcPr>
                  <w:tcW w:w="571" w:type="dxa"/>
                  <w:shd w:val="clear" w:color="auto" w:fill="FFFFFF"/>
                  <w:noWrap w:val="0"/>
                  <w:vAlign w:val="center"/>
                </w:tcPr>
                <w:p>
                  <w:pPr>
                    <w:tabs>
                      <w:tab w:val="left" w:pos="105"/>
                    </w:tabs>
                    <w:spacing w:line="240" w:lineRule="exact"/>
                    <w:ind w:left="-120" w:leftChars="-50" w:right="-120" w:rightChars="-50"/>
                    <w:jc w:val="center"/>
                    <w:rPr>
                      <w:b/>
                      <w:color w:val="auto"/>
                      <w:szCs w:val="21"/>
                      <w:highlight w:val="none"/>
                    </w:rPr>
                  </w:pPr>
                  <w:r>
                    <w:rPr>
                      <w:b/>
                      <w:color w:val="auto"/>
                      <w:szCs w:val="21"/>
                      <w:highlight w:val="none"/>
                    </w:rPr>
                    <w:t>治理</w:t>
                  </w:r>
                </w:p>
                <w:p>
                  <w:pPr>
                    <w:tabs>
                      <w:tab w:val="left" w:pos="105"/>
                    </w:tabs>
                    <w:spacing w:line="240" w:lineRule="exact"/>
                    <w:ind w:left="-120" w:leftChars="-50" w:right="-120" w:rightChars="-50"/>
                    <w:jc w:val="center"/>
                    <w:rPr>
                      <w:b/>
                      <w:color w:val="auto"/>
                      <w:szCs w:val="21"/>
                      <w:highlight w:val="none"/>
                    </w:rPr>
                  </w:pPr>
                  <w:r>
                    <w:rPr>
                      <w:b/>
                      <w:color w:val="auto"/>
                      <w:szCs w:val="21"/>
                      <w:highlight w:val="none"/>
                    </w:rPr>
                    <w:t>效率</w:t>
                  </w:r>
                </w:p>
                <w:p>
                  <w:pPr>
                    <w:tabs>
                      <w:tab w:val="left" w:pos="105"/>
                    </w:tabs>
                    <w:spacing w:line="240" w:lineRule="exact"/>
                    <w:ind w:left="-120" w:leftChars="-50" w:right="-120" w:rightChars="-50"/>
                    <w:jc w:val="center"/>
                    <w:rPr>
                      <w:b/>
                      <w:color w:val="auto"/>
                      <w:szCs w:val="21"/>
                      <w:highlight w:val="none"/>
                    </w:rPr>
                  </w:pPr>
                  <w:r>
                    <w:rPr>
                      <w:b/>
                      <w:color w:val="auto"/>
                      <w:szCs w:val="21"/>
                      <w:highlight w:val="none"/>
                    </w:rPr>
                    <w:t>（%）</w:t>
                  </w:r>
                </w:p>
              </w:tc>
              <w:tc>
                <w:tcPr>
                  <w:tcW w:w="683" w:type="dxa"/>
                  <w:shd w:val="clear" w:color="auto" w:fill="FFFFFF"/>
                  <w:noWrap w:val="0"/>
                  <w:vAlign w:val="center"/>
                </w:tcPr>
                <w:p>
                  <w:pPr>
                    <w:tabs>
                      <w:tab w:val="left" w:pos="105"/>
                    </w:tabs>
                    <w:spacing w:line="240" w:lineRule="exact"/>
                    <w:ind w:left="-120" w:leftChars="-50" w:right="-120" w:rightChars="-50"/>
                    <w:jc w:val="center"/>
                    <w:rPr>
                      <w:b/>
                      <w:color w:val="auto"/>
                      <w:szCs w:val="21"/>
                      <w:highlight w:val="none"/>
                    </w:rPr>
                  </w:pPr>
                  <w:r>
                    <w:rPr>
                      <w:b/>
                      <w:color w:val="auto"/>
                      <w:szCs w:val="21"/>
                      <w:highlight w:val="none"/>
                    </w:rPr>
                    <w:t>排气筒</w:t>
                  </w:r>
                </w:p>
                <w:p>
                  <w:pPr>
                    <w:tabs>
                      <w:tab w:val="left" w:pos="105"/>
                    </w:tabs>
                    <w:spacing w:line="240" w:lineRule="exact"/>
                    <w:ind w:left="-120" w:leftChars="-50" w:right="-120" w:rightChars="-50"/>
                    <w:jc w:val="center"/>
                    <w:rPr>
                      <w:b/>
                      <w:color w:val="auto"/>
                      <w:szCs w:val="21"/>
                      <w:highlight w:val="none"/>
                    </w:rPr>
                  </w:pPr>
                  <w:r>
                    <w:rPr>
                      <w:b/>
                      <w:color w:val="auto"/>
                      <w:szCs w:val="21"/>
                      <w:highlight w:val="none"/>
                    </w:rPr>
                    <w:t>参数</w:t>
                  </w:r>
                </w:p>
              </w:tc>
              <w:tc>
                <w:tcPr>
                  <w:tcW w:w="785" w:type="dxa"/>
                  <w:shd w:val="clear" w:color="auto" w:fill="FFFFFF"/>
                  <w:noWrap w:val="0"/>
                  <w:vAlign w:val="center"/>
                </w:tcPr>
                <w:p>
                  <w:pPr>
                    <w:tabs>
                      <w:tab w:val="left" w:pos="105"/>
                    </w:tabs>
                    <w:spacing w:line="240" w:lineRule="exact"/>
                    <w:ind w:left="-120" w:leftChars="-50" w:right="-120" w:rightChars="-50"/>
                    <w:jc w:val="center"/>
                    <w:rPr>
                      <w:b/>
                      <w:color w:val="auto"/>
                      <w:szCs w:val="21"/>
                      <w:highlight w:val="none"/>
                    </w:rPr>
                  </w:pPr>
                  <w:r>
                    <w:rPr>
                      <w:b/>
                      <w:color w:val="auto"/>
                      <w:szCs w:val="21"/>
                      <w:highlight w:val="none"/>
                    </w:rPr>
                    <w:t>废气排放</w:t>
                  </w:r>
                </w:p>
                <w:p>
                  <w:pPr>
                    <w:tabs>
                      <w:tab w:val="left" w:pos="105"/>
                    </w:tabs>
                    <w:spacing w:line="240" w:lineRule="exact"/>
                    <w:ind w:left="-120" w:leftChars="-50" w:right="-120" w:rightChars="-50"/>
                    <w:jc w:val="center"/>
                    <w:rPr>
                      <w:b/>
                      <w:color w:val="auto"/>
                      <w:szCs w:val="21"/>
                      <w:highlight w:val="none"/>
                    </w:rPr>
                  </w:pPr>
                  <w:r>
                    <w:rPr>
                      <w:b/>
                      <w:color w:val="auto"/>
                      <w:szCs w:val="21"/>
                      <w:highlight w:val="none"/>
                    </w:rPr>
                    <w:t>（kg/h）</w:t>
                  </w:r>
                </w:p>
              </w:tc>
              <w:tc>
                <w:tcPr>
                  <w:tcW w:w="588" w:type="dxa"/>
                  <w:shd w:val="clear" w:color="auto" w:fill="FFFFFF"/>
                  <w:noWrap w:val="0"/>
                  <w:vAlign w:val="center"/>
                </w:tcPr>
                <w:p>
                  <w:pPr>
                    <w:tabs>
                      <w:tab w:val="left" w:pos="105"/>
                    </w:tabs>
                    <w:spacing w:line="240" w:lineRule="exact"/>
                    <w:ind w:left="-120" w:leftChars="-50" w:right="-120" w:rightChars="-50"/>
                    <w:jc w:val="center"/>
                    <w:rPr>
                      <w:b/>
                      <w:color w:val="auto"/>
                      <w:szCs w:val="21"/>
                      <w:highlight w:val="none"/>
                    </w:rPr>
                  </w:pPr>
                  <w:r>
                    <w:rPr>
                      <w:b/>
                      <w:color w:val="auto"/>
                      <w:szCs w:val="21"/>
                      <w:highlight w:val="none"/>
                    </w:rPr>
                    <w:t>标准值</w:t>
                  </w:r>
                </w:p>
                <w:p>
                  <w:pPr>
                    <w:tabs>
                      <w:tab w:val="left" w:pos="105"/>
                    </w:tabs>
                    <w:spacing w:line="240" w:lineRule="exact"/>
                    <w:ind w:left="-120" w:leftChars="-50" w:right="-120" w:rightChars="-50"/>
                    <w:jc w:val="center"/>
                    <w:rPr>
                      <w:b/>
                      <w:color w:val="auto"/>
                      <w:szCs w:val="21"/>
                      <w:highlight w:val="none"/>
                    </w:rPr>
                  </w:pPr>
                  <w:r>
                    <w:rPr>
                      <w:b/>
                      <w:color w:val="auto"/>
                      <w:szCs w:val="21"/>
                      <w:highlight w:val="none"/>
                    </w:rPr>
                    <w:t>（mg/m</w:t>
                  </w:r>
                  <w:r>
                    <w:rPr>
                      <w:b/>
                      <w:color w:val="auto"/>
                      <w:szCs w:val="21"/>
                      <w:highlight w:val="none"/>
                      <w:vertAlign w:val="superscript"/>
                    </w:rPr>
                    <w:t>3</w:t>
                  </w:r>
                  <w:r>
                    <w:rPr>
                      <w:b/>
                      <w:color w:val="auto"/>
                      <w:szCs w:val="21"/>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408" w:type="dxa"/>
                  <w:vMerge w:val="restart"/>
                  <w:shd w:val="clear" w:color="auto" w:fill="FFFFFF"/>
                  <w:noWrap w:val="0"/>
                  <w:vAlign w:val="center"/>
                </w:tcPr>
                <w:p>
                  <w:pPr>
                    <w:tabs>
                      <w:tab w:val="left" w:pos="105"/>
                    </w:tabs>
                    <w:spacing w:line="240" w:lineRule="exact"/>
                    <w:ind w:left="-120" w:leftChars="-50" w:right="-120" w:rightChars="-50"/>
                    <w:jc w:val="center"/>
                    <w:rPr>
                      <w:color w:val="auto"/>
                      <w:szCs w:val="21"/>
                      <w:highlight w:val="none"/>
                    </w:rPr>
                  </w:pPr>
                  <w:r>
                    <w:rPr>
                      <w:color w:val="auto"/>
                      <w:szCs w:val="21"/>
                      <w:highlight w:val="none"/>
                    </w:rPr>
                    <w:t>骨料加热粉尘及燃烧尾气</w:t>
                  </w:r>
                </w:p>
              </w:tc>
              <w:tc>
                <w:tcPr>
                  <w:tcW w:w="350" w:type="dxa"/>
                  <w:vMerge w:val="restart"/>
                  <w:shd w:val="clear" w:color="auto" w:fill="FFFFFF"/>
                  <w:noWrap w:val="0"/>
                  <w:vAlign w:val="center"/>
                </w:tcPr>
                <w:p>
                  <w:pPr>
                    <w:tabs>
                      <w:tab w:val="left" w:pos="105"/>
                    </w:tabs>
                    <w:spacing w:line="240" w:lineRule="exact"/>
                    <w:ind w:left="-120" w:leftChars="-50" w:right="-120" w:rightChars="-50"/>
                    <w:jc w:val="center"/>
                    <w:rPr>
                      <w:color w:val="auto"/>
                      <w:szCs w:val="21"/>
                      <w:highlight w:val="none"/>
                    </w:rPr>
                  </w:pPr>
                  <w:r>
                    <w:rPr>
                      <w:color w:val="auto"/>
                      <w:szCs w:val="21"/>
                      <w:highlight w:val="none"/>
                    </w:rPr>
                    <w:t>G</w:t>
                  </w:r>
                  <w:r>
                    <w:rPr>
                      <w:color w:val="auto"/>
                      <w:szCs w:val="21"/>
                      <w:highlight w:val="none"/>
                      <w:vertAlign w:val="subscript"/>
                    </w:rPr>
                    <w:t>1</w:t>
                  </w:r>
                </w:p>
              </w:tc>
              <w:tc>
                <w:tcPr>
                  <w:tcW w:w="484" w:type="dxa"/>
                  <w:vMerge w:val="restart"/>
                  <w:shd w:val="clear" w:color="auto" w:fill="FFFFFF"/>
                  <w:noWrap w:val="0"/>
                  <w:vAlign w:val="center"/>
                </w:tcPr>
                <w:p>
                  <w:pPr>
                    <w:tabs>
                      <w:tab w:val="left" w:pos="105"/>
                    </w:tabs>
                    <w:spacing w:line="240" w:lineRule="exact"/>
                    <w:ind w:left="-120" w:leftChars="-50" w:right="-120" w:rightChars="-50"/>
                    <w:jc w:val="center"/>
                    <w:rPr>
                      <w:color w:val="auto"/>
                      <w:szCs w:val="21"/>
                      <w:highlight w:val="none"/>
                    </w:rPr>
                  </w:pPr>
                  <w:r>
                    <w:rPr>
                      <w:rFonts w:hint="eastAsia"/>
                      <w:color w:val="auto"/>
                      <w:szCs w:val="21"/>
                      <w:highlight w:val="none"/>
                    </w:rPr>
                    <w:t>80</w:t>
                  </w:r>
                  <w:r>
                    <w:rPr>
                      <w:color w:val="auto"/>
                      <w:szCs w:val="21"/>
                      <w:highlight w:val="none"/>
                    </w:rPr>
                    <w:t>0</w:t>
                  </w:r>
                </w:p>
              </w:tc>
              <w:tc>
                <w:tcPr>
                  <w:tcW w:w="416" w:type="dxa"/>
                  <w:vMerge w:val="restart"/>
                  <w:shd w:val="clear" w:color="auto" w:fill="FFFFFF"/>
                  <w:noWrap w:val="0"/>
                  <w:vAlign w:val="center"/>
                </w:tcPr>
                <w:p>
                  <w:pPr>
                    <w:tabs>
                      <w:tab w:val="left" w:pos="105"/>
                    </w:tabs>
                    <w:spacing w:line="240" w:lineRule="exact"/>
                    <w:ind w:left="-120" w:leftChars="-50" w:right="-120" w:rightChars="-50"/>
                    <w:jc w:val="center"/>
                    <w:rPr>
                      <w:color w:val="auto"/>
                      <w:szCs w:val="21"/>
                      <w:highlight w:val="none"/>
                    </w:rPr>
                  </w:pPr>
                  <w:r>
                    <w:rPr>
                      <w:color w:val="auto"/>
                      <w:szCs w:val="21"/>
                      <w:highlight w:val="none"/>
                    </w:rPr>
                    <w:t>骨料干燥</w:t>
                  </w:r>
                </w:p>
              </w:tc>
              <w:tc>
                <w:tcPr>
                  <w:tcW w:w="534" w:type="dxa"/>
                  <w:vMerge w:val="restart"/>
                  <w:shd w:val="clear" w:color="auto" w:fill="FFFFFF"/>
                  <w:noWrap w:val="0"/>
                  <w:vAlign w:val="center"/>
                </w:tcPr>
                <w:p>
                  <w:pPr>
                    <w:tabs>
                      <w:tab w:val="left" w:pos="105"/>
                    </w:tabs>
                    <w:spacing w:line="240" w:lineRule="exact"/>
                    <w:ind w:left="-120" w:leftChars="-50" w:right="-120" w:rightChars="-50"/>
                    <w:jc w:val="center"/>
                    <w:rPr>
                      <w:color w:val="auto"/>
                      <w:szCs w:val="21"/>
                      <w:highlight w:val="none"/>
                    </w:rPr>
                  </w:pPr>
                  <w:r>
                    <w:rPr>
                      <w:color w:val="auto"/>
                      <w:szCs w:val="21"/>
                      <w:highlight w:val="none"/>
                    </w:rPr>
                    <w:t>105000</w:t>
                  </w:r>
                </w:p>
              </w:tc>
              <w:tc>
                <w:tcPr>
                  <w:tcW w:w="566" w:type="dxa"/>
                  <w:shd w:val="clear" w:color="auto" w:fill="FFFFFF"/>
                  <w:noWrap w:val="0"/>
                  <w:vAlign w:val="center"/>
                </w:tcPr>
                <w:p>
                  <w:pPr>
                    <w:tabs>
                      <w:tab w:val="left" w:pos="105"/>
                    </w:tabs>
                    <w:spacing w:line="240" w:lineRule="exact"/>
                    <w:ind w:left="-120" w:leftChars="-50" w:right="-120" w:rightChars="-50"/>
                    <w:jc w:val="center"/>
                    <w:rPr>
                      <w:color w:val="auto"/>
                      <w:szCs w:val="21"/>
                      <w:highlight w:val="none"/>
                    </w:rPr>
                  </w:pPr>
                  <w:r>
                    <w:rPr>
                      <w:color w:val="auto"/>
                      <w:szCs w:val="21"/>
                      <w:highlight w:val="none"/>
                    </w:rPr>
                    <w:t>SO</w:t>
                  </w:r>
                  <w:r>
                    <w:rPr>
                      <w:color w:val="auto"/>
                      <w:szCs w:val="21"/>
                      <w:highlight w:val="none"/>
                      <w:vertAlign w:val="subscript"/>
                    </w:rPr>
                    <w:t>2</w:t>
                  </w:r>
                </w:p>
              </w:tc>
              <w:tc>
                <w:tcPr>
                  <w:tcW w:w="750" w:type="dxa"/>
                  <w:shd w:val="clear" w:color="auto" w:fill="FFFFFF"/>
                  <w:noWrap w:val="0"/>
                  <w:vAlign w:val="center"/>
                </w:tcPr>
                <w:p>
                  <w:pPr>
                    <w:tabs>
                      <w:tab w:val="left" w:pos="105"/>
                    </w:tabs>
                    <w:spacing w:line="240" w:lineRule="exact"/>
                    <w:ind w:left="-120" w:leftChars="-50" w:right="-120" w:rightChars="-50"/>
                    <w:jc w:val="center"/>
                    <w:rPr>
                      <w:color w:val="auto"/>
                      <w:szCs w:val="21"/>
                      <w:highlight w:val="none"/>
                    </w:rPr>
                  </w:pPr>
                  <w:r>
                    <w:rPr>
                      <w:rFonts w:hint="eastAsia"/>
                      <w:color w:val="auto"/>
                      <w:szCs w:val="21"/>
                      <w:highlight w:val="none"/>
                    </w:rPr>
                    <w:t>0.24</w:t>
                  </w:r>
                </w:p>
              </w:tc>
              <w:tc>
                <w:tcPr>
                  <w:tcW w:w="750" w:type="dxa"/>
                  <w:shd w:val="clear" w:color="auto" w:fill="FFFFFF"/>
                  <w:noWrap w:val="0"/>
                  <w:vAlign w:val="center"/>
                </w:tcPr>
                <w:p>
                  <w:pPr>
                    <w:tabs>
                      <w:tab w:val="left" w:pos="105"/>
                    </w:tabs>
                    <w:spacing w:line="240" w:lineRule="exact"/>
                    <w:ind w:left="-120" w:leftChars="-50" w:right="-120" w:rightChars="-50"/>
                    <w:jc w:val="center"/>
                    <w:rPr>
                      <w:color w:val="auto"/>
                      <w:szCs w:val="21"/>
                      <w:highlight w:val="none"/>
                    </w:rPr>
                  </w:pPr>
                  <w:r>
                    <w:rPr>
                      <w:color w:val="auto"/>
                      <w:szCs w:val="21"/>
                      <w:highlight w:val="none"/>
                    </w:rPr>
                    <w:t>0.0</w:t>
                  </w:r>
                  <w:r>
                    <w:rPr>
                      <w:rFonts w:hint="eastAsia"/>
                      <w:color w:val="auto"/>
                      <w:szCs w:val="21"/>
                      <w:highlight w:val="none"/>
                    </w:rPr>
                    <w:t>25</w:t>
                  </w:r>
                </w:p>
              </w:tc>
              <w:tc>
                <w:tcPr>
                  <w:tcW w:w="1097" w:type="dxa"/>
                  <w:vMerge w:val="restart"/>
                  <w:shd w:val="clear" w:color="auto" w:fill="FFFFFF"/>
                  <w:noWrap w:val="0"/>
                  <w:vAlign w:val="center"/>
                </w:tcPr>
                <w:p>
                  <w:pPr>
                    <w:tabs>
                      <w:tab w:val="left" w:pos="105"/>
                    </w:tabs>
                    <w:spacing w:line="240" w:lineRule="exact"/>
                    <w:ind w:left="-120" w:leftChars="-50" w:right="-120" w:rightChars="-50"/>
                    <w:rPr>
                      <w:color w:val="auto"/>
                      <w:szCs w:val="21"/>
                      <w:highlight w:val="none"/>
                    </w:rPr>
                  </w:pPr>
                  <w:r>
                    <w:rPr>
                      <w:color w:val="auto"/>
                      <w:szCs w:val="21"/>
                      <w:highlight w:val="none"/>
                    </w:rPr>
                    <w:t>烘干滚筒骨料加热产生的粉尘和燃气烟气等混合废气通过引风机（风量105000m3/h）引入二级除尘系统（第一级惯性除尘，第二级分室反吹袋式除尘，惯性除尘效率为50%，布袋除尘效率为99%），除尘后的废气经过一根15m排气筒（1#排气筒）排放</w:t>
                  </w:r>
                </w:p>
              </w:tc>
              <w:tc>
                <w:tcPr>
                  <w:tcW w:w="571" w:type="dxa"/>
                  <w:shd w:val="clear" w:color="auto" w:fill="FFFFFF"/>
                  <w:noWrap w:val="0"/>
                  <w:vAlign w:val="center"/>
                </w:tcPr>
                <w:p>
                  <w:pPr>
                    <w:tabs>
                      <w:tab w:val="left" w:pos="105"/>
                    </w:tabs>
                    <w:spacing w:line="240" w:lineRule="exact"/>
                    <w:ind w:left="-120" w:leftChars="-50" w:right="-120" w:rightChars="-50"/>
                    <w:jc w:val="center"/>
                    <w:rPr>
                      <w:color w:val="auto"/>
                      <w:szCs w:val="21"/>
                      <w:highlight w:val="none"/>
                    </w:rPr>
                  </w:pPr>
                  <w:r>
                    <w:rPr>
                      <w:color w:val="auto"/>
                      <w:szCs w:val="21"/>
                      <w:highlight w:val="none"/>
                    </w:rPr>
                    <w:t>-</w:t>
                  </w:r>
                </w:p>
              </w:tc>
              <w:tc>
                <w:tcPr>
                  <w:tcW w:w="683" w:type="dxa"/>
                  <w:vMerge w:val="restart"/>
                  <w:shd w:val="clear" w:color="auto" w:fill="FFFFFF"/>
                  <w:noWrap w:val="0"/>
                  <w:vAlign w:val="center"/>
                </w:tcPr>
                <w:p>
                  <w:pPr>
                    <w:spacing w:line="240" w:lineRule="exact"/>
                    <w:ind w:left="-120" w:leftChars="-50" w:right="-120" w:rightChars="-50"/>
                    <w:jc w:val="center"/>
                    <w:rPr>
                      <w:color w:val="auto"/>
                      <w:szCs w:val="21"/>
                      <w:highlight w:val="none"/>
                    </w:rPr>
                  </w:pPr>
                  <w:r>
                    <w:rPr>
                      <w:color w:val="auto"/>
                      <w:szCs w:val="21"/>
                      <w:highlight w:val="none"/>
                    </w:rPr>
                    <w:t>H=15m</w:t>
                  </w:r>
                </w:p>
                <w:p>
                  <w:pPr>
                    <w:spacing w:line="240" w:lineRule="exact"/>
                    <w:ind w:left="-120" w:leftChars="-50" w:right="-120" w:rightChars="-50"/>
                    <w:jc w:val="center"/>
                    <w:rPr>
                      <w:color w:val="auto"/>
                      <w:szCs w:val="21"/>
                      <w:highlight w:val="none"/>
                    </w:rPr>
                  </w:pPr>
                  <w:r>
                    <w:rPr>
                      <w:color w:val="auto"/>
                      <w:szCs w:val="21"/>
                      <w:highlight w:val="none"/>
                    </w:rPr>
                    <w:t>T=80℃</w:t>
                  </w:r>
                </w:p>
                <w:p>
                  <w:pPr>
                    <w:spacing w:line="240" w:lineRule="exact"/>
                    <w:ind w:left="-120" w:leftChars="-50" w:right="-120" w:rightChars="-50"/>
                    <w:jc w:val="center"/>
                    <w:rPr>
                      <w:color w:val="auto"/>
                      <w:szCs w:val="21"/>
                      <w:highlight w:val="none"/>
                    </w:rPr>
                  </w:pPr>
                  <w:r>
                    <w:rPr>
                      <w:color w:val="auto"/>
                      <w:szCs w:val="21"/>
                      <w:highlight w:val="none"/>
                    </w:rPr>
                    <w:t>D=1.2m</w:t>
                  </w:r>
                </w:p>
              </w:tc>
              <w:tc>
                <w:tcPr>
                  <w:tcW w:w="785" w:type="dxa"/>
                  <w:shd w:val="clear" w:color="auto" w:fill="FFFFFF"/>
                  <w:noWrap w:val="0"/>
                  <w:vAlign w:val="center"/>
                </w:tcPr>
                <w:p>
                  <w:pPr>
                    <w:tabs>
                      <w:tab w:val="left" w:pos="105"/>
                    </w:tabs>
                    <w:spacing w:line="240" w:lineRule="exact"/>
                    <w:ind w:left="-120" w:leftChars="-50" w:right="-120" w:rightChars="-50"/>
                    <w:jc w:val="center"/>
                    <w:rPr>
                      <w:color w:val="auto"/>
                      <w:szCs w:val="21"/>
                      <w:highlight w:val="none"/>
                    </w:rPr>
                  </w:pPr>
                  <w:r>
                    <w:rPr>
                      <w:rFonts w:hint="eastAsia"/>
                      <w:color w:val="auto"/>
                      <w:szCs w:val="21"/>
                      <w:highlight w:val="none"/>
                    </w:rPr>
                    <w:t>0.025</w:t>
                  </w:r>
                </w:p>
              </w:tc>
              <w:tc>
                <w:tcPr>
                  <w:tcW w:w="588" w:type="dxa"/>
                  <w:shd w:val="clear" w:color="auto" w:fill="FFFFFF"/>
                  <w:noWrap w:val="0"/>
                  <w:vAlign w:val="center"/>
                </w:tcPr>
                <w:p>
                  <w:pPr>
                    <w:tabs>
                      <w:tab w:val="left" w:pos="105"/>
                    </w:tabs>
                    <w:spacing w:line="240" w:lineRule="exact"/>
                    <w:ind w:left="-120" w:leftChars="-50" w:right="-120" w:rightChars="-50"/>
                    <w:jc w:val="center"/>
                    <w:rPr>
                      <w:color w:val="auto"/>
                      <w:szCs w:val="21"/>
                      <w:highlight w:val="none"/>
                    </w:rPr>
                  </w:pPr>
                  <w:r>
                    <w:rPr>
                      <w:rFonts w:hint="eastAsia"/>
                      <w:color w:val="auto"/>
                      <w:szCs w:val="21"/>
                      <w:highlight w:val="none"/>
                    </w:rPr>
                    <w:t>550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76" w:hRule="atLeast"/>
                <w:jc w:val="center"/>
              </w:trPr>
              <w:tc>
                <w:tcPr>
                  <w:tcW w:w="408" w:type="dxa"/>
                  <w:vMerge w:val="continue"/>
                  <w:shd w:val="clear" w:color="auto" w:fill="FFFFFF"/>
                  <w:noWrap w:val="0"/>
                  <w:vAlign w:val="center"/>
                </w:tcPr>
                <w:p>
                  <w:pPr>
                    <w:tabs>
                      <w:tab w:val="left" w:pos="105"/>
                    </w:tabs>
                    <w:spacing w:line="240" w:lineRule="exact"/>
                    <w:ind w:left="-120" w:leftChars="-50" w:right="-120" w:rightChars="-50"/>
                    <w:jc w:val="center"/>
                    <w:rPr>
                      <w:color w:val="auto"/>
                      <w:szCs w:val="21"/>
                      <w:highlight w:val="none"/>
                    </w:rPr>
                  </w:pPr>
                </w:p>
              </w:tc>
              <w:tc>
                <w:tcPr>
                  <w:tcW w:w="350" w:type="dxa"/>
                  <w:vMerge w:val="continue"/>
                  <w:shd w:val="clear" w:color="auto" w:fill="FFFFFF"/>
                  <w:noWrap w:val="0"/>
                  <w:vAlign w:val="center"/>
                </w:tcPr>
                <w:p>
                  <w:pPr>
                    <w:tabs>
                      <w:tab w:val="left" w:pos="105"/>
                    </w:tabs>
                    <w:spacing w:line="240" w:lineRule="exact"/>
                    <w:ind w:left="-120" w:leftChars="-50" w:right="-120" w:rightChars="-50"/>
                    <w:jc w:val="center"/>
                    <w:rPr>
                      <w:color w:val="auto"/>
                      <w:szCs w:val="21"/>
                      <w:highlight w:val="none"/>
                    </w:rPr>
                  </w:pPr>
                </w:p>
              </w:tc>
              <w:tc>
                <w:tcPr>
                  <w:tcW w:w="484" w:type="dxa"/>
                  <w:vMerge w:val="continue"/>
                  <w:shd w:val="clear" w:color="auto" w:fill="FFFFFF"/>
                  <w:noWrap w:val="0"/>
                  <w:vAlign w:val="center"/>
                </w:tcPr>
                <w:p>
                  <w:pPr>
                    <w:tabs>
                      <w:tab w:val="left" w:pos="105"/>
                    </w:tabs>
                    <w:spacing w:line="240" w:lineRule="exact"/>
                    <w:ind w:left="-120" w:leftChars="-50" w:right="-120" w:rightChars="-50"/>
                    <w:jc w:val="center"/>
                    <w:rPr>
                      <w:color w:val="auto"/>
                      <w:szCs w:val="21"/>
                      <w:highlight w:val="none"/>
                    </w:rPr>
                  </w:pPr>
                </w:p>
              </w:tc>
              <w:tc>
                <w:tcPr>
                  <w:tcW w:w="416" w:type="dxa"/>
                  <w:vMerge w:val="continue"/>
                  <w:shd w:val="clear" w:color="auto" w:fill="FFFFFF"/>
                  <w:noWrap w:val="0"/>
                  <w:vAlign w:val="center"/>
                </w:tcPr>
                <w:p>
                  <w:pPr>
                    <w:tabs>
                      <w:tab w:val="left" w:pos="105"/>
                    </w:tabs>
                    <w:spacing w:line="240" w:lineRule="exact"/>
                    <w:ind w:left="-120" w:leftChars="-50" w:right="-120" w:rightChars="-50"/>
                    <w:jc w:val="center"/>
                    <w:rPr>
                      <w:color w:val="auto"/>
                      <w:szCs w:val="21"/>
                      <w:highlight w:val="none"/>
                    </w:rPr>
                  </w:pPr>
                </w:p>
              </w:tc>
              <w:tc>
                <w:tcPr>
                  <w:tcW w:w="534" w:type="dxa"/>
                  <w:vMerge w:val="continue"/>
                  <w:shd w:val="clear" w:color="auto" w:fill="FFFFFF"/>
                  <w:noWrap w:val="0"/>
                  <w:vAlign w:val="center"/>
                </w:tcPr>
                <w:p>
                  <w:pPr>
                    <w:tabs>
                      <w:tab w:val="left" w:pos="105"/>
                    </w:tabs>
                    <w:spacing w:line="240" w:lineRule="exact"/>
                    <w:ind w:left="-120" w:leftChars="-50" w:right="-120" w:rightChars="-50"/>
                    <w:jc w:val="center"/>
                    <w:rPr>
                      <w:color w:val="auto"/>
                      <w:szCs w:val="21"/>
                      <w:highlight w:val="none"/>
                    </w:rPr>
                  </w:pPr>
                </w:p>
              </w:tc>
              <w:tc>
                <w:tcPr>
                  <w:tcW w:w="566" w:type="dxa"/>
                  <w:shd w:val="clear" w:color="auto" w:fill="FFFFFF"/>
                  <w:noWrap w:val="0"/>
                  <w:vAlign w:val="center"/>
                </w:tcPr>
                <w:p>
                  <w:pPr>
                    <w:tabs>
                      <w:tab w:val="left" w:pos="105"/>
                    </w:tabs>
                    <w:spacing w:line="240" w:lineRule="exact"/>
                    <w:ind w:left="-120" w:leftChars="-50" w:right="-120" w:rightChars="-50"/>
                    <w:jc w:val="center"/>
                    <w:rPr>
                      <w:color w:val="auto"/>
                      <w:szCs w:val="21"/>
                      <w:highlight w:val="none"/>
                    </w:rPr>
                  </w:pPr>
                  <w:r>
                    <w:rPr>
                      <w:color w:val="auto"/>
                      <w:szCs w:val="21"/>
                      <w:highlight w:val="none"/>
                    </w:rPr>
                    <w:t>NOx</w:t>
                  </w:r>
                </w:p>
              </w:tc>
              <w:tc>
                <w:tcPr>
                  <w:tcW w:w="750" w:type="dxa"/>
                  <w:shd w:val="clear" w:color="auto" w:fill="FFFFFF"/>
                  <w:noWrap w:val="0"/>
                  <w:vAlign w:val="center"/>
                </w:tcPr>
                <w:p>
                  <w:pPr>
                    <w:tabs>
                      <w:tab w:val="left" w:pos="105"/>
                    </w:tabs>
                    <w:spacing w:line="240" w:lineRule="exact"/>
                    <w:ind w:left="-120" w:leftChars="-50" w:right="-120" w:rightChars="-50"/>
                    <w:jc w:val="center"/>
                    <w:rPr>
                      <w:color w:val="auto"/>
                      <w:szCs w:val="21"/>
                      <w:highlight w:val="none"/>
                    </w:rPr>
                  </w:pPr>
                  <w:r>
                    <w:rPr>
                      <w:rFonts w:hint="eastAsia"/>
                      <w:color w:val="auto"/>
                      <w:szCs w:val="21"/>
                      <w:highlight w:val="none"/>
                    </w:rPr>
                    <w:t>0.95</w:t>
                  </w:r>
                </w:p>
              </w:tc>
              <w:tc>
                <w:tcPr>
                  <w:tcW w:w="750" w:type="dxa"/>
                  <w:shd w:val="clear" w:color="auto" w:fill="FFFFFF"/>
                  <w:noWrap w:val="0"/>
                  <w:vAlign w:val="center"/>
                </w:tcPr>
                <w:p>
                  <w:pPr>
                    <w:tabs>
                      <w:tab w:val="left" w:pos="105"/>
                    </w:tabs>
                    <w:spacing w:line="240" w:lineRule="exact"/>
                    <w:ind w:left="-120" w:leftChars="-50" w:right="-120" w:rightChars="-50"/>
                    <w:jc w:val="center"/>
                    <w:rPr>
                      <w:color w:val="auto"/>
                      <w:szCs w:val="21"/>
                      <w:highlight w:val="none"/>
                    </w:rPr>
                  </w:pPr>
                  <w:r>
                    <w:rPr>
                      <w:rFonts w:hint="eastAsia"/>
                      <w:color w:val="auto"/>
                      <w:szCs w:val="21"/>
                      <w:highlight w:val="none"/>
                    </w:rPr>
                    <w:t>0.09925</w:t>
                  </w:r>
                </w:p>
              </w:tc>
              <w:tc>
                <w:tcPr>
                  <w:tcW w:w="1097" w:type="dxa"/>
                  <w:vMerge w:val="continue"/>
                  <w:shd w:val="clear" w:color="auto" w:fill="FFFFFF"/>
                  <w:noWrap w:val="0"/>
                  <w:vAlign w:val="center"/>
                </w:tcPr>
                <w:p>
                  <w:pPr>
                    <w:tabs>
                      <w:tab w:val="left" w:pos="105"/>
                    </w:tabs>
                    <w:spacing w:line="240" w:lineRule="exact"/>
                    <w:ind w:left="-120" w:leftChars="-50" w:right="-120" w:rightChars="-50"/>
                    <w:jc w:val="center"/>
                    <w:rPr>
                      <w:color w:val="auto"/>
                      <w:szCs w:val="21"/>
                      <w:highlight w:val="none"/>
                    </w:rPr>
                  </w:pPr>
                </w:p>
              </w:tc>
              <w:tc>
                <w:tcPr>
                  <w:tcW w:w="571" w:type="dxa"/>
                  <w:shd w:val="clear" w:color="auto" w:fill="FFFFFF"/>
                  <w:noWrap w:val="0"/>
                  <w:vAlign w:val="center"/>
                </w:tcPr>
                <w:p>
                  <w:pPr>
                    <w:tabs>
                      <w:tab w:val="left" w:pos="105"/>
                    </w:tabs>
                    <w:spacing w:line="240" w:lineRule="exact"/>
                    <w:ind w:left="-120" w:leftChars="-50" w:right="-120" w:rightChars="-50"/>
                    <w:jc w:val="center"/>
                    <w:rPr>
                      <w:color w:val="auto"/>
                      <w:szCs w:val="21"/>
                      <w:highlight w:val="none"/>
                    </w:rPr>
                  </w:pPr>
                  <w:r>
                    <w:rPr>
                      <w:color w:val="auto"/>
                      <w:szCs w:val="21"/>
                      <w:highlight w:val="none"/>
                    </w:rPr>
                    <w:t>-</w:t>
                  </w:r>
                </w:p>
              </w:tc>
              <w:tc>
                <w:tcPr>
                  <w:tcW w:w="683" w:type="dxa"/>
                  <w:vMerge w:val="continue"/>
                  <w:shd w:val="clear" w:color="auto" w:fill="FFFFFF"/>
                  <w:noWrap w:val="0"/>
                  <w:vAlign w:val="center"/>
                </w:tcPr>
                <w:p>
                  <w:pPr>
                    <w:tabs>
                      <w:tab w:val="left" w:pos="105"/>
                    </w:tabs>
                    <w:spacing w:line="240" w:lineRule="exact"/>
                    <w:ind w:left="-120" w:leftChars="-50" w:right="-120" w:rightChars="-50"/>
                    <w:jc w:val="center"/>
                    <w:rPr>
                      <w:color w:val="auto"/>
                      <w:szCs w:val="21"/>
                      <w:highlight w:val="none"/>
                    </w:rPr>
                  </w:pPr>
                </w:p>
              </w:tc>
              <w:tc>
                <w:tcPr>
                  <w:tcW w:w="785" w:type="dxa"/>
                  <w:shd w:val="clear" w:color="auto" w:fill="FFFFFF"/>
                  <w:noWrap w:val="0"/>
                  <w:vAlign w:val="center"/>
                </w:tcPr>
                <w:p>
                  <w:pPr>
                    <w:tabs>
                      <w:tab w:val="left" w:pos="105"/>
                    </w:tabs>
                    <w:spacing w:line="240" w:lineRule="exact"/>
                    <w:ind w:left="-120" w:leftChars="-50" w:right="-120" w:rightChars="-50"/>
                    <w:jc w:val="center"/>
                    <w:rPr>
                      <w:color w:val="auto"/>
                      <w:szCs w:val="21"/>
                      <w:highlight w:val="none"/>
                    </w:rPr>
                  </w:pPr>
                  <w:r>
                    <w:rPr>
                      <w:rFonts w:hint="eastAsia"/>
                      <w:color w:val="auto"/>
                      <w:szCs w:val="21"/>
                      <w:highlight w:val="none"/>
                    </w:rPr>
                    <w:t>0.09925</w:t>
                  </w:r>
                </w:p>
              </w:tc>
              <w:tc>
                <w:tcPr>
                  <w:tcW w:w="588" w:type="dxa"/>
                  <w:shd w:val="clear" w:color="auto" w:fill="FFFFFF"/>
                  <w:noWrap w:val="0"/>
                  <w:vAlign w:val="center"/>
                </w:tcPr>
                <w:p>
                  <w:pPr>
                    <w:tabs>
                      <w:tab w:val="left" w:pos="105"/>
                    </w:tabs>
                    <w:spacing w:line="240" w:lineRule="exact"/>
                    <w:ind w:left="-120" w:leftChars="-50" w:right="-120" w:rightChars="-50"/>
                    <w:jc w:val="center"/>
                    <w:rPr>
                      <w:color w:val="auto"/>
                      <w:szCs w:val="21"/>
                      <w:highlight w:val="none"/>
                    </w:rPr>
                  </w:pPr>
                  <w:r>
                    <w:rPr>
                      <w:rFonts w:hint="eastAsia"/>
                      <w:color w:val="auto"/>
                      <w:szCs w:val="21"/>
                      <w:highlight w:val="none"/>
                    </w:rPr>
                    <w:t>240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408" w:type="dxa"/>
                  <w:vMerge w:val="continue"/>
                  <w:shd w:val="clear" w:color="auto" w:fill="FFFFFF"/>
                  <w:noWrap w:val="0"/>
                  <w:vAlign w:val="center"/>
                </w:tcPr>
                <w:p>
                  <w:pPr>
                    <w:tabs>
                      <w:tab w:val="left" w:pos="105"/>
                    </w:tabs>
                    <w:spacing w:line="240" w:lineRule="exact"/>
                    <w:ind w:left="-120" w:leftChars="-50" w:right="-120" w:rightChars="-50"/>
                    <w:jc w:val="center"/>
                    <w:rPr>
                      <w:color w:val="auto"/>
                      <w:szCs w:val="21"/>
                      <w:highlight w:val="none"/>
                    </w:rPr>
                  </w:pPr>
                </w:p>
              </w:tc>
              <w:tc>
                <w:tcPr>
                  <w:tcW w:w="350" w:type="dxa"/>
                  <w:vMerge w:val="continue"/>
                  <w:shd w:val="clear" w:color="auto" w:fill="FFFFFF"/>
                  <w:noWrap w:val="0"/>
                  <w:vAlign w:val="center"/>
                </w:tcPr>
                <w:p>
                  <w:pPr>
                    <w:tabs>
                      <w:tab w:val="left" w:pos="105"/>
                    </w:tabs>
                    <w:spacing w:line="240" w:lineRule="exact"/>
                    <w:ind w:left="-120" w:leftChars="-50" w:right="-120" w:rightChars="-50"/>
                    <w:jc w:val="center"/>
                    <w:rPr>
                      <w:color w:val="auto"/>
                      <w:szCs w:val="21"/>
                      <w:highlight w:val="none"/>
                    </w:rPr>
                  </w:pPr>
                </w:p>
              </w:tc>
              <w:tc>
                <w:tcPr>
                  <w:tcW w:w="484" w:type="dxa"/>
                  <w:vMerge w:val="continue"/>
                  <w:shd w:val="clear" w:color="auto" w:fill="FFFFFF"/>
                  <w:noWrap w:val="0"/>
                  <w:vAlign w:val="center"/>
                </w:tcPr>
                <w:p>
                  <w:pPr>
                    <w:tabs>
                      <w:tab w:val="left" w:pos="105"/>
                    </w:tabs>
                    <w:spacing w:line="240" w:lineRule="exact"/>
                    <w:ind w:left="-120" w:leftChars="-50" w:right="-120" w:rightChars="-50"/>
                    <w:jc w:val="center"/>
                    <w:rPr>
                      <w:color w:val="auto"/>
                      <w:szCs w:val="21"/>
                      <w:highlight w:val="none"/>
                    </w:rPr>
                  </w:pPr>
                </w:p>
              </w:tc>
              <w:tc>
                <w:tcPr>
                  <w:tcW w:w="416" w:type="dxa"/>
                  <w:vMerge w:val="continue"/>
                  <w:shd w:val="clear" w:color="auto" w:fill="FFFFFF"/>
                  <w:noWrap w:val="0"/>
                  <w:vAlign w:val="center"/>
                </w:tcPr>
                <w:p>
                  <w:pPr>
                    <w:tabs>
                      <w:tab w:val="left" w:pos="105"/>
                    </w:tabs>
                    <w:spacing w:line="240" w:lineRule="exact"/>
                    <w:ind w:left="-120" w:leftChars="-50" w:right="-120" w:rightChars="-50"/>
                    <w:jc w:val="center"/>
                    <w:rPr>
                      <w:color w:val="auto"/>
                      <w:szCs w:val="21"/>
                      <w:highlight w:val="none"/>
                    </w:rPr>
                  </w:pPr>
                </w:p>
              </w:tc>
              <w:tc>
                <w:tcPr>
                  <w:tcW w:w="534" w:type="dxa"/>
                  <w:vMerge w:val="continue"/>
                  <w:shd w:val="clear" w:color="auto" w:fill="FFFFFF"/>
                  <w:noWrap w:val="0"/>
                  <w:vAlign w:val="center"/>
                </w:tcPr>
                <w:p>
                  <w:pPr>
                    <w:tabs>
                      <w:tab w:val="left" w:pos="105"/>
                    </w:tabs>
                    <w:spacing w:line="240" w:lineRule="exact"/>
                    <w:ind w:left="-120" w:leftChars="-50" w:right="-120" w:rightChars="-50"/>
                    <w:jc w:val="center"/>
                    <w:rPr>
                      <w:color w:val="auto"/>
                      <w:szCs w:val="21"/>
                      <w:highlight w:val="none"/>
                    </w:rPr>
                  </w:pPr>
                </w:p>
              </w:tc>
              <w:tc>
                <w:tcPr>
                  <w:tcW w:w="566" w:type="dxa"/>
                  <w:shd w:val="clear" w:color="auto" w:fill="FFFFFF"/>
                  <w:noWrap w:val="0"/>
                  <w:vAlign w:val="center"/>
                </w:tcPr>
                <w:p>
                  <w:pPr>
                    <w:tabs>
                      <w:tab w:val="left" w:pos="105"/>
                    </w:tabs>
                    <w:spacing w:line="240" w:lineRule="exact"/>
                    <w:ind w:left="-120" w:leftChars="-50" w:right="-120" w:rightChars="-50"/>
                    <w:jc w:val="center"/>
                    <w:rPr>
                      <w:color w:val="auto"/>
                      <w:szCs w:val="21"/>
                      <w:highlight w:val="none"/>
                    </w:rPr>
                  </w:pPr>
                  <w:r>
                    <w:rPr>
                      <w:color w:val="auto"/>
                      <w:szCs w:val="21"/>
                      <w:highlight w:val="none"/>
                    </w:rPr>
                    <w:t>粉尘</w:t>
                  </w:r>
                </w:p>
              </w:tc>
              <w:tc>
                <w:tcPr>
                  <w:tcW w:w="750" w:type="dxa"/>
                  <w:shd w:val="clear" w:color="auto" w:fill="FFFFFF"/>
                  <w:noWrap w:val="0"/>
                  <w:vAlign w:val="center"/>
                </w:tcPr>
                <w:p>
                  <w:pPr>
                    <w:tabs>
                      <w:tab w:val="left" w:pos="105"/>
                    </w:tabs>
                    <w:spacing w:line="240" w:lineRule="exact"/>
                    <w:ind w:left="-120" w:leftChars="-50" w:right="-120" w:rightChars="-50"/>
                    <w:jc w:val="center"/>
                    <w:rPr>
                      <w:color w:val="auto"/>
                      <w:szCs w:val="21"/>
                      <w:highlight w:val="none"/>
                    </w:rPr>
                  </w:pPr>
                  <w:r>
                    <w:rPr>
                      <w:color w:val="auto"/>
                      <w:sz w:val="18"/>
                      <w:szCs w:val="18"/>
                      <w:highlight w:val="none"/>
                    </w:rPr>
                    <w:t>9.512</w:t>
                  </w:r>
                </w:p>
              </w:tc>
              <w:tc>
                <w:tcPr>
                  <w:tcW w:w="750" w:type="dxa"/>
                  <w:shd w:val="clear" w:color="auto" w:fill="FFFFFF"/>
                  <w:noWrap w:val="0"/>
                  <w:vAlign w:val="center"/>
                </w:tcPr>
                <w:p>
                  <w:pPr>
                    <w:tabs>
                      <w:tab w:val="left" w:pos="105"/>
                    </w:tabs>
                    <w:spacing w:line="240" w:lineRule="exact"/>
                    <w:ind w:left="-120" w:leftChars="-50" w:right="-120" w:rightChars="-50"/>
                    <w:jc w:val="center"/>
                    <w:rPr>
                      <w:color w:val="auto"/>
                      <w:szCs w:val="21"/>
                      <w:highlight w:val="none"/>
                    </w:rPr>
                  </w:pPr>
                  <w:r>
                    <w:rPr>
                      <w:rFonts w:hint="eastAsia"/>
                      <w:color w:val="auto"/>
                      <w:sz w:val="18"/>
                      <w:szCs w:val="18"/>
                      <w:highlight w:val="none"/>
                    </w:rPr>
                    <w:t>11.89</w:t>
                  </w:r>
                </w:p>
              </w:tc>
              <w:tc>
                <w:tcPr>
                  <w:tcW w:w="1097" w:type="dxa"/>
                  <w:vMerge w:val="continue"/>
                  <w:shd w:val="clear" w:color="auto" w:fill="FFFFFF"/>
                  <w:noWrap w:val="0"/>
                  <w:vAlign w:val="center"/>
                </w:tcPr>
                <w:p>
                  <w:pPr>
                    <w:tabs>
                      <w:tab w:val="left" w:pos="105"/>
                    </w:tabs>
                    <w:spacing w:line="240" w:lineRule="exact"/>
                    <w:ind w:left="-120" w:leftChars="-50" w:right="-120" w:rightChars="-50"/>
                    <w:jc w:val="center"/>
                    <w:rPr>
                      <w:color w:val="auto"/>
                      <w:szCs w:val="21"/>
                      <w:highlight w:val="none"/>
                    </w:rPr>
                  </w:pPr>
                </w:p>
              </w:tc>
              <w:tc>
                <w:tcPr>
                  <w:tcW w:w="571" w:type="dxa"/>
                  <w:shd w:val="clear" w:color="auto" w:fill="FFFFFF"/>
                  <w:noWrap w:val="0"/>
                  <w:vAlign w:val="center"/>
                </w:tcPr>
                <w:p>
                  <w:pPr>
                    <w:tabs>
                      <w:tab w:val="left" w:pos="105"/>
                    </w:tabs>
                    <w:spacing w:line="240" w:lineRule="exact"/>
                    <w:ind w:left="-120" w:leftChars="-50" w:right="-120" w:rightChars="-50"/>
                    <w:jc w:val="center"/>
                    <w:rPr>
                      <w:color w:val="auto"/>
                      <w:szCs w:val="21"/>
                      <w:highlight w:val="none"/>
                    </w:rPr>
                  </w:pPr>
                  <w:r>
                    <w:rPr>
                      <w:color w:val="auto"/>
                      <w:szCs w:val="21"/>
                      <w:highlight w:val="none"/>
                    </w:rPr>
                    <w:t>99.</w:t>
                  </w:r>
                  <w:r>
                    <w:rPr>
                      <w:rFonts w:hint="eastAsia"/>
                      <w:color w:val="auto"/>
                      <w:szCs w:val="21"/>
                      <w:highlight w:val="none"/>
                    </w:rPr>
                    <w:t>5</w:t>
                  </w:r>
                  <w:r>
                    <w:rPr>
                      <w:color w:val="auto"/>
                      <w:szCs w:val="21"/>
                      <w:highlight w:val="none"/>
                    </w:rPr>
                    <w:t>%</w:t>
                  </w:r>
                </w:p>
              </w:tc>
              <w:tc>
                <w:tcPr>
                  <w:tcW w:w="683" w:type="dxa"/>
                  <w:vMerge w:val="continue"/>
                  <w:shd w:val="clear" w:color="auto" w:fill="FFFFFF"/>
                  <w:noWrap w:val="0"/>
                  <w:vAlign w:val="center"/>
                </w:tcPr>
                <w:p>
                  <w:pPr>
                    <w:tabs>
                      <w:tab w:val="left" w:pos="105"/>
                    </w:tabs>
                    <w:spacing w:line="240" w:lineRule="exact"/>
                    <w:ind w:left="-120" w:leftChars="-50" w:right="-120" w:rightChars="-50"/>
                    <w:jc w:val="center"/>
                    <w:rPr>
                      <w:color w:val="auto"/>
                      <w:szCs w:val="21"/>
                      <w:highlight w:val="none"/>
                    </w:rPr>
                  </w:pPr>
                </w:p>
              </w:tc>
              <w:tc>
                <w:tcPr>
                  <w:tcW w:w="785" w:type="dxa"/>
                  <w:shd w:val="clear" w:color="auto" w:fill="FFFFFF"/>
                  <w:noWrap w:val="0"/>
                  <w:vAlign w:val="center"/>
                </w:tcPr>
                <w:p>
                  <w:pPr>
                    <w:tabs>
                      <w:tab w:val="left" w:pos="105"/>
                    </w:tabs>
                    <w:spacing w:line="240" w:lineRule="exact"/>
                    <w:ind w:left="-120" w:leftChars="-50" w:right="-120" w:rightChars="-50"/>
                    <w:jc w:val="center"/>
                    <w:rPr>
                      <w:color w:val="auto"/>
                      <w:szCs w:val="21"/>
                      <w:highlight w:val="none"/>
                    </w:rPr>
                  </w:pPr>
                  <w:r>
                    <w:rPr>
                      <w:rFonts w:hint="eastAsia"/>
                      <w:color w:val="auto"/>
                      <w:szCs w:val="21"/>
                      <w:highlight w:val="none"/>
                    </w:rPr>
                    <w:t>0.0119</w:t>
                  </w:r>
                </w:p>
              </w:tc>
              <w:tc>
                <w:tcPr>
                  <w:tcW w:w="588" w:type="dxa"/>
                  <w:shd w:val="clear" w:color="auto" w:fill="FFFFFF"/>
                  <w:noWrap w:val="0"/>
                  <w:vAlign w:val="center"/>
                </w:tcPr>
                <w:p>
                  <w:pPr>
                    <w:tabs>
                      <w:tab w:val="left" w:pos="105"/>
                    </w:tabs>
                    <w:spacing w:line="240" w:lineRule="exact"/>
                    <w:ind w:left="-120" w:leftChars="-50" w:right="-120" w:rightChars="-50"/>
                    <w:jc w:val="center"/>
                    <w:rPr>
                      <w:color w:val="auto"/>
                      <w:szCs w:val="21"/>
                      <w:highlight w:val="none"/>
                    </w:rPr>
                  </w:pPr>
                  <w:r>
                    <w:rPr>
                      <w:rFonts w:hint="eastAsia"/>
                      <w:color w:val="auto"/>
                      <w:szCs w:val="21"/>
                      <w:highlight w:val="none"/>
                    </w:rPr>
                    <w:t>120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3" w:hRule="atLeast"/>
                <w:jc w:val="center"/>
              </w:trPr>
              <w:tc>
                <w:tcPr>
                  <w:tcW w:w="408" w:type="dxa"/>
                  <w:vMerge w:val="restart"/>
                  <w:shd w:val="clear" w:color="auto" w:fill="FFFFFF"/>
                  <w:noWrap w:val="0"/>
                  <w:vAlign w:val="center"/>
                </w:tcPr>
                <w:p>
                  <w:pPr>
                    <w:spacing w:line="220" w:lineRule="exact"/>
                    <w:ind w:left="-120" w:leftChars="-50" w:right="-120" w:rightChars="-50"/>
                    <w:jc w:val="center"/>
                    <w:rPr>
                      <w:color w:val="auto"/>
                      <w:szCs w:val="21"/>
                      <w:highlight w:val="none"/>
                    </w:rPr>
                  </w:pPr>
                  <w:r>
                    <w:rPr>
                      <w:color w:val="auto"/>
                      <w:szCs w:val="21"/>
                      <w:highlight w:val="none"/>
                    </w:rPr>
                    <w:t>沥青烟气</w:t>
                  </w:r>
                </w:p>
              </w:tc>
              <w:tc>
                <w:tcPr>
                  <w:tcW w:w="350" w:type="dxa"/>
                  <w:vMerge w:val="restart"/>
                  <w:shd w:val="clear" w:color="auto" w:fill="FFFFFF"/>
                  <w:noWrap w:val="0"/>
                  <w:vAlign w:val="center"/>
                </w:tcPr>
                <w:p>
                  <w:pPr>
                    <w:spacing w:line="220" w:lineRule="exact"/>
                    <w:ind w:left="-120" w:leftChars="-50" w:right="-120" w:rightChars="-50"/>
                    <w:jc w:val="center"/>
                    <w:rPr>
                      <w:color w:val="auto"/>
                      <w:szCs w:val="21"/>
                      <w:highlight w:val="none"/>
                    </w:rPr>
                  </w:pPr>
                  <w:r>
                    <w:rPr>
                      <w:color w:val="auto"/>
                      <w:szCs w:val="21"/>
                      <w:highlight w:val="none"/>
                    </w:rPr>
                    <w:t>G1</w:t>
                  </w:r>
                </w:p>
              </w:tc>
              <w:tc>
                <w:tcPr>
                  <w:tcW w:w="484" w:type="dxa"/>
                  <w:vMerge w:val="restart"/>
                  <w:shd w:val="clear" w:color="auto" w:fill="FFFFFF"/>
                  <w:noWrap w:val="0"/>
                  <w:vAlign w:val="center"/>
                </w:tcPr>
                <w:p>
                  <w:pPr>
                    <w:spacing w:line="220" w:lineRule="exact"/>
                    <w:ind w:left="-120" w:leftChars="-50" w:right="-120" w:rightChars="-50"/>
                    <w:jc w:val="center"/>
                    <w:rPr>
                      <w:color w:val="auto"/>
                      <w:szCs w:val="21"/>
                      <w:highlight w:val="none"/>
                    </w:rPr>
                  </w:pPr>
                  <w:r>
                    <w:rPr>
                      <w:rFonts w:hint="eastAsia"/>
                      <w:color w:val="auto"/>
                      <w:szCs w:val="21"/>
                      <w:highlight w:val="none"/>
                    </w:rPr>
                    <w:t>800</w:t>
                  </w:r>
                </w:p>
              </w:tc>
              <w:tc>
                <w:tcPr>
                  <w:tcW w:w="416" w:type="dxa"/>
                  <w:vMerge w:val="restart"/>
                  <w:shd w:val="clear" w:color="auto" w:fill="FFFFFF"/>
                  <w:noWrap w:val="0"/>
                  <w:vAlign w:val="center"/>
                </w:tcPr>
                <w:p>
                  <w:pPr>
                    <w:spacing w:line="220" w:lineRule="exact"/>
                    <w:ind w:left="-120" w:leftChars="-50" w:right="-120" w:rightChars="-50"/>
                    <w:jc w:val="center"/>
                    <w:rPr>
                      <w:color w:val="auto"/>
                      <w:szCs w:val="21"/>
                      <w:highlight w:val="none"/>
                    </w:rPr>
                  </w:pPr>
                  <w:r>
                    <w:rPr>
                      <w:color w:val="auto"/>
                      <w:szCs w:val="21"/>
                      <w:highlight w:val="none"/>
                    </w:rPr>
                    <w:t>沥青储罐及搅拌缸</w:t>
                  </w:r>
                </w:p>
              </w:tc>
              <w:tc>
                <w:tcPr>
                  <w:tcW w:w="534" w:type="dxa"/>
                  <w:vMerge w:val="restart"/>
                  <w:shd w:val="clear" w:color="auto" w:fill="FFFFFF"/>
                  <w:noWrap w:val="0"/>
                  <w:vAlign w:val="center"/>
                </w:tcPr>
                <w:p>
                  <w:pPr>
                    <w:spacing w:line="220" w:lineRule="exact"/>
                    <w:ind w:left="-120" w:leftChars="-50" w:right="-120" w:rightChars="-50"/>
                    <w:jc w:val="center"/>
                    <w:rPr>
                      <w:color w:val="auto"/>
                      <w:kern w:val="0"/>
                      <w:szCs w:val="21"/>
                      <w:highlight w:val="none"/>
                      <w:lang w:bidi="ar"/>
                    </w:rPr>
                  </w:pPr>
                  <w:r>
                    <w:rPr>
                      <w:color w:val="auto"/>
                      <w:szCs w:val="21"/>
                      <w:highlight w:val="none"/>
                    </w:rPr>
                    <w:t>105000</w:t>
                  </w:r>
                </w:p>
              </w:tc>
              <w:tc>
                <w:tcPr>
                  <w:tcW w:w="566" w:type="dxa"/>
                  <w:shd w:val="clear" w:color="auto" w:fill="FFFFFF"/>
                  <w:noWrap w:val="0"/>
                  <w:vAlign w:val="center"/>
                </w:tcPr>
                <w:p>
                  <w:pPr>
                    <w:tabs>
                      <w:tab w:val="left" w:pos="105"/>
                    </w:tabs>
                    <w:spacing w:line="240" w:lineRule="exact"/>
                    <w:ind w:left="-120" w:leftChars="-50" w:right="-120" w:rightChars="-50"/>
                    <w:jc w:val="center"/>
                    <w:rPr>
                      <w:color w:val="auto"/>
                      <w:szCs w:val="21"/>
                      <w:highlight w:val="none"/>
                    </w:rPr>
                  </w:pPr>
                  <w:r>
                    <w:rPr>
                      <w:color w:val="auto"/>
                      <w:szCs w:val="21"/>
                      <w:highlight w:val="none"/>
                    </w:rPr>
                    <w:t>沥青烟气</w:t>
                  </w:r>
                </w:p>
              </w:tc>
              <w:tc>
                <w:tcPr>
                  <w:tcW w:w="750" w:type="dxa"/>
                  <w:shd w:val="clear" w:color="auto" w:fill="FFFFFF"/>
                  <w:noWrap w:val="0"/>
                  <w:vAlign w:val="center"/>
                </w:tcPr>
                <w:p>
                  <w:pPr>
                    <w:widowControl/>
                    <w:jc w:val="center"/>
                    <w:textAlignment w:val="bottom"/>
                    <w:rPr>
                      <w:color w:val="auto"/>
                      <w:kern w:val="0"/>
                      <w:szCs w:val="21"/>
                      <w:highlight w:val="none"/>
                      <w:lang w:bidi="ar"/>
                    </w:rPr>
                  </w:pPr>
                </w:p>
              </w:tc>
              <w:tc>
                <w:tcPr>
                  <w:tcW w:w="750" w:type="dxa"/>
                  <w:shd w:val="clear" w:color="auto" w:fill="FFFFFF"/>
                  <w:noWrap w:val="0"/>
                  <w:vAlign w:val="center"/>
                </w:tcPr>
                <w:p>
                  <w:pPr>
                    <w:pStyle w:val="31"/>
                    <w:spacing w:line="240" w:lineRule="auto"/>
                    <w:rPr>
                      <w:rFonts w:ascii="Times New Roman" w:eastAsia="宋体"/>
                      <w:color w:val="auto"/>
                      <w:sz w:val="21"/>
                      <w:szCs w:val="21"/>
                      <w:highlight w:val="none"/>
                    </w:rPr>
                  </w:pPr>
                  <w:r>
                    <w:rPr>
                      <w:rFonts w:ascii="Times New Roman" w:eastAsia="宋体"/>
                      <w:color w:val="auto"/>
                      <w:sz w:val="21"/>
                      <w:szCs w:val="21"/>
                      <w:highlight w:val="none"/>
                    </w:rPr>
                    <w:t>0.394</w:t>
                  </w:r>
                </w:p>
              </w:tc>
              <w:tc>
                <w:tcPr>
                  <w:tcW w:w="1097" w:type="dxa"/>
                  <w:vMerge w:val="restart"/>
                  <w:shd w:val="clear" w:color="auto" w:fill="FFFFFF"/>
                  <w:noWrap w:val="0"/>
                  <w:vAlign w:val="center"/>
                </w:tcPr>
                <w:p>
                  <w:pPr>
                    <w:spacing w:line="220" w:lineRule="exact"/>
                    <w:ind w:left="-120" w:leftChars="-50" w:right="-120" w:rightChars="-50"/>
                    <w:jc w:val="center"/>
                    <w:rPr>
                      <w:color w:val="auto"/>
                      <w:szCs w:val="21"/>
                      <w:highlight w:val="none"/>
                    </w:rPr>
                  </w:pPr>
                  <w:r>
                    <w:rPr>
                      <w:color w:val="auto"/>
                      <w:szCs w:val="21"/>
                      <w:highlight w:val="none"/>
                    </w:rPr>
                    <w:t>环形集气罩收集后引入总集气管道;搅拌缸内沥青烟气由风管引入总集气管道，沥青烟气收集后引入烘干滚筒燃烧器中燃烧后跟燃气废气一并从1#排气筒排放，燃烧处理效率达90%。</w:t>
                  </w:r>
                </w:p>
              </w:tc>
              <w:tc>
                <w:tcPr>
                  <w:tcW w:w="571" w:type="dxa"/>
                  <w:shd w:val="clear" w:color="auto" w:fill="FFFFFF"/>
                  <w:noWrap w:val="0"/>
                  <w:vAlign w:val="center"/>
                </w:tcPr>
                <w:p>
                  <w:pPr>
                    <w:spacing w:line="220" w:lineRule="exact"/>
                    <w:ind w:left="-120" w:leftChars="-50" w:right="-120" w:rightChars="-50"/>
                    <w:jc w:val="center"/>
                    <w:rPr>
                      <w:color w:val="auto"/>
                      <w:szCs w:val="21"/>
                      <w:highlight w:val="none"/>
                    </w:rPr>
                  </w:pPr>
                  <w:r>
                    <w:rPr>
                      <w:color w:val="auto"/>
                      <w:szCs w:val="21"/>
                      <w:highlight w:val="none"/>
                    </w:rPr>
                    <w:t>90%</w:t>
                  </w:r>
                </w:p>
              </w:tc>
              <w:tc>
                <w:tcPr>
                  <w:tcW w:w="683" w:type="dxa"/>
                  <w:vMerge w:val="restart"/>
                  <w:shd w:val="clear" w:color="auto" w:fill="FFFFFF"/>
                  <w:noWrap w:val="0"/>
                  <w:vAlign w:val="center"/>
                </w:tcPr>
                <w:p>
                  <w:pPr>
                    <w:spacing w:line="240" w:lineRule="exact"/>
                    <w:ind w:left="-120" w:leftChars="-50" w:right="-120" w:rightChars="-50"/>
                    <w:jc w:val="center"/>
                    <w:rPr>
                      <w:color w:val="auto"/>
                      <w:szCs w:val="21"/>
                      <w:highlight w:val="none"/>
                    </w:rPr>
                  </w:pPr>
                  <w:r>
                    <w:rPr>
                      <w:color w:val="auto"/>
                      <w:szCs w:val="21"/>
                      <w:highlight w:val="none"/>
                    </w:rPr>
                    <w:t>H=15m</w:t>
                  </w:r>
                </w:p>
                <w:p>
                  <w:pPr>
                    <w:spacing w:line="240" w:lineRule="exact"/>
                    <w:ind w:left="-120" w:leftChars="-50" w:right="-120" w:rightChars="-50"/>
                    <w:jc w:val="center"/>
                    <w:rPr>
                      <w:color w:val="auto"/>
                      <w:szCs w:val="21"/>
                      <w:highlight w:val="none"/>
                    </w:rPr>
                  </w:pPr>
                  <w:r>
                    <w:rPr>
                      <w:color w:val="auto"/>
                      <w:szCs w:val="21"/>
                      <w:highlight w:val="none"/>
                    </w:rPr>
                    <w:t>T=80℃</w:t>
                  </w:r>
                </w:p>
                <w:p>
                  <w:pPr>
                    <w:spacing w:line="220" w:lineRule="exact"/>
                    <w:ind w:left="-120" w:leftChars="-50" w:right="-120" w:rightChars="-50"/>
                    <w:jc w:val="center"/>
                    <w:rPr>
                      <w:color w:val="auto"/>
                      <w:szCs w:val="21"/>
                      <w:highlight w:val="none"/>
                    </w:rPr>
                  </w:pPr>
                  <w:r>
                    <w:rPr>
                      <w:color w:val="auto"/>
                      <w:szCs w:val="21"/>
                      <w:highlight w:val="none"/>
                    </w:rPr>
                    <w:t>D=1.2m</w:t>
                  </w:r>
                </w:p>
              </w:tc>
              <w:tc>
                <w:tcPr>
                  <w:tcW w:w="785" w:type="dxa"/>
                  <w:shd w:val="clear" w:color="auto" w:fill="FFFFFF"/>
                  <w:noWrap w:val="0"/>
                  <w:vAlign w:val="center"/>
                </w:tcPr>
                <w:p>
                  <w:pPr>
                    <w:spacing w:line="220" w:lineRule="exact"/>
                    <w:ind w:left="-120" w:leftChars="-50" w:right="-120" w:rightChars="-50"/>
                    <w:jc w:val="center"/>
                    <w:rPr>
                      <w:color w:val="auto"/>
                      <w:szCs w:val="21"/>
                      <w:highlight w:val="none"/>
                    </w:rPr>
                  </w:pPr>
                  <w:r>
                    <w:rPr>
                      <w:color w:val="auto"/>
                      <w:szCs w:val="21"/>
                      <w:highlight w:val="none"/>
                    </w:rPr>
                    <w:t>0.0355</w:t>
                  </w:r>
                </w:p>
              </w:tc>
              <w:tc>
                <w:tcPr>
                  <w:tcW w:w="588" w:type="dxa"/>
                  <w:shd w:val="clear" w:color="auto" w:fill="FFFFFF"/>
                  <w:noWrap w:val="0"/>
                  <w:vAlign w:val="center"/>
                </w:tcPr>
                <w:p>
                  <w:pPr>
                    <w:tabs>
                      <w:tab w:val="left" w:pos="105"/>
                    </w:tabs>
                    <w:spacing w:line="240" w:lineRule="exact"/>
                    <w:ind w:left="-120" w:leftChars="-50" w:right="-120" w:rightChars="-50"/>
                    <w:jc w:val="center"/>
                    <w:rPr>
                      <w:color w:val="auto"/>
                      <w:szCs w:val="21"/>
                      <w:highlight w:val="none"/>
                    </w:rPr>
                  </w:pPr>
                  <w:r>
                    <w:rPr>
                      <w:color w:val="auto"/>
                      <w:szCs w:val="21"/>
                      <w:highlight w:val="none"/>
                    </w:rPr>
                    <w:t>75（0.18kg/h）</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3" w:hRule="atLeast"/>
                <w:jc w:val="center"/>
              </w:trPr>
              <w:tc>
                <w:tcPr>
                  <w:tcW w:w="408" w:type="dxa"/>
                  <w:vMerge w:val="continue"/>
                  <w:shd w:val="clear" w:color="auto" w:fill="FFFFFF"/>
                  <w:noWrap w:val="0"/>
                  <w:vAlign w:val="center"/>
                </w:tcPr>
                <w:p>
                  <w:pPr>
                    <w:tabs>
                      <w:tab w:val="left" w:pos="105"/>
                    </w:tabs>
                    <w:spacing w:line="240" w:lineRule="exact"/>
                    <w:ind w:left="-120" w:leftChars="-50" w:right="-120" w:rightChars="-50"/>
                    <w:jc w:val="center"/>
                    <w:rPr>
                      <w:color w:val="auto"/>
                      <w:szCs w:val="21"/>
                      <w:highlight w:val="none"/>
                    </w:rPr>
                  </w:pPr>
                </w:p>
              </w:tc>
              <w:tc>
                <w:tcPr>
                  <w:tcW w:w="350" w:type="dxa"/>
                  <w:vMerge w:val="continue"/>
                  <w:shd w:val="clear" w:color="auto" w:fill="FFFFFF"/>
                  <w:noWrap w:val="0"/>
                  <w:vAlign w:val="center"/>
                </w:tcPr>
                <w:p>
                  <w:pPr>
                    <w:tabs>
                      <w:tab w:val="left" w:pos="105"/>
                    </w:tabs>
                    <w:spacing w:line="240" w:lineRule="exact"/>
                    <w:ind w:left="-120" w:leftChars="-50" w:right="-120" w:rightChars="-50"/>
                    <w:jc w:val="center"/>
                    <w:rPr>
                      <w:color w:val="auto"/>
                      <w:szCs w:val="21"/>
                      <w:highlight w:val="none"/>
                    </w:rPr>
                  </w:pPr>
                </w:p>
              </w:tc>
              <w:tc>
                <w:tcPr>
                  <w:tcW w:w="484" w:type="dxa"/>
                  <w:vMerge w:val="continue"/>
                  <w:shd w:val="clear" w:color="auto" w:fill="FFFFFF"/>
                  <w:noWrap w:val="0"/>
                  <w:vAlign w:val="center"/>
                </w:tcPr>
                <w:p>
                  <w:pPr>
                    <w:tabs>
                      <w:tab w:val="left" w:pos="105"/>
                    </w:tabs>
                    <w:spacing w:line="240" w:lineRule="exact"/>
                    <w:ind w:left="-120" w:leftChars="-50" w:right="-120" w:rightChars="-50"/>
                    <w:jc w:val="center"/>
                    <w:rPr>
                      <w:color w:val="auto"/>
                      <w:szCs w:val="21"/>
                      <w:highlight w:val="none"/>
                    </w:rPr>
                  </w:pPr>
                </w:p>
              </w:tc>
              <w:tc>
                <w:tcPr>
                  <w:tcW w:w="416" w:type="dxa"/>
                  <w:vMerge w:val="continue"/>
                  <w:shd w:val="clear" w:color="auto" w:fill="FFFFFF"/>
                  <w:noWrap w:val="0"/>
                  <w:vAlign w:val="center"/>
                </w:tcPr>
                <w:p>
                  <w:pPr>
                    <w:tabs>
                      <w:tab w:val="left" w:pos="105"/>
                    </w:tabs>
                    <w:spacing w:line="240" w:lineRule="exact"/>
                    <w:ind w:left="-120" w:leftChars="-50" w:right="-120" w:rightChars="-50"/>
                    <w:jc w:val="center"/>
                    <w:rPr>
                      <w:color w:val="auto"/>
                      <w:szCs w:val="21"/>
                      <w:highlight w:val="none"/>
                    </w:rPr>
                  </w:pPr>
                </w:p>
              </w:tc>
              <w:tc>
                <w:tcPr>
                  <w:tcW w:w="534" w:type="dxa"/>
                  <w:vMerge w:val="continue"/>
                  <w:shd w:val="clear" w:color="auto" w:fill="FFFFFF"/>
                  <w:noWrap w:val="0"/>
                  <w:vAlign w:val="center"/>
                </w:tcPr>
                <w:p>
                  <w:pPr>
                    <w:tabs>
                      <w:tab w:val="left" w:pos="105"/>
                    </w:tabs>
                    <w:spacing w:line="240" w:lineRule="exact"/>
                    <w:ind w:left="-120" w:leftChars="-50" w:right="-120" w:rightChars="-50"/>
                    <w:jc w:val="center"/>
                    <w:rPr>
                      <w:color w:val="auto"/>
                      <w:szCs w:val="21"/>
                      <w:highlight w:val="none"/>
                    </w:rPr>
                  </w:pPr>
                </w:p>
              </w:tc>
              <w:tc>
                <w:tcPr>
                  <w:tcW w:w="566" w:type="dxa"/>
                  <w:shd w:val="clear" w:color="auto" w:fill="FFFFFF"/>
                  <w:noWrap w:val="0"/>
                  <w:vAlign w:val="center"/>
                </w:tcPr>
                <w:p>
                  <w:pPr>
                    <w:tabs>
                      <w:tab w:val="left" w:pos="105"/>
                    </w:tabs>
                    <w:spacing w:line="240" w:lineRule="exact"/>
                    <w:ind w:left="-120" w:leftChars="-50" w:right="-120" w:rightChars="-50"/>
                    <w:jc w:val="center"/>
                    <w:rPr>
                      <w:color w:val="auto"/>
                      <w:szCs w:val="21"/>
                      <w:highlight w:val="none"/>
                    </w:rPr>
                  </w:pPr>
                  <w:r>
                    <w:rPr>
                      <w:color w:val="auto"/>
                      <w:szCs w:val="21"/>
                      <w:highlight w:val="none"/>
                    </w:rPr>
                    <w:t>苯并[a]芘</w:t>
                  </w:r>
                </w:p>
              </w:tc>
              <w:tc>
                <w:tcPr>
                  <w:tcW w:w="750" w:type="dxa"/>
                  <w:shd w:val="clear" w:color="auto" w:fill="FFFFFF"/>
                  <w:noWrap w:val="0"/>
                  <w:vAlign w:val="center"/>
                </w:tcPr>
                <w:p>
                  <w:pPr>
                    <w:tabs>
                      <w:tab w:val="left" w:pos="105"/>
                    </w:tabs>
                    <w:spacing w:line="240" w:lineRule="exact"/>
                    <w:ind w:left="-120" w:leftChars="-50" w:right="-120" w:rightChars="-50"/>
                    <w:jc w:val="center"/>
                    <w:rPr>
                      <w:color w:val="auto"/>
                      <w:szCs w:val="21"/>
                      <w:highlight w:val="none"/>
                    </w:rPr>
                  </w:pPr>
                </w:p>
              </w:tc>
              <w:tc>
                <w:tcPr>
                  <w:tcW w:w="750" w:type="dxa"/>
                  <w:shd w:val="clear" w:color="auto" w:fill="FFFFFF"/>
                  <w:noWrap w:val="0"/>
                  <w:vAlign w:val="center"/>
                </w:tcPr>
                <w:p>
                  <w:pPr>
                    <w:pStyle w:val="31"/>
                    <w:spacing w:line="240" w:lineRule="auto"/>
                    <w:rPr>
                      <w:rFonts w:ascii="Times New Roman" w:eastAsia="宋体"/>
                      <w:color w:val="auto"/>
                      <w:sz w:val="21"/>
                      <w:szCs w:val="21"/>
                      <w:highlight w:val="none"/>
                    </w:rPr>
                  </w:pPr>
                  <w:r>
                    <w:rPr>
                      <w:rFonts w:ascii="Times New Roman" w:eastAsia="宋体"/>
                      <w:color w:val="auto"/>
                      <w:sz w:val="21"/>
                      <w:szCs w:val="21"/>
                      <w:highlight w:val="none"/>
                    </w:rPr>
                    <w:t>6.98*10-</w:t>
                  </w:r>
                  <w:r>
                    <w:rPr>
                      <w:rFonts w:ascii="Times New Roman" w:eastAsia="宋体"/>
                      <w:color w:val="auto"/>
                      <w:sz w:val="21"/>
                      <w:szCs w:val="21"/>
                      <w:highlight w:val="none"/>
                      <w:vertAlign w:val="superscript"/>
                    </w:rPr>
                    <w:t>6</w:t>
                  </w:r>
                </w:p>
              </w:tc>
              <w:tc>
                <w:tcPr>
                  <w:tcW w:w="1097" w:type="dxa"/>
                  <w:vMerge w:val="continue"/>
                  <w:shd w:val="clear" w:color="auto" w:fill="FFFFFF"/>
                  <w:noWrap w:val="0"/>
                  <w:vAlign w:val="center"/>
                </w:tcPr>
                <w:p>
                  <w:pPr>
                    <w:tabs>
                      <w:tab w:val="left" w:pos="105"/>
                    </w:tabs>
                    <w:spacing w:line="240" w:lineRule="exact"/>
                    <w:ind w:left="-120" w:leftChars="-50" w:right="-120" w:rightChars="-50"/>
                    <w:jc w:val="center"/>
                    <w:rPr>
                      <w:color w:val="auto"/>
                      <w:szCs w:val="21"/>
                      <w:highlight w:val="none"/>
                    </w:rPr>
                  </w:pPr>
                </w:p>
              </w:tc>
              <w:tc>
                <w:tcPr>
                  <w:tcW w:w="571" w:type="dxa"/>
                  <w:shd w:val="clear" w:color="auto" w:fill="FFFFFF"/>
                  <w:noWrap w:val="0"/>
                  <w:vAlign w:val="center"/>
                </w:tcPr>
                <w:p>
                  <w:pPr>
                    <w:tabs>
                      <w:tab w:val="left" w:pos="105"/>
                    </w:tabs>
                    <w:spacing w:line="240" w:lineRule="exact"/>
                    <w:ind w:left="-120" w:leftChars="-50" w:right="-120" w:rightChars="-50"/>
                    <w:jc w:val="center"/>
                    <w:rPr>
                      <w:color w:val="auto"/>
                      <w:szCs w:val="21"/>
                      <w:highlight w:val="none"/>
                    </w:rPr>
                  </w:pPr>
                  <w:r>
                    <w:rPr>
                      <w:color w:val="auto"/>
                      <w:szCs w:val="21"/>
                      <w:highlight w:val="none"/>
                    </w:rPr>
                    <w:t>90%</w:t>
                  </w:r>
                </w:p>
              </w:tc>
              <w:tc>
                <w:tcPr>
                  <w:tcW w:w="683" w:type="dxa"/>
                  <w:vMerge w:val="continue"/>
                  <w:shd w:val="clear" w:color="auto" w:fill="FFFFFF"/>
                  <w:noWrap w:val="0"/>
                  <w:vAlign w:val="center"/>
                </w:tcPr>
                <w:p>
                  <w:pPr>
                    <w:tabs>
                      <w:tab w:val="left" w:pos="105"/>
                    </w:tabs>
                    <w:spacing w:line="240" w:lineRule="exact"/>
                    <w:ind w:left="-120" w:leftChars="-50" w:right="-120" w:rightChars="-50"/>
                    <w:jc w:val="center"/>
                    <w:rPr>
                      <w:color w:val="auto"/>
                      <w:szCs w:val="21"/>
                      <w:highlight w:val="none"/>
                    </w:rPr>
                  </w:pPr>
                </w:p>
              </w:tc>
              <w:tc>
                <w:tcPr>
                  <w:tcW w:w="785" w:type="dxa"/>
                  <w:shd w:val="clear" w:color="auto" w:fill="FFFFFF"/>
                  <w:noWrap w:val="0"/>
                  <w:vAlign w:val="center"/>
                </w:tcPr>
                <w:p>
                  <w:pPr>
                    <w:tabs>
                      <w:tab w:val="left" w:pos="105"/>
                    </w:tabs>
                    <w:spacing w:line="240" w:lineRule="exact"/>
                    <w:ind w:left="-120" w:leftChars="-50" w:right="-120" w:rightChars="-50"/>
                    <w:jc w:val="center"/>
                    <w:rPr>
                      <w:color w:val="auto"/>
                      <w:szCs w:val="21"/>
                      <w:highlight w:val="none"/>
                    </w:rPr>
                  </w:pPr>
                  <w:r>
                    <w:rPr>
                      <w:color w:val="auto"/>
                      <w:szCs w:val="21"/>
                      <w:highlight w:val="none"/>
                    </w:rPr>
                    <w:t>6.282*10</w:t>
                  </w:r>
                  <w:r>
                    <w:rPr>
                      <w:color w:val="auto"/>
                      <w:szCs w:val="21"/>
                      <w:highlight w:val="none"/>
                      <w:vertAlign w:val="superscript"/>
                    </w:rPr>
                    <w:t>-7</w:t>
                  </w:r>
                </w:p>
              </w:tc>
              <w:tc>
                <w:tcPr>
                  <w:tcW w:w="588" w:type="dxa"/>
                  <w:shd w:val="clear" w:color="auto" w:fill="FFFFFF"/>
                  <w:noWrap w:val="0"/>
                  <w:vAlign w:val="center"/>
                </w:tcPr>
                <w:p>
                  <w:pPr>
                    <w:tabs>
                      <w:tab w:val="left" w:pos="105"/>
                    </w:tabs>
                    <w:spacing w:line="240" w:lineRule="exact"/>
                    <w:ind w:left="-120" w:leftChars="-50" w:right="-120" w:rightChars="-50"/>
                    <w:jc w:val="center"/>
                    <w:rPr>
                      <w:color w:val="auto"/>
                      <w:szCs w:val="21"/>
                      <w:highlight w:val="none"/>
                    </w:rPr>
                  </w:pPr>
                  <w:r>
                    <w:rPr>
                      <w:color w:val="auto"/>
                      <w:szCs w:val="21"/>
                      <w:highlight w:val="none"/>
                    </w:rPr>
                    <w:t>0.3*10</w:t>
                  </w:r>
                  <w:r>
                    <w:rPr>
                      <w:color w:val="auto"/>
                      <w:szCs w:val="21"/>
                      <w:highlight w:val="none"/>
                      <w:vertAlign w:val="superscript"/>
                    </w:rPr>
                    <w:t>-3</w:t>
                  </w:r>
                  <w:r>
                    <w:rPr>
                      <w:color w:val="auto"/>
                      <w:szCs w:val="21"/>
                      <w:highlight w:val="none"/>
                    </w:rPr>
                    <w:t>（0.05*10</w:t>
                  </w:r>
                  <w:r>
                    <w:rPr>
                      <w:color w:val="auto"/>
                      <w:szCs w:val="21"/>
                      <w:highlight w:val="none"/>
                      <w:vertAlign w:val="superscript"/>
                    </w:rPr>
                    <w:t>-3</w:t>
                  </w:r>
                  <w:r>
                    <w:rPr>
                      <w:color w:val="auto"/>
                      <w:szCs w:val="21"/>
                      <w:highlight w:val="none"/>
                    </w:rPr>
                    <w:t>kg/h）</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3" w:hRule="atLeast"/>
                <w:jc w:val="center"/>
              </w:trPr>
              <w:tc>
                <w:tcPr>
                  <w:tcW w:w="408" w:type="dxa"/>
                  <w:vMerge w:val="continue"/>
                  <w:shd w:val="clear" w:color="auto" w:fill="FFFFFF"/>
                  <w:noWrap w:val="0"/>
                  <w:vAlign w:val="center"/>
                </w:tcPr>
                <w:p>
                  <w:pPr>
                    <w:tabs>
                      <w:tab w:val="left" w:pos="105"/>
                    </w:tabs>
                    <w:spacing w:line="240" w:lineRule="exact"/>
                    <w:ind w:left="-120" w:leftChars="-50" w:right="-120" w:rightChars="-50"/>
                    <w:jc w:val="center"/>
                    <w:rPr>
                      <w:color w:val="auto"/>
                      <w:szCs w:val="21"/>
                      <w:highlight w:val="none"/>
                    </w:rPr>
                  </w:pPr>
                </w:p>
              </w:tc>
              <w:tc>
                <w:tcPr>
                  <w:tcW w:w="350" w:type="dxa"/>
                  <w:vMerge w:val="continue"/>
                  <w:shd w:val="clear" w:color="auto" w:fill="FFFFFF"/>
                  <w:noWrap w:val="0"/>
                  <w:vAlign w:val="center"/>
                </w:tcPr>
                <w:p>
                  <w:pPr>
                    <w:tabs>
                      <w:tab w:val="left" w:pos="105"/>
                    </w:tabs>
                    <w:spacing w:line="240" w:lineRule="exact"/>
                    <w:ind w:left="-120" w:leftChars="-50" w:right="-120" w:rightChars="-50"/>
                    <w:jc w:val="center"/>
                    <w:rPr>
                      <w:color w:val="auto"/>
                      <w:szCs w:val="21"/>
                      <w:highlight w:val="none"/>
                    </w:rPr>
                  </w:pPr>
                </w:p>
              </w:tc>
              <w:tc>
                <w:tcPr>
                  <w:tcW w:w="484" w:type="dxa"/>
                  <w:vMerge w:val="continue"/>
                  <w:shd w:val="clear" w:color="auto" w:fill="FFFFFF"/>
                  <w:noWrap w:val="0"/>
                  <w:vAlign w:val="center"/>
                </w:tcPr>
                <w:p>
                  <w:pPr>
                    <w:tabs>
                      <w:tab w:val="left" w:pos="105"/>
                    </w:tabs>
                    <w:spacing w:line="240" w:lineRule="exact"/>
                    <w:ind w:left="-120" w:leftChars="-50" w:right="-120" w:rightChars="-50"/>
                    <w:jc w:val="center"/>
                    <w:rPr>
                      <w:color w:val="auto"/>
                      <w:szCs w:val="21"/>
                      <w:highlight w:val="none"/>
                    </w:rPr>
                  </w:pPr>
                </w:p>
              </w:tc>
              <w:tc>
                <w:tcPr>
                  <w:tcW w:w="416" w:type="dxa"/>
                  <w:vMerge w:val="continue"/>
                  <w:shd w:val="clear" w:color="auto" w:fill="FFFFFF"/>
                  <w:noWrap w:val="0"/>
                  <w:vAlign w:val="center"/>
                </w:tcPr>
                <w:p>
                  <w:pPr>
                    <w:tabs>
                      <w:tab w:val="left" w:pos="105"/>
                    </w:tabs>
                    <w:spacing w:line="240" w:lineRule="exact"/>
                    <w:ind w:left="-120" w:leftChars="-50" w:right="-120" w:rightChars="-50"/>
                    <w:jc w:val="center"/>
                    <w:rPr>
                      <w:color w:val="auto"/>
                      <w:szCs w:val="21"/>
                      <w:highlight w:val="none"/>
                    </w:rPr>
                  </w:pPr>
                </w:p>
              </w:tc>
              <w:tc>
                <w:tcPr>
                  <w:tcW w:w="534" w:type="dxa"/>
                  <w:vMerge w:val="continue"/>
                  <w:shd w:val="clear" w:color="auto" w:fill="FFFFFF"/>
                  <w:noWrap w:val="0"/>
                  <w:vAlign w:val="center"/>
                </w:tcPr>
                <w:p>
                  <w:pPr>
                    <w:tabs>
                      <w:tab w:val="left" w:pos="105"/>
                    </w:tabs>
                    <w:spacing w:line="240" w:lineRule="exact"/>
                    <w:ind w:left="-120" w:leftChars="-50" w:right="-120" w:rightChars="-50"/>
                    <w:jc w:val="center"/>
                    <w:rPr>
                      <w:color w:val="auto"/>
                      <w:szCs w:val="21"/>
                      <w:highlight w:val="none"/>
                    </w:rPr>
                  </w:pPr>
                </w:p>
              </w:tc>
              <w:tc>
                <w:tcPr>
                  <w:tcW w:w="566" w:type="dxa"/>
                  <w:shd w:val="clear" w:color="auto" w:fill="FFFFFF"/>
                  <w:noWrap w:val="0"/>
                  <w:vAlign w:val="center"/>
                </w:tcPr>
                <w:p>
                  <w:pPr>
                    <w:tabs>
                      <w:tab w:val="left" w:pos="105"/>
                    </w:tabs>
                    <w:spacing w:line="240" w:lineRule="exact"/>
                    <w:ind w:left="-120" w:leftChars="-50" w:right="-120" w:rightChars="-50"/>
                    <w:jc w:val="center"/>
                    <w:rPr>
                      <w:color w:val="auto"/>
                      <w:szCs w:val="21"/>
                      <w:highlight w:val="none"/>
                    </w:rPr>
                  </w:pPr>
                  <w:r>
                    <w:rPr>
                      <w:color w:val="auto"/>
                      <w:szCs w:val="21"/>
                      <w:highlight w:val="none"/>
                    </w:rPr>
                    <w:t>非甲烷总烃</w:t>
                  </w:r>
                </w:p>
              </w:tc>
              <w:tc>
                <w:tcPr>
                  <w:tcW w:w="750" w:type="dxa"/>
                  <w:shd w:val="clear" w:color="auto" w:fill="FFFFFF"/>
                  <w:noWrap w:val="0"/>
                  <w:vAlign w:val="center"/>
                </w:tcPr>
                <w:p>
                  <w:pPr>
                    <w:tabs>
                      <w:tab w:val="left" w:pos="105"/>
                    </w:tabs>
                    <w:spacing w:line="240" w:lineRule="exact"/>
                    <w:ind w:left="-120" w:leftChars="-50" w:right="-120" w:rightChars="-50"/>
                    <w:jc w:val="center"/>
                    <w:rPr>
                      <w:color w:val="auto"/>
                      <w:szCs w:val="21"/>
                      <w:highlight w:val="none"/>
                    </w:rPr>
                  </w:pPr>
                </w:p>
              </w:tc>
              <w:tc>
                <w:tcPr>
                  <w:tcW w:w="750" w:type="dxa"/>
                  <w:shd w:val="clear" w:color="auto" w:fill="FFFFFF"/>
                  <w:noWrap w:val="0"/>
                  <w:vAlign w:val="center"/>
                </w:tcPr>
                <w:p>
                  <w:pPr>
                    <w:pStyle w:val="31"/>
                    <w:spacing w:line="240" w:lineRule="auto"/>
                    <w:rPr>
                      <w:rFonts w:ascii="Times New Roman" w:eastAsia="宋体"/>
                      <w:color w:val="auto"/>
                      <w:sz w:val="21"/>
                      <w:szCs w:val="21"/>
                      <w:highlight w:val="none"/>
                    </w:rPr>
                  </w:pPr>
                  <w:r>
                    <w:rPr>
                      <w:rFonts w:ascii="Times New Roman" w:eastAsia="宋体"/>
                      <w:color w:val="auto"/>
                      <w:sz w:val="21"/>
                      <w:szCs w:val="21"/>
                      <w:highlight w:val="none"/>
                    </w:rPr>
                    <w:t>0.00208</w:t>
                  </w:r>
                </w:p>
              </w:tc>
              <w:tc>
                <w:tcPr>
                  <w:tcW w:w="1097" w:type="dxa"/>
                  <w:vMerge w:val="continue"/>
                  <w:shd w:val="clear" w:color="auto" w:fill="FFFFFF"/>
                  <w:noWrap w:val="0"/>
                  <w:vAlign w:val="center"/>
                </w:tcPr>
                <w:p>
                  <w:pPr>
                    <w:tabs>
                      <w:tab w:val="left" w:pos="105"/>
                    </w:tabs>
                    <w:spacing w:line="240" w:lineRule="exact"/>
                    <w:ind w:left="-120" w:leftChars="-50" w:right="-120" w:rightChars="-50"/>
                    <w:jc w:val="center"/>
                    <w:rPr>
                      <w:color w:val="auto"/>
                      <w:szCs w:val="21"/>
                      <w:highlight w:val="none"/>
                    </w:rPr>
                  </w:pPr>
                </w:p>
              </w:tc>
              <w:tc>
                <w:tcPr>
                  <w:tcW w:w="571" w:type="dxa"/>
                  <w:shd w:val="clear" w:color="auto" w:fill="FFFFFF"/>
                  <w:noWrap w:val="0"/>
                  <w:vAlign w:val="center"/>
                </w:tcPr>
                <w:p>
                  <w:pPr>
                    <w:tabs>
                      <w:tab w:val="left" w:pos="105"/>
                    </w:tabs>
                    <w:spacing w:line="240" w:lineRule="exact"/>
                    <w:ind w:left="-120" w:leftChars="-50" w:right="-120" w:rightChars="-50"/>
                    <w:jc w:val="center"/>
                    <w:rPr>
                      <w:color w:val="auto"/>
                      <w:szCs w:val="21"/>
                      <w:highlight w:val="none"/>
                    </w:rPr>
                  </w:pPr>
                  <w:r>
                    <w:rPr>
                      <w:color w:val="auto"/>
                      <w:szCs w:val="21"/>
                      <w:highlight w:val="none"/>
                    </w:rPr>
                    <w:t>90%</w:t>
                  </w:r>
                </w:p>
              </w:tc>
              <w:tc>
                <w:tcPr>
                  <w:tcW w:w="683" w:type="dxa"/>
                  <w:vMerge w:val="continue"/>
                  <w:shd w:val="clear" w:color="auto" w:fill="FFFFFF"/>
                  <w:noWrap w:val="0"/>
                  <w:vAlign w:val="center"/>
                </w:tcPr>
                <w:p>
                  <w:pPr>
                    <w:tabs>
                      <w:tab w:val="left" w:pos="105"/>
                    </w:tabs>
                    <w:spacing w:line="240" w:lineRule="exact"/>
                    <w:ind w:left="-120" w:leftChars="-50" w:right="-120" w:rightChars="-50"/>
                    <w:jc w:val="center"/>
                    <w:rPr>
                      <w:color w:val="auto"/>
                      <w:szCs w:val="21"/>
                      <w:highlight w:val="none"/>
                    </w:rPr>
                  </w:pPr>
                </w:p>
              </w:tc>
              <w:tc>
                <w:tcPr>
                  <w:tcW w:w="785" w:type="dxa"/>
                  <w:shd w:val="clear" w:color="auto" w:fill="FFFFFF"/>
                  <w:noWrap w:val="0"/>
                  <w:vAlign w:val="center"/>
                </w:tcPr>
                <w:p>
                  <w:pPr>
                    <w:tabs>
                      <w:tab w:val="left" w:pos="105"/>
                    </w:tabs>
                    <w:spacing w:line="240" w:lineRule="exact"/>
                    <w:ind w:left="-120" w:leftChars="-50" w:right="-120" w:rightChars="-50"/>
                    <w:jc w:val="center"/>
                    <w:rPr>
                      <w:color w:val="auto"/>
                      <w:szCs w:val="21"/>
                      <w:highlight w:val="none"/>
                    </w:rPr>
                  </w:pPr>
                  <w:r>
                    <w:rPr>
                      <w:color w:val="auto"/>
                      <w:szCs w:val="21"/>
                      <w:highlight w:val="none"/>
                    </w:rPr>
                    <w:t>0.000188</w:t>
                  </w:r>
                </w:p>
              </w:tc>
              <w:tc>
                <w:tcPr>
                  <w:tcW w:w="588" w:type="dxa"/>
                  <w:shd w:val="clear" w:color="auto" w:fill="FFFFFF"/>
                  <w:noWrap w:val="0"/>
                  <w:vAlign w:val="center"/>
                </w:tcPr>
                <w:p>
                  <w:pPr>
                    <w:tabs>
                      <w:tab w:val="left" w:pos="105"/>
                    </w:tabs>
                    <w:spacing w:line="240" w:lineRule="exact"/>
                    <w:ind w:left="-120" w:leftChars="-50" w:right="-120" w:rightChars="-50"/>
                    <w:jc w:val="center"/>
                    <w:rPr>
                      <w:color w:val="auto"/>
                      <w:szCs w:val="21"/>
                      <w:highlight w:val="none"/>
                    </w:rPr>
                  </w:pPr>
                  <w:r>
                    <w:rPr>
                      <w:color w:val="auto"/>
                      <w:szCs w:val="21"/>
                      <w:highlight w:val="none"/>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290" w:hRule="atLeast"/>
                <w:jc w:val="center"/>
              </w:trPr>
              <w:tc>
                <w:tcPr>
                  <w:tcW w:w="408" w:type="dxa"/>
                  <w:vMerge w:val="restart"/>
                  <w:shd w:val="clear" w:color="auto" w:fill="FFFFFF"/>
                  <w:noWrap w:val="0"/>
                  <w:vAlign w:val="center"/>
                </w:tcPr>
                <w:p>
                  <w:pPr>
                    <w:spacing w:line="220" w:lineRule="exact"/>
                    <w:ind w:left="-120" w:leftChars="-50" w:right="-120" w:rightChars="-50"/>
                    <w:jc w:val="center"/>
                    <w:rPr>
                      <w:color w:val="auto"/>
                      <w:szCs w:val="21"/>
                      <w:highlight w:val="none"/>
                    </w:rPr>
                  </w:pPr>
                  <w:r>
                    <w:rPr>
                      <w:color w:val="auto"/>
                      <w:szCs w:val="21"/>
                      <w:highlight w:val="none"/>
                    </w:rPr>
                    <w:t>导热油炉燃烧尾气</w:t>
                  </w:r>
                </w:p>
              </w:tc>
              <w:tc>
                <w:tcPr>
                  <w:tcW w:w="350" w:type="dxa"/>
                  <w:vMerge w:val="restart"/>
                  <w:shd w:val="clear" w:color="auto" w:fill="FFFFFF"/>
                  <w:noWrap w:val="0"/>
                  <w:vAlign w:val="center"/>
                </w:tcPr>
                <w:p>
                  <w:pPr>
                    <w:spacing w:line="220" w:lineRule="exact"/>
                    <w:ind w:left="-120" w:leftChars="-50" w:right="-120" w:rightChars="-50"/>
                    <w:jc w:val="center"/>
                    <w:rPr>
                      <w:color w:val="auto"/>
                      <w:szCs w:val="21"/>
                      <w:highlight w:val="none"/>
                    </w:rPr>
                  </w:pPr>
                  <w:r>
                    <w:rPr>
                      <w:color w:val="auto"/>
                      <w:szCs w:val="21"/>
                      <w:highlight w:val="none"/>
                    </w:rPr>
                    <w:t>G</w:t>
                  </w:r>
                  <w:r>
                    <w:rPr>
                      <w:color w:val="auto"/>
                      <w:szCs w:val="21"/>
                      <w:highlight w:val="none"/>
                      <w:vertAlign w:val="subscript"/>
                    </w:rPr>
                    <w:t>2</w:t>
                  </w:r>
                </w:p>
              </w:tc>
              <w:tc>
                <w:tcPr>
                  <w:tcW w:w="484" w:type="dxa"/>
                  <w:vMerge w:val="restart"/>
                  <w:shd w:val="clear" w:color="auto" w:fill="FFFFFF"/>
                  <w:noWrap w:val="0"/>
                  <w:vAlign w:val="center"/>
                </w:tcPr>
                <w:p>
                  <w:pPr>
                    <w:spacing w:line="220" w:lineRule="exact"/>
                    <w:ind w:left="-120" w:leftChars="-50" w:right="-120" w:rightChars="-50"/>
                    <w:jc w:val="center"/>
                    <w:rPr>
                      <w:color w:val="auto"/>
                      <w:szCs w:val="21"/>
                      <w:highlight w:val="none"/>
                    </w:rPr>
                  </w:pPr>
                  <w:r>
                    <w:rPr>
                      <w:color w:val="auto"/>
                      <w:szCs w:val="21"/>
                      <w:highlight w:val="none"/>
                    </w:rPr>
                    <w:t>600</w:t>
                  </w:r>
                </w:p>
              </w:tc>
              <w:tc>
                <w:tcPr>
                  <w:tcW w:w="416" w:type="dxa"/>
                  <w:vMerge w:val="restart"/>
                  <w:shd w:val="clear" w:color="auto" w:fill="FFFFFF"/>
                  <w:noWrap w:val="0"/>
                  <w:vAlign w:val="center"/>
                </w:tcPr>
                <w:p>
                  <w:pPr>
                    <w:spacing w:line="220" w:lineRule="exact"/>
                    <w:ind w:left="-120" w:leftChars="-50" w:right="-120" w:rightChars="-50"/>
                    <w:jc w:val="center"/>
                    <w:rPr>
                      <w:color w:val="auto"/>
                      <w:szCs w:val="21"/>
                      <w:highlight w:val="none"/>
                    </w:rPr>
                  </w:pPr>
                  <w:r>
                    <w:rPr>
                      <w:color w:val="auto"/>
                      <w:szCs w:val="21"/>
                      <w:highlight w:val="none"/>
                    </w:rPr>
                    <w:t>导热油炉</w:t>
                  </w:r>
                </w:p>
              </w:tc>
              <w:tc>
                <w:tcPr>
                  <w:tcW w:w="534" w:type="dxa"/>
                  <w:vMerge w:val="restart"/>
                  <w:shd w:val="clear" w:color="auto" w:fill="FFFFFF"/>
                  <w:noWrap w:val="0"/>
                  <w:vAlign w:val="center"/>
                </w:tcPr>
                <w:p>
                  <w:pPr>
                    <w:spacing w:line="220" w:lineRule="exact"/>
                    <w:ind w:left="-120" w:leftChars="-50" w:right="-120" w:rightChars="-50"/>
                    <w:jc w:val="center"/>
                    <w:rPr>
                      <w:color w:val="auto"/>
                      <w:szCs w:val="21"/>
                      <w:highlight w:val="none"/>
                    </w:rPr>
                  </w:pPr>
                  <w:r>
                    <w:rPr>
                      <w:color w:val="auto"/>
                      <w:kern w:val="0"/>
                      <w:szCs w:val="21"/>
                      <w:highlight w:val="none"/>
                      <w:lang w:bidi="ar"/>
                    </w:rPr>
                    <w:t>681.296</w:t>
                  </w:r>
                </w:p>
              </w:tc>
              <w:tc>
                <w:tcPr>
                  <w:tcW w:w="566" w:type="dxa"/>
                  <w:shd w:val="clear" w:color="auto" w:fill="FFFFFF"/>
                  <w:noWrap w:val="0"/>
                  <w:vAlign w:val="center"/>
                </w:tcPr>
                <w:p>
                  <w:pPr>
                    <w:tabs>
                      <w:tab w:val="left" w:pos="105"/>
                    </w:tabs>
                    <w:spacing w:line="240" w:lineRule="exact"/>
                    <w:ind w:left="-120" w:leftChars="-50" w:right="-120" w:rightChars="-50"/>
                    <w:jc w:val="center"/>
                    <w:rPr>
                      <w:color w:val="auto"/>
                      <w:szCs w:val="21"/>
                      <w:highlight w:val="none"/>
                    </w:rPr>
                  </w:pPr>
                  <w:r>
                    <w:rPr>
                      <w:color w:val="auto"/>
                      <w:szCs w:val="21"/>
                      <w:highlight w:val="none"/>
                    </w:rPr>
                    <w:t>SO</w:t>
                  </w:r>
                  <w:r>
                    <w:rPr>
                      <w:color w:val="auto"/>
                      <w:szCs w:val="21"/>
                      <w:highlight w:val="none"/>
                      <w:vertAlign w:val="subscript"/>
                    </w:rPr>
                    <w:t>2</w:t>
                  </w:r>
                </w:p>
              </w:tc>
              <w:tc>
                <w:tcPr>
                  <w:tcW w:w="750" w:type="dxa"/>
                  <w:shd w:val="clear" w:color="auto" w:fill="FFFFFF"/>
                  <w:noWrap w:val="0"/>
                  <w:vAlign w:val="center"/>
                </w:tcPr>
                <w:p>
                  <w:pPr>
                    <w:widowControl/>
                    <w:jc w:val="center"/>
                    <w:textAlignment w:val="bottom"/>
                    <w:rPr>
                      <w:color w:val="auto"/>
                      <w:szCs w:val="21"/>
                      <w:highlight w:val="none"/>
                    </w:rPr>
                  </w:pPr>
                  <w:r>
                    <w:rPr>
                      <w:color w:val="auto"/>
                      <w:kern w:val="0"/>
                      <w:szCs w:val="21"/>
                      <w:highlight w:val="none"/>
                      <w:lang w:bidi="ar"/>
                    </w:rPr>
                    <w:t>29.36</w:t>
                  </w:r>
                </w:p>
              </w:tc>
              <w:tc>
                <w:tcPr>
                  <w:tcW w:w="750" w:type="dxa"/>
                  <w:shd w:val="clear" w:color="auto" w:fill="FFFFFF"/>
                  <w:noWrap w:val="0"/>
                  <w:vAlign w:val="center"/>
                </w:tcPr>
                <w:p>
                  <w:pPr>
                    <w:spacing w:line="220" w:lineRule="exact"/>
                    <w:ind w:left="-120" w:leftChars="-50" w:right="-120" w:rightChars="-50"/>
                    <w:jc w:val="center"/>
                    <w:rPr>
                      <w:color w:val="auto"/>
                      <w:szCs w:val="21"/>
                      <w:highlight w:val="none"/>
                    </w:rPr>
                  </w:pPr>
                  <w:r>
                    <w:rPr>
                      <w:color w:val="auto"/>
                      <w:szCs w:val="21"/>
                      <w:highlight w:val="none"/>
                    </w:rPr>
                    <w:t>0.02</w:t>
                  </w:r>
                </w:p>
              </w:tc>
              <w:tc>
                <w:tcPr>
                  <w:tcW w:w="1097" w:type="dxa"/>
                  <w:vMerge w:val="restart"/>
                  <w:shd w:val="clear" w:color="auto" w:fill="FFFFFF"/>
                  <w:noWrap w:val="0"/>
                  <w:vAlign w:val="center"/>
                </w:tcPr>
                <w:p>
                  <w:pPr>
                    <w:spacing w:line="220" w:lineRule="exact"/>
                    <w:ind w:left="-120" w:leftChars="-50" w:right="-120" w:rightChars="-50"/>
                    <w:jc w:val="center"/>
                    <w:rPr>
                      <w:color w:val="auto"/>
                      <w:szCs w:val="21"/>
                      <w:highlight w:val="none"/>
                    </w:rPr>
                  </w:pPr>
                  <w:r>
                    <w:rPr>
                      <w:rFonts w:hint="eastAsia"/>
                      <w:color w:val="auto"/>
                      <w:szCs w:val="21"/>
                      <w:highlight w:val="none"/>
                    </w:rPr>
                    <w:t>有组织排放</w:t>
                  </w:r>
                </w:p>
              </w:tc>
              <w:tc>
                <w:tcPr>
                  <w:tcW w:w="571" w:type="dxa"/>
                  <w:vMerge w:val="restart"/>
                  <w:shd w:val="clear" w:color="auto" w:fill="FFFFFF"/>
                  <w:noWrap w:val="0"/>
                  <w:vAlign w:val="center"/>
                </w:tcPr>
                <w:p>
                  <w:pPr>
                    <w:spacing w:line="220" w:lineRule="exact"/>
                    <w:ind w:left="-120" w:leftChars="-50" w:right="-120" w:rightChars="-50"/>
                    <w:jc w:val="center"/>
                    <w:rPr>
                      <w:rFonts w:hint="eastAsia"/>
                      <w:color w:val="auto"/>
                      <w:szCs w:val="21"/>
                      <w:highlight w:val="none"/>
                    </w:rPr>
                  </w:pPr>
                  <w:r>
                    <w:rPr>
                      <w:rFonts w:hint="eastAsia"/>
                      <w:color w:val="auto"/>
                      <w:szCs w:val="21"/>
                      <w:highlight w:val="none"/>
                    </w:rPr>
                    <w:t>-</w:t>
                  </w:r>
                </w:p>
              </w:tc>
              <w:tc>
                <w:tcPr>
                  <w:tcW w:w="683" w:type="dxa"/>
                  <w:vMerge w:val="restart"/>
                  <w:shd w:val="clear" w:color="auto" w:fill="FFFFFF"/>
                  <w:noWrap w:val="0"/>
                  <w:vAlign w:val="center"/>
                </w:tcPr>
                <w:p>
                  <w:pPr>
                    <w:spacing w:line="240" w:lineRule="exact"/>
                    <w:ind w:left="-120" w:leftChars="-50" w:right="-120" w:rightChars="-50"/>
                    <w:jc w:val="center"/>
                    <w:rPr>
                      <w:color w:val="auto"/>
                      <w:szCs w:val="21"/>
                      <w:highlight w:val="none"/>
                    </w:rPr>
                  </w:pPr>
                  <w:r>
                    <w:rPr>
                      <w:color w:val="auto"/>
                      <w:szCs w:val="21"/>
                      <w:highlight w:val="none"/>
                    </w:rPr>
                    <w:t>H=15m</w:t>
                  </w:r>
                </w:p>
                <w:p>
                  <w:pPr>
                    <w:spacing w:line="240" w:lineRule="exact"/>
                    <w:ind w:left="-120" w:leftChars="-50" w:right="-120" w:rightChars="-50"/>
                    <w:jc w:val="center"/>
                    <w:rPr>
                      <w:color w:val="auto"/>
                      <w:szCs w:val="21"/>
                      <w:highlight w:val="none"/>
                    </w:rPr>
                  </w:pPr>
                  <w:r>
                    <w:rPr>
                      <w:color w:val="auto"/>
                      <w:szCs w:val="21"/>
                      <w:highlight w:val="none"/>
                    </w:rPr>
                    <w:t>T=80℃</w:t>
                  </w:r>
                </w:p>
                <w:p>
                  <w:pPr>
                    <w:spacing w:line="220" w:lineRule="exact"/>
                    <w:ind w:left="-120" w:leftChars="-50" w:right="-120" w:rightChars="-50"/>
                    <w:jc w:val="center"/>
                    <w:rPr>
                      <w:color w:val="auto"/>
                      <w:szCs w:val="21"/>
                      <w:highlight w:val="none"/>
                    </w:rPr>
                  </w:pPr>
                  <w:r>
                    <w:rPr>
                      <w:color w:val="auto"/>
                      <w:szCs w:val="21"/>
                      <w:highlight w:val="none"/>
                    </w:rPr>
                    <w:t>D=</w:t>
                  </w:r>
                  <w:r>
                    <w:rPr>
                      <w:rFonts w:hint="eastAsia"/>
                      <w:color w:val="auto"/>
                      <w:szCs w:val="21"/>
                      <w:highlight w:val="none"/>
                    </w:rPr>
                    <w:t>0.3</w:t>
                  </w:r>
                  <w:r>
                    <w:rPr>
                      <w:color w:val="auto"/>
                      <w:szCs w:val="21"/>
                      <w:highlight w:val="none"/>
                    </w:rPr>
                    <w:t>m</w:t>
                  </w:r>
                </w:p>
              </w:tc>
              <w:tc>
                <w:tcPr>
                  <w:tcW w:w="785" w:type="dxa"/>
                  <w:shd w:val="clear" w:color="auto" w:fill="FFFFFF"/>
                  <w:noWrap w:val="0"/>
                  <w:vAlign w:val="center"/>
                </w:tcPr>
                <w:p>
                  <w:pPr>
                    <w:spacing w:line="220" w:lineRule="exact"/>
                    <w:ind w:left="-120" w:leftChars="-50" w:right="-120" w:rightChars="-50"/>
                    <w:jc w:val="center"/>
                    <w:rPr>
                      <w:color w:val="auto"/>
                      <w:szCs w:val="21"/>
                      <w:highlight w:val="none"/>
                    </w:rPr>
                  </w:pPr>
                  <w:r>
                    <w:rPr>
                      <w:color w:val="auto"/>
                      <w:szCs w:val="21"/>
                      <w:highlight w:val="none"/>
                    </w:rPr>
                    <w:t>0.02</w:t>
                  </w:r>
                </w:p>
              </w:tc>
              <w:tc>
                <w:tcPr>
                  <w:tcW w:w="588" w:type="dxa"/>
                  <w:shd w:val="clear" w:color="auto" w:fill="FFFFFF"/>
                  <w:noWrap w:val="0"/>
                  <w:vAlign w:val="center"/>
                </w:tcPr>
                <w:p>
                  <w:pPr>
                    <w:tabs>
                      <w:tab w:val="left" w:pos="105"/>
                    </w:tabs>
                    <w:spacing w:line="240" w:lineRule="exact"/>
                    <w:ind w:left="-120" w:leftChars="-50" w:right="-120" w:rightChars="-50"/>
                    <w:jc w:val="center"/>
                    <w:rPr>
                      <w:color w:val="auto"/>
                      <w:szCs w:val="21"/>
                      <w:highlight w:val="none"/>
                    </w:rPr>
                  </w:pPr>
                  <w:r>
                    <w:rPr>
                      <w:color w:val="auto"/>
                      <w:szCs w:val="21"/>
                      <w:highlight w:val="none"/>
                    </w:rPr>
                    <w:t>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290" w:hRule="atLeast"/>
                <w:jc w:val="center"/>
              </w:trPr>
              <w:tc>
                <w:tcPr>
                  <w:tcW w:w="408" w:type="dxa"/>
                  <w:vMerge w:val="continue"/>
                  <w:shd w:val="clear" w:color="auto" w:fill="FFFFFF"/>
                  <w:noWrap w:val="0"/>
                  <w:vAlign w:val="center"/>
                </w:tcPr>
                <w:p>
                  <w:pPr>
                    <w:spacing w:line="220" w:lineRule="exact"/>
                    <w:ind w:left="-120" w:leftChars="-50" w:right="-120" w:rightChars="-50"/>
                    <w:jc w:val="center"/>
                    <w:rPr>
                      <w:color w:val="auto"/>
                      <w:szCs w:val="21"/>
                      <w:highlight w:val="none"/>
                    </w:rPr>
                  </w:pPr>
                </w:p>
              </w:tc>
              <w:tc>
                <w:tcPr>
                  <w:tcW w:w="350" w:type="dxa"/>
                  <w:vMerge w:val="continue"/>
                  <w:shd w:val="clear" w:color="auto" w:fill="FFFFFF"/>
                  <w:noWrap w:val="0"/>
                  <w:vAlign w:val="center"/>
                </w:tcPr>
                <w:p>
                  <w:pPr>
                    <w:spacing w:line="220" w:lineRule="exact"/>
                    <w:ind w:left="-120" w:leftChars="-50" w:right="-120" w:rightChars="-50"/>
                    <w:jc w:val="center"/>
                    <w:rPr>
                      <w:color w:val="auto"/>
                      <w:szCs w:val="21"/>
                      <w:highlight w:val="none"/>
                    </w:rPr>
                  </w:pPr>
                </w:p>
              </w:tc>
              <w:tc>
                <w:tcPr>
                  <w:tcW w:w="484" w:type="dxa"/>
                  <w:vMerge w:val="continue"/>
                  <w:shd w:val="clear" w:color="auto" w:fill="FFFFFF"/>
                  <w:noWrap w:val="0"/>
                  <w:vAlign w:val="center"/>
                </w:tcPr>
                <w:p>
                  <w:pPr>
                    <w:spacing w:line="220" w:lineRule="exact"/>
                    <w:ind w:left="-120" w:leftChars="-50" w:right="-120" w:rightChars="-50"/>
                    <w:jc w:val="center"/>
                    <w:rPr>
                      <w:color w:val="auto"/>
                      <w:szCs w:val="21"/>
                      <w:highlight w:val="none"/>
                    </w:rPr>
                  </w:pPr>
                </w:p>
              </w:tc>
              <w:tc>
                <w:tcPr>
                  <w:tcW w:w="416" w:type="dxa"/>
                  <w:vMerge w:val="continue"/>
                  <w:shd w:val="clear" w:color="auto" w:fill="FFFFFF"/>
                  <w:noWrap w:val="0"/>
                  <w:vAlign w:val="center"/>
                </w:tcPr>
                <w:p>
                  <w:pPr>
                    <w:spacing w:line="220" w:lineRule="exact"/>
                    <w:ind w:left="-120" w:leftChars="-50" w:right="-120" w:rightChars="-50"/>
                    <w:jc w:val="center"/>
                    <w:rPr>
                      <w:color w:val="auto"/>
                      <w:szCs w:val="21"/>
                      <w:highlight w:val="none"/>
                    </w:rPr>
                  </w:pPr>
                </w:p>
              </w:tc>
              <w:tc>
                <w:tcPr>
                  <w:tcW w:w="534" w:type="dxa"/>
                  <w:vMerge w:val="continue"/>
                  <w:shd w:val="clear" w:color="auto" w:fill="FFFFFF"/>
                  <w:noWrap w:val="0"/>
                  <w:vAlign w:val="center"/>
                </w:tcPr>
                <w:p>
                  <w:pPr>
                    <w:spacing w:line="220" w:lineRule="exact"/>
                    <w:ind w:left="-120" w:leftChars="-50" w:right="-120" w:rightChars="-50"/>
                    <w:jc w:val="center"/>
                    <w:rPr>
                      <w:color w:val="auto"/>
                      <w:szCs w:val="21"/>
                      <w:highlight w:val="none"/>
                    </w:rPr>
                  </w:pPr>
                </w:p>
              </w:tc>
              <w:tc>
                <w:tcPr>
                  <w:tcW w:w="566" w:type="dxa"/>
                  <w:shd w:val="clear" w:color="auto" w:fill="FFFFFF"/>
                  <w:noWrap w:val="0"/>
                  <w:vAlign w:val="center"/>
                </w:tcPr>
                <w:p>
                  <w:pPr>
                    <w:tabs>
                      <w:tab w:val="left" w:pos="105"/>
                    </w:tabs>
                    <w:spacing w:line="240" w:lineRule="exact"/>
                    <w:ind w:left="-120" w:leftChars="-50" w:right="-120" w:rightChars="-50"/>
                    <w:jc w:val="center"/>
                    <w:rPr>
                      <w:color w:val="auto"/>
                      <w:szCs w:val="21"/>
                      <w:highlight w:val="none"/>
                    </w:rPr>
                  </w:pPr>
                  <w:r>
                    <w:rPr>
                      <w:color w:val="auto"/>
                      <w:szCs w:val="21"/>
                      <w:highlight w:val="none"/>
                    </w:rPr>
                    <w:t>NOx</w:t>
                  </w:r>
                </w:p>
              </w:tc>
              <w:tc>
                <w:tcPr>
                  <w:tcW w:w="750" w:type="dxa"/>
                  <w:shd w:val="clear" w:color="auto" w:fill="FFFFFF"/>
                  <w:noWrap w:val="0"/>
                  <w:vAlign w:val="center"/>
                </w:tcPr>
                <w:p>
                  <w:pPr>
                    <w:widowControl/>
                    <w:jc w:val="center"/>
                    <w:textAlignment w:val="bottom"/>
                    <w:rPr>
                      <w:color w:val="auto"/>
                      <w:szCs w:val="21"/>
                      <w:highlight w:val="none"/>
                    </w:rPr>
                  </w:pPr>
                  <w:r>
                    <w:rPr>
                      <w:rFonts w:hint="eastAsia"/>
                      <w:color w:val="auto"/>
                      <w:kern w:val="0"/>
                      <w:szCs w:val="21"/>
                      <w:highlight w:val="none"/>
                      <w:lang w:bidi="ar"/>
                    </w:rPr>
                    <w:t>147.28</w:t>
                  </w:r>
                </w:p>
              </w:tc>
              <w:tc>
                <w:tcPr>
                  <w:tcW w:w="750" w:type="dxa"/>
                  <w:shd w:val="clear" w:color="auto" w:fill="FFFFFF"/>
                  <w:noWrap w:val="0"/>
                  <w:vAlign w:val="center"/>
                </w:tcPr>
                <w:p>
                  <w:pPr>
                    <w:spacing w:line="220" w:lineRule="exact"/>
                    <w:ind w:left="-120" w:leftChars="-50" w:right="-120" w:rightChars="-50"/>
                    <w:jc w:val="center"/>
                    <w:rPr>
                      <w:rFonts w:hint="eastAsia"/>
                      <w:color w:val="auto"/>
                      <w:szCs w:val="21"/>
                      <w:highlight w:val="none"/>
                    </w:rPr>
                  </w:pPr>
                  <w:r>
                    <w:rPr>
                      <w:color w:val="auto"/>
                      <w:szCs w:val="21"/>
                      <w:highlight w:val="none"/>
                    </w:rPr>
                    <w:t>0.0</w:t>
                  </w:r>
                  <w:r>
                    <w:rPr>
                      <w:rFonts w:hint="eastAsia"/>
                      <w:color w:val="auto"/>
                      <w:szCs w:val="21"/>
                      <w:highlight w:val="none"/>
                    </w:rPr>
                    <w:t>8</w:t>
                  </w:r>
                </w:p>
              </w:tc>
              <w:tc>
                <w:tcPr>
                  <w:tcW w:w="1097" w:type="dxa"/>
                  <w:vMerge w:val="continue"/>
                  <w:shd w:val="clear" w:color="auto" w:fill="FFFFFF"/>
                  <w:noWrap w:val="0"/>
                  <w:vAlign w:val="center"/>
                </w:tcPr>
                <w:p>
                  <w:pPr>
                    <w:spacing w:line="220" w:lineRule="exact"/>
                    <w:ind w:left="-120" w:leftChars="-50" w:right="-120" w:rightChars="-50"/>
                    <w:jc w:val="center"/>
                    <w:rPr>
                      <w:color w:val="auto"/>
                      <w:szCs w:val="21"/>
                      <w:highlight w:val="none"/>
                    </w:rPr>
                  </w:pPr>
                </w:p>
              </w:tc>
              <w:tc>
                <w:tcPr>
                  <w:tcW w:w="571" w:type="dxa"/>
                  <w:vMerge w:val="continue"/>
                  <w:shd w:val="clear" w:color="auto" w:fill="FFFFFF"/>
                  <w:noWrap w:val="0"/>
                  <w:vAlign w:val="center"/>
                </w:tcPr>
                <w:p>
                  <w:pPr>
                    <w:spacing w:line="220" w:lineRule="exact"/>
                    <w:ind w:left="-120" w:leftChars="-50" w:right="-120" w:rightChars="-50"/>
                    <w:jc w:val="center"/>
                    <w:rPr>
                      <w:color w:val="auto"/>
                      <w:szCs w:val="21"/>
                      <w:highlight w:val="none"/>
                    </w:rPr>
                  </w:pPr>
                </w:p>
              </w:tc>
              <w:tc>
                <w:tcPr>
                  <w:tcW w:w="683" w:type="dxa"/>
                  <w:vMerge w:val="continue"/>
                  <w:shd w:val="clear" w:color="auto" w:fill="FFFFFF"/>
                  <w:noWrap w:val="0"/>
                  <w:vAlign w:val="center"/>
                </w:tcPr>
                <w:p>
                  <w:pPr>
                    <w:spacing w:line="220" w:lineRule="exact"/>
                    <w:ind w:left="-120" w:leftChars="-50" w:right="-120" w:rightChars="-50"/>
                    <w:jc w:val="center"/>
                    <w:rPr>
                      <w:color w:val="auto"/>
                      <w:szCs w:val="21"/>
                      <w:highlight w:val="none"/>
                    </w:rPr>
                  </w:pPr>
                </w:p>
              </w:tc>
              <w:tc>
                <w:tcPr>
                  <w:tcW w:w="785" w:type="dxa"/>
                  <w:shd w:val="clear" w:color="auto" w:fill="FFFFFF"/>
                  <w:noWrap w:val="0"/>
                  <w:vAlign w:val="center"/>
                </w:tcPr>
                <w:p>
                  <w:pPr>
                    <w:spacing w:line="220" w:lineRule="exact"/>
                    <w:ind w:left="-120" w:leftChars="-50" w:right="-120" w:rightChars="-50"/>
                    <w:jc w:val="center"/>
                    <w:rPr>
                      <w:rFonts w:hint="eastAsia"/>
                      <w:color w:val="auto"/>
                      <w:szCs w:val="21"/>
                      <w:highlight w:val="none"/>
                    </w:rPr>
                  </w:pPr>
                  <w:r>
                    <w:rPr>
                      <w:color w:val="auto"/>
                      <w:szCs w:val="21"/>
                      <w:highlight w:val="none"/>
                    </w:rPr>
                    <w:t>0.0</w:t>
                  </w:r>
                  <w:r>
                    <w:rPr>
                      <w:rFonts w:hint="eastAsia"/>
                      <w:color w:val="auto"/>
                      <w:szCs w:val="21"/>
                      <w:highlight w:val="none"/>
                    </w:rPr>
                    <w:t>8</w:t>
                  </w:r>
                </w:p>
              </w:tc>
              <w:tc>
                <w:tcPr>
                  <w:tcW w:w="588" w:type="dxa"/>
                  <w:shd w:val="clear" w:color="auto" w:fill="FFFFFF"/>
                  <w:noWrap w:val="0"/>
                  <w:vAlign w:val="center"/>
                </w:tcPr>
                <w:p>
                  <w:pPr>
                    <w:tabs>
                      <w:tab w:val="left" w:pos="105"/>
                    </w:tabs>
                    <w:spacing w:line="240" w:lineRule="exact"/>
                    <w:ind w:left="-120" w:leftChars="-50" w:right="-120" w:rightChars="-50"/>
                    <w:jc w:val="center"/>
                    <w:rPr>
                      <w:color w:val="auto"/>
                      <w:szCs w:val="21"/>
                      <w:highlight w:val="none"/>
                    </w:rPr>
                  </w:pPr>
                  <w:r>
                    <w:rPr>
                      <w:color w:val="auto"/>
                      <w:szCs w:val="21"/>
                      <w:highlight w:val="none"/>
                    </w:rPr>
                    <w:t>150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290" w:hRule="atLeast"/>
                <w:jc w:val="center"/>
              </w:trPr>
              <w:tc>
                <w:tcPr>
                  <w:tcW w:w="408" w:type="dxa"/>
                  <w:vMerge w:val="continue"/>
                  <w:shd w:val="clear" w:color="auto" w:fill="FFFFFF"/>
                  <w:noWrap w:val="0"/>
                  <w:vAlign w:val="center"/>
                </w:tcPr>
                <w:p>
                  <w:pPr>
                    <w:spacing w:line="220" w:lineRule="exact"/>
                    <w:ind w:left="-120" w:leftChars="-50" w:right="-120" w:rightChars="-50"/>
                    <w:jc w:val="center"/>
                    <w:rPr>
                      <w:color w:val="auto"/>
                      <w:szCs w:val="21"/>
                      <w:highlight w:val="none"/>
                    </w:rPr>
                  </w:pPr>
                </w:p>
              </w:tc>
              <w:tc>
                <w:tcPr>
                  <w:tcW w:w="350" w:type="dxa"/>
                  <w:vMerge w:val="continue"/>
                  <w:shd w:val="clear" w:color="auto" w:fill="FFFFFF"/>
                  <w:noWrap w:val="0"/>
                  <w:vAlign w:val="center"/>
                </w:tcPr>
                <w:p>
                  <w:pPr>
                    <w:spacing w:line="220" w:lineRule="exact"/>
                    <w:ind w:left="-120" w:leftChars="-50" w:right="-120" w:rightChars="-50"/>
                    <w:jc w:val="center"/>
                    <w:rPr>
                      <w:color w:val="auto"/>
                      <w:szCs w:val="21"/>
                      <w:highlight w:val="none"/>
                    </w:rPr>
                  </w:pPr>
                </w:p>
              </w:tc>
              <w:tc>
                <w:tcPr>
                  <w:tcW w:w="484" w:type="dxa"/>
                  <w:vMerge w:val="continue"/>
                  <w:shd w:val="clear" w:color="auto" w:fill="FFFFFF"/>
                  <w:noWrap w:val="0"/>
                  <w:vAlign w:val="center"/>
                </w:tcPr>
                <w:p>
                  <w:pPr>
                    <w:spacing w:line="220" w:lineRule="exact"/>
                    <w:ind w:left="-120" w:leftChars="-50" w:right="-120" w:rightChars="-50"/>
                    <w:jc w:val="center"/>
                    <w:rPr>
                      <w:color w:val="auto"/>
                      <w:szCs w:val="21"/>
                      <w:highlight w:val="none"/>
                    </w:rPr>
                  </w:pPr>
                </w:p>
              </w:tc>
              <w:tc>
                <w:tcPr>
                  <w:tcW w:w="416" w:type="dxa"/>
                  <w:vMerge w:val="continue"/>
                  <w:shd w:val="clear" w:color="auto" w:fill="FFFFFF"/>
                  <w:noWrap w:val="0"/>
                  <w:vAlign w:val="center"/>
                </w:tcPr>
                <w:p>
                  <w:pPr>
                    <w:spacing w:line="220" w:lineRule="exact"/>
                    <w:ind w:left="-120" w:leftChars="-50" w:right="-120" w:rightChars="-50"/>
                    <w:jc w:val="center"/>
                    <w:rPr>
                      <w:color w:val="auto"/>
                      <w:szCs w:val="21"/>
                      <w:highlight w:val="none"/>
                    </w:rPr>
                  </w:pPr>
                </w:p>
              </w:tc>
              <w:tc>
                <w:tcPr>
                  <w:tcW w:w="534" w:type="dxa"/>
                  <w:vMerge w:val="continue"/>
                  <w:shd w:val="clear" w:color="auto" w:fill="FFFFFF"/>
                  <w:noWrap w:val="0"/>
                  <w:vAlign w:val="center"/>
                </w:tcPr>
                <w:p>
                  <w:pPr>
                    <w:spacing w:line="220" w:lineRule="exact"/>
                    <w:ind w:left="-120" w:leftChars="-50" w:right="-120" w:rightChars="-50"/>
                    <w:jc w:val="center"/>
                    <w:rPr>
                      <w:color w:val="auto"/>
                      <w:szCs w:val="21"/>
                      <w:highlight w:val="none"/>
                    </w:rPr>
                  </w:pPr>
                </w:p>
              </w:tc>
              <w:tc>
                <w:tcPr>
                  <w:tcW w:w="566" w:type="dxa"/>
                  <w:shd w:val="clear" w:color="auto" w:fill="FFFFFF"/>
                  <w:noWrap w:val="0"/>
                  <w:vAlign w:val="center"/>
                </w:tcPr>
                <w:p>
                  <w:pPr>
                    <w:tabs>
                      <w:tab w:val="left" w:pos="105"/>
                    </w:tabs>
                    <w:spacing w:line="240" w:lineRule="exact"/>
                    <w:ind w:left="-120" w:leftChars="-50" w:right="-120" w:rightChars="-50"/>
                    <w:jc w:val="center"/>
                    <w:rPr>
                      <w:color w:val="auto"/>
                      <w:szCs w:val="21"/>
                      <w:highlight w:val="none"/>
                    </w:rPr>
                  </w:pPr>
                  <w:r>
                    <w:rPr>
                      <w:color w:val="auto"/>
                      <w:szCs w:val="21"/>
                      <w:highlight w:val="none"/>
                    </w:rPr>
                    <w:t>粉尘</w:t>
                  </w:r>
                </w:p>
              </w:tc>
              <w:tc>
                <w:tcPr>
                  <w:tcW w:w="750" w:type="dxa"/>
                  <w:shd w:val="clear" w:color="auto" w:fill="FFFFFF"/>
                  <w:noWrap w:val="0"/>
                  <w:vAlign w:val="center"/>
                </w:tcPr>
                <w:p>
                  <w:pPr>
                    <w:spacing w:line="220" w:lineRule="exact"/>
                    <w:ind w:left="-120" w:leftChars="-50" w:right="-120" w:rightChars="-50"/>
                    <w:jc w:val="center"/>
                    <w:rPr>
                      <w:color w:val="auto"/>
                      <w:szCs w:val="21"/>
                      <w:highlight w:val="none"/>
                    </w:rPr>
                  </w:pPr>
                  <w:r>
                    <w:rPr>
                      <w:rFonts w:hint="eastAsia"/>
                      <w:color w:val="auto"/>
                      <w:szCs w:val="21"/>
                      <w:highlight w:val="none"/>
                    </w:rPr>
                    <w:t>22.27</w:t>
                  </w:r>
                </w:p>
              </w:tc>
              <w:tc>
                <w:tcPr>
                  <w:tcW w:w="750" w:type="dxa"/>
                  <w:shd w:val="clear" w:color="auto" w:fill="FFFFFF"/>
                  <w:noWrap w:val="0"/>
                  <w:vAlign w:val="center"/>
                </w:tcPr>
                <w:p>
                  <w:pPr>
                    <w:spacing w:line="220" w:lineRule="exact"/>
                    <w:ind w:left="-120" w:leftChars="-50" w:right="-120" w:rightChars="-50"/>
                    <w:jc w:val="center"/>
                    <w:rPr>
                      <w:color w:val="auto"/>
                      <w:szCs w:val="21"/>
                      <w:highlight w:val="none"/>
                    </w:rPr>
                  </w:pPr>
                  <w:r>
                    <w:rPr>
                      <w:color w:val="auto"/>
                      <w:szCs w:val="21"/>
                      <w:highlight w:val="none"/>
                    </w:rPr>
                    <w:t>0.0072</w:t>
                  </w:r>
                </w:p>
              </w:tc>
              <w:tc>
                <w:tcPr>
                  <w:tcW w:w="1097" w:type="dxa"/>
                  <w:vMerge w:val="continue"/>
                  <w:shd w:val="clear" w:color="auto" w:fill="FFFFFF"/>
                  <w:noWrap w:val="0"/>
                  <w:vAlign w:val="center"/>
                </w:tcPr>
                <w:p>
                  <w:pPr>
                    <w:spacing w:line="220" w:lineRule="exact"/>
                    <w:ind w:left="-120" w:leftChars="-50" w:right="-120" w:rightChars="-50"/>
                    <w:jc w:val="center"/>
                    <w:rPr>
                      <w:color w:val="auto"/>
                      <w:szCs w:val="21"/>
                      <w:highlight w:val="none"/>
                    </w:rPr>
                  </w:pPr>
                </w:p>
              </w:tc>
              <w:tc>
                <w:tcPr>
                  <w:tcW w:w="571" w:type="dxa"/>
                  <w:vMerge w:val="continue"/>
                  <w:shd w:val="clear" w:color="auto" w:fill="FFFFFF"/>
                  <w:noWrap w:val="0"/>
                  <w:vAlign w:val="center"/>
                </w:tcPr>
                <w:p>
                  <w:pPr>
                    <w:spacing w:line="220" w:lineRule="exact"/>
                    <w:ind w:left="-120" w:leftChars="-50" w:right="-120" w:rightChars="-50"/>
                    <w:jc w:val="center"/>
                    <w:rPr>
                      <w:color w:val="auto"/>
                      <w:szCs w:val="21"/>
                      <w:highlight w:val="none"/>
                    </w:rPr>
                  </w:pPr>
                </w:p>
              </w:tc>
              <w:tc>
                <w:tcPr>
                  <w:tcW w:w="683" w:type="dxa"/>
                  <w:vMerge w:val="continue"/>
                  <w:shd w:val="clear" w:color="auto" w:fill="FFFFFF"/>
                  <w:noWrap w:val="0"/>
                  <w:vAlign w:val="center"/>
                </w:tcPr>
                <w:p>
                  <w:pPr>
                    <w:spacing w:line="220" w:lineRule="exact"/>
                    <w:ind w:left="-120" w:leftChars="-50" w:right="-120" w:rightChars="-50"/>
                    <w:jc w:val="center"/>
                    <w:rPr>
                      <w:color w:val="auto"/>
                      <w:szCs w:val="21"/>
                      <w:highlight w:val="none"/>
                    </w:rPr>
                  </w:pPr>
                </w:p>
              </w:tc>
              <w:tc>
                <w:tcPr>
                  <w:tcW w:w="785" w:type="dxa"/>
                  <w:shd w:val="clear" w:color="auto" w:fill="FFFFFF"/>
                  <w:noWrap w:val="0"/>
                  <w:vAlign w:val="center"/>
                </w:tcPr>
                <w:p>
                  <w:pPr>
                    <w:spacing w:line="220" w:lineRule="exact"/>
                    <w:ind w:left="-120" w:leftChars="-50" w:right="-120" w:rightChars="-50"/>
                    <w:jc w:val="center"/>
                    <w:rPr>
                      <w:color w:val="auto"/>
                      <w:szCs w:val="21"/>
                      <w:highlight w:val="none"/>
                    </w:rPr>
                  </w:pPr>
                  <w:r>
                    <w:rPr>
                      <w:color w:val="auto"/>
                      <w:szCs w:val="21"/>
                      <w:highlight w:val="none"/>
                    </w:rPr>
                    <w:t>0.0072</w:t>
                  </w:r>
                </w:p>
              </w:tc>
              <w:tc>
                <w:tcPr>
                  <w:tcW w:w="588" w:type="dxa"/>
                  <w:shd w:val="clear" w:color="auto" w:fill="FFFFFF"/>
                  <w:noWrap w:val="0"/>
                  <w:vAlign w:val="center"/>
                </w:tcPr>
                <w:p>
                  <w:pPr>
                    <w:tabs>
                      <w:tab w:val="left" w:pos="105"/>
                    </w:tabs>
                    <w:spacing w:line="240" w:lineRule="exact"/>
                    <w:ind w:left="-120" w:leftChars="-50" w:right="-120" w:rightChars="-50"/>
                    <w:jc w:val="center"/>
                    <w:rPr>
                      <w:color w:val="auto"/>
                      <w:szCs w:val="21"/>
                      <w:highlight w:val="none"/>
                    </w:rPr>
                  </w:pPr>
                  <w:r>
                    <w:rPr>
                      <w:color w:val="auto"/>
                      <w:szCs w:val="21"/>
                      <w:highlight w:val="none"/>
                    </w:rPr>
                    <w:t>20</w:t>
                  </w:r>
                </w:p>
              </w:tc>
            </w:tr>
          </w:tbl>
          <w:p>
            <w:pPr>
              <w:spacing w:line="360" w:lineRule="auto"/>
              <w:jc w:val="center"/>
              <w:rPr>
                <w:rFonts w:eastAsia="黑体"/>
                <w:color w:val="auto"/>
                <w:sz w:val="24"/>
                <w:highlight w:val="none"/>
              </w:rPr>
            </w:pPr>
            <w:r>
              <w:rPr>
                <w:rFonts w:hint="eastAsia" w:eastAsia="黑体"/>
                <w:color w:val="auto"/>
                <w:sz w:val="24"/>
                <w:highlight w:val="none"/>
              </w:rPr>
              <w:t>表4-6（2）</w:t>
            </w:r>
            <w:r>
              <w:rPr>
                <w:rFonts w:eastAsia="黑体"/>
                <w:color w:val="auto"/>
                <w:sz w:val="24"/>
                <w:highlight w:val="none"/>
              </w:rPr>
              <w:t xml:space="preserve">  </w:t>
            </w:r>
            <w:r>
              <w:rPr>
                <w:rFonts w:hint="eastAsia" w:ascii="黑体" w:hAnsi="黑体" w:eastAsia="黑体" w:cs="黑体"/>
                <w:snapToGrid w:val="0"/>
                <w:color w:val="auto"/>
                <w:kern w:val="0"/>
                <w:szCs w:val="21"/>
                <w:highlight w:val="none"/>
              </w:rPr>
              <w:t>废气治理措施、排放方式、排放情况表</w:t>
            </w:r>
          </w:p>
          <w:tbl>
            <w:tblPr>
              <w:tblStyle w:val="39"/>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91"/>
              <w:gridCol w:w="587"/>
              <w:gridCol w:w="658"/>
              <w:gridCol w:w="990"/>
              <w:gridCol w:w="1358"/>
              <w:gridCol w:w="1075"/>
              <w:gridCol w:w="1125"/>
              <w:gridCol w:w="800"/>
              <w:gridCol w:w="603"/>
              <w:gridCol w:w="63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95" w:type="pct"/>
                  <w:noWrap w:val="0"/>
                  <w:vAlign w:val="center"/>
                </w:tcPr>
                <w:p>
                  <w:pPr>
                    <w:tabs>
                      <w:tab w:val="left" w:pos="105"/>
                    </w:tabs>
                    <w:spacing w:line="240" w:lineRule="exact"/>
                    <w:ind w:left="-120" w:leftChars="-50" w:right="-120" w:rightChars="-50"/>
                    <w:jc w:val="center"/>
                    <w:rPr>
                      <w:b/>
                      <w:bCs/>
                      <w:color w:val="auto"/>
                      <w:szCs w:val="21"/>
                      <w:highlight w:val="none"/>
                    </w:rPr>
                  </w:pPr>
                  <w:r>
                    <w:rPr>
                      <w:b/>
                      <w:bCs/>
                      <w:color w:val="auto"/>
                      <w:szCs w:val="21"/>
                      <w:highlight w:val="none"/>
                    </w:rPr>
                    <w:t>类别</w:t>
                  </w:r>
                </w:p>
              </w:tc>
              <w:tc>
                <w:tcPr>
                  <w:tcW w:w="352" w:type="pct"/>
                  <w:noWrap w:val="0"/>
                  <w:vAlign w:val="center"/>
                </w:tcPr>
                <w:p>
                  <w:pPr>
                    <w:tabs>
                      <w:tab w:val="left" w:pos="105"/>
                    </w:tabs>
                    <w:spacing w:line="240" w:lineRule="exact"/>
                    <w:ind w:left="-120" w:leftChars="-50" w:right="-120" w:rightChars="-50"/>
                    <w:jc w:val="center"/>
                    <w:rPr>
                      <w:b/>
                      <w:bCs/>
                      <w:color w:val="auto"/>
                      <w:szCs w:val="21"/>
                      <w:highlight w:val="none"/>
                    </w:rPr>
                  </w:pPr>
                  <w:r>
                    <w:rPr>
                      <w:b/>
                      <w:bCs/>
                      <w:color w:val="auto"/>
                      <w:szCs w:val="21"/>
                      <w:highlight w:val="none"/>
                    </w:rPr>
                    <w:t>产污位置</w:t>
                  </w:r>
                </w:p>
              </w:tc>
              <w:tc>
                <w:tcPr>
                  <w:tcW w:w="395" w:type="pct"/>
                  <w:noWrap w:val="0"/>
                  <w:vAlign w:val="center"/>
                </w:tcPr>
                <w:p>
                  <w:pPr>
                    <w:tabs>
                      <w:tab w:val="left" w:pos="105"/>
                    </w:tabs>
                    <w:spacing w:line="240" w:lineRule="exact"/>
                    <w:ind w:left="-120" w:leftChars="-50" w:right="-120" w:rightChars="-50"/>
                    <w:jc w:val="center"/>
                    <w:rPr>
                      <w:b/>
                      <w:bCs/>
                      <w:color w:val="auto"/>
                      <w:szCs w:val="21"/>
                      <w:highlight w:val="none"/>
                    </w:rPr>
                  </w:pPr>
                  <w:r>
                    <w:rPr>
                      <w:b/>
                      <w:bCs/>
                      <w:color w:val="auto"/>
                      <w:szCs w:val="21"/>
                      <w:highlight w:val="none"/>
                    </w:rPr>
                    <w:t>污染物</w:t>
                  </w:r>
                </w:p>
              </w:tc>
              <w:tc>
                <w:tcPr>
                  <w:tcW w:w="594" w:type="pct"/>
                  <w:noWrap w:val="0"/>
                  <w:vAlign w:val="center"/>
                </w:tcPr>
                <w:p>
                  <w:pPr>
                    <w:tabs>
                      <w:tab w:val="left" w:pos="105"/>
                    </w:tabs>
                    <w:spacing w:line="240" w:lineRule="exact"/>
                    <w:ind w:left="-120" w:leftChars="-50" w:right="-120" w:rightChars="-50"/>
                    <w:jc w:val="center"/>
                    <w:rPr>
                      <w:b/>
                      <w:bCs/>
                      <w:color w:val="auto"/>
                      <w:szCs w:val="21"/>
                      <w:highlight w:val="none"/>
                    </w:rPr>
                  </w:pPr>
                  <w:r>
                    <w:rPr>
                      <w:b/>
                      <w:bCs/>
                      <w:color w:val="auto"/>
                      <w:szCs w:val="21"/>
                      <w:highlight w:val="none"/>
                    </w:rPr>
                    <w:t>产生情况</w:t>
                  </w:r>
                </w:p>
                <w:p>
                  <w:pPr>
                    <w:tabs>
                      <w:tab w:val="left" w:pos="105"/>
                    </w:tabs>
                    <w:spacing w:line="240" w:lineRule="exact"/>
                    <w:ind w:left="-120" w:leftChars="-50" w:right="-120" w:rightChars="-50"/>
                    <w:jc w:val="center"/>
                    <w:rPr>
                      <w:b/>
                      <w:bCs/>
                      <w:color w:val="auto"/>
                      <w:szCs w:val="21"/>
                      <w:highlight w:val="none"/>
                    </w:rPr>
                  </w:pPr>
                  <w:r>
                    <w:rPr>
                      <w:b/>
                      <w:bCs/>
                      <w:color w:val="auto"/>
                      <w:szCs w:val="21"/>
                      <w:highlight w:val="none"/>
                    </w:rPr>
                    <w:t>Kg/h</w:t>
                  </w:r>
                </w:p>
              </w:tc>
              <w:tc>
                <w:tcPr>
                  <w:tcW w:w="815" w:type="pct"/>
                  <w:noWrap w:val="0"/>
                  <w:vAlign w:val="center"/>
                </w:tcPr>
                <w:p>
                  <w:pPr>
                    <w:tabs>
                      <w:tab w:val="left" w:pos="105"/>
                    </w:tabs>
                    <w:spacing w:line="240" w:lineRule="exact"/>
                    <w:ind w:left="-120" w:leftChars="-50" w:right="-120" w:rightChars="-50"/>
                    <w:jc w:val="center"/>
                    <w:rPr>
                      <w:b/>
                      <w:bCs/>
                      <w:color w:val="auto"/>
                      <w:szCs w:val="21"/>
                      <w:highlight w:val="none"/>
                    </w:rPr>
                  </w:pPr>
                  <w:r>
                    <w:rPr>
                      <w:b/>
                      <w:bCs/>
                      <w:color w:val="auto"/>
                      <w:szCs w:val="21"/>
                      <w:highlight w:val="none"/>
                    </w:rPr>
                    <w:t>治理措施</w:t>
                  </w:r>
                </w:p>
              </w:tc>
              <w:tc>
                <w:tcPr>
                  <w:tcW w:w="645" w:type="pct"/>
                  <w:noWrap w:val="0"/>
                  <w:vAlign w:val="center"/>
                </w:tcPr>
                <w:p>
                  <w:pPr>
                    <w:tabs>
                      <w:tab w:val="left" w:pos="105"/>
                    </w:tabs>
                    <w:spacing w:line="240" w:lineRule="exact"/>
                    <w:ind w:left="-120" w:leftChars="-50" w:right="-120" w:rightChars="-50"/>
                    <w:jc w:val="center"/>
                    <w:rPr>
                      <w:b/>
                      <w:bCs/>
                      <w:color w:val="auto"/>
                      <w:szCs w:val="21"/>
                      <w:highlight w:val="none"/>
                    </w:rPr>
                  </w:pPr>
                  <w:r>
                    <w:rPr>
                      <w:b/>
                      <w:bCs/>
                      <w:color w:val="auto"/>
                      <w:szCs w:val="21"/>
                      <w:highlight w:val="none"/>
                    </w:rPr>
                    <w:t>无组织排放</w:t>
                  </w:r>
                </w:p>
                <w:p>
                  <w:pPr>
                    <w:tabs>
                      <w:tab w:val="left" w:pos="105"/>
                    </w:tabs>
                    <w:spacing w:line="240" w:lineRule="exact"/>
                    <w:ind w:left="-120" w:leftChars="-50" w:right="-120" w:rightChars="-50"/>
                    <w:jc w:val="center"/>
                    <w:rPr>
                      <w:b/>
                      <w:bCs/>
                      <w:color w:val="auto"/>
                      <w:szCs w:val="21"/>
                      <w:highlight w:val="none"/>
                    </w:rPr>
                  </w:pPr>
                  <w:r>
                    <w:rPr>
                      <w:b/>
                      <w:bCs/>
                      <w:color w:val="auto"/>
                      <w:szCs w:val="21"/>
                      <w:highlight w:val="none"/>
                    </w:rPr>
                    <w:t>情况/kg/h</w:t>
                  </w:r>
                </w:p>
              </w:tc>
              <w:tc>
                <w:tcPr>
                  <w:tcW w:w="675" w:type="pct"/>
                  <w:noWrap w:val="0"/>
                  <w:vAlign w:val="center"/>
                </w:tcPr>
                <w:p>
                  <w:pPr>
                    <w:tabs>
                      <w:tab w:val="left" w:pos="105"/>
                    </w:tabs>
                    <w:spacing w:line="240" w:lineRule="exact"/>
                    <w:ind w:left="-120" w:leftChars="-50" w:right="-120" w:rightChars="-50"/>
                    <w:jc w:val="center"/>
                    <w:rPr>
                      <w:b/>
                      <w:bCs/>
                      <w:color w:val="auto"/>
                      <w:szCs w:val="21"/>
                      <w:highlight w:val="none"/>
                    </w:rPr>
                  </w:pPr>
                  <w:r>
                    <w:rPr>
                      <w:rFonts w:hint="eastAsia"/>
                      <w:b/>
                      <w:bCs/>
                      <w:color w:val="auto"/>
                      <w:szCs w:val="21"/>
                      <w:highlight w:val="none"/>
                    </w:rPr>
                    <w:t>无组织排放量/t/a</w:t>
                  </w:r>
                </w:p>
              </w:tc>
              <w:tc>
                <w:tcPr>
                  <w:tcW w:w="480" w:type="pct"/>
                  <w:noWrap w:val="0"/>
                  <w:vAlign w:val="center"/>
                </w:tcPr>
                <w:p>
                  <w:pPr>
                    <w:tabs>
                      <w:tab w:val="left" w:pos="105"/>
                    </w:tabs>
                    <w:spacing w:line="240" w:lineRule="exact"/>
                    <w:ind w:left="-120" w:leftChars="-50" w:right="-120" w:rightChars="-50"/>
                    <w:jc w:val="center"/>
                    <w:rPr>
                      <w:rFonts w:hint="default" w:eastAsia="宋体"/>
                      <w:b/>
                      <w:bCs/>
                      <w:color w:val="auto"/>
                      <w:szCs w:val="21"/>
                      <w:highlight w:val="none"/>
                      <w:lang w:val="en-US" w:eastAsia="zh-CN"/>
                    </w:rPr>
                  </w:pPr>
                  <w:r>
                    <w:rPr>
                      <w:rFonts w:hint="eastAsia"/>
                      <w:b/>
                      <w:bCs/>
                      <w:color w:val="auto"/>
                      <w:szCs w:val="21"/>
                      <w:highlight w:val="none"/>
                      <w:lang w:val="en-US" w:eastAsia="zh-CN"/>
                    </w:rPr>
                    <w:t>长度（m）</w:t>
                  </w:r>
                </w:p>
              </w:tc>
              <w:tc>
                <w:tcPr>
                  <w:tcW w:w="362" w:type="pct"/>
                  <w:noWrap w:val="0"/>
                  <w:vAlign w:val="center"/>
                </w:tcPr>
                <w:p>
                  <w:pPr>
                    <w:tabs>
                      <w:tab w:val="left" w:pos="105"/>
                    </w:tabs>
                    <w:spacing w:line="240" w:lineRule="exact"/>
                    <w:ind w:left="-120" w:leftChars="-50" w:right="-120" w:rightChars="-50"/>
                    <w:jc w:val="center"/>
                    <w:rPr>
                      <w:rFonts w:hint="eastAsia" w:eastAsia="宋体"/>
                      <w:b/>
                      <w:bCs/>
                      <w:color w:val="auto"/>
                      <w:szCs w:val="21"/>
                      <w:highlight w:val="none"/>
                      <w:lang w:val="en-US" w:eastAsia="zh-CN"/>
                    </w:rPr>
                  </w:pPr>
                  <w:r>
                    <w:rPr>
                      <w:rFonts w:hint="eastAsia"/>
                      <w:b/>
                      <w:bCs/>
                      <w:color w:val="auto"/>
                      <w:szCs w:val="21"/>
                      <w:highlight w:val="none"/>
                      <w:lang w:val="en-US" w:eastAsia="zh-CN"/>
                    </w:rPr>
                    <w:t>宽度（m）</w:t>
                  </w:r>
                </w:p>
              </w:tc>
              <w:tc>
                <w:tcPr>
                  <w:tcW w:w="380" w:type="pct"/>
                  <w:noWrap w:val="0"/>
                  <w:vAlign w:val="center"/>
                </w:tcPr>
                <w:p>
                  <w:pPr>
                    <w:tabs>
                      <w:tab w:val="left" w:pos="105"/>
                    </w:tabs>
                    <w:spacing w:line="240" w:lineRule="exact"/>
                    <w:ind w:left="-120" w:leftChars="-50" w:right="-120" w:rightChars="-50"/>
                    <w:jc w:val="center"/>
                    <w:rPr>
                      <w:rFonts w:hint="eastAsia" w:eastAsia="宋体"/>
                      <w:b/>
                      <w:bCs/>
                      <w:color w:val="auto"/>
                      <w:szCs w:val="21"/>
                      <w:highlight w:val="none"/>
                      <w:lang w:val="en-US" w:eastAsia="zh-CN"/>
                    </w:rPr>
                  </w:pPr>
                  <w:r>
                    <w:rPr>
                      <w:rFonts w:hint="eastAsia"/>
                      <w:b/>
                      <w:bCs/>
                      <w:color w:val="auto"/>
                      <w:szCs w:val="21"/>
                      <w:highlight w:val="none"/>
                      <w:lang w:val="en-US" w:eastAsia="zh-CN"/>
                    </w:rPr>
                    <w:t>高度（m）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95" w:type="pct"/>
                  <w:noWrap w:val="0"/>
                  <w:vAlign w:val="center"/>
                </w:tcPr>
                <w:p>
                  <w:pPr>
                    <w:pStyle w:val="31"/>
                    <w:spacing w:line="240" w:lineRule="auto"/>
                    <w:rPr>
                      <w:rFonts w:ascii="Times New Roman" w:eastAsia="宋体"/>
                      <w:color w:val="auto"/>
                      <w:sz w:val="21"/>
                      <w:szCs w:val="21"/>
                      <w:highlight w:val="none"/>
                    </w:rPr>
                  </w:pPr>
                  <w:r>
                    <w:rPr>
                      <w:rFonts w:ascii="Times New Roman" w:eastAsia="宋体"/>
                      <w:color w:val="auto"/>
                      <w:sz w:val="21"/>
                      <w:szCs w:val="21"/>
                      <w:highlight w:val="none"/>
                    </w:rPr>
                    <w:t>堆场粉尘</w:t>
                  </w:r>
                </w:p>
              </w:tc>
              <w:tc>
                <w:tcPr>
                  <w:tcW w:w="352" w:type="pct"/>
                  <w:noWrap w:val="0"/>
                  <w:vAlign w:val="center"/>
                </w:tcPr>
                <w:p>
                  <w:pPr>
                    <w:pStyle w:val="31"/>
                    <w:spacing w:line="240" w:lineRule="auto"/>
                    <w:rPr>
                      <w:rFonts w:ascii="Times New Roman" w:eastAsia="宋体"/>
                      <w:color w:val="auto"/>
                      <w:sz w:val="21"/>
                      <w:szCs w:val="21"/>
                      <w:highlight w:val="none"/>
                    </w:rPr>
                  </w:pPr>
                  <w:r>
                    <w:rPr>
                      <w:rFonts w:ascii="Times New Roman" w:eastAsia="宋体"/>
                      <w:color w:val="auto"/>
                      <w:sz w:val="21"/>
                      <w:szCs w:val="21"/>
                      <w:highlight w:val="none"/>
                    </w:rPr>
                    <w:t>原料堆场1</w:t>
                  </w:r>
                </w:p>
              </w:tc>
              <w:tc>
                <w:tcPr>
                  <w:tcW w:w="395" w:type="pct"/>
                  <w:noWrap w:val="0"/>
                  <w:vAlign w:val="center"/>
                </w:tcPr>
                <w:p>
                  <w:pPr>
                    <w:pStyle w:val="31"/>
                    <w:spacing w:line="240" w:lineRule="auto"/>
                    <w:rPr>
                      <w:rFonts w:ascii="Times New Roman" w:eastAsia="宋体"/>
                      <w:color w:val="auto"/>
                      <w:sz w:val="21"/>
                      <w:szCs w:val="21"/>
                      <w:highlight w:val="none"/>
                    </w:rPr>
                  </w:pPr>
                  <w:r>
                    <w:rPr>
                      <w:rFonts w:ascii="Times New Roman" w:eastAsia="宋体"/>
                      <w:color w:val="auto"/>
                      <w:sz w:val="21"/>
                      <w:szCs w:val="21"/>
                      <w:highlight w:val="none"/>
                    </w:rPr>
                    <w:t>TSP</w:t>
                  </w:r>
                </w:p>
              </w:tc>
              <w:tc>
                <w:tcPr>
                  <w:tcW w:w="594" w:type="pct"/>
                  <w:noWrap w:val="0"/>
                  <w:vAlign w:val="center"/>
                </w:tcPr>
                <w:p>
                  <w:pPr>
                    <w:pStyle w:val="31"/>
                    <w:spacing w:line="240" w:lineRule="auto"/>
                    <w:rPr>
                      <w:rFonts w:ascii="Times New Roman" w:eastAsia="宋体"/>
                      <w:color w:val="auto"/>
                      <w:sz w:val="21"/>
                      <w:szCs w:val="21"/>
                      <w:highlight w:val="none"/>
                    </w:rPr>
                  </w:pPr>
                  <w:r>
                    <w:rPr>
                      <w:rFonts w:ascii="Times New Roman" w:eastAsia="宋体"/>
                      <w:color w:val="auto"/>
                      <w:sz w:val="21"/>
                      <w:szCs w:val="21"/>
                      <w:highlight w:val="none"/>
                    </w:rPr>
                    <w:t>0.568</w:t>
                  </w:r>
                </w:p>
              </w:tc>
              <w:tc>
                <w:tcPr>
                  <w:tcW w:w="815" w:type="pct"/>
                  <w:noWrap w:val="0"/>
                  <w:vAlign w:val="center"/>
                </w:tcPr>
                <w:p>
                  <w:pPr>
                    <w:pStyle w:val="31"/>
                    <w:spacing w:line="240" w:lineRule="auto"/>
                    <w:rPr>
                      <w:rFonts w:ascii="Times New Roman" w:eastAsia="宋体"/>
                      <w:color w:val="auto"/>
                      <w:sz w:val="21"/>
                      <w:szCs w:val="21"/>
                      <w:highlight w:val="none"/>
                    </w:rPr>
                  </w:pPr>
                  <w:r>
                    <w:rPr>
                      <w:rFonts w:ascii="Times New Roman" w:eastAsia="宋体"/>
                      <w:color w:val="auto"/>
                      <w:sz w:val="21"/>
                      <w:szCs w:val="21"/>
                      <w:highlight w:val="none"/>
                    </w:rPr>
                    <w:t>加装喷淋设施，料仓设为三面封闭式堆棚</w:t>
                  </w:r>
                </w:p>
              </w:tc>
              <w:tc>
                <w:tcPr>
                  <w:tcW w:w="645" w:type="pct"/>
                  <w:noWrap w:val="0"/>
                  <w:vAlign w:val="center"/>
                </w:tcPr>
                <w:p>
                  <w:pPr>
                    <w:pStyle w:val="31"/>
                    <w:spacing w:line="240" w:lineRule="auto"/>
                    <w:rPr>
                      <w:rFonts w:ascii="Times New Roman" w:eastAsia="宋体"/>
                      <w:color w:val="auto"/>
                      <w:sz w:val="21"/>
                      <w:szCs w:val="21"/>
                      <w:highlight w:val="none"/>
                    </w:rPr>
                  </w:pPr>
                  <w:r>
                    <w:rPr>
                      <w:rFonts w:ascii="Times New Roman" w:eastAsia="宋体"/>
                      <w:color w:val="auto"/>
                      <w:sz w:val="21"/>
                      <w:szCs w:val="21"/>
                      <w:highlight w:val="none"/>
                    </w:rPr>
                    <w:t>0.0852</w:t>
                  </w:r>
                </w:p>
              </w:tc>
              <w:tc>
                <w:tcPr>
                  <w:tcW w:w="675" w:type="pct"/>
                  <w:noWrap w:val="0"/>
                  <w:vAlign w:val="center"/>
                </w:tcPr>
                <w:p>
                  <w:pPr>
                    <w:pStyle w:val="31"/>
                    <w:spacing w:line="240" w:lineRule="auto"/>
                    <w:rPr>
                      <w:rFonts w:ascii="Times New Roman" w:eastAsia="宋体"/>
                      <w:color w:val="auto"/>
                      <w:sz w:val="21"/>
                      <w:szCs w:val="21"/>
                      <w:highlight w:val="none"/>
                    </w:rPr>
                  </w:pPr>
                  <w:r>
                    <w:rPr>
                      <w:rFonts w:hint="eastAsia" w:ascii="Times New Roman" w:eastAsia="宋体"/>
                      <w:color w:val="auto"/>
                      <w:sz w:val="21"/>
                      <w:szCs w:val="21"/>
                      <w:highlight w:val="none"/>
                    </w:rPr>
                    <w:t>0.225</w:t>
                  </w:r>
                </w:p>
              </w:tc>
              <w:tc>
                <w:tcPr>
                  <w:tcW w:w="480" w:type="pct"/>
                  <w:noWrap w:val="0"/>
                  <w:vAlign w:val="center"/>
                </w:tcPr>
                <w:p>
                  <w:pPr>
                    <w:jc w:val="center"/>
                    <w:rPr>
                      <w:rFonts w:hint="eastAsia" w:ascii="Times New Roman" w:eastAsia="宋体"/>
                      <w:color w:val="auto"/>
                      <w:sz w:val="21"/>
                      <w:szCs w:val="21"/>
                      <w:highlight w:val="none"/>
                    </w:rPr>
                  </w:pPr>
                  <w:r>
                    <w:rPr>
                      <w:rFonts w:hint="eastAsia"/>
                      <w:color w:val="auto"/>
                      <w:szCs w:val="21"/>
                      <w:highlight w:val="none"/>
                    </w:rPr>
                    <w:t>50</w:t>
                  </w:r>
                </w:p>
              </w:tc>
              <w:tc>
                <w:tcPr>
                  <w:tcW w:w="362" w:type="pct"/>
                  <w:noWrap w:val="0"/>
                  <w:vAlign w:val="center"/>
                </w:tcPr>
                <w:p>
                  <w:pPr>
                    <w:jc w:val="center"/>
                    <w:rPr>
                      <w:rFonts w:hint="eastAsia" w:ascii="Times New Roman" w:eastAsia="宋体"/>
                      <w:color w:val="auto"/>
                      <w:sz w:val="21"/>
                      <w:szCs w:val="21"/>
                      <w:highlight w:val="none"/>
                    </w:rPr>
                  </w:pPr>
                  <w:r>
                    <w:rPr>
                      <w:rFonts w:hint="eastAsia"/>
                      <w:color w:val="auto"/>
                      <w:szCs w:val="21"/>
                      <w:highlight w:val="none"/>
                    </w:rPr>
                    <w:t>30</w:t>
                  </w:r>
                </w:p>
              </w:tc>
              <w:tc>
                <w:tcPr>
                  <w:tcW w:w="380" w:type="pct"/>
                  <w:noWrap w:val="0"/>
                  <w:vAlign w:val="center"/>
                </w:tcPr>
                <w:p>
                  <w:pPr>
                    <w:jc w:val="center"/>
                    <w:rPr>
                      <w:rFonts w:hint="eastAsia" w:ascii="Times New Roman" w:eastAsia="宋体"/>
                      <w:color w:val="auto"/>
                      <w:sz w:val="21"/>
                      <w:szCs w:val="21"/>
                      <w:highlight w:val="none"/>
                    </w:rPr>
                  </w:pPr>
                  <w:r>
                    <w:rPr>
                      <w:color w:val="auto"/>
                      <w:szCs w:val="21"/>
                      <w:highlight w:val="none"/>
                    </w:rPr>
                    <w:t>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95" w:type="pct"/>
                  <w:noWrap w:val="0"/>
                  <w:vAlign w:val="center"/>
                </w:tcPr>
                <w:p>
                  <w:pPr>
                    <w:pStyle w:val="31"/>
                    <w:spacing w:line="240" w:lineRule="auto"/>
                    <w:rPr>
                      <w:rFonts w:ascii="Times New Roman" w:eastAsia="宋体"/>
                      <w:color w:val="auto"/>
                      <w:sz w:val="21"/>
                      <w:szCs w:val="21"/>
                      <w:highlight w:val="none"/>
                    </w:rPr>
                  </w:pPr>
                  <w:r>
                    <w:rPr>
                      <w:rFonts w:ascii="Times New Roman" w:eastAsia="宋体"/>
                      <w:color w:val="auto"/>
                      <w:sz w:val="21"/>
                      <w:szCs w:val="21"/>
                      <w:highlight w:val="none"/>
                    </w:rPr>
                    <w:t>堆场粉尘</w:t>
                  </w:r>
                </w:p>
              </w:tc>
              <w:tc>
                <w:tcPr>
                  <w:tcW w:w="352" w:type="pct"/>
                  <w:noWrap w:val="0"/>
                  <w:vAlign w:val="center"/>
                </w:tcPr>
                <w:p>
                  <w:pPr>
                    <w:pStyle w:val="31"/>
                    <w:spacing w:line="240" w:lineRule="auto"/>
                    <w:rPr>
                      <w:rFonts w:ascii="Times New Roman" w:eastAsia="宋体"/>
                      <w:color w:val="auto"/>
                      <w:sz w:val="21"/>
                      <w:szCs w:val="21"/>
                      <w:highlight w:val="none"/>
                    </w:rPr>
                  </w:pPr>
                  <w:r>
                    <w:rPr>
                      <w:rFonts w:ascii="Times New Roman" w:eastAsia="宋体"/>
                      <w:color w:val="auto"/>
                      <w:sz w:val="21"/>
                      <w:szCs w:val="21"/>
                      <w:highlight w:val="none"/>
                    </w:rPr>
                    <w:t>原料堆场2</w:t>
                  </w:r>
                </w:p>
              </w:tc>
              <w:tc>
                <w:tcPr>
                  <w:tcW w:w="395" w:type="pct"/>
                  <w:noWrap w:val="0"/>
                  <w:vAlign w:val="center"/>
                </w:tcPr>
                <w:p>
                  <w:pPr>
                    <w:pStyle w:val="31"/>
                    <w:spacing w:line="240" w:lineRule="auto"/>
                    <w:rPr>
                      <w:rFonts w:ascii="Times New Roman" w:eastAsia="宋体"/>
                      <w:color w:val="auto"/>
                      <w:sz w:val="21"/>
                      <w:szCs w:val="21"/>
                      <w:highlight w:val="none"/>
                    </w:rPr>
                  </w:pPr>
                  <w:r>
                    <w:rPr>
                      <w:rFonts w:ascii="Times New Roman" w:eastAsia="宋体"/>
                      <w:color w:val="auto"/>
                      <w:sz w:val="21"/>
                      <w:szCs w:val="21"/>
                      <w:highlight w:val="none"/>
                    </w:rPr>
                    <w:t>TSP</w:t>
                  </w:r>
                </w:p>
              </w:tc>
              <w:tc>
                <w:tcPr>
                  <w:tcW w:w="594" w:type="pct"/>
                  <w:noWrap w:val="0"/>
                  <w:vAlign w:val="center"/>
                </w:tcPr>
                <w:p>
                  <w:pPr>
                    <w:pStyle w:val="31"/>
                    <w:spacing w:line="240" w:lineRule="auto"/>
                    <w:rPr>
                      <w:rFonts w:ascii="Times New Roman" w:eastAsia="宋体"/>
                      <w:color w:val="auto"/>
                      <w:sz w:val="21"/>
                      <w:szCs w:val="21"/>
                      <w:highlight w:val="none"/>
                    </w:rPr>
                  </w:pPr>
                  <w:r>
                    <w:rPr>
                      <w:rFonts w:ascii="Times New Roman" w:eastAsia="宋体"/>
                      <w:color w:val="auto"/>
                      <w:sz w:val="21"/>
                      <w:szCs w:val="21"/>
                      <w:highlight w:val="none"/>
                    </w:rPr>
                    <w:t>0.568</w:t>
                  </w:r>
                </w:p>
              </w:tc>
              <w:tc>
                <w:tcPr>
                  <w:tcW w:w="815" w:type="pct"/>
                  <w:noWrap w:val="0"/>
                  <w:vAlign w:val="center"/>
                </w:tcPr>
                <w:p>
                  <w:pPr>
                    <w:pStyle w:val="31"/>
                    <w:spacing w:line="240" w:lineRule="auto"/>
                    <w:rPr>
                      <w:rFonts w:ascii="Times New Roman" w:eastAsia="宋体"/>
                      <w:color w:val="auto"/>
                      <w:sz w:val="21"/>
                      <w:szCs w:val="21"/>
                      <w:highlight w:val="none"/>
                    </w:rPr>
                  </w:pPr>
                  <w:r>
                    <w:rPr>
                      <w:rFonts w:ascii="Times New Roman" w:eastAsia="宋体"/>
                      <w:color w:val="auto"/>
                      <w:sz w:val="21"/>
                      <w:szCs w:val="21"/>
                      <w:highlight w:val="none"/>
                    </w:rPr>
                    <w:t>装喷淋设施，料仓设为三面封闭式堆棚</w:t>
                  </w:r>
                </w:p>
              </w:tc>
              <w:tc>
                <w:tcPr>
                  <w:tcW w:w="645" w:type="pct"/>
                  <w:noWrap w:val="0"/>
                  <w:vAlign w:val="center"/>
                </w:tcPr>
                <w:p>
                  <w:pPr>
                    <w:pStyle w:val="31"/>
                    <w:spacing w:line="240" w:lineRule="auto"/>
                    <w:rPr>
                      <w:rFonts w:ascii="Times New Roman" w:eastAsia="宋体"/>
                      <w:color w:val="auto"/>
                      <w:sz w:val="21"/>
                      <w:szCs w:val="21"/>
                      <w:highlight w:val="none"/>
                    </w:rPr>
                  </w:pPr>
                  <w:r>
                    <w:rPr>
                      <w:rFonts w:ascii="Times New Roman" w:eastAsia="宋体"/>
                      <w:color w:val="auto"/>
                      <w:sz w:val="21"/>
                      <w:szCs w:val="21"/>
                      <w:highlight w:val="none"/>
                    </w:rPr>
                    <w:t>0.0852</w:t>
                  </w:r>
                </w:p>
              </w:tc>
              <w:tc>
                <w:tcPr>
                  <w:tcW w:w="675" w:type="pct"/>
                  <w:noWrap w:val="0"/>
                  <w:vAlign w:val="center"/>
                </w:tcPr>
                <w:p>
                  <w:pPr>
                    <w:pStyle w:val="31"/>
                    <w:spacing w:line="240" w:lineRule="auto"/>
                    <w:rPr>
                      <w:rFonts w:ascii="Times New Roman" w:eastAsia="宋体"/>
                      <w:color w:val="auto"/>
                      <w:sz w:val="21"/>
                      <w:szCs w:val="21"/>
                      <w:highlight w:val="none"/>
                    </w:rPr>
                  </w:pPr>
                  <w:r>
                    <w:rPr>
                      <w:rFonts w:hint="eastAsia" w:ascii="Times New Roman" w:eastAsia="宋体"/>
                      <w:color w:val="auto"/>
                      <w:sz w:val="21"/>
                      <w:szCs w:val="21"/>
                      <w:highlight w:val="none"/>
                    </w:rPr>
                    <w:t>0.225</w:t>
                  </w:r>
                </w:p>
              </w:tc>
              <w:tc>
                <w:tcPr>
                  <w:tcW w:w="480" w:type="pct"/>
                  <w:noWrap w:val="0"/>
                  <w:vAlign w:val="center"/>
                </w:tcPr>
                <w:p>
                  <w:pPr>
                    <w:jc w:val="center"/>
                    <w:rPr>
                      <w:rFonts w:hint="eastAsia" w:ascii="Times New Roman" w:eastAsia="宋体"/>
                      <w:color w:val="auto"/>
                      <w:sz w:val="21"/>
                      <w:szCs w:val="21"/>
                      <w:highlight w:val="none"/>
                    </w:rPr>
                  </w:pPr>
                  <w:r>
                    <w:rPr>
                      <w:rFonts w:hint="eastAsia"/>
                      <w:color w:val="auto"/>
                      <w:szCs w:val="21"/>
                      <w:highlight w:val="none"/>
                    </w:rPr>
                    <w:t>50</w:t>
                  </w:r>
                </w:p>
              </w:tc>
              <w:tc>
                <w:tcPr>
                  <w:tcW w:w="362" w:type="pct"/>
                  <w:noWrap w:val="0"/>
                  <w:vAlign w:val="center"/>
                </w:tcPr>
                <w:p>
                  <w:pPr>
                    <w:jc w:val="center"/>
                    <w:rPr>
                      <w:rFonts w:hint="eastAsia" w:ascii="Times New Roman" w:eastAsia="宋体"/>
                      <w:color w:val="auto"/>
                      <w:sz w:val="21"/>
                      <w:szCs w:val="21"/>
                      <w:highlight w:val="none"/>
                    </w:rPr>
                  </w:pPr>
                  <w:r>
                    <w:rPr>
                      <w:rFonts w:hint="eastAsia"/>
                      <w:color w:val="auto"/>
                      <w:szCs w:val="21"/>
                      <w:highlight w:val="none"/>
                    </w:rPr>
                    <w:t>30</w:t>
                  </w:r>
                </w:p>
              </w:tc>
              <w:tc>
                <w:tcPr>
                  <w:tcW w:w="380" w:type="pct"/>
                  <w:noWrap w:val="0"/>
                  <w:vAlign w:val="center"/>
                </w:tcPr>
                <w:p>
                  <w:pPr>
                    <w:jc w:val="center"/>
                    <w:rPr>
                      <w:rFonts w:hint="eastAsia" w:ascii="Times New Roman" w:eastAsia="宋体"/>
                      <w:color w:val="auto"/>
                      <w:sz w:val="21"/>
                      <w:szCs w:val="21"/>
                      <w:highlight w:val="none"/>
                    </w:rPr>
                  </w:pPr>
                  <w:r>
                    <w:rPr>
                      <w:rFonts w:hint="eastAsia"/>
                      <w:color w:val="auto"/>
                      <w:szCs w:val="21"/>
                      <w:highlight w:val="none"/>
                    </w:rPr>
                    <w:t>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1" w:hRule="atLeast"/>
              </w:trPr>
              <w:tc>
                <w:tcPr>
                  <w:tcW w:w="295" w:type="pct"/>
                  <w:vMerge w:val="restart"/>
                  <w:noWrap w:val="0"/>
                  <w:vAlign w:val="center"/>
                </w:tcPr>
                <w:p>
                  <w:pPr>
                    <w:pStyle w:val="31"/>
                    <w:spacing w:line="240" w:lineRule="auto"/>
                    <w:rPr>
                      <w:rFonts w:ascii="Times New Roman" w:eastAsia="宋体"/>
                      <w:color w:val="auto"/>
                      <w:sz w:val="21"/>
                      <w:szCs w:val="21"/>
                      <w:highlight w:val="none"/>
                    </w:rPr>
                  </w:pPr>
                  <w:r>
                    <w:rPr>
                      <w:rFonts w:ascii="Times New Roman" w:eastAsia="宋体"/>
                      <w:color w:val="auto"/>
                      <w:sz w:val="21"/>
                      <w:szCs w:val="21"/>
                      <w:highlight w:val="none"/>
                    </w:rPr>
                    <w:t>沥青拌和楼沥青烟气</w:t>
                  </w:r>
                </w:p>
              </w:tc>
              <w:tc>
                <w:tcPr>
                  <w:tcW w:w="352" w:type="pct"/>
                  <w:vMerge w:val="restart"/>
                  <w:noWrap w:val="0"/>
                  <w:vAlign w:val="center"/>
                </w:tcPr>
                <w:p>
                  <w:pPr>
                    <w:pStyle w:val="31"/>
                    <w:spacing w:line="240" w:lineRule="auto"/>
                    <w:rPr>
                      <w:rFonts w:ascii="Times New Roman" w:eastAsia="宋体"/>
                      <w:color w:val="auto"/>
                      <w:sz w:val="21"/>
                      <w:szCs w:val="21"/>
                      <w:highlight w:val="none"/>
                    </w:rPr>
                  </w:pPr>
                  <w:r>
                    <w:rPr>
                      <w:rFonts w:ascii="Times New Roman" w:eastAsia="宋体"/>
                      <w:color w:val="auto"/>
                      <w:sz w:val="21"/>
                      <w:szCs w:val="21"/>
                      <w:highlight w:val="none"/>
                    </w:rPr>
                    <w:t>沥青拌和楼</w:t>
                  </w:r>
                </w:p>
              </w:tc>
              <w:tc>
                <w:tcPr>
                  <w:tcW w:w="395" w:type="pct"/>
                  <w:noWrap w:val="0"/>
                  <w:vAlign w:val="center"/>
                </w:tcPr>
                <w:p>
                  <w:pPr>
                    <w:pStyle w:val="31"/>
                    <w:spacing w:line="240" w:lineRule="auto"/>
                    <w:rPr>
                      <w:rFonts w:ascii="Times New Roman" w:eastAsia="宋体"/>
                      <w:color w:val="auto"/>
                      <w:sz w:val="21"/>
                      <w:szCs w:val="21"/>
                      <w:highlight w:val="none"/>
                    </w:rPr>
                  </w:pPr>
                  <w:r>
                    <w:rPr>
                      <w:rFonts w:ascii="Times New Roman" w:eastAsia="宋体"/>
                      <w:color w:val="auto"/>
                      <w:sz w:val="21"/>
                      <w:szCs w:val="21"/>
                      <w:highlight w:val="none"/>
                    </w:rPr>
                    <w:t>沥青烟</w:t>
                  </w:r>
                </w:p>
              </w:tc>
              <w:tc>
                <w:tcPr>
                  <w:tcW w:w="594" w:type="pct"/>
                  <w:noWrap w:val="0"/>
                  <w:vAlign w:val="center"/>
                </w:tcPr>
                <w:p>
                  <w:pPr>
                    <w:pStyle w:val="31"/>
                    <w:spacing w:line="240" w:lineRule="auto"/>
                    <w:rPr>
                      <w:rFonts w:ascii="Times New Roman" w:eastAsia="宋体"/>
                      <w:color w:val="auto"/>
                      <w:sz w:val="21"/>
                      <w:szCs w:val="21"/>
                      <w:highlight w:val="none"/>
                    </w:rPr>
                  </w:pPr>
                  <w:r>
                    <w:rPr>
                      <w:rFonts w:ascii="Times New Roman" w:eastAsia="宋体"/>
                      <w:color w:val="auto"/>
                      <w:sz w:val="21"/>
                      <w:szCs w:val="21"/>
                      <w:highlight w:val="none"/>
                    </w:rPr>
                    <w:t>0.</w:t>
                  </w:r>
                  <w:r>
                    <w:rPr>
                      <w:rFonts w:hint="eastAsia" w:ascii="Times New Roman" w:eastAsia="宋体"/>
                      <w:color w:val="auto"/>
                      <w:sz w:val="21"/>
                      <w:szCs w:val="21"/>
                      <w:highlight w:val="none"/>
                    </w:rPr>
                    <w:t>394</w:t>
                  </w:r>
                </w:p>
              </w:tc>
              <w:tc>
                <w:tcPr>
                  <w:tcW w:w="815" w:type="pct"/>
                  <w:vMerge w:val="restart"/>
                  <w:noWrap w:val="0"/>
                  <w:vAlign w:val="center"/>
                </w:tcPr>
                <w:p>
                  <w:pPr>
                    <w:pStyle w:val="31"/>
                    <w:spacing w:line="240" w:lineRule="auto"/>
                    <w:rPr>
                      <w:rFonts w:ascii="Times New Roman" w:eastAsia="宋体"/>
                      <w:color w:val="auto"/>
                      <w:sz w:val="21"/>
                      <w:szCs w:val="21"/>
                      <w:highlight w:val="none"/>
                    </w:rPr>
                  </w:pPr>
                  <w:r>
                    <w:rPr>
                      <w:rFonts w:ascii="Times New Roman" w:eastAsia="宋体"/>
                      <w:color w:val="auto"/>
                      <w:sz w:val="21"/>
                      <w:szCs w:val="21"/>
                      <w:highlight w:val="none"/>
                    </w:rPr>
                    <w:t>环形集气罩收集后（收集效率90%）引入总集气管道;搅拌缸内沥青烟气由风管引入总集气管道，沥青烟气收集后引入烘干滚筒燃烧器中燃烧后跟燃气废气一并从1#排气筒排放，燃烧处理效率达90%。</w:t>
                  </w:r>
                </w:p>
              </w:tc>
              <w:tc>
                <w:tcPr>
                  <w:tcW w:w="645" w:type="pct"/>
                  <w:noWrap w:val="0"/>
                  <w:vAlign w:val="center"/>
                </w:tcPr>
                <w:p>
                  <w:pPr>
                    <w:pStyle w:val="31"/>
                    <w:spacing w:line="240" w:lineRule="auto"/>
                    <w:rPr>
                      <w:rFonts w:ascii="Times New Roman" w:eastAsia="宋体"/>
                      <w:color w:val="auto"/>
                      <w:sz w:val="21"/>
                      <w:szCs w:val="21"/>
                      <w:highlight w:val="none"/>
                    </w:rPr>
                  </w:pPr>
                  <w:r>
                    <w:rPr>
                      <w:rFonts w:ascii="Times New Roman" w:eastAsia="宋体"/>
                      <w:color w:val="auto"/>
                      <w:sz w:val="21"/>
                      <w:szCs w:val="21"/>
                      <w:highlight w:val="none"/>
                    </w:rPr>
                    <w:t>0.0</w:t>
                  </w:r>
                  <w:r>
                    <w:rPr>
                      <w:rFonts w:hint="eastAsia" w:ascii="Times New Roman" w:eastAsia="宋体"/>
                      <w:color w:val="auto"/>
                      <w:sz w:val="21"/>
                      <w:szCs w:val="21"/>
                      <w:highlight w:val="none"/>
                    </w:rPr>
                    <w:t>394</w:t>
                  </w:r>
                </w:p>
              </w:tc>
              <w:tc>
                <w:tcPr>
                  <w:tcW w:w="675" w:type="pct"/>
                  <w:noWrap w:val="0"/>
                  <w:vAlign w:val="center"/>
                </w:tcPr>
                <w:p>
                  <w:pPr>
                    <w:pStyle w:val="31"/>
                    <w:spacing w:line="240" w:lineRule="auto"/>
                    <w:rPr>
                      <w:rFonts w:ascii="Times New Roman" w:eastAsia="宋体"/>
                      <w:color w:val="auto"/>
                      <w:sz w:val="21"/>
                      <w:szCs w:val="21"/>
                      <w:highlight w:val="none"/>
                    </w:rPr>
                  </w:pPr>
                  <w:r>
                    <w:rPr>
                      <w:rFonts w:hint="eastAsia" w:ascii="Times New Roman" w:eastAsia="宋体"/>
                      <w:color w:val="auto"/>
                      <w:sz w:val="21"/>
                      <w:szCs w:val="21"/>
                      <w:highlight w:val="none"/>
                    </w:rPr>
                    <w:t>0.0315</w:t>
                  </w:r>
                </w:p>
              </w:tc>
              <w:tc>
                <w:tcPr>
                  <w:tcW w:w="480" w:type="pct"/>
                  <w:vMerge w:val="restart"/>
                  <w:noWrap w:val="0"/>
                  <w:vAlign w:val="center"/>
                </w:tcPr>
                <w:p>
                  <w:pPr>
                    <w:jc w:val="center"/>
                    <w:rPr>
                      <w:rFonts w:hint="eastAsia" w:ascii="Times New Roman" w:eastAsia="宋体"/>
                      <w:color w:val="auto"/>
                      <w:sz w:val="21"/>
                      <w:szCs w:val="21"/>
                      <w:highlight w:val="none"/>
                    </w:rPr>
                  </w:pPr>
                  <w:r>
                    <w:rPr>
                      <w:rFonts w:hint="eastAsia"/>
                      <w:color w:val="auto"/>
                      <w:szCs w:val="21"/>
                      <w:highlight w:val="none"/>
                    </w:rPr>
                    <w:t>50</w:t>
                  </w:r>
                </w:p>
              </w:tc>
              <w:tc>
                <w:tcPr>
                  <w:tcW w:w="362" w:type="pct"/>
                  <w:vMerge w:val="restart"/>
                  <w:noWrap w:val="0"/>
                  <w:vAlign w:val="center"/>
                </w:tcPr>
                <w:p>
                  <w:pPr>
                    <w:jc w:val="center"/>
                    <w:rPr>
                      <w:rFonts w:hint="eastAsia" w:ascii="Times New Roman" w:eastAsia="宋体"/>
                      <w:color w:val="auto"/>
                      <w:sz w:val="21"/>
                      <w:szCs w:val="21"/>
                      <w:highlight w:val="none"/>
                    </w:rPr>
                  </w:pPr>
                  <w:r>
                    <w:rPr>
                      <w:rFonts w:hint="eastAsia"/>
                      <w:color w:val="auto"/>
                      <w:szCs w:val="21"/>
                      <w:highlight w:val="none"/>
                    </w:rPr>
                    <w:t>25</w:t>
                  </w:r>
                </w:p>
              </w:tc>
              <w:tc>
                <w:tcPr>
                  <w:tcW w:w="380" w:type="pct"/>
                  <w:vMerge w:val="restart"/>
                  <w:noWrap w:val="0"/>
                  <w:vAlign w:val="center"/>
                </w:tcPr>
                <w:p>
                  <w:pPr>
                    <w:jc w:val="center"/>
                    <w:rPr>
                      <w:rFonts w:hint="eastAsia" w:ascii="Times New Roman" w:eastAsia="宋体"/>
                      <w:color w:val="auto"/>
                      <w:sz w:val="21"/>
                      <w:szCs w:val="21"/>
                      <w:highlight w:val="none"/>
                    </w:rPr>
                  </w:pPr>
                  <w:r>
                    <w:rPr>
                      <w:rFonts w:hint="eastAsia"/>
                      <w:color w:val="auto"/>
                      <w:szCs w:val="21"/>
                      <w:highlight w:val="none"/>
                    </w:rPr>
                    <w:t>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1" w:hRule="atLeast"/>
              </w:trPr>
              <w:tc>
                <w:tcPr>
                  <w:tcW w:w="295" w:type="pct"/>
                  <w:vMerge w:val="continue"/>
                  <w:noWrap w:val="0"/>
                  <w:vAlign w:val="center"/>
                </w:tcPr>
                <w:p>
                  <w:pPr>
                    <w:pStyle w:val="31"/>
                    <w:spacing w:line="240" w:lineRule="auto"/>
                    <w:rPr>
                      <w:rFonts w:ascii="Times New Roman" w:eastAsia="宋体"/>
                      <w:color w:val="auto"/>
                      <w:sz w:val="21"/>
                      <w:szCs w:val="21"/>
                      <w:highlight w:val="none"/>
                    </w:rPr>
                  </w:pPr>
                </w:p>
              </w:tc>
              <w:tc>
                <w:tcPr>
                  <w:tcW w:w="352" w:type="pct"/>
                  <w:vMerge w:val="continue"/>
                  <w:noWrap w:val="0"/>
                  <w:vAlign w:val="center"/>
                </w:tcPr>
                <w:p>
                  <w:pPr>
                    <w:pStyle w:val="31"/>
                    <w:spacing w:line="240" w:lineRule="auto"/>
                    <w:rPr>
                      <w:rFonts w:ascii="Times New Roman" w:eastAsia="宋体"/>
                      <w:color w:val="auto"/>
                      <w:sz w:val="21"/>
                      <w:szCs w:val="21"/>
                      <w:highlight w:val="none"/>
                    </w:rPr>
                  </w:pPr>
                </w:p>
              </w:tc>
              <w:tc>
                <w:tcPr>
                  <w:tcW w:w="395" w:type="pct"/>
                  <w:noWrap w:val="0"/>
                  <w:vAlign w:val="center"/>
                </w:tcPr>
                <w:p>
                  <w:pPr>
                    <w:pStyle w:val="31"/>
                    <w:spacing w:line="240" w:lineRule="auto"/>
                    <w:rPr>
                      <w:rFonts w:ascii="Times New Roman" w:eastAsia="宋体"/>
                      <w:color w:val="auto"/>
                      <w:sz w:val="21"/>
                      <w:szCs w:val="21"/>
                      <w:highlight w:val="none"/>
                    </w:rPr>
                  </w:pPr>
                  <w:r>
                    <w:rPr>
                      <w:rFonts w:ascii="Times New Roman" w:eastAsia="宋体"/>
                      <w:color w:val="auto"/>
                      <w:sz w:val="21"/>
                      <w:szCs w:val="21"/>
                      <w:highlight w:val="none"/>
                    </w:rPr>
                    <w:t>苯并芘</w:t>
                  </w:r>
                </w:p>
              </w:tc>
              <w:tc>
                <w:tcPr>
                  <w:tcW w:w="594" w:type="pct"/>
                  <w:noWrap w:val="0"/>
                  <w:vAlign w:val="center"/>
                </w:tcPr>
                <w:p>
                  <w:pPr>
                    <w:pStyle w:val="31"/>
                    <w:spacing w:line="240" w:lineRule="auto"/>
                    <w:rPr>
                      <w:rFonts w:ascii="Times New Roman" w:eastAsia="宋体"/>
                      <w:color w:val="auto"/>
                      <w:sz w:val="21"/>
                      <w:szCs w:val="21"/>
                      <w:highlight w:val="none"/>
                    </w:rPr>
                  </w:pPr>
                  <w:r>
                    <w:rPr>
                      <w:rFonts w:ascii="Times New Roman" w:eastAsia="宋体"/>
                      <w:color w:val="auto"/>
                      <w:sz w:val="21"/>
                      <w:szCs w:val="21"/>
                      <w:highlight w:val="none"/>
                    </w:rPr>
                    <w:t>6.98*10</w:t>
                  </w:r>
                  <w:r>
                    <w:rPr>
                      <w:rFonts w:ascii="Times New Roman" w:eastAsia="宋体"/>
                      <w:color w:val="auto"/>
                      <w:sz w:val="21"/>
                      <w:szCs w:val="21"/>
                      <w:highlight w:val="none"/>
                      <w:vertAlign w:val="superscript"/>
                    </w:rPr>
                    <w:t>-</w:t>
                  </w:r>
                  <w:r>
                    <w:rPr>
                      <w:rFonts w:hint="eastAsia" w:ascii="Times New Roman" w:eastAsia="宋体"/>
                      <w:color w:val="auto"/>
                      <w:sz w:val="21"/>
                      <w:szCs w:val="21"/>
                      <w:highlight w:val="none"/>
                      <w:vertAlign w:val="superscript"/>
                    </w:rPr>
                    <w:t>6</w:t>
                  </w:r>
                </w:p>
              </w:tc>
              <w:tc>
                <w:tcPr>
                  <w:tcW w:w="815" w:type="pct"/>
                  <w:vMerge w:val="continue"/>
                  <w:noWrap w:val="0"/>
                  <w:vAlign w:val="center"/>
                </w:tcPr>
                <w:p>
                  <w:pPr>
                    <w:pStyle w:val="31"/>
                    <w:spacing w:line="240" w:lineRule="auto"/>
                    <w:rPr>
                      <w:rFonts w:ascii="Times New Roman" w:eastAsia="宋体"/>
                      <w:color w:val="auto"/>
                      <w:sz w:val="21"/>
                      <w:szCs w:val="21"/>
                      <w:highlight w:val="none"/>
                    </w:rPr>
                  </w:pPr>
                </w:p>
              </w:tc>
              <w:tc>
                <w:tcPr>
                  <w:tcW w:w="645" w:type="pct"/>
                  <w:noWrap w:val="0"/>
                  <w:vAlign w:val="center"/>
                </w:tcPr>
                <w:p>
                  <w:pPr>
                    <w:pStyle w:val="31"/>
                    <w:spacing w:line="240" w:lineRule="auto"/>
                    <w:rPr>
                      <w:rFonts w:ascii="Times New Roman" w:eastAsia="宋体"/>
                      <w:color w:val="auto"/>
                      <w:sz w:val="21"/>
                      <w:szCs w:val="21"/>
                      <w:highlight w:val="none"/>
                    </w:rPr>
                  </w:pPr>
                  <w:r>
                    <w:rPr>
                      <w:rFonts w:ascii="Times New Roman" w:eastAsia="宋体"/>
                      <w:color w:val="auto"/>
                      <w:sz w:val="21"/>
                      <w:szCs w:val="21"/>
                      <w:highlight w:val="none"/>
                    </w:rPr>
                    <w:t>6.98*10</w:t>
                  </w:r>
                  <w:r>
                    <w:rPr>
                      <w:rFonts w:ascii="Times New Roman" w:eastAsia="宋体"/>
                      <w:color w:val="auto"/>
                      <w:sz w:val="21"/>
                      <w:szCs w:val="21"/>
                      <w:highlight w:val="none"/>
                      <w:vertAlign w:val="superscript"/>
                    </w:rPr>
                    <w:t>-7</w:t>
                  </w:r>
                </w:p>
              </w:tc>
              <w:tc>
                <w:tcPr>
                  <w:tcW w:w="675" w:type="pct"/>
                  <w:noWrap w:val="0"/>
                  <w:vAlign w:val="center"/>
                </w:tcPr>
                <w:p>
                  <w:pPr>
                    <w:pStyle w:val="31"/>
                    <w:spacing w:line="240" w:lineRule="auto"/>
                    <w:rPr>
                      <w:rFonts w:ascii="Times New Roman" w:eastAsia="宋体"/>
                      <w:color w:val="auto"/>
                      <w:sz w:val="21"/>
                      <w:szCs w:val="21"/>
                      <w:highlight w:val="none"/>
                    </w:rPr>
                  </w:pPr>
                  <w:r>
                    <w:rPr>
                      <w:rFonts w:hint="eastAsia" w:ascii="Times New Roman" w:eastAsia="宋体"/>
                      <w:color w:val="auto"/>
                      <w:sz w:val="21"/>
                      <w:szCs w:val="21"/>
                      <w:highlight w:val="none"/>
                    </w:rPr>
                    <w:t>6.3*10</w:t>
                  </w:r>
                  <w:r>
                    <w:rPr>
                      <w:rFonts w:hint="eastAsia" w:ascii="Times New Roman" w:eastAsia="宋体"/>
                      <w:color w:val="auto"/>
                      <w:sz w:val="21"/>
                      <w:szCs w:val="21"/>
                      <w:highlight w:val="none"/>
                      <w:vertAlign w:val="superscript"/>
                    </w:rPr>
                    <w:t>-7</w:t>
                  </w:r>
                </w:p>
              </w:tc>
              <w:tc>
                <w:tcPr>
                  <w:tcW w:w="480" w:type="pct"/>
                  <w:vMerge w:val="continue"/>
                  <w:noWrap w:val="0"/>
                  <w:vAlign w:val="center"/>
                </w:tcPr>
                <w:p>
                  <w:pPr>
                    <w:pStyle w:val="31"/>
                    <w:spacing w:line="240" w:lineRule="auto"/>
                    <w:rPr>
                      <w:rFonts w:hint="eastAsia" w:ascii="Times New Roman" w:eastAsia="宋体"/>
                      <w:color w:val="auto"/>
                      <w:sz w:val="21"/>
                      <w:szCs w:val="21"/>
                      <w:highlight w:val="none"/>
                    </w:rPr>
                  </w:pPr>
                </w:p>
              </w:tc>
              <w:tc>
                <w:tcPr>
                  <w:tcW w:w="362" w:type="pct"/>
                  <w:vMerge w:val="continue"/>
                  <w:noWrap w:val="0"/>
                  <w:vAlign w:val="center"/>
                </w:tcPr>
                <w:p>
                  <w:pPr>
                    <w:pStyle w:val="31"/>
                    <w:spacing w:line="240" w:lineRule="auto"/>
                    <w:rPr>
                      <w:rFonts w:hint="eastAsia" w:ascii="Times New Roman" w:eastAsia="宋体"/>
                      <w:color w:val="auto"/>
                      <w:sz w:val="21"/>
                      <w:szCs w:val="21"/>
                      <w:highlight w:val="none"/>
                    </w:rPr>
                  </w:pPr>
                </w:p>
              </w:tc>
              <w:tc>
                <w:tcPr>
                  <w:tcW w:w="380" w:type="pct"/>
                  <w:vMerge w:val="continue"/>
                  <w:noWrap w:val="0"/>
                  <w:vAlign w:val="center"/>
                </w:tcPr>
                <w:p>
                  <w:pPr>
                    <w:pStyle w:val="31"/>
                    <w:spacing w:line="240" w:lineRule="auto"/>
                    <w:rPr>
                      <w:rFonts w:hint="eastAsia" w:ascii="Times New Roman" w:eastAsia="宋体"/>
                      <w:color w:val="auto"/>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1" w:hRule="atLeast"/>
              </w:trPr>
              <w:tc>
                <w:tcPr>
                  <w:tcW w:w="295" w:type="pct"/>
                  <w:vMerge w:val="continue"/>
                  <w:noWrap w:val="0"/>
                  <w:vAlign w:val="center"/>
                </w:tcPr>
                <w:p>
                  <w:pPr>
                    <w:pStyle w:val="31"/>
                    <w:spacing w:line="240" w:lineRule="auto"/>
                    <w:rPr>
                      <w:rFonts w:ascii="Times New Roman" w:eastAsia="宋体"/>
                      <w:color w:val="auto"/>
                      <w:sz w:val="21"/>
                      <w:szCs w:val="21"/>
                      <w:highlight w:val="none"/>
                    </w:rPr>
                  </w:pPr>
                </w:p>
              </w:tc>
              <w:tc>
                <w:tcPr>
                  <w:tcW w:w="352" w:type="pct"/>
                  <w:vMerge w:val="continue"/>
                  <w:noWrap w:val="0"/>
                  <w:vAlign w:val="center"/>
                </w:tcPr>
                <w:p>
                  <w:pPr>
                    <w:pStyle w:val="31"/>
                    <w:spacing w:line="240" w:lineRule="auto"/>
                    <w:rPr>
                      <w:rFonts w:ascii="Times New Roman" w:eastAsia="宋体"/>
                      <w:color w:val="auto"/>
                      <w:sz w:val="21"/>
                      <w:szCs w:val="21"/>
                      <w:highlight w:val="none"/>
                    </w:rPr>
                  </w:pPr>
                </w:p>
              </w:tc>
              <w:tc>
                <w:tcPr>
                  <w:tcW w:w="395" w:type="pct"/>
                  <w:noWrap w:val="0"/>
                  <w:vAlign w:val="center"/>
                </w:tcPr>
                <w:p>
                  <w:pPr>
                    <w:pStyle w:val="31"/>
                    <w:spacing w:line="240" w:lineRule="auto"/>
                    <w:rPr>
                      <w:rFonts w:ascii="Times New Roman" w:eastAsia="宋体"/>
                      <w:color w:val="auto"/>
                      <w:sz w:val="21"/>
                      <w:szCs w:val="21"/>
                      <w:highlight w:val="none"/>
                    </w:rPr>
                  </w:pPr>
                  <w:r>
                    <w:rPr>
                      <w:rFonts w:ascii="Times New Roman" w:eastAsia="宋体"/>
                      <w:color w:val="auto"/>
                      <w:sz w:val="21"/>
                      <w:szCs w:val="21"/>
                      <w:highlight w:val="none"/>
                    </w:rPr>
                    <w:t>非甲烷总烃</w:t>
                  </w:r>
                </w:p>
              </w:tc>
              <w:tc>
                <w:tcPr>
                  <w:tcW w:w="594" w:type="pct"/>
                  <w:noWrap w:val="0"/>
                  <w:vAlign w:val="center"/>
                </w:tcPr>
                <w:p>
                  <w:pPr>
                    <w:pStyle w:val="31"/>
                    <w:spacing w:line="240" w:lineRule="auto"/>
                    <w:rPr>
                      <w:rFonts w:ascii="Times New Roman" w:eastAsia="宋体"/>
                      <w:color w:val="auto"/>
                      <w:sz w:val="21"/>
                      <w:szCs w:val="21"/>
                      <w:highlight w:val="none"/>
                    </w:rPr>
                  </w:pPr>
                  <w:r>
                    <w:rPr>
                      <w:rFonts w:ascii="Times New Roman" w:eastAsia="宋体"/>
                      <w:color w:val="auto"/>
                      <w:sz w:val="21"/>
                      <w:szCs w:val="21"/>
                      <w:highlight w:val="none"/>
                    </w:rPr>
                    <w:t>0.00208</w:t>
                  </w:r>
                </w:p>
              </w:tc>
              <w:tc>
                <w:tcPr>
                  <w:tcW w:w="815" w:type="pct"/>
                  <w:vMerge w:val="continue"/>
                  <w:noWrap w:val="0"/>
                  <w:vAlign w:val="center"/>
                </w:tcPr>
                <w:p>
                  <w:pPr>
                    <w:pStyle w:val="31"/>
                    <w:spacing w:line="240" w:lineRule="auto"/>
                    <w:rPr>
                      <w:rFonts w:ascii="Times New Roman" w:eastAsia="宋体"/>
                      <w:color w:val="auto"/>
                      <w:sz w:val="21"/>
                      <w:szCs w:val="21"/>
                      <w:highlight w:val="none"/>
                    </w:rPr>
                  </w:pPr>
                </w:p>
              </w:tc>
              <w:tc>
                <w:tcPr>
                  <w:tcW w:w="645" w:type="pct"/>
                  <w:noWrap w:val="0"/>
                  <w:vAlign w:val="center"/>
                </w:tcPr>
                <w:p>
                  <w:pPr>
                    <w:pStyle w:val="31"/>
                    <w:spacing w:line="240" w:lineRule="auto"/>
                    <w:rPr>
                      <w:rFonts w:ascii="Times New Roman" w:eastAsia="宋体"/>
                      <w:color w:val="auto"/>
                      <w:sz w:val="21"/>
                      <w:szCs w:val="21"/>
                      <w:highlight w:val="none"/>
                    </w:rPr>
                  </w:pPr>
                  <w:r>
                    <w:rPr>
                      <w:rFonts w:ascii="Times New Roman" w:eastAsia="宋体"/>
                      <w:color w:val="auto"/>
                      <w:sz w:val="21"/>
                      <w:szCs w:val="21"/>
                      <w:highlight w:val="none"/>
                    </w:rPr>
                    <w:t>0.000208</w:t>
                  </w:r>
                </w:p>
              </w:tc>
              <w:tc>
                <w:tcPr>
                  <w:tcW w:w="675" w:type="pct"/>
                  <w:noWrap w:val="0"/>
                  <w:vAlign w:val="center"/>
                </w:tcPr>
                <w:p>
                  <w:pPr>
                    <w:pStyle w:val="31"/>
                    <w:spacing w:line="240" w:lineRule="auto"/>
                    <w:rPr>
                      <w:rFonts w:ascii="Times New Roman" w:eastAsia="宋体"/>
                      <w:color w:val="auto"/>
                      <w:sz w:val="21"/>
                      <w:szCs w:val="21"/>
                      <w:highlight w:val="none"/>
                    </w:rPr>
                  </w:pPr>
                  <w:r>
                    <w:rPr>
                      <w:rFonts w:hint="eastAsia" w:ascii="Times New Roman" w:eastAsia="宋体"/>
                      <w:color w:val="auto"/>
                      <w:sz w:val="21"/>
                      <w:szCs w:val="21"/>
                      <w:highlight w:val="none"/>
                    </w:rPr>
                    <w:t>0.000125</w:t>
                  </w:r>
                </w:p>
              </w:tc>
              <w:tc>
                <w:tcPr>
                  <w:tcW w:w="480" w:type="pct"/>
                  <w:vMerge w:val="continue"/>
                  <w:noWrap w:val="0"/>
                  <w:vAlign w:val="center"/>
                </w:tcPr>
                <w:p>
                  <w:pPr>
                    <w:pStyle w:val="31"/>
                    <w:spacing w:line="240" w:lineRule="auto"/>
                    <w:rPr>
                      <w:rFonts w:hint="eastAsia" w:ascii="Times New Roman" w:eastAsia="宋体"/>
                      <w:color w:val="auto"/>
                      <w:sz w:val="21"/>
                      <w:szCs w:val="21"/>
                      <w:highlight w:val="none"/>
                    </w:rPr>
                  </w:pPr>
                </w:p>
              </w:tc>
              <w:tc>
                <w:tcPr>
                  <w:tcW w:w="362" w:type="pct"/>
                  <w:vMerge w:val="continue"/>
                  <w:noWrap w:val="0"/>
                  <w:vAlign w:val="center"/>
                </w:tcPr>
                <w:p>
                  <w:pPr>
                    <w:pStyle w:val="31"/>
                    <w:spacing w:line="240" w:lineRule="auto"/>
                    <w:rPr>
                      <w:rFonts w:hint="eastAsia" w:ascii="Times New Roman" w:eastAsia="宋体"/>
                      <w:color w:val="auto"/>
                      <w:sz w:val="21"/>
                      <w:szCs w:val="21"/>
                      <w:highlight w:val="none"/>
                    </w:rPr>
                  </w:pPr>
                </w:p>
              </w:tc>
              <w:tc>
                <w:tcPr>
                  <w:tcW w:w="380" w:type="pct"/>
                  <w:vMerge w:val="continue"/>
                  <w:noWrap w:val="0"/>
                  <w:vAlign w:val="center"/>
                </w:tcPr>
                <w:p>
                  <w:pPr>
                    <w:pStyle w:val="31"/>
                    <w:spacing w:line="240" w:lineRule="auto"/>
                    <w:rPr>
                      <w:rFonts w:hint="eastAsia" w:ascii="Times New Roman" w:eastAsia="宋体"/>
                      <w:color w:val="auto"/>
                      <w:sz w:val="21"/>
                      <w:szCs w:val="21"/>
                      <w:highlight w:val="none"/>
                    </w:rPr>
                  </w:pPr>
                </w:p>
              </w:tc>
            </w:tr>
          </w:tbl>
          <w:p>
            <w:pPr>
              <w:adjustRightInd w:val="0"/>
              <w:snapToGrid w:val="0"/>
              <w:spacing w:line="360" w:lineRule="auto"/>
              <w:ind w:firstLine="480" w:firstLineChars="200"/>
              <w:rPr>
                <w:rFonts w:hint="eastAsia"/>
                <w:snapToGrid w:val="0"/>
                <w:color w:val="auto"/>
                <w:kern w:val="0"/>
                <w:sz w:val="24"/>
                <w:highlight w:val="none"/>
              </w:rPr>
            </w:pPr>
            <w:r>
              <w:rPr>
                <w:rFonts w:hint="eastAsia"/>
                <w:snapToGrid w:val="0"/>
                <w:color w:val="auto"/>
                <w:kern w:val="0"/>
                <w:sz w:val="24"/>
                <w:highlight w:val="none"/>
              </w:rPr>
              <w:t>3、废气排放口基本情况</w:t>
            </w:r>
          </w:p>
          <w:p>
            <w:pPr>
              <w:adjustRightInd w:val="0"/>
              <w:snapToGrid w:val="0"/>
              <w:spacing w:line="360" w:lineRule="auto"/>
              <w:ind w:left="480" w:leftChars="200"/>
              <w:rPr>
                <w:snapToGrid w:val="0"/>
                <w:color w:val="auto"/>
                <w:kern w:val="0"/>
                <w:sz w:val="24"/>
                <w:highlight w:val="none"/>
              </w:rPr>
            </w:pPr>
            <w:r>
              <w:rPr>
                <w:snapToGrid w:val="0"/>
                <w:color w:val="auto"/>
                <w:kern w:val="0"/>
                <w:sz w:val="24"/>
                <w:highlight w:val="none"/>
              </w:rPr>
              <w:t>本项目</w:t>
            </w:r>
            <w:r>
              <w:rPr>
                <w:rFonts w:hint="eastAsia"/>
                <w:snapToGrid w:val="0"/>
                <w:color w:val="auto"/>
                <w:kern w:val="0"/>
                <w:sz w:val="24"/>
                <w:highlight w:val="none"/>
              </w:rPr>
              <w:t>废气排放口基本情况表</w:t>
            </w:r>
            <w:r>
              <w:rPr>
                <w:snapToGrid w:val="0"/>
                <w:color w:val="auto"/>
                <w:kern w:val="0"/>
                <w:sz w:val="24"/>
                <w:highlight w:val="none"/>
              </w:rPr>
              <w:t>详见下表所示：</w:t>
            </w:r>
          </w:p>
          <w:p>
            <w:pPr>
              <w:tabs>
                <w:tab w:val="left" w:pos="0"/>
              </w:tabs>
              <w:adjustRightInd w:val="0"/>
              <w:snapToGrid w:val="0"/>
              <w:jc w:val="center"/>
              <w:rPr>
                <w:rFonts w:ascii="黑体" w:hAnsi="黑体" w:eastAsia="黑体" w:cs="黑体"/>
                <w:snapToGrid w:val="0"/>
                <w:color w:val="auto"/>
                <w:kern w:val="0"/>
                <w:szCs w:val="21"/>
                <w:highlight w:val="none"/>
              </w:rPr>
            </w:pPr>
            <w:r>
              <w:rPr>
                <w:rFonts w:hint="eastAsia" w:ascii="黑体" w:hAnsi="黑体" w:eastAsia="黑体" w:cs="黑体"/>
                <w:snapToGrid w:val="0"/>
                <w:color w:val="auto"/>
                <w:kern w:val="0"/>
                <w:szCs w:val="21"/>
                <w:highlight w:val="none"/>
              </w:rPr>
              <w:t>表4-7 废气</w:t>
            </w:r>
            <w:r>
              <w:rPr>
                <w:rFonts w:ascii="黑体" w:hAnsi="黑体" w:eastAsia="黑体" w:cs="黑体"/>
                <w:snapToGrid w:val="0"/>
                <w:color w:val="auto"/>
                <w:kern w:val="0"/>
                <w:szCs w:val="21"/>
                <w:highlight w:val="none"/>
              </w:rPr>
              <w:t>排放口基本情况表</w:t>
            </w:r>
          </w:p>
          <w:tbl>
            <w:tblPr>
              <w:tblStyle w:val="39"/>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30"/>
              <w:gridCol w:w="447"/>
              <w:gridCol w:w="1737"/>
              <w:gridCol w:w="802"/>
              <w:gridCol w:w="764"/>
              <w:gridCol w:w="763"/>
              <w:gridCol w:w="263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18" w:hRule="atLeast"/>
                <w:jc w:val="center"/>
              </w:trPr>
              <w:tc>
                <w:tcPr>
                  <w:tcW w:w="930" w:type="dxa"/>
                  <w:noWrap w:val="0"/>
                  <w:vAlign w:val="center"/>
                </w:tcPr>
                <w:p>
                  <w:pPr>
                    <w:tabs>
                      <w:tab w:val="left" w:pos="0"/>
                    </w:tabs>
                    <w:adjustRightInd w:val="0"/>
                    <w:snapToGrid w:val="0"/>
                    <w:jc w:val="center"/>
                    <w:rPr>
                      <w:snapToGrid w:val="0"/>
                      <w:color w:val="auto"/>
                      <w:kern w:val="0"/>
                      <w:szCs w:val="21"/>
                      <w:highlight w:val="none"/>
                    </w:rPr>
                  </w:pPr>
                  <w:r>
                    <w:rPr>
                      <w:snapToGrid w:val="0"/>
                      <w:color w:val="auto"/>
                      <w:kern w:val="0"/>
                      <w:szCs w:val="21"/>
                      <w:highlight w:val="none"/>
                    </w:rPr>
                    <w:t>编号及名称</w:t>
                  </w:r>
                </w:p>
              </w:tc>
              <w:tc>
                <w:tcPr>
                  <w:tcW w:w="447" w:type="dxa"/>
                  <w:noWrap w:val="0"/>
                  <w:vAlign w:val="center"/>
                </w:tcPr>
                <w:p>
                  <w:pPr>
                    <w:tabs>
                      <w:tab w:val="left" w:pos="0"/>
                    </w:tabs>
                    <w:adjustRightInd w:val="0"/>
                    <w:snapToGrid w:val="0"/>
                    <w:jc w:val="center"/>
                    <w:rPr>
                      <w:snapToGrid w:val="0"/>
                      <w:color w:val="auto"/>
                      <w:kern w:val="0"/>
                      <w:szCs w:val="21"/>
                      <w:highlight w:val="none"/>
                    </w:rPr>
                  </w:pPr>
                  <w:r>
                    <w:rPr>
                      <w:snapToGrid w:val="0"/>
                      <w:color w:val="auto"/>
                      <w:kern w:val="0"/>
                      <w:szCs w:val="21"/>
                      <w:highlight w:val="none"/>
                    </w:rPr>
                    <w:t>类型</w:t>
                  </w:r>
                </w:p>
              </w:tc>
              <w:tc>
                <w:tcPr>
                  <w:tcW w:w="1737" w:type="dxa"/>
                  <w:noWrap w:val="0"/>
                  <w:vAlign w:val="center"/>
                </w:tcPr>
                <w:p>
                  <w:pPr>
                    <w:tabs>
                      <w:tab w:val="left" w:pos="0"/>
                    </w:tabs>
                    <w:adjustRightInd w:val="0"/>
                    <w:snapToGrid w:val="0"/>
                    <w:jc w:val="center"/>
                    <w:rPr>
                      <w:snapToGrid w:val="0"/>
                      <w:color w:val="auto"/>
                      <w:kern w:val="0"/>
                      <w:szCs w:val="21"/>
                      <w:highlight w:val="none"/>
                    </w:rPr>
                  </w:pPr>
                  <w:r>
                    <w:rPr>
                      <w:snapToGrid w:val="0"/>
                      <w:color w:val="auto"/>
                      <w:kern w:val="0"/>
                      <w:szCs w:val="21"/>
                      <w:highlight w:val="none"/>
                    </w:rPr>
                    <w:t>地理坐标</w:t>
                  </w:r>
                </w:p>
              </w:tc>
              <w:tc>
                <w:tcPr>
                  <w:tcW w:w="802" w:type="dxa"/>
                  <w:noWrap w:val="0"/>
                  <w:vAlign w:val="center"/>
                </w:tcPr>
                <w:p>
                  <w:pPr>
                    <w:tabs>
                      <w:tab w:val="left" w:pos="0"/>
                    </w:tabs>
                    <w:adjustRightInd w:val="0"/>
                    <w:snapToGrid w:val="0"/>
                    <w:jc w:val="center"/>
                    <w:rPr>
                      <w:snapToGrid w:val="0"/>
                      <w:color w:val="auto"/>
                      <w:kern w:val="0"/>
                      <w:szCs w:val="21"/>
                      <w:highlight w:val="none"/>
                    </w:rPr>
                  </w:pPr>
                  <w:r>
                    <w:rPr>
                      <w:snapToGrid w:val="0"/>
                      <w:color w:val="auto"/>
                      <w:kern w:val="0"/>
                      <w:szCs w:val="21"/>
                      <w:highlight w:val="none"/>
                    </w:rPr>
                    <w:t>高度（m）</w:t>
                  </w:r>
                </w:p>
              </w:tc>
              <w:tc>
                <w:tcPr>
                  <w:tcW w:w="764" w:type="dxa"/>
                  <w:noWrap w:val="0"/>
                  <w:vAlign w:val="center"/>
                </w:tcPr>
                <w:p>
                  <w:pPr>
                    <w:tabs>
                      <w:tab w:val="left" w:pos="0"/>
                    </w:tabs>
                    <w:adjustRightInd w:val="0"/>
                    <w:snapToGrid w:val="0"/>
                    <w:jc w:val="center"/>
                    <w:rPr>
                      <w:snapToGrid w:val="0"/>
                      <w:color w:val="auto"/>
                      <w:kern w:val="0"/>
                      <w:szCs w:val="21"/>
                      <w:highlight w:val="none"/>
                    </w:rPr>
                  </w:pPr>
                  <w:r>
                    <w:rPr>
                      <w:snapToGrid w:val="0"/>
                      <w:color w:val="auto"/>
                      <w:kern w:val="0"/>
                      <w:szCs w:val="21"/>
                      <w:highlight w:val="none"/>
                    </w:rPr>
                    <w:t>内径（m）</w:t>
                  </w:r>
                </w:p>
              </w:tc>
              <w:tc>
                <w:tcPr>
                  <w:tcW w:w="763" w:type="dxa"/>
                  <w:noWrap w:val="0"/>
                  <w:vAlign w:val="center"/>
                </w:tcPr>
                <w:p>
                  <w:pPr>
                    <w:tabs>
                      <w:tab w:val="left" w:pos="0"/>
                    </w:tabs>
                    <w:adjustRightInd w:val="0"/>
                    <w:snapToGrid w:val="0"/>
                    <w:jc w:val="center"/>
                    <w:rPr>
                      <w:snapToGrid w:val="0"/>
                      <w:color w:val="auto"/>
                      <w:kern w:val="0"/>
                      <w:szCs w:val="21"/>
                      <w:highlight w:val="none"/>
                    </w:rPr>
                  </w:pPr>
                  <w:r>
                    <w:rPr>
                      <w:snapToGrid w:val="0"/>
                      <w:color w:val="auto"/>
                      <w:kern w:val="0"/>
                      <w:szCs w:val="21"/>
                      <w:highlight w:val="none"/>
                    </w:rPr>
                    <w:t>温度（℃）</w:t>
                  </w:r>
                </w:p>
              </w:tc>
              <w:tc>
                <w:tcPr>
                  <w:tcW w:w="2635" w:type="dxa"/>
                  <w:noWrap w:val="0"/>
                  <w:vAlign w:val="center"/>
                </w:tcPr>
                <w:p>
                  <w:pPr>
                    <w:tabs>
                      <w:tab w:val="left" w:pos="0"/>
                    </w:tabs>
                    <w:adjustRightInd w:val="0"/>
                    <w:snapToGrid w:val="0"/>
                    <w:jc w:val="center"/>
                    <w:rPr>
                      <w:snapToGrid w:val="0"/>
                      <w:color w:val="auto"/>
                      <w:kern w:val="0"/>
                      <w:szCs w:val="21"/>
                      <w:highlight w:val="none"/>
                    </w:rPr>
                  </w:pPr>
                  <w:r>
                    <w:rPr>
                      <w:snapToGrid w:val="0"/>
                      <w:color w:val="auto"/>
                      <w:kern w:val="0"/>
                      <w:szCs w:val="21"/>
                      <w:highlight w:val="none"/>
                    </w:rPr>
                    <w:t>排放标准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43" w:hRule="atLeast"/>
                <w:jc w:val="center"/>
              </w:trPr>
              <w:tc>
                <w:tcPr>
                  <w:tcW w:w="930" w:type="dxa"/>
                  <w:noWrap w:val="0"/>
                  <w:vAlign w:val="center"/>
                </w:tcPr>
                <w:p>
                  <w:pPr>
                    <w:tabs>
                      <w:tab w:val="left" w:pos="0"/>
                    </w:tabs>
                    <w:adjustRightInd w:val="0"/>
                    <w:snapToGrid w:val="0"/>
                    <w:jc w:val="center"/>
                    <w:rPr>
                      <w:snapToGrid w:val="0"/>
                      <w:color w:val="auto"/>
                      <w:kern w:val="0"/>
                      <w:szCs w:val="21"/>
                      <w:highlight w:val="none"/>
                    </w:rPr>
                  </w:pPr>
                  <w:r>
                    <w:rPr>
                      <w:snapToGrid w:val="0"/>
                      <w:color w:val="auto"/>
                      <w:kern w:val="0"/>
                      <w:szCs w:val="21"/>
                      <w:highlight w:val="none"/>
                    </w:rPr>
                    <w:t>G1</w:t>
                  </w:r>
                </w:p>
              </w:tc>
              <w:tc>
                <w:tcPr>
                  <w:tcW w:w="447" w:type="dxa"/>
                  <w:vMerge w:val="restart"/>
                  <w:noWrap w:val="0"/>
                  <w:vAlign w:val="center"/>
                </w:tcPr>
                <w:p>
                  <w:pPr>
                    <w:tabs>
                      <w:tab w:val="left" w:pos="0"/>
                    </w:tabs>
                    <w:adjustRightInd w:val="0"/>
                    <w:snapToGrid w:val="0"/>
                    <w:jc w:val="center"/>
                    <w:rPr>
                      <w:snapToGrid w:val="0"/>
                      <w:color w:val="auto"/>
                      <w:kern w:val="0"/>
                      <w:szCs w:val="21"/>
                      <w:highlight w:val="none"/>
                    </w:rPr>
                  </w:pPr>
                  <w:r>
                    <w:rPr>
                      <w:snapToGrid w:val="0"/>
                      <w:color w:val="auto"/>
                      <w:kern w:val="0"/>
                      <w:szCs w:val="21"/>
                      <w:highlight w:val="none"/>
                    </w:rPr>
                    <w:t>一般排放口</w:t>
                  </w:r>
                </w:p>
              </w:tc>
              <w:tc>
                <w:tcPr>
                  <w:tcW w:w="1737" w:type="dxa"/>
                  <w:noWrap w:val="0"/>
                  <w:vAlign w:val="center"/>
                </w:tcPr>
                <w:p>
                  <w:pPr>
                    <w:tabs>
                      <w:tab w:val="left" w:pos="0"/>
                    </w:tabs>
                    <w:adjustRightInd w:val="0"/>
                    <w:snapToGrid w:val="0"/>
                    <w:jc w:val="center"/>
                    <w:rPr>
                      <w:snapToGrid w:val="0"/>
                      <w:color w:val="auto"/>
                      <w:kern w:val="0"/>
                      <w:szCs w:val="21"/>
                      <w:highlight w:val="none"/>
                    </w:rPr>
                  </w:pPr>
                  <w:r>
                    <w:rPr>
                      <w:snapToGrid w:val="0"/>
                      <w:color w:val="auto"/>
                      <w:kern w:val="0"/>
                      <w:szCs w:val="21"/>
                      <w:highlight w:val="none"/>
                    </w:rPr>
                    <w:t>103.68334</w:t>
                  </w:r>
                </w:p>
                <w:p>
                  <w:pPr>
                    <w:tabs>
                      <w:tab w:val="left" w:pos="0"/>
                    </w:tabs>
                    <w:adjustRightInd w:val="0"/>
                    <w:snapToGrid w:val="0"/>
                    <w:jc w:val="center"/>
                    <w:rPr>
                      <w:snapToGrid w:val="0"/>
                      <w:color w:val="auto"/>
                      <w:kern w:val="0"/>
                      <w:szCs w:val="21"/>
                      <w:highlight w:val="none"/>
                    </w:rPr>
                  </w:pPr>
                  <w:r>
                    <w:rPr>
                      <w:snapToGrid w:val="0"/>
                      <w:color w:val="auto"/>
                      <w:kern w:val="0"/>
                      <w:szCs w:val="21"/>
                      <w:highlight w:val="none"/>
                    </w:rPr>
                    <w:t>29.66328</w:t>
                  </w:r>
                </w:p>
              </w:tc>
              <w:tc>
                <w:tcPr>
                  <w:tcW w:w="802" w:type="dxa"/>
                  <w:noWrap w:val="0"/>
                  <w:vAlign w:val="center"/>
                </w:tcPr>
                <w:p>
                  <w:pPr>
                    <w:tabs>
                      <w:tab w:val="left" w:pos="0"/>
                    </w:tabs>
                    <w:adjustRightInd w:val="0"/>
                    <w:snapToGrid w:val="0"/>
                    <w:jc w:val="center"/>
                    <w:rPr>
                      <w:snapToGrid w:val="0"/>
                      <w:color w:val="auto"/>
                      <w:kern w:val="0"/>
                      <w:szCs w:val="21"/>
                      <w:highlight w:val="none"/>
                    </w:rPr>
                  </w:pPr>
                  <w:r>
                    <w:rPr>
                      <w:snapToGrid w:val="0"/>
                      <w:color w:val="auto"/>
                      <w:kern w:val="0"/>
                      <w:szCs w:val="21"/>
                      <w:highlight w:val="none"/>
                    </w:rPr>
                    <w:t>15</w:t>
                  </w:r>
                </w:p>
              </w:tc>
              <w:tc>
                <w:tcPr>
                  <w:tcW w:w="764" w:type="dxa"/>
                  <w:noWrap w:val="0"/>
                  <w:vAlign w:val="center"/>
                </w:tcPr>
                <w:p>
                  <w:pPr>
                    <w:tabs>
                      <w:tab w:val="left" w:pos="0"/>
                    </w:tabs>
                    <w:adjustRightInd w:val="0"/>
                    <w:snapToGrid w:val="0"/>
                    <w:jc w:val="center"/>
                    <w:rPr>
                      <w:snapToGrid w:val="0"/>
                      <w:color w:val="auto"/>
                      <w:kern w:val="0"/>
                      <w:szCs w:val="21"/>
                      <w:highlight w:val="none"/>
                    </w:rPr>
                  </w:pPr>
                  <w:r>
                    <w:rPr>
                      <w:rFonts w:hint="eastAsia"/>
                      <w:snapToGrid w:val="0"/>
                      <w:color w:val="auto"/>
                      <w:kern w:val="0"/>
                      <w:szCs w:val="21"/>
                      <w:highlight w:val="none"/>
                    </w:rPr>
                    <w:t>1.2</w:t>
                  </w:r>
                </w:p>
              </w:tc>
              <w:tc>
                <w:tcPr>
                  <w:tcW w:w="763" w:type="dxa"/>
                  <w:noWrap w:val="0"/>
                  <w:vAlign w:val="center"/>
                </w:tcPr>
                <w:p>
                  <w:pPr>
                    <w:tabs>
                      <w:tab w:val="left" w:pos="0"/>
                    </w:tabs>
                    <w:adjustRightInd w:val="0"/>
                    <w:snapToGrid w:val="0"/>
                    <w:jc w:val="center"/>
                    <w:rPr>
                      <w:snapToGrid w:val="0"/>
                      <w:color w:val="auto"/>
                      <w:kern w:val="0"/>
                      <w:szCs w:val="21"/>
                      <w:highlight w:val="none"/>
                    </w:rPr>
                  </w:pPr>
                  <w:r>
                    <w:rPr>
                      <w:snapToGrid w:val="0"/>
                      <w:color w:val="auto"/>
                      <w:kern w:val="0"/>
                      <w:szCs w:val="21"/>
                      <w:highlight w:val="none"/>
                    </w:rPr>
                    <w:t>80</w:t>
                  </w:r>
                </w:p>
              </w:tc>
              <w:tc>
                <w:tcPr>
                  <w:tcW w:w="2635" w:type="dxa"/>
                  <w:noWrap w:val="0"/>
                  <w:vAlign w:val="center"/>
                </w:tcPr>
                <w:p>
                  <w:pPr>
                    <w:tabs>
                      <w:tab w:val="left" w:pos="0"/>
                    </w:tabs>
                    <w:adjustRightInd w:val="0"/>
                    <w:snapToGrid w:val="0"/>
                    <w:jc w:val="center"/>
                    <w:rPr>
                      <w:snapToGrid w:val="0"/>
                      <w:color w:val="auto"/>
                      <w:kern w:val="0"/>
                      <w:szCs w:val="21"/>
                      <w:highlight w:val="none"/>
                    </w:rPr>
                  </w:pPr>
                  <w:r>
                    <w:rPr>
                      <w:snapToGrid w:val="0"/>
                      <w:color w:val="auto"/>
                      <w:kern w:val="0"/>
                      <w:szCs w:val="21"/>
                      <w:highlight w:val="none"/>
                    </w:rPr>
                    <w:t>《大气污染物综合排放标准》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3" w:hRule="atLeast"/>
                <w:jc w:val="center"/>
              </w:trPr>
              <w:tc>
                <w:tcPr>
                  <w:tcW w:w="930" w:type="dxa"/>
                  <w:noWrap w:val="0"/>
                  <w:vAlign w:val="center"/>
                </w:tcPr>
                <w:p>
                  <w:pPr>
                    <w:tabs>
                      <w:tab w:val="left" w:pos="0"/>
                    </w:tabs>
                    <w:adjustRightInd w:val="0"/>
                    <w:snapToGrid w:val="0"/>
                    <w:jc w:val="center"/>
                    <w:rPr>
                      <w:snapToGrid w:val="0"/>
                      <w:color w:val="auto"/>
                      <w:kern w:val="0"/>
                      <w:szCs w:val="21"/>
                      <w:highlight w:val="none"/>
                    </w:rPr>
                  </w:pPr>
                  <w:r>
                    <w:rPr>
                      <w:snapToGrid w:val="0"/>
                      <w:color w:val="auto"/>
                      <w:kern w:val="0"/>
                      <w:szCs w:val="21"/>
                      <w:highlight w:val="none"/>
                    </w:rPr>
                    <w:t>G2</w:t>
                  </w:r>
                </w:p>
              </w:tc>
              <w:tc>
                <w:tcPr>
                  <w:tcW w:w="447" w:type="dxa"/>
                  <w:vMerge w:val="continue"/>
                  <w:noWrap w:val="0"/>
                  <w:vAlign w:val="center"/>
                </w:tcPr>
                <w:p>
                  <w:pPr>
                    <w:tabs>
                      <w:tab w:val="left" w:pos="0"/>
                    </w:tabs>
                    <w:adjustRightInd w:val="0"/>
                    <w:snapToGrid w:val="0"/>
                    <w:jc w:val="center"/>
                    <w:rPr>
                      <w:snapToGrid w:val="0"/>
                      <w:color w:val="auto"/>
                      <w:kern w:val="0"/>
                      <w:szCs w:val="21"/>
                      <w:highlight w:val="none"/>
                    </w:rPr>
                  </w:pPr>
                </w:p>
              </w:tc>
              <w:tc>
                <w:tcPr>
                  <w:tcW w:w="1737" w:type="dxa"/>
                  <w:noWrap w:val="0"/>
                  <w:vAlign w:val="center"/>
                </w:tcPr>
                <w:p>
                  <w:pPr>
                    <w:tabs>
                      <w:tab w:val="left" w:pos="0"/>
                    </w:tabs>
                    <w:adjustRightInd w:val="0"/>
                    <w:snapToGrid w:val="0"/>
                    <w:jc w:val="center"/>
                    <w:rPr>
                      <w:snapToGrid w:val="0"/>
                      <w:color w:val="auto"/>
                      <w:kern w:val="0"/>
                      <w:szCs w:val="21"/>
                      <w:highlight w:val="none"/>
                    </w:rPr>
                  </w:pPr>
                  <w:r>
                    <w:rPr>
                      <w:snapToGrid w:val="0"/>
                      <w:color w:val="auto"/>
                      <w:kern w:val="0"/>
                      <w:szCs w:val="21"/>
                      <w:highlight w:val="none"/>
                    </w:rPr>
                    <w:t>103.68334</w:t>
                  </w:r>
                </w:p>
                <w:p>
                  <w:pPr>
                    <w:tabs>
                      <w:tab w:val="left" w:pos="0"/>
                    </w:tabs>
                    <w:adjustRightInd w:val="0"/>
                    <w:snapToGrid w:val="0"/>
                    <w:jc w:val="center"/>
                    <w:rPr>
                      <w:snapToGrid w:val="0"/>
                      <w:color w:val="auto"/>
                      <w:kern w:val="0"/>
                      <w:szCs w:val="21"/>
                      <w:highlight w:val="none"/>
                    </w:rPr>
                  </w:pPr>
                  <w:r>
                    <w:rPr>
                      <w:snapToGrid w:val="0"/>
                      <w:color w:val="auto"/>
                      <w:kern w:val="0"/>
                      <w:szCs w:val="21"/>
                      <w:highlight w:val="none"/>
                    </w:rPr>
                    <w:t>29.66392</w:t>
                  </w:r>
                </w:p>
              </w:tc>
              <w:tc>
                <w:tcPr>
                  <w:tcW w:w="802" w:type="dxa"/>
                  <w:noWrap w:val="0"/>
                  <w:vAlign w:val="center"/>
                </w:tcPr>
                <w:p>
                  <w:pPr>
                    <w:tabs>
                      <w:tab w:val="left" w:pos="0"/>
                    </w:tabs>
                    <w:adjustRightInd w:val="0"/>
                    <w:snapToGrid w:val="0"/>
                    <w:jc w:val="center"/>
                    <w:rPr>
                      <w:snapToGrid w:val="0"/>
                      <w:color w:val="auto"/>
                      <w:kern w:val="0"/>
                      <w:szCs w:val="21"/>
                      <w:highlight w:val="none"/>
                    </w:rPr>
                  </w:pPr>
                  <w:r>
                    <w:rPr>
                      <w:snapToGrid w:val="0"/>
                      <w:color w:val="auto"/>
                      <w:kern w:val="0"/>
                      <w:szCs w:val="21"/>
                      <w:highlight w:val="none"/>
                    </w:rPr>
                    <w:t>15</w:t>
                  </w:r>
                </w:p>
              </w:tc>
              <w:tc>
                <w:tcPr>
                  <w:tcW w:w="764" w:type="dxa"/>
                  <w:noWrap w:val="0"/>
                  <w:vAlign w:val="center"/>
                </w:tcPr>
                <w:p>
                  <w:pPr>
                    <w:tabs>
                      <w:tab w:val="left" w:pos="0"/>
                    </w:tabs>
                    <w:adjustRightInd w:val="0"/>
                    <w:snapToGrid w:val="0"/>
                    <w:jc w:val="center"/>
                    <w:rPr>
                      <w:snapToGrid w:val="0"/>
                      <w:color w:val="auto"/>
                      <w:kern w:val="0"/>
                      <w:szCs w:val="21"/>
                      <w:highlight w:val="none"/>
                    </w:rPr>
                  </w:pPr>
                  <w:r>
                    <w:rPr>
                      <w:rFonts w:hint="eastAsia"/>
                      <w:snapToGrid w:val="0"/>
                      <w:color w:val="auto"/>
                      <w:kern w:val="0"/>
                      <w:szCs w:val="21"/>
                      <w:highlight w:val="none"/>
                    </w:rPr>
                    <w:t>0.3</w:t>
                  </w:r>
                </w:p>
              </w:tc>
              <w:tc>
                <w:tcPr>
                  <w:tcW w:w="763" w:type="dxa"/>
                  <w:noWrap w:val="0"/>
                  <w:vAlign w:val="center"/>
                </w:tcPr>
                <w:p>
                  <w:pPr>
                    <w:tabs>
                      <w:tab w:val="left" w:pos="0"/>
                    </w:tabs>
                    <w:adjustRightInd w:val="0"/>
                    <w:snapToGrid w:val="0"/>
                    <w:jc w:val="center"/>
                    <w:rPr>
                      <w:snapToGrid w:val="0"/>
                      <w:color w:val="auto"/>
                      <w:kern w:val="0"/>
                      <w:szCs w:val="21"/>
                      <w:highlight w:val="none"/>
                    </w:rPr>
                  </w:pPr>
                  <w:r>
                    <w:rPr>
                      <w:snapToGrid w:val="0"/>
                      <w:color w:val="auto"/>
                      <w:kern w:val="0"/>
                      <w:szCs w:val="21"/>
                      <w:highlight w:val="none"/>
                    </w:rPr>
                    <w:t>80</w:t>
                  </w:r>
                </w:p>
              </w:tc>
              <w:tc>
                <w:tcPr>
                  <w:tcW w:w="2635" w:type="dxa"/>
                  <w:noWrap w:val="0"/>
                  <w:vAlign w:val="center"/>
                </w:tcPr>
                <w:p>
                  <w:pPr>
                    <w:tabs>
                      <w:tab w:val="left" w:pos="0"/>
                    </w:tabs>
                    <w:adjustRightInd w:val="0"/>
                    <w:snapToGrid w:val="0"/>
                    <w:jc w:val="center"/>
                    <w:rPr>
                      <w:snapToGrid w:val="0"/>
                      <w:color w:val="auto"/>
                      <w:kern w:val="0"/>
                      <w:szCs w:val="21"/>
                      <w:highlight w:val="none"/>
                    </w:rPr>
                  </w:pPr>
                  <w:r>
                    <w:rPr>
                      <w:snapToGrid w:val="0"/>
                      <w:color w:val="auto"/>
                      <w:kern w:val="0"/>
                      <w:szCs w:val="21"/>
                      <w:highlight w:val="none"/>
                    </w:rPr>
                    <w:t>《锅炉大气污染物排放标准》(GB13271-2014)</w:t>
                  </w:r>
                </w:p>
              </w:tc>
            </w:tr>
          </w:tbl>
          <w:p>
            <w:pPr>
              <w:numPr>
                <w:ilvl w:val="0"/>
                <w:numId w:val="8"/>
              </w:numPr>
              <w:adjustRightInd w:val="0"/>
              <w:snapToGrid w:val="0"/>
              <w:spacing w:line="360" w:lineRule="auto"/>
              <w:ind w:firstLine="480" w:firstLineChars="200"/>
              <w:rPr>
                <w:rFonts w:hint="eastAsia"/>
                <w:snapToGrid w:val="0"/>
                <w:color w:val="auto"/>
                <w:kern w:val="0"/>
                <w:sz w:val="24"/>
                <w:highlight w:val="none"/>
              </w:rPr>
            </w:pPr>
            <w:r>
              <w:rPr>
                <w:rFonts w:hint="eastAsia"/>
                <w:snapToGrid w:val="0"/>
                <w:color w:val="auto"/>
                <w:kern w:val="0"/>
                <w:sz w:val="24"/>
                <w:highlight w:val="none"/>
              </w:rPr>
              <w:t>废气污染治理措施的可行性分析</w:t>
            </w:r>
          </w:p>
          <w:p>
            <w:pPr>
              <w:spacing w:line="360" w:lineRule="auto"/>
              <w:ind w:firstLine="480" w:firstLineChars="200"/>
              <w:jc w:val="left"/>
              <w:rPr>
                <w:rFonts w:ascii="Calibri" w:hAnsi="Calibri"/>
                <w:snapToGrid w:val="0"/>
                <w:color w:val="auto"/>
                <w:kern w:val="0"/>
                <w:sz w:val="24"/>
                <w:highlight w:val="none"/>
              </w:rPr>
            </w:pPr>
            <w:r>
              <w:rPr>
                <w:rFonts w:ascii="Calibri" w:hAnsi="Calibri"/>
                <w:snapToGrid w:val="0"/>
                <w:color w:val="auto"/>
                <w:kern w:val="0"/>
                <w:sz w:val="24"/>
                <w:highlight w:val="none"/>
              </w:rPr>
              <w:t>①烘干滚筒骨料加热产生的粉尘和燃气烟气等混合废气通过引风机（风量105000m3/h）引入二级除尘系统（第一级惯性除尘，第二级分室反吹袋式除尘，惯性除尘效率为50%，布袋除尘效率为99%），除尘后的废气经过一根15m排气筒（1#排气筒）排放。</w:t>
            </w:r>
            <w:r>
              <w:rPr>
                <w:rFonts w:hint="eastAsia" w:ascii="Calibri" w:hAnsi="Calibri"/>
                <w:snapToGrid w:val="0"/>
                <w:color w:val="auto"/>
                <w:kern w:val="0"/>
                <w:sz w:val="24"/>
                <w:highlight w:val="none"/>
              </w:rPr>
              <w:t>由于风机较大，抽风口的集气效率可达90%，集气效率较高且二级除尘除尘效率高，属于《排污许可证申请与核发技术规范 石墨及其他非金属矿物制品制造》（HJ119-2020）中可行技术，从净化效率来看，除尘效率经两级除尘后可达99.5%，经排气筒排放后污染物排放浓度、排放速率均能满足《大气污染物综合排放标准》（GB16297-1996）表2二级标准要求，措施可行。</w:t>
            </w:r>
          </w:p>
          <w:p>
            <w:pPr>
              <w:spacing w:line="360" w:lineRule="auto"/>
              <w:ind w:firstLine="480" w:firstLineChars="200"/>
              <w:jc w:val="left"/>
              <w:rPr>
                <w:rFonts w:ascii="Calibri" w:hAnsi="Calibri"/>
                <w:snapToGrid w:val="0"/>
                <w:color w:val="auto"/>
                <w:kern w:val="0"/>
                <w:sz w:val="24"/>
                <w:highlight w:val="none"/>
              </w:rPr>
            </w:pPr>
            <w:r>
              <w:rPr>
                <w:rFonts w:ascii="Calibri" w:hAnsi="Calibri"/>
                <w:snapToGrid w:val="0"/>
                <w:color w:val="auto"/>
                <w:kern w:val="0"/>
                <w:sz w:val="24"/>
                <w:highlight w:val="none"/>
              </w:rPr>
              <w:t>②加热油炉采用天然气为燃料，燃烧尾气经15m排气筒（2#）排放。</w:t>
            </w:r>
          </w:p>
          <w:p>
            <w:pPr>
              <w:spacing w:line="360" w:lineRule="auto"/>
              <w:ind w:firstLine="480" w:firstLineChars="200"/>
              <w:jc w:val="left"/>
              <w:rPr>
                <w:rFonts w:ascii="Calibri" w:hAnsi="Calibri"/>
                <w:snapToGrid w:val="0"/>
                <w:color w:val="auto"/>
                <w:kern w:val="0"/>
                <w:sz w:val="24"/>
                <w:highlight w:val="none"/>
              </w:rPr>
            </w:pPr>
            <w:r>
              <w:rPr>
                <w:rFonts w:ascii="Calibri" w:hAnsi="Calibri"/>
                <w:snapToGrid w:val="0"/>
                <w:color w:val="auto"/>
                <w:kern w:val="0"/>
                <w:sz w:val="24"/>
                <w:highlight w:val="none"/>
              </w:rPr>
              <w:t>加热油炉</w:t>
            </w:r>
            <w:r>
              <w:rPr>
                <w:rFonts w:hint="eastAsia" w:ascii="Calibri" w:hAnsi="Calibri"/>
                <w:snapToGrid w:val="0"/>
                <w:color w:val="auto"/>
                <w:kern w:val="0"/>
                <w:sz w:val="24"/>
                <w:highlight w:val="none"/>
              </w:rPr>
              <w:t>采用更为清洁的天然气燃料，根据工程分析，项目</w:t>
            </w:r>
            <w:r>
              <w:rPr>
                <w:rFonts w:ascii="Calibri" w:hAnsi="Calibri"/>
                <w:snapToGrid w:val="0"/>
                <w:color w:val="auto"/>
                <w:kern w:val="0"/>
                <w:sz w:val="24"/>
                <w:highlight w:val="none"/>
              </w:rPr>
              <w:t>加热油炉</w:t>
            </w:r>
            <w:r>
              <w:rPr>
                <w:rFonts w:hint="eastAsia" w:ascii="Calibri" w:hAnsi="Calibri"/>
                <w:snapToGrid w:val="0"/>
                <w:color w:val="auto"/>
                <w:kern w:val="0"/>
                <w:sz w:val="24"/>
                <w:highlight w:val="none"/>
              </w:rPr>
              <w:t>燃烧尾气经15m排气筒排放后各污染物浓度均可满足</w:t>
            </w:r>
            <w:r>
              <w:rPr>
                <w:rFonts w:hint="eastAsia"/>
                <w:color w:val="auto"/>
                <w:sz w:val="24"/>
                <w:highlight w:val="none"/>
              </w:rPr>
              <w:t>《锅炉大气污染物排放标准》(GB13271-2014)表3中燃气(天然气）锅炉大气污染物排放标准浓度限值，措施可行。</w:t>
            </w:r>
          </w:p>
          <w:p>
            <w:pPr>
              <w:spacing w:line="360" w:lineRule="auto"/>
              <w:ind w:firstLine="480" w:firstLineChars="200"/>
              <w:rPr>
                <w:rFonts w:hint="eastAsia" w:ascii="Calibri" w:hAnsi="Calibri"/>
                <w:snapToGrid w:val="0"/>
                <w:color w:val="auto"/>
                <w:kern w:val="0"/>
                <w:sz w:val="24"/>
                <w:highlight w:val="none"/>
              </w:rPr>
            </w:pPr>
            <w:r>
              <w:rPr>
                <w:rFonts w:ascii="Calibri" w:hAnsi="Calibri"/>
                <w:snapToGrid w:val="0"/>
                <w:color w:val="auto"/>
                <w:kern w:val="0"/>
                <w:sz w:val="24"/>
                <w:highlight w:val="none"/>
              </w:rPr>
              <w:t>③沥青混凝土出料口处安装集气罩，沥青混凝土出料过程中产生的沥青烟气通过设置的环形集气罩收集后引入总集气管道;搅拌缸内沥青烟气由风管引入总集气管道，沥青烟气收集后引入烘干滚筒燃烧器中燃烧后跟燃气废气一并从1#排气简排放，燃烧处理效率达90%。</w:t>
            </w:r>
            <w:r>
              <w:rPr>
                <w:rFonts w:hint="eastAsia" w:ascii="Calibri" w:hAnsi="Calibri"/>
                <w:snapToGrid w:val="0"/>
                <w:color w:val="auto"/>
                <w:kern w:val="0"/>
                <w:sz w:val="24"/>
                <w:highlight w:val="none"/>
              </w:rPr>
              <w:t>参照沥青烟气的处理方法及其他工程案例，沥青废气(本项目为苯并[a]芘和非甲烷总</w:t>
            </w:r>
            <w:r>
              <w:rPr>
                <w:rFonts w:hint="eastAsia" w:ascii="Calibri" w:hAnsi="Calibri"/>
                <w:snapToGrid w:val="0"/>
                <w:color w:val="auto"/>
                <w:kern w:val="0"/>
                <w:sz w:val="24"/>
                <w:highlight w:val="none"/>
                <w:lang w:val="en-US" w:eastAsia="zh-CN"/>
              </w:rPr>
              <w:t>烃</w:t>
            </w:r>
            <w:r>
              <w:rPr>
                <w:rFonts w:hint="eastAsia" w:ascii="Calibri" w:hAnsi="Calibri"/>
                <w:snapToGrid w:val="0"/>
                <w:color w:val="auto"/>
                <w:kern w:val="0"/>
                <w:sz w:val="24"/>
                <w:highlight w:val="none"/>
              </w:rPr>
              <w:t>）处理的代表性处理方法有直接燃烧法、催化燃料法、活性炭吸附法、UV光催化氧化法、等离子净化法和冷凝法，综合对比各处理工艺的优缺点、适用范围，本项目拟采用直接燃烧法，即</w:t>
            </w:r>
            <w:r>
              <w:rPr>
                <w:rFonts w:ascii="Calibri" w:hAnsi="Calibri"/>
                <w:snapToGrid w:val="0"/>
                <w:color w:val="auto"/>
                <w:kern w:val="0"/>
                <w:sz w:val="24"/>
                <w:highlight w:val="none"/>
              </w:rPr>
              <w:t>沥青烟气收集后引入烘干滚筒燃烧器中燃烧后跟燃气废气一并从1#排气</w:t>
            </w:r>
            <w:r>
              <w:rPr>
                <w:rFonts w:hint="eastAsia" w:ascii="Calibri" w:hAnsi="Calibri"/>
                <w:snapToGrid w:val="0"/>
                <w:color w:val="auto"/>
                <w:kern w:val="0"/>
                <w:sz w:val="24"/>
                <w:highlight w:val="none"/>
                <w:lang w:val="en-US" w:eastAsia="zh-CN"/>
              </w:rPr>
              <w:t>筒</w:t>
            </w:r>
            <w:r>
              <w:rPr>
                <w:rFonts w:ascii="Calibri" w:hAnsi="Calibri"/>
                <w:snapToGrid w:val="0"/>
                <w:color w:val="auto"/>
                <w:kern w:val="0"/>
                <w:sz w:val="24"/>
                <w:highlight w:val="none"/>
              </w:rPr>
              <w:t>排放，燃烧处理效率达90%</w:t>
            </w:r>
            <w:r>
              <w:rPr>
                <w:rFonts w:hint="eastAsia" w:ascii="Calibri" w:hAnsi="Calibri"/>
                <w:snapToGrid w:val="0"/>
                <w:color w:val="auto"/>
                <w:kern w:val="0"/>
                <w:sz w:val="24"/>
                <w:highlight w:val="none"/>
              </w:rPr>
              <w:t>。</w:t>
            </w:r>
          </w:p>
          <w:p>
            <w:pPr>
              <w:spacing w:line="360" w:lineRule="auto"/>
              <w:ind w:firstLine="480" w:firstLineChars="200"/>
              <w:jc w:val="both"/>
              <w:rPr>
                <w:rFonts w:hint="eastAsia" w:ascii="Calibri" w:hAnsi="Calibri" w:eastAsia="宋体" w:cs="Times New Roman"/>
                <w:snapToGrid w:val="0"/>
                <w:color w:val="auto"/>
                <w:kern w:val="0"/>
                <w:sz w:val="24"/>
                <w:highlight w:val="none"/>
                <w:lang w:val="en-US" w:eastAsia="zh-CN"/>
              </w:rPr>
            </w:pPr>
            <w:r>
              <w:rPr>
                <w:rFonts w:hint="eastAsia" w:ascii="Calibri" w:hAnsi="Calibri" w:eastAsia="宋体" w:cs="Times New Roman"/>
                <w:snapToGrid w:val="0"/>
                <w:color w:val="auto"/>
                <w:kern w:val="0"/>
                <w:sz w:val="24"/>
                <w:highlight w:val="none"/>
                <w:lang w:val="en-US" w:eastAsia="zh-CN"/>
              </w:rPr>
              <w:t>根据</w:t>
            </w:r>
            <w:r>
              <w:rPr>
                <w:rFonts w:hint="eastAsia" w:ascii="Calibri" w:hAnsi="Calibri" w:eastAsia="宋体" w:cs="Times New Roman"/>
                <w:snapToGrid w:val="0"/>
                <w:color w:val="auto"/>
                <w:kern w:val="0"/>
                <w:sz w:val="24"/>
                <w:highlight w:val="none"/>
              </w:rPr>
              <w:t>《排污许可证申请与核发技术规范 石墨及其他非金属矿物制品制造》（HJ119-2020）中可行技术</w:t>
            </w:r>
            <w:r>
              <w:rPr>
                <w:rFonts w:hint="eastAsia" w:ascii="Calibri" w:hAnsi="Calibri" w:eastAsia="宋体" w:cs="Times New Roman"/>
                <w:snapToGrid w:val="0"/>
                <w:color w:val="auto"/>
                <w:kern w:val="0"/>
                <w:sz w:val="24"/>
                <w:highlight w:val="none"/>
                <w:lang w:val="en-US" w:eastAsia="zh-CN"/>
              </w:rPr>
              <w:t>燃烧法不属于技术规范中可行技术，因此，本次环评引用《绵竹市瑞欣建材有限公司沥青砼搅拌站项目建设项目竣工环境保护验收监测表》中的验收监测数据予以说明污染物达标排放情况。</w:t>
            </w:r>
          </w:p>
          <w:p>
            <w:pPr>
              <w:spacing w:line="360" w:lineRule="auto"/>
              <w:ind w:firstLine="480" w:firstLineChars="200"/>
              <w:jc w:val="both"/>
              <w:rPr>
                <w:rFonts w:hint="eastAsia" w:ascii="Calibri" w:hAnsi="Calibri" w:eastAsia="宋体" w:cs="Times New Roman"/>
                <w:snapToGrid w:val="0"/>
                <w:color w:val="auto"/>
                <w:kern w:val="0"/>
                <w:sz w:val="24"/>
                <w:highlight w:val="none"/>
                <w:lang w:val="en-US" w:eastAsia="zh-CN"/>
              </w:rPr>
            </w:pPr>
            <w:r>
              <w:rPr>
                <w:rFonts w:hint="eastAsia" w:ascii="Calibri" w:hAnsi="Calibri" w:eastAsia="宋体" w:cs="Times New Roman"/>
                <w:snapToGrid w:val="0"/>
                <w:color w:val="auto"/>
                <w:kern w:val="0"/>
                <w:sz w:val="24"/>
                <w:highlight w:val="none"/>
                <w:lang w:val="en-US" w:eastAsia="zh-CN"/>
              </w:rPr>
              <w:t>引用项目沥青烟处理方式：搅拌缸沥青烟通过风机引入烘干筒燃烧器进行燃烧处理后再与烘干粉尘一并经布袋除尘器处理后通过排气筒排放。</w:t>
            </w:r>
          </w:p>
          <w:p>
            <w:pPr>
              <w:pStyle w:val="2"/>
              <w:jc w:val="center"/>
              <w:rPr>
                <w:rFonts w:hint="eastAsia" w:ascii="Calibri" w:hAnsi="Calibri" w:eastAsia="宋体" w:cs="Times New Roman"/>
                <w:snapToGrid w:val="0"/>
                <w:color w:val="auto"/>
                <w:kern w:val="0"/>
                <w:sz w:val="24"/>
                <w:highlight w:val="none"/>
                <w:lang w:val="en-US" w:eastAsia="zh-CN"/>
              </w:rPr>
            </w:pPr>
            <w:r>
              <w:rPr>
                <w:rFonts w:hint="eastAsia" w:ascii="Calibri" w:hAnsi="Calibri" w:eastAsia="宋体" w:cs="Times New Roman"/>
                <w:snapToGrid w:val="0"/>
                <w:color w:val="auto"/>
                <w:kern w:val="0"/>
                <w:sz w:val="24"/>
                <w:highlight w:val="none"/>
                <w:lang w:val="en-US" w:eastAsia="zh-CN"/>
              </w:rPr>
              <w:t>表4-8 绵竹市瑞欣建材有限公司沥青砼搅拌站项目</w:t>
            </w:r>
          </w:p>
          <w:p>
            <w:pPr>
              <w:pStyle w:val="2"/>
              <w:jc w:val="center"/>
              <w:rPr>
                <w:rFonts w:hint="eastAsia" w:ascii="Calibri" w:hAnsi="Calibri" w:eastAsia="宋体" w:cs="Times New Roman"/>
                <w:snapToGrid w:val="0"/>
                <w:color w:val="auto"/>
                <w:kern w:val="0"/>
                <w:sz w:val="24"/>
                <w:highlight w:val="none"/>
                <w:lang w:val="en-US" w:eastAsia="zh-CN"/>
              </w:rPr>
            </w:pPr>
            <w:r>
              <w:rPr>
                <w:rFonts w:hint="eastAsia" w:ascii="Calibri" w:hAnsi="Calibri" w:eastAsia="宋体" w:cs="Times New Roman"/>
                <w:snapToGrid w:val="0"/>
                <w:color w:val="auto"/>
                <w:kern w:val="0"/>
                <w:sz w:val="24"/>
                <w:highlight w:val="none"/>
                <w:lang w:val="en-US" w:eastAsia="zh-CN"/>
              </w:rPr>
              <w:t>废气有组织排放监测结果及评价</w:t>
            </w:r>
          </w:p>
          <w:tbl>
            <w:tblPr>
              <w:tblStyle w:val="39"/>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660"/>
              <w:gridCol w:w="757"/>
              <w:gridCol w:w="1172"/>
              <w:gridCol w:w="1105"/>
              <w:gridCol w:w="1015"/>
              <w:gridCol w:w="878"/>
              <w:gridCol w:w="960"/>
              <w:gridCol w:w="1130"/>
              <w:gridCol w:w="64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396" w:type="pct"/>
                  <w:vMerge w:val="restart"/>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auto"/>
                      <w:kern w:val="0"/>
                      <w:sz w:val="21"/>
                      <w:szCs w:val="21"/>
                      <w:highlight w:val="none"/>
                      <w:u w:val="none"/>
                      <w:lang w:val="en-US" w:eastAsia="zh-CN" w:bidi="ar"/>
                    </w:rPr>
                  </w:pPr>
                  <w:r>
                    <w:rPr>
                      <w:rFonts w:hint="default" w:ascii="Times New Roman" w:hAnsi="Times New Roman" w:eastAsia="宋体" w:cs="Times New Roman"/>
                      <w:b/>
                      <w:bCs/>
                      <w:i w:val="0"/>
                      <w:iCs w:val="0"/>
                      <w:color w:val="auto"/>
                      <w:kern w:val="0"/>
                      <w:sz w:val="21"/>
                      <w:szCs w:val="21"/>
                      <w:highlight w:val="none"/>
                      <w:u w:val="none"/>
                      <w:lang w:val="en-US" w:eastAsia="zh-CN" w:bidi="ar"/>
                    </w:rPr>
                    <w:t>点位名称</w:t>
                  </w:r>
                </w:p>
              </w:tc>
              <w:tc>
                <w:tcPr>
                  <w:tcW w:w="454" w:type="pct"/>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auto"/>
                      <w:kern w:val="0"/>
                      <w:sz w:val="21"/>
                      <w:szCs w:val="21"/>
                      <w:highlight w:val="none"/>
                      <w:u w:val="none"/>
                      <w:lang w:val="en-US" w:eastAsia="zh-CN" w:bidi="ar"/>
                    </w:rPr>
                  </w:pPr>
                  <w:r>
                    <w:rPr>
                      <w:rFonts w:hint="default" w:ascii="Times New Roman" w:hAnsi="Times New Roman" w:eastAsia="宋体" w:cs="Times New Roman"/>
                      <w:b/>
                      <w:bCs/>
                      <w:i w:val="0"/>
                      <w:iCs w:val="0"/>
                      <w:color w:val="auto"/>
                      <w:kern w:val="0"/>
                      <w:sz w:val="21"/>
                      <w:szCs w:val="21"/>
                      <w:highlight w:val="none"/>
                      <w:u w:val="none"/>
                      <w:lang w:val="en-US" w:eastAsia="zh-CN" w:bidi="ar"/>
                    </w:rPr>
                    <w:t>监测项目</w:t>
                  </w:r>
                </w:p>
              </w:tc>
              <w:tc>
                <w:tcPr>
                  <w:tcW w:w="704" w:type="pct"/>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auto"/>
                      <w:kern w:val="0"/>
                      <w:sz w:val="21"/>
                      <w:szCs w:val="21"/>
                      <w:highlight w:val="none"/>
                      <w:u w:val="none"/>
                      <w:lang w:val="en-US" w:eastAsia="zh-CN" w:bidi="ar"/>
                    </w:rPr>
                  </w:pPr>
                  <w:r>
                    <w:rPr>
                      <w:rFonts w:hint="default" w:ascii="Times New Roman" w:hAnsi="Times New Roman" w:eastAsia="宋体" w:cs="Times New Roman"/>
                      <w:b/>
                      <w:bCs/>
                      <w:i w:val="0"/>
                      <w:iCs w:val="0"/>
                      <w:color w:val="auto"/>
                      <w:kern w:val="0"/>
                      <w:sz w:val="21"/>
                      <w:szCs w:val="21"/>
                      <w:highlight w:val="none"/>
                      <w:u w:val="none"/>
                      <w:lang w:val="en-US" w:eastAsia="zh-CN" w:bidi="ar"/>
                    </w:rPr>
                    <w:t>监测日期</w:t>
                  </w:r>
                </w:p>
              </w:tc>
              <w:tc>
                <w:tcPr>
                  <w:tcW w:w="663"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auto"/>
                      <w:kern w:val="0"/>
                      <w:sz w:val="21"/>
                      <w:szCs w:val="21"/>
                      <w:highlight w:val="none"/>
                      <w:u w:val="none"/>
                      <w:lang w:val="en-US" w:eastAsia="zh-CN" w:bidi="ar"/>
                    </w:rPr>
                  </w:pPr>
                  <w:r>
                    <w:rPr>
                      <w:rFonts w:hint="default" w:ascii="Times New Roman" w:hAnsi="Times New Roman" w:eastAsia="宋体" w:cs="Times New Roman"/>
                      <w:b/>
                      <w:bCs/>
                      <w:i w:val="0"/>
                      <w:iCs w:val="0"/>
                      <w:color w:val="auto"/>
                      <w:kern w:val="0"/>
                      <w:sz w:val="21"/>
                      <w:szCs w:val="21"/>
                      <w:highlight w:val="none"/>
                      <w:u w:val="none"/>
                      <w:lang w:val="en-US" w:eastAsia="zh-CN" w:bidi="ar"/>
                    </w:rPr>
                    <w:t>监测</w:t>
                  </w:r>
                  <w:r>
                    <w:rPr>
                      <w:rFonts w:hint="default" w:ascii="Times New Roman" w:hAnsi="Times New Roman" w:eastAsia="宋体" w:cs="Times New Roman"/>
                      <w:b/>
                      <w:bCs/>
                      <w:i w:val="0"/>
                      <w:iCs w:val="0"/>
                      <w:color w:val="auto"/>
                      <w:kern w:val="0"/>
                      <w:sz w:val="21"/>
                      <w:szCs w:val="21"/>
                      <w:highlight w:val="none"/>
                      <w:u w:val="none"/>
                      <w:lang w:val="en-US" w:eastAsia="zh-CN" w:bidi="ar"/>
                    </w:rPr>
                    <w:br w:type="textWrapping"/>
                  </w:r>
                  <w:r>
                    <w:rPr>
                      <w:rFonts w:hint="default" w:ascii="Times New Roman" w:hAnsi="Times New Roman" w:eastAsia="宋体" w:cs="Times New Roman"/>
                      <w:b/>
                      <w:bCs/>
                      <w:i w:val="0"/>
                      <w:iCs w:val="0"/>
                      <w:color w:val="auto"/>
                      <w:kern w:val="0"/>
                      <w:sz w:val="21"/>
                      <w:szCs w:val="21"/>
                      <w:highlight w:val="none"/>
                      <w:u w:val="none"/>
                      <w:lang w:val="en-US" w:eastAsia="zh-CN" w:bidi="ar"/>
                    </w:rPr>
                    <w:t>频次</w:t>
                  </w:r>
                </w:p>
              </w:tc>
              <w:tc>
                <w:tcPr>
                  <w:tcW w:w="1713" w:type="pct"/>
                  <w:gridSpan w:val="3"/>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auto"/>
                      <w:kern w:val="0"/>
                      <w:sz w:val="21"/>
                      <w:szCs w:val="21"/>
                      <w:highlight w:val="none"/>
                      <w:u w:val="none"/>
                      <w:lang w:val="en-US" w:eastAsia="zh-CN" w:bidi="ar"/>
                    </w:rPr>
                  </w:pPr>
                  <w:r>
                    <w:rPr>
                      <w:rFonts w:hint="default" w:ascii="Times New Roman" w:hAnsi="Times New Roman" w:eastAsia="宋体" w:cs="Times New Roman"/>
                      <w:b/>
                      <w:bCs/>
                      <w:i w:val="0"/>
                      <w:iCs w:val="0"/>
                      <w:color w:val="auto"/>
                      <w:kern w:val="0"/>
                      <w:sz w:val="21"/>
                      <w:szCs w:val="21"/>
                      <w:highlight w:val="none"/>
                      <w:u w:val="none"/>
                      <w:lang w:val="en-US" w:eastAsia="zh-CN" w:bidi="ar"/>
                    </w:rPr>
                    <w:t>监测结果</w:t>
                  </w:r>
                </w:p>
              </w:tc>
              <w:tc>
                <w:tcPr>
                  <w:tcW w:w="678"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auto"/>
                      <w:kern w:val="0"/>
                      <w:sz w:val="21"/>
                      <w:szCs w:val="21"/>
                      <w:highlight w:val="none"/>
                      <w:u w:val="none"/>
                      <w:lang w:val="en-US" w:eastAsia="zh-CN" w:bidi="ar"/>
                    </w:rPr>
                  </w:pPr>
                  <w:r>
                    <w:rPr>
                      <w:rFonts w:hint="default" w:ascii="Times New Roman" w:hAnsi="Times New Roman" w:eastAsia="宋体" w:cs="Times New Roman"/>
                      <w:b/>
                      <w:bCs/>
                      <w:i w:val="0"/>
                      <w:iCs w:val="0"/>
                      <w:color w:val="auto"/>
                      <w:kern w:val="0"/>
                      <w:sz w:val="21"/>
                      <w:szCs w:val="21"/>
                      <w:highlight w:val="none"/>
                      <w:u w:val="none"/>
                      <w:lang w:val="en-US" w:eastAsia="zh-CN" w:bidi="ar"/>
                    </w:rPr>
                    <w:t>排放</w:t>
                  </w:r>
                  <w:r>
                    <w:rPr>
                      <w:rFonts w:hint="default" w:ascii="Times New Roman" w:hAnsi="Times New Roman" w:eastAsia="宋体" w:cs="Times New Roman"/>
                      <w:b/>
                      <w:bCs/>
                      <w:i w:val="0"/>
                      <w:iCs w:val="0"/>
                      <w:color w:val="auto"/>
                      <w:kern w:val="0"/>
                      <w:sz w:val="21"/>
                      <w:szCs w:val="21"/>
                      <w:highlight w:val="none"/>
                      <w:u w:val="none"/>
                      <w:lang w:val="en-US" w:eastAsia="zh-CN" w:bidi="ar"/>
                    </w:rPr>
                    <w:br w:type="textWrapping"/>
                  </w:r>
                  <w:r>
                    <w:rPr>
                      <w:rFonts w:hint="default" w:ascii="Times New Roman" w:hAnsi="Times New Roman" w:eastAsia="宋体" w:cs="Times New Roman"/>
                      <w:b/>
                      <w:bCs/>
                      <w:i w:val="0"/>
                      <w:iCs w:val="0"/>
                      <w:color w:val="auto"/>
                      <w:kern w:val="0"/>
                      <w:sz w:val="21"/>
                      <w:szCs w:val="21"/>
                      <w:highlight w:val="none"/>
                      <w:u w:val="none"/>
                      <w:lang w:val="en-US" w:eastAsia="zh-CN" w:bidi="ar"/>
                    </w:rPr>
                    <w:t>限值</w:t>
                  </w:r>
                </w:p>
              </w:tc>
              <w:tc>
                <w:tcPr>
                  <w:tcW w:w="388" w:type="pct"/>
                  <w:vMerge w:val="restart"/>
                  <w:tcBorders>
                    <w:top w:val="single" w:color="000000" w:sz="4" w:space="0"/>
                    <w:left w:val="single" w:color="000000" w:sz="4" w:space="0"/>
                    <w:bottom w:val="single" w:color="000000" w:sz="4" w:space="0"/>
                    <w:right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auto"/>
                      <w:kern w:val="0"/>
                      <w:sz w:val="21"/>
                      <w:szCs w:val="21"/>
                      <w:highlight w:val="none"/>
                      <w:u w:val="none"/>
                      <w:lang w:val="en-US" w:eastAsia="zh-CN" w:bidi="ar"/>
                    </w:rPr>
                  </w:pPr>
                  <w:r>
                    <w:rPr>
                      <w:rFonts w:hint="default" w:ascii="Times New Roman" w:hAnsi="Times New Roman" w:eastAsia="宋体" w:cs="Times New Roman"/>
                      <w:b/>
                      <w:bCs/>
                      <w:i w:val="0"/>
                      <w:iCs w:val="0"/>
                      <w:color w:val="auto"/>
                      <w:kern w:val="0"/>
                      <w:sz w:val="21"/>
                      <w:szCs w:val="21"/>
                      <w:highlight w:val="none"/>
                      <w:u w:val="none"/>
                      <w:lang w:val="en-US" w:eastAsia="zh-CN" w:bidi="ar"/>
                    </w:rPr>
                    <w:t>评价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396" w:type="pct"/>
                  <w:vMerge w:val="continue"/>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auto"/>
                      <w:kern w:val="0"/>
                      <w:sz w:val="21"/>
                      <w:szCs w:val="21"/>
                      <w:highlight w:val="none"/>
                      <w:u w:val="none"/>
                      <w:lang w:val="en-US" w:eastAsia="zh-CN" w:bidi="ar"/>
                    </w:rPr>
                  </w:pPr>
                </w:p>
              </w:tc>
              <w:tc>
                <w:tcPr>
                  <w:tcW w:w="454"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auto"/>
                      <w:kern w:val="0"/>
                      <w:sz w:val="21"/>
                      <w:szCs w:val="21"/>
                      <w:highlight w:val="none"/>
                      <w:u w:val="none"/>
                      <w:lang w:val="en-US" w:eastAsia="zh-CN" w:bidi="ar"/>
                    </w:rPr>
                  </w:pPr>
                </w:p>
              </w:tc>
              <w:tc>
                <w:tcPr>
                  <w:tcW w:w="704"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auto"/>
                      <w:kern w:val="0"/>
                      <w:sz w:val="21"/>
                      <w:szCs w:val="21"/>
                      <w:highlight w:val="none"/>
                      <w:u w:val="none"/>
                      <w:lang w:val="en-US" w:eastAsia="zh-CN" w:bidi="ar"/>
                    </w:rPr>
                  </w:pPr>
                </w:p>
              </w:tc>
              <w:tc>
                <w:tcPr>
                  <w:tcW w:w="663"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auto"/>
                      <w:kern w:val="0"/>
                      <w:sz w:val="21"/>
                      <w:szCs w:val="21"/>
                      <w:highlight w:val="none"/>
                      <w:u w:val="none"/>
                      <w:lang w:val="en-US" w:eastAsia="zh-CN" w:bidi="ar"/>
                    </w:rPr>
                  </w:pPr>
                </w:p>
              </w:tc>
              <w:tc>
                <w:tcPr>
                  <w:tcW w:w="60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auto"/>
                      <w:kern w:val="0"/>
                      <w:sz w:val="21"/>
                      <w:szCs w:val="21"/>
                      <w:highlight w:val="none"/>
                      <w:u w:val="none"/>
                      <w:lang w:val="en-US" w:eastAsia="zh-CN" w:bidi="ar"/>
                    </w:rPr>
                  </w:pPr>
                  <w:r>
                    <w:rPr>
                      <w:rFonts w:hint="default" w:ascii="Times New Roman" w:hAnsi="Times New Roman" w:eastAsia="宋体" w:cs="Times New Roman"/>
                      <w:b/>
                      <w:bCs/>
                      <w:i w:val="0"/>
                      <w:iCs w:val="0"/>
                      <w:color w:val="auto"/>
                      <w:kern w:val="0"/>
                      <w:sz w:val="21"/>
                      <w:szCs w:val="21"/>
                      <w:highlight w:val="none"/>
                      <w:u w:val="none"/>
                      <w:lang w:val="en-US" w:eastAsia="zh-CN" w:bidi="ar"/>
                    </w:rPr>
                    <w:t>排放浓度</w:t>
                  </w:r>
                  <w:r>
                    <w:rPr>
                      <w:rFonts w:hint="default" w:ascii="Times New Roman" w:hAnsi="Times New Roman" w:eastAsia="宋体" w:cs="Times New Roman"/>
                      <w:b/>
                      <w:bCs/>
                      <w:i w:val="0"/>
                      <w:iCs w:val="0"/>
                      <w:color w:val="auto"/>
                      <w:kern w:val="0"/>
                      <w:sz w:val="21"/>
                      <w:szCs w:val="21"/>
                      <w:highlight w:val="none"/>
                      <w:u w:val="none"/>
                      <w:lang w:val="en-US" w:eastAsia="zh-CN" w:bidi="ar"/>
                    </w:rPr>
                    <w:br w:type="textWrapping"/>
                  </w:r>
                  <w:r>
                    <w:rPr>
                      <w:rFonts w:hint="default" w:ascii="Times New Roman" w:hAnsi="Times New Roman" w:eastAsia="宋体" w:cs="Times New Roman"/>
                      <w:b/>
                      <w:bCs/>
                      <w:i w:val="0"/>
                      <w:iCs w:val="0"/>
                      <w:color w:val="auto"/>
                      <w:kern w:val="0"/>
                      <w:sz w:val="21"/>
                      <w:szCs w:val="21"/>
                      <w:highlight w:val="none"/>
                      <w:u w:val="none"/>
                      <w:lang w:val="en-US" w:eastAsia="zh-CN" w:bidi="ar"/>
                    </w:rPr>
                    <w:t>(mg/m</w:t>
                  </w:r>
                  <w:r>
                    <w:rPr>
                      <w:rFonts w:hint="default" w:ascii="Times New Roman" w:hAnsi="Times New Roman" w:eastAsia="宋体" w:cs="Times New Roman"/>
                      <w:b/>
                      <w:bCs/>
                      <w:i w:val="0"/>
                      <w:iCs w:val="0"/>
                      <w:color w:val="auto"/>
                      <w:kern w:val="0"/>
                      <w:sz w:val="21"/>
                      <w:szCs w:val="21"/>
                      <w:highlight w:val="none"/>
                      <w:u w:val="none"/>
                      <w:vertAlign w:val="superscript"/>
                      <w:lang w:val="en-US" w:eastAsia="zh-CN" w:bidi="ar"/>
                    </w:rPr>
                    <w:t>3</w:t>
                  </w:r>
                  <w:r>
                    <w:rPr>
                      <w:rFonts w:hint="default" w:ascii="Times New Roman" w:hAnsi="Times New Roman" w:eastAsia="宋体" w:cs="Times New Roman"/>
                      <w:b/>
                      <w:bCs/>
                      <w:i w:val="0"/>
                      <w:iCs w:val="0"/>
                      <w:color w:val="auto"/>
                      <w:kern w:val="0"/>
                      <w:sz w:val="21"/>
                      <w:szCs w:val="21"/>
                      <w:highlight w:val="none"/>
                      <w:u w:val="none"/>
                      <w:lang w:val="en-US" w:eastAsia="zh-CN" w:bidi="ar"/>
                    </w:rPr>
                    <w:t>)</w:t>
                  </w:r>
                </w:p>
              </w:tc>
              <w:tc>
                <w:tcPr>
                  <w:tcW w:w="52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auto"/>
                      <w:kern w:val="0"/>
                      <w:sz w:val="21"/>
                      <w:szCs w:val="21"/>
                      <w:highlight w:val="none"/>
                      <w:u w:val="none"/>
                      <w:lang w:val="en-US" w:eastAsia="zh-CN" w:bidi="ar"/>
                    </w:rPr>
                  </w:pPr>
                  <w:r>
                    <w:rPr>
                      <w:rFonts w:hint="default" w:ascii="Times New Roman" w:hAnsi="Times New Roman" w:eastAsia="宋体" w:cs="Times New Roman"/>
                      <w:b/>
                      <w:bCs/>
                      <w:i w:val="0"/>
                      <w:iCs w:val="0"/>
                      <w:color w:val="auto"/>
                      <w:kern w:val="0"/>
                      <w:sz w:val="21"/>
                      <w:szCs w:val="21"/>
                      <w:highlight w:val="none"/>
                      <w:u w:val="none"/>
                      <w:lang w:val="en-US" w:eastAsia="zh-CN" w:bidi="ar"/>
                    </w:rPr>
                    <w:t>标杆流量</w:t>
                  </w:r>
                  <w:r>
                    <w:rPr>
                      <w:rFonts w:hint="default" w:ascii="Times New Roman" w:hAnsi="Times New Roman" w:eastAsia="宋体" w:cs="Times New Roman"/>
                      <w:b/>
                      <w:bCs/>
                      <w:i w:val="0"/>
                      <w:iCs w:val="0"/>
                      <w:color w:val="auto"/>
                      <w:kern w:val="0"/>
                      <w:sz w:val="21"/>
                      <w:szCs w:val="21"/>
                      <w:highlight w:val="none"/>
                      <w:u w:val="none"/>
                      <w:lang w:val="en-US" w:eastAsia="zh-CN" w:bidi="ar"/>
                    </w:rPr>
                    <w:br w:type="textWrapping"/>
                  </w:r>
                  <w:r>
                    <w:rPr>
                      <w:rFonts w:hint="default" w:ascii="Times New Roman" w:hAnsi="Times New Roman" w:eastAsia="宋体" w:cs="Times New Roman"/>
                      <w:b/>
                      <w:bCs/>
                      <w:i w:val="0"/>
                      <w:iCs w:val="0"/>
                      <w:color w:val="auto"/>
                      <w:kern w:val="0"/>
                      <w:sz w:val="21"/>
                      <w:szCs w:val="21"/>
                      <w:highlight w:val="none"/>
                      <w:u w:val="none"/>
                      <w:lang w:val="en-US" w:eastAsia="zh-CN" w:bidi="ar"/>
                    </w:rPr>
                    <w:t>(m</w:t>
                  </w:r>
                  <w:r>
                    <w:rPr>
                      <w:rFonts w:hint="default" w:ascii="Times New Roman" w:hAnsi="Times New Roman" w:eastAsia="宋体" w:cs="Times New Roman"/>
                      <w:b/>
                      <w:bCs/>
                      <w:i w:val="0"/>
                      <w:iCs w:val="0"/>
                      <w:color w:val="auto"/>
                      <w:kern w:val="0"/>
                      <w:sz w:val="21"/>
                      <w:szCs w:val="21"/>
                      <w:highlight w:val="none"/>
                      <w:u w:val="none"/>
                      <w:vertAlign w:val="superscript"/>
                      <w:lang w:val="en-US" w:eastAsia="zh-CN" w:bidi="ar"/>
                    </w:rPr>
                    <w:t>3</w:t>
                  </w:r>
                  <w:r>
                    <w:rPr>
                      <w:rFonts w:hint="default" w:ascii="Times New Roman" w:hAnsi="Times New Roman" w:eastAsia="宋体" w:cs="Times New Roman"/>
                      <w:b/>
                      <w:bCs/>
                      <w:i w:val="0"/>
                      <w:iCs w:val="0"/>
                      <w:color w:val="auto"/>
                      <w:kern w:val="0"/>
                      <w:sz w:val="21"/>
                      <w:szCs w:val="21"/>
                      <w:highlight w:val="none"/>
                      <w:u w:val="none"/>
                      <w:lang w:val="en-US" w:eastAsia="zh-CN" w:bidi="ar"/>
                    </w:rPr>
                    <w:t>/h)</w:t>
                  </w:r>
                </w:p>
              </w:tc>
              <w:tc>
                <w:tcPr>
                  <w:tcW w:w="57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auto"/>
                      <w:kern w:val="0"/>
                      <w:sz w:val="21"/>
                      <w:szCs w:val="21"/>
                      <w:highlight w:val="none"/>
                      <w:u w:val="none"/>
                      <w:lang w:val="en-US" w:eastAsia="zh-CN" w:bidi="ar"/>
                    </w:rPr>
                  </w:pPr>
                  <w:r>
                    <w:rPr>
                      <w:rFonts w:hint="default" w:ascii="Times New Roman" w:hAnsi="Times New Roman" w:eastAsia="宋体" w:cs="Times New Roman"/>
                      <w:b/>
                      <w:bCs/>
                      <w:i w:val="0"/>
                      <w:iCs w:val="0"/>
                      <w:color w:val="auto"/>
                      <w:kern w:val="0"/>
                      <w:sz w:val="21"/>
                      <w:szCs w:val="21"/>
                      <w:highlight w:val="none"/>
                      <w:u w:val="none"/>
                      <w:lang w:val="en-US" w:eastAsia="zh-CN" w:bidi="ar"/>
                    </w:rPr>
                    <w:t>排放速率</w:t>
                  </w:r>
                  <w:r>
                    <w:rPr>
                      <w:rFonts w:hint="default" w:ascii="Times New Roman" w:hAnsi="Times New Roman" w:eastAsia="宋体" w:cs="Times New Roman"/>
                      <w:b/>
                      <w:bCs/>
                      <w:i w:val="0"/>
                      <w:iCs w:val="0"/>
                      <w:color w:val="auto"/>
                      <w:kern w:val="0"/>
                      <w:sz w:val="21"/>
                      <w:szCs w:val="21"/>
                      <w:highlight w:val="none"/>
                      <w:u w:val="none"/>
                      <w:lang w:val="en-US" w:eastAsia="zh-CN" w:bidi="ar"/>
                    </w:rPr>
                    <w:br w:type="textWrapping"/>
                  </w:r>
                  <w:r>
                    <w:rPr>
                      <w:rFonts w:hint="default" w:ascii="Times New Roman" w:hAnsi="Times New Roman" w:eastAsia="宋体" w:cs="Times New Roman"/>
                      <w:b/>
                      <w:bCs/>
                      <w:i w:val="0"/>
                      <w:iCs w:val="0"/>
                      <w:color w:val="auto"/>
                      <w:kern w:val="0"/>
                      <w:sz w:val="21"/>
                      <w:szCs w:val="21"/>
                      <w:highlight w:val="none"/>
                      <w:u w:val="none"/>
                      <w:lang w:val="en-US" w:eastAsia="zh-CN" w:bidi="ar"/>
                    </w:rPr>
                    <w:t>（kg/h）</w:t>
                  </w:r>
                </w:p>
              </w:tc>
              <w:tc>
                <w:tcPr>
                  <w:tcW w:w="678"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auto"/>
                      <w:kern w:val="0"/>
                      <w:sz w:val="21"/>
                      <w:szCs w:val="21"/>
                      <w:highlight w:val="none"/>
                      <w:u w:val="none"/>
                      <w:lang w:val="en-US" w:eastAsia="zh-CN" w:bidi="ar"/>
                    </w:rPr>
                  </w:pPr>
                </w:p>
              </w:tc>
              <w:tc>
                <w:tcPr>
                  <w:tcW w:w="388" w:type="pct"/>
                  <w:vMerge w:val="continue"/>
                  <w:tcBorders>
                    <w:top w:val="single" w:color="000000" w:sz="4" w:space="0"/>
                    <w:left w:val="single" w:color="000000" w:sz="4" w:space="0"/>
                    <w:bottom w:val="single" w:color="000000" w:sz="4" w:space="0"/>
                    <w:right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auto"/>
                      <w:kern w:val="0"/>
                      <w:sz w:val="21"/>
                      <w:szCs w:val="21"/>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396" w:type="pct"/>
                  <w:vMerge w:val="restart"/>
                  <w:tcBorders>
                    <w:top w:val="single" w:color="000000"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1#</w:t>
                  </w:r>
                  <w:r>
                    <w:rPr>
                      <w:rFonts w:hint="default" w:ascii="Times New Roman" w:hAnsi="Times New Roman" w:eastAsia="宋体" w:cs="Times New Roman"/>
                      <w:b w:val="0"/>
                      <w:bCs w:val="0"/>
                      <w:i w:val="0"/>
                      <w:iCs w:val="0"/>
                      <w:color w:val="auto"/>
                      <w:kern w:val="0"/>
                      <w:sz w:val="21"/>
                      <w:szCs w:val="21"/>
                      <w:highlight w:val="none"/>
                      <w:u w:val="none"/>
                      <w:lang w:val="en-US" w:eastAsia="zh-CN" w:bidi="ar"/>
                    </w:rPr>
                    <w:br w:type="textWrapping"/>
                  </w:r>
                  <w:r>
                    <w:rPr>
                      <w:rFonts w:hint="default" w:ascii="Times New Roman" w:hAnsi="Times New Roman" w:eastAsia="宋体" w:cs="Times New Roman"/>
                      <w:b w:val="0"/>
                      <w:bCs w:val="0"/>
                      <w:i w:val="0"/>
                      <w:iCs w:val="0"/>
                      <w:color w:val="auto"/>
                      <w:kern w:val="0"/>
                      <w:sz w:val="21"/>
                      <w:szCs w:val="21"/>
                      <w:highlight w:val="none"/>
                      <w:u w:val="none"/>
                      <w:lang w:val="en-US" w:eastAsia="zh-CN" w:bidi="ar"/>
                    </w:rPr>
                    <w:t>废气</w:t>
                  </w:r>
                  <w:r>
                    <w:rPr>
                      <w:rFonts w:hint="default" w:ascii="Times New Roman" w:hAnsi="Times New Roman" w:eastAsia="宋体" w:cs="Times New Roman"/>
                      <w:b w:val="0"/>
                      <w:bCs w:val="0"/>
                      <w:i w:val="0"/>
                      <w:iCs w:val="0"/>
                      <w:color w:val="auto"/>
                      <w:kern w:val="0"/>
                      <w:sz w:val="21"/>
                      <w:szCs w:val="21"/>
                      <w:highlight w:val="none"/>
                      <w:u w:val="none"/>
                      <w:lang w:val="en-US" w:eastAsia="zh-CN" w:bidi="ar"/>
                    </w:rPr>
                    <w:br w:type="textWrapping"/>
                  </w:r>
                  <w:r>
                    <w:rPr>
                      <w:rFonts w:hint="default" w:ascii="Times New Roman" w:hAnsi="Times New Roman" w:eastAsia="宋体" w:cs="Times New Roman"/>
                      <w:b w:val="0"/>
                      <w:bCs w:val="0"/>
                      <w:i w:val="0"/>
                      <w:iCs w:val="0"/>
                      <w:color w:val="auto"/>
                      <w:kern w:val="0"/>
                      <w:sz w:val="21"/>
                      <w:szCs w:val="21"/>
                      <w:highlight w:val="none"/>
                      <w:u w:val="none"/>
                      <w:lang w:val="en-US" w:eastAsia="zh-CN" w:bidi="ar"/>
                    </w:rPr>
                    <w:t>排放口</w:t>
                  </w:r>
                </w:p>
              </w:tc>
              <w:tc>
                <w:tcPr>
                  <w:tcW w:w="454" w:type="pct"/>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颗</w:t>
                  </w:r>
                  <w:r>
                    <w:rPr>
                      <w:rFonts w:hint="default" w:ascii="Times New Roman" w:hAnsi="Times New Roman" w:eastAsia="宋体" w:cs="Times New Roman"/>
                      <w:b w:val="0"/>
                      <w:bCs w:val="0"/>
                      <w:i w:val="0"/>
                      <w:iCs w:val="0"/>
                      <w:color w:val="auto"/>
                      <w:kern w:val="0"/>
                      <w:sz w:val="21"/>
                      <w:szCs w:val="21"/>
                      <w:highlight w:val="none"/>
                      <w:u w:val="none"/>
                      <w:lang w:val="en-US" w:eastAsia="zh-CN" w:bidi="ar"/>
                    </w:rPr>
                    <w:br w:type="textWrapping"/>
                  </w:r>
                  <w:r>
                    <w:rPr>
                      <w:rFonts w:hint="default" w:ascii="Times New Roman" w:hAnsi="Times New Roman" w:eastAsia="宋体" w:cs="Times New Roman"/>
                      <w:b w:val="0"/>
                      <w:bCs w:val="0"/>
                      <w:i w:val="0"/>
                      <w:iCs w:val="0"/>
                      <w:color w:val="auto"/>
                      <w:kern w:val="0"/>
                      <w:sz w:val="21"/>
                      <w:szCs w:val="21"/>
                      <w:highlight w:val="none"/>
                      <w:u w:val="none"/>
                      <w:lang w:val="en-US" w:eastAsia="zh-CN" w:bidi="ar"/>
                    </w:rPr>
                    <w:t>粒</w:t>
                  </w:r>
                  <w:r>
                    <w:rPr>
                      <w:rFonts w:hint="default" w:ascii="Times New Roman" w:hAnsi="Times New Roman" w:eastAsia="宋体" w:cs="Times New Roman"/>
                      <w:b w:val="0"/>
                      <w:bCs w:val="0"/>
                      <w:i w:val="0"/>
                      <w:iCs w:val="0"/>
                      <w:color w:val="auto"/>
                      <w:kern w:val="0"/>
                      <w:sz w:val="21"/>
                      <w:szCs w:val="21"/>
                      <w:highlight w:val="none"/>
                      <w:u w:val="none"/>
                      <w:lang w:val="en-US" w:eastAsia="zh-CN" w:bidi="ar"/>
                    </w:rPr>
                    <w:br w:type="textWrapping"/>
                  </w:r>
                  <w:r>
                    <w:rPr>
                      <w:rFonts w:hint="default" w:ascii="Times New Roman" w:hAnsi="Times New Roman" w:eastAsia="宋体" w:cs="Times New Roman"/>
                      <w:b w:val="0"/>
                      <w:bCs w:val="0"/>
                      <w:i w:val="0"/>
                      <w:iCs w:val="0"/>
                      <w:color w:val="auto"/>
                      <w:kern w:val="0"/>
                      <w:sz w:val="21"/>
                      <w:szCs w:val="21"/>
                      <w:highlight w:val="none"/>
                      <w:u w:val="none"/>
                      <w:lang w:val="en-US" w:eastAsia="zh-CN" w:bidi="ar"/>
                    </w:rPr>
                    <w:t>物</w:t>
                  </w:r>
                </w:p>
              </w:tc>
              <w:tc>
                <w:tcPr>
                  <w:tcW w:w="704" w:type="pct"/>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2017.05.17</w:t>
                  </w:r>
                </w:p>
              </w:tc>
              <w:tc>
                <w:tcPr>
                  <w:tcW w:w="663"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第一次</w:t>
                  </w:r>
                </w:p>
              </w:tc>
              <w:tc>
                <w:tcPr>
                  <w:tcW w:w="609"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71.9</w:t>
                  </w:r>
                </w:p>
              </w:tc>
              <w:tc>
                <w:tcPr>
                  <w:tcW w:w="527"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24064</w:t>
                  </w:r>
                </w:p>
              </w:tc>
              <w:tc>
                <w:tcPr>
                  <w:tcW w:w="576"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1.7</w:t>
                  </w:r>
                </w:p>
              </w:tc>
              <w:tc>
                <w:tcPr>
                  <w:tcW w:w="678"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排放浓度</w:t>
                  </w:r>
                  <w:r>
                    <w:rPr>
                      <w:rFonts w:hint="default" w:ascii="Times New Roman" w:hAnsi="Times New Roman" w:eastAsia="宋体" w:cs="Times New Roman"/>
                      <w:b w:val="0"/>
                      <w:bCs w:val="0"/>
                      <w:i w:val="0"/>
                      <w:iCs w:val="0"/>
                      <w:color w:val="auto"/>
                      <w:kern w:val="0"/>
                      <w:sz w:val="21"/>
                      <w:szCs w:val="21"/>
                      <w:highlight w:val="none"/>
                      <w:u w:val="none"/>
                      <w:lang w:val="en-US" w:eastAsia="zh-CN" w:bidi="ar"/>
                    </w:rPr>
                    <w:br w:type="textWrapping"/>
                  </w:r>
                  <w:r>
                    <w:rPr>
                      <w:rFonts w:hint="default" w:ascii="Times New Roman" w:hAnsi="Times New Roman" w:eastAsia="宋体" w:cs="Times New Roman"/>
                      <w:b w:val="0"/>
                      <w:bCs w:val="0"/>
                      <w:i w:val="0"/>
                      <w:iCs w:val="0"/>
                      <w:color w:val="auto"/>
                      <w:kern w:val="0"/>
                      <w:sz w:val="21"/>
                      <w:szCs w:val="21"/>
                      <w:highlight w:val="none"/>
                      <w:u w:val="none"/>
                      <w:lang w:val="en-US" w:eastAsia="zh-CN" w:bidi="ar"/>
                    </w:rPr>
                    <w:t>120mg/m</w:t>
                  </w:r>
                  <w:r>
                    <w:rPr>
                      <w:rFonts w:hint="eastAsia" w:ascii="Times New Roman" w:hAnsi="Times New Roman" w:eastAsia="宋体" w:cs="Times New Roman"/>
                      <w:b w:val="0"/>
                      <w:bCs w:val="0"/>
                      <w:i w:val="0"/>
                      <w:iCs w:val="0"/>
                      <w:color w:val="auto"/>
                      <w:kern w:val="0"/>
                      <w:sz w:val="21"/>
                      <w:szCs w:val="21"/>
                      <w:highlight w:val="none"/>
                      <w:u w:val="none"/>
                      <w:vertAlign w:val="superscript"/>
                      <w:lang w:val="en-US" w:eastAsia="zh-CN" w:bidi="ar"/>
                    </w:rPr>
                    <w:t>3</w:t>
                  </w:r>
                  <w:r>
                    <w:rPr>
                      <w:rFonts w:hint="default" w:ascii="Times New Roman" w:hAnsi="Times New Roman" w:eastAsia="宋体" w:cs="Times New Roman"/>
                      <w:b w:val="0"/>
                      <w:bCs w:val="0"/>
                      <w:i w:val="0"/>
                      <w:iCs w:val="0"/>
                      <w:color w:val="auto"/>
                      <w:kern w:val="0"/>
                      <w:sz w:val="21"/>
                      <w:szCs w:val="21"/>
                      <w:highlight w:val="none"/>
                      <w:u w:val="none"/>
                      <w:lang w:val="en-US" w:eastAsia="zh-CN" w:bidi="ar"/>
                    </w:rPr>
                    <w:br w:type="textWrapping"/>
                  </w:r>
                  <w:r>
                    <w:rPr>
                      <w:rFonts w:hint="default" w:ascii="Times New Roman" w:hAnsi="Times New Roman" w:eastAsia="宋体" w:cs="Times New Roman"/>
                      <w:b w:val="0"/>
                      <w:bCs w:val="0"/>
                      <w:i w:val="0"/>
                      <w:iCs w:val="0"/>
                      <w:color w:val="auto"/>
                      <w:kern w:val="0"/>
                      <w:sz w:val="21"/>
                      <w:szCs w:val="21"/>
                      <w:highlight w:val="none"/>
                      <w:u w:val="none"/>
                      <w:lang w:val="en-US" w:eastAsia="zh-CN" w:bidi="ar"/>
                    </w:rPr>
                    <w:t>排放速率</w:t>
                  </w:r>
                  <w:r>
                    <w:rPr>
                      <w:rFonts w:hint="default" w:ascii="Times New Roman" w:hAnsi="Times New Roman" w:eastAsia="宋体" w:cs="Times New Roman"/>
                      <w:b w:val="0"/>
                      <w:bCs w:val="0"/>
                      <w:i w:val="0"/>
                      <w:iCs w:val="0"/>
                      <w:color w:val="auto"/>
                      <w:kern w:val="0"/>
                      <w:sz w:val="21"/>
                      <w:szCs w:val="21"/>
                      <w:highlight w:val="none"/>
                      <w:u w:val="none"/>
                      <w:lang w:val="en-US" w:eastAsia="zh-CN" w:bidi="ar"/>
                    </w:rPr>
                    <w:br w:type="textWrapping"/>
                  </w:r>
                  <w:r>
                    <w:rPr>
                      <w:rFonts w:hint="default" w:ascii="Times New Roman" w:hAnsi="Times New Roman" w:eastAsia="宋体" w:cs="Times New Roman"/>
                      <w:b w:val="0"/>
                      <w:bCs w:val="0"/>
                      <w:i w:val="0"/>
                      <w:iCs w:val="0"/>
                      <w:color w:val="auto"/>
                      <w:kern w:val="0"/>
                      <w:sz w:val="21"/>
                      <w:szCs w:val="21"/>
                      <w:highlight w:val="none"/>
                      <w:u w:val="none"/>
                      <w:lang w:val="en-US" w:eastAsia="zh-CN" w:bidi="ar"/>
                    </w:rPr>
                    <w:t>4.7kg/h</w:t>
                  </w:r>
                </w:p>
              </w:tc>
              <w:tc>
                <w:tcPr>
                  <w:tcW w:w="388" w:type="pct"/>
                  <w:tcBorders>
                    <w:top w:val="single" w:color="000000" w:sz="4" w:space="0"/>
                    <w:left w:val="single" w:color="000000" w:sz="4" w:space="0"/>
                    <w:bottom w:val="single" w:color="000000" w:sz="4" w:space="0"/>
                    <w:right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达标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396" w:type="pct"/>
                  <w:vMerge w:val="continue"/>
                  <w:tcBorders>
                    <w:top w:val="single" w:color="000000"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p>
              </w:tc>
              <w:tc>
                <w:tcPr>
                  <w:tcW w:w="454"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p>
              </w:tc>
              <w:tc>
                <w:tcPr>
                  <w:tcW w:w="704"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p>
              </w:tc>
              <w:tc>
                <w:tcPr>
                  <w:tcW w:w="663"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第二次</w:t>
                  </w:r>
                </w:p>
              </w:tc>
              <w:tc>
                <w:tcPr>
                  <w:tcW w:w="609"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76.1</w:t>
                  </w:r>
                </w:p>
              </w:tc>
              <w:tc>
                <w:tcPr>
                  <w:tcW w:w="527"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26174</w:t>
                  </w:r>
                </w:p>
              </w:tc>
              <w:tc>
                <w:tcPr>
                  <w:tcW w:w="576"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2</w:t>
                  </w:r>
                </w:p>
              </w:tc>
              <w:tc>
                <w:tcPr>
                  <w:tcW w:w="678"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p>
              </w:tc>
              <w:tc>
                <w:tcPr>
                  <w:tcW w:w="388" w:type="pct"/>
                  <w:tcBorders>
                    <w:top w:val="single" w:color="000000" w:sz="4" w:space="0"/>
                    <w:left w:val="single" w:color="000000" w:sz="4" w:space="0"/>
                    <w:bottom w:val="single" w:color="000000" w:sz="4" w:space="0"/>
                    <w:right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达标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396" w:type="pct"/>
                  <w:vMerge w:val="continue"/>
                  <w:tcBorders>
                    <w:top w:val="single" w:color="000000"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p>
              </w:tc>
              <w:tc>
                <w:tcPr>
                  <w:tcW w:w="454"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p>
              </w:tc>
              <w:tc>
                <w:tcPr>
                  <w:tcW w:w="704"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p>
              </w:tc>
              <w:tc>
                <w:tcPr>
                  <w:tcW w:w="663"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第三次</w:t>
                  </w:r>
                </w:p>
              </w:tc>
              <w:tc>
                <w:tcPr>
                  <w:tcW w:w="609"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69.9</w:t>
                  </w:r>
                </w:p>
              </w:tc>
              <w:tc>
                <w:tcPr>
                  <w:tcW w:w="527"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25253</w:t>
                  </w:r>
                </w:p>
              </w:tc>
              <w:tc>
                <w:tcPr>
                  <w:tcW w:w="576"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1.8</w:t>
                  </w:r>
                </w:p>
              </w:tc>
              <w:tc>
                <w:tcPr>
                  <w:tcW w:w="678"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p>
              </w:tc>
              <w:tc>
                <w:tcPr>
                  <w:tcW w:w="388" w:type="pct"/>
                  <w:tcBorders>
                    <w:top w:val="single" w:color="000000" w:sz="4" w:space="0"/>
                    <w:left w:val="single" w:color="000000" w:sz="4" w:space="0"/>
                    <w:bottom w:val="single" w:color="000000" w:sz="4" w:space="0"/>
                    <w:right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达标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396" w:type="pct"/>
                  <w:vMerge w:val="continue"/>
                  <w:tcBorders>
                    <w:top w:val="single" w:color="000000"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p>
              </w:tc>
              <w:tc>
                <w:tcPr>
                  <w:tcW w:w="454"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p>
              </w:tc>
              <w:tc>
                <w:tcPr>
                  <w:tcW w:w="704" w:type="pct"/>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2017.05.18</w:t>
                  </w:r>
                </w:p>
              </w:tc>
              <w:tc>
                <w:tcPr>
                  <w:tcW w:w="663"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第一次</w:t>
                  </w:r>
                </w:p>
              </w:tc>
              <w:tc>
                <w:tcPr>
                  <w:tcW w:w="609"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66.3</w:t>
                  </w:r>
                </w:p>
              </w:tc>
              <w:tc>
                <w:tcPr>
                  <w:tcW w:w="527"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23557</w:t>
                  </w:r>
                </w:p>
              </w:tc>
              <w:tc>
                <w:tcPr>
                  <w:tcW w:w="576"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1.6</w:t>
                  </w:r>
                </w:p>
              </w:tc>
              <w:tc>
                <w:tcPr>
                  <w:tcW w:w="678"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p>
              </w:tc>
              <w:tc>
                <w:tcPr>
                  <w:tcW w:w="388" w:type="pct"/>
                  <w:tcBorders>
                    <w:top w:val="single" w:color="000000" w:sz="4" w:space="0"/>
                    <w:left w:val="single" w:color="000000" w:sz="4" w:space="0"/>
                    <w:bottom w:val="single" w:color="000000" w:sz="4" w:space="0"/>
                    <w:right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达标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396" w:type="pct"/>
                  <w:vMerge w:val="continue"/>
                  <w:tcBorders>
                    <w:top w:val="single" w:color="000000"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p>
              </w:tc>
              <w:tc>
                <w:tcPr>
                  <w:tcW w:w="454"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p>
              </w:tc>
              <w:tc>
                <w:tcPr>
                  <w:tcW w:w="704"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p>
              </w:tc>
              <w:tc>
                <w:tcPr>
                  <w:tcW w:w="663"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第二次</w:t>
                  </w:r>
                </w:p>
              </w:tc>
              <w:tc>
                <w:tcPr>
                  <w:tcW w:w="609"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76.4</w:t>
                  </w:r>
                </w:p>
              </w:tc>
              <w:tc>
                <w:tcPr>
                  <w:tcW w:w="527"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24493</w:t>
                  </w:r>
                </w:p>
              </w:tc>
              <w:tc>
                <w:tcPr>
                  <w:tcW w:w="576"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1.9</w:t>
                  </w:r>
                </w:p>
              </w:tc>
              <w:tc>
                <w:tcPr>
                  <w:tcW w:w="678"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p>
              </w:tc>
              <w:tc>
                <w:tcPr>
                  <w:tcW w:w="388" w:type="pct"/>
                  <w:tcBorders>
                    <w:top w:val="single" w:color="000000" w:sz="4" w:space="0"/>
                    <w:left w:val="single" w:color="000000" w:sz="4" w:space="0"/>
                    <w:bottom w:val="single" w:color="000000" w:sz="4" w:space="0"/>
                    <w:right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达标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396" w:type="pct"/>
                  <w:vMerge w:val="continue"/>
                  <w:tcBorders>
                    <w:top w:val="single" w:color="000000"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p>
              </w:tc>
              <w:tc>
                <w:tcPr>
                  <w:tcW w:w="454"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p>
              </w:tc>
              <w:tc>
                <w:tcPr>
                  <w:tcW w:w="704"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p>
              </w:tc>
              <w:tc>
                <w:tcPr>
                  <w:tcW w:w="663"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第三次</w:t>
                  </w:r>
                </w:p>
              </w:tc>
              <w:tc>
                <w:tcPr>
                  <w:tcW w:w="609"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73.2</w:t>
                  </w:r>
                </w:p>
              </w:tc>
              <w:tc>
                <w:tcPr>
                  <w:tcW w:w="527"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24311</w:t>
                  </w:r>
                </w:p>
              </w:tc>
              <w:tc>
                <w:tcPr>
                  <w:tcW w:w="576"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1.8</w:t>
                  </w:r>
                </w:p>
              </w:tc>
              <w:tc>
                <w:tcPr>
                  <w:tcW w:w="678"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p>
              </w:tc>
              <w:tc>
                <w:tcPr>
                  <w:tcW w:w="388" w:type="pct"/>
                  <w:tcBorders>
                    <w:top w:val="single" w:color="000000" w:sz="4" w:space="0"/>
                    <w:left w:val="single" w:color="000000" w:sz="4" w:space="0"/>
                    <w:bottom w:val="single" w:color="000000" w:sz="4" w:space="0"/>
                    <w:right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达标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396" w:type="pct"/>
                  <w:vMerge w:val="continue"/>
                  <w:tcBorders>
                    <w:top w:val="single" w:color="000000"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p>
              </w:tc>
              <w:tc>
                <w:tcPr>
                  <w:tcW w:w="454" w:type="pct"/>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沥</w:t>
                  </w:r>
                  <w:r>
                    <w:rPr>
                      <w:rFonts w:hint="default" w:ascii="Times New Roman" w:hAnsi="Times New Roman" w:eastAsia="宋体" w:cs="Times New Roman"/>
                      <w:b w:val="0"/>
                      <w:bCs w:val="0"/>
                      <w:i w:val="0"/>
                      <w:iCs w:val="0"/>
                      <w:color w:val="auto"/>
                      <w:kern w:val="0"/>
                      <w:sz w:val="21"/>
                      <w:szCs w:val="21"/>
                      <w:highlight w:val="none"/>
                      <w:u w:val="none"/>
                      <w:lang w:val="en-US" w:eastAsia="zh-CN" w:bidi="ar"/>
                    </w:rPr>
                    <w:br w:type="textWrapping"/>
                  </w:r>
                  <w:r>
                    <w:rPr>
                      <w:rFonts w:hint="default" w:ascii="Times New Roman" w:hAnsi="Times New Roman" w:eastAsia="宋体" w:cs="Times New Roman"/>
                      <w:b w:val="0"/>
                      <w:bCs w:val="0"/>
                      <w:i w:val="0"/>
                      <w:iCs w:val="0"/>
                      <w:color w:val="auto"/>
                      <w:kern w:val="0"/>
                      <w:sz w:val="21"/>
                      <w:szCs w:val="21"/>
                      <w:highlight w:val="none"/>
                      <w:u w:val="none"/>
                      <w:lang w:val="en-US" w:eastAsia="zh-CN" w:bidi="ar"/>
                    </w:rPr>
                    <w:t>青</w:t>
                  </w:r>
                  <w:r>
                    <w:rPr>
                      <w:rFonts w:hint="default" w:ascii="Times New Roman" w:hAnsi="Times New Roman" w:eastAsia="宋体" w:cs="Times New Roman"/>
                      <w:b w:val="0"/>
                      <w:bCs w:val="0"/>
                      <w:i w:val="0"/>
                      <w:iCs w:val="0"/>
                      <w:color w:val="auto"/>
                      <w:kern w:val="0"/>
                      <w:sz w:val="21"/>
                      <w:szCs w:val="21"/>
                      <w:highlight w:val="none"/>
                      <w:u w:val="none"/>
                      <w:lang w:val="en-US" w:eastAsia="zh-CN" w:bidi="ar"/>
                    </w:rPr>
                    <w:br w:type="textWrapping"/>
                  </w:r>
                  <w:r>
                    <w:rPr>
                      <w:rFonts w:hint="default" w:ascii="Times New Roman" w:hAnsi="Times New Roman" w:eastAsia="宋体" w:cs="Times New Roman"/>
                      <w:b w:val="0"/>
                      <w:bCs w:val="0"/>
                      <w:i w:val="0"/>
                      <w:iCs w:val="0"/>
                      <w:color w:val="auto"/>
                      <w:kern w:val="0"/>
                      <w:sz w:val="21"/>
                      <w:szCs w:val="21"/>
                      <w:highlight w:val="none"/>
                      <w:u w:val="none"/>
                      <w:lang w:val="en-US" w:eastAsia="zh-CN" w:bidi="ar"/>
                    </w:rPr>
                    <w:t>烟</w:t>
                  </w:r>
                </w:p>
              </w:tc>
              <w:tc>
                <w:tcPr>
                  <w:tcW w:w="704" w:type="pct"/>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2017.05.17</w:t>
                  </w:r>
                </w:p>
              </w:tc>
              <w:tc>
                <w:tcPr>
                  <w:tcW w:w="663"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第一次</w:t>
                  </w:r>
                </w:p>
              </w:tc>
              <w:tc>
                <w:tcPr>
                  <w:tcW w:w="609"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9.2</w:t>
                  </w:r>
                </w:p>
              </w:tc>
              <w:tc>
                <w:tcPr>
                  <w:tcW w:w="527"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24914</w:t>
                  </w:r>
                </w:p>
              </w:tc>
              <w:tc>
                <w:tcPr>
                  <w:tcW w:w="576"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0.23</w:t>
                  </w:r>
                </w:p>
              </w:tc>
              <w:tc>
                <w:tcPr>
                  <w:tcW w:w="678"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排放浓度</w:t>
                  </w:r>
                  <w:r>
                    <w:rPr>
                      <w:rFonts w:hint="default" w:ascii="Times New Roman" w:hAnsi="Times New Roman" w:eastAsia="宋体" w:cs="Times New Roman"/>
                      <w:b w:val="0"/>
                      <w:bCs w:val="0"/>
                      <w:i w:val="0"/>
                      <w:iCs w:val="0"/>
                      <w:color w:val="auto"/>
                      <w:kern w:val="0"/>
                      <w:sz w:val="21"/>
                      <w:szCs w:val="21"/>
                      <w:highlight w:val="none"/>
                      <w:u w:val="none"/>
                      <w:lang w:val="en-US" w:eastAsia="zh-CN" w:bidi="ar"/>
                    </w:rPr>
                    <w:br w:type="textWrapping"/>
                  </w:r>
                  <w:r>
                    <w:rPr>
                      <w:rFonts w:hint="default" w:ascii="Times New Roman" w:hAnsi="Times New Roman" w:eastAsia="宋体" w:cs="Times New Roman"/>
                      <w:b w:val="0"/>
                      <w:bCs w:val="0"/>
                      <w:i w:val="0"/>
                      <w:iCs w:val="0"/>
                      <w:color w:val="auto"/>
                      <w:kern w:val="0"/>
                      <w:sz w:val="21"/>
                      <w:szCs w:val="21"/>
                      <w:highlight w:val="none"/>
                      <w:u w:val="none"/>
                      <w:lang w:val="en-US" w:eastAsia="zh-CN" w:bidi="ar"/>
                    </w:rPr>
                    <w:t>75mg/m</w:t>
                  </w:r>
                  <w:r>
                    <w:rPr>
                      <w:rFonts w:hint="default" w:ascii="Times New Roman" w:hAnsi="Times New Roman" w:eastAsia="宋体" w:cs="Times New Roman"/>
                      <w:b w:val="0"/>
                      <w:bCs w:val="0"/>
                      <w:i w:val="0"/>
                      <w:iCs w:val="0"/>
                      <w:color w:val="auto"/>
                      <w:kern w:val="0"/>
                      <w:sz w:val="21"/>
                      <w:szCs w:val="21"/>
                      <w:highlight w:val="none"/>
                      <w:u w:val="none"/>
                      <w:vertAlign w:val="superscript"/>
                      <w:lang w:val="en-US" w:eastAsia="zh-CN" w:bidi="ar"/>
                    </w:rPr>
                    <w:t>3</w:t>
                  </w:r>
                  <w:r>
                    <w:rPr>
                      <w:rFonts w:hint="default" w:ascii="Times New Roman" w:hAnsi="Times New Roman" w:eastAsia="宋体" w:cs="Times New Roman"/>
                      <w:b w:val="0"/>
                      <w:bCs w:val="0"/>
                      <w:i w:val="0"/>
                      <w:iCs w:val="0"/>
                      <w:color w:val="auto"/>
                      <w:kern w:val="0"/>
                      <w:sz w:val="21"/>
                      <w:szCs w:val="21"/>
                      <w:highlight w:val="none"/>
                      <w:u w:val="none"/>
                      <w:lang w:val="en-US" w:eastAsia="zh-CN" w:bidi="ar"/>
                    </w:rPr>
                    <w:br w:type="textWrapping"/>
                  </w:r>
                  <w:r>
                    <w:rPr>
                      <w:rFonts w:hint="default" w:ascii="Times New Roman" w:hAnsi="Times New Roman" w:eastAsia="宋体" w:cs="Times New Roman"/>
                      <w:b w:val="0"/>
                      <w:bCs w:val="0"/>
                      <w:i w:val="0"/>
                      <w:iCs w:val="0"/>
                      <w:color w:val="auto"/>
                      <w:kern w:val="0"/>
                      <w:sz w:val="21"/>
                      <w:szCs w:val="21"/>
                      <w:highlight w:val="none"/>
                      <w:u w:val="none"/>
                      <w:lang w:val="en-US" w:eastAsia="zh-CN" w:bidi="ar"/>
                    </w:rPr>
                    <w:t>排放速率</w:t>
                  </w:r>
                  <w:r>
                    <w:rPr>
                      <w:rFonts w:hint="default" w:ascii="Times New Roman" w:hAnsi="Times New Roman" w:eastAsia="宋体" w:cs="Times New Roman"/>
                      <w:b w:val="0"/>
                      <w:bCs w:val="0"/>
                      <w:i w:val="0"/>
                      <w:iCs w:val="0"/>
                      <w:color w:val="auto"/>
                      <w:kern w:val="0"/>
                      <w:sz w:val="21"/>
                      <w:szCs w:val="21"/>
                      <w:highlight w:val="none"/>
                      <w:u w:val="none"/>
                      <w:lang w:val="en-US" w:eastAsia="zh-CN" w:bidi="ar"/>
                    </w:rPr>
                    <w:br w:type="textWrapping"/>
                  </w:r>
                  <w:r>
                    <w:rPr>
                      <w:rFonts w:hint="default" w:ascii="Times New Roman" w:hAnsi="Times New Roman" w:eastAsia="宋体" w:cs="Times New Roman"/>
                      <w:b w:val="0"/>
                      <w:bCs w:val="0"/>
                      <w:i w:val="0"/>
                      <w:iCs w:val="0"/>
                      <w:color w:val="auto"/>
                      <w:kern w:val="0"/>
                      <w:sz w:val="21"/>
                      <w:szCs w:val="21"/>
                      <w:highlight w:val="none"/>
                      <w:u w:val="none"/>
                      <w:lang w:val="en-US" w:eastAsia="zh-CN" w:bidi="ar"/>
                    </w:rPr>
                    <w:t>0.24kg/h</w:t>
                  </w:r>
                </w:p>
              </w:tc>
              <w:tc>
                <w:tcPr>
                  <w:tcW w:w="388" w:type="pct"/>
                  <w:tcBorders>
                    <w:top w:val="single" w:color="000000" w:sz="4" w:space="0"/>
                    <w:left w:val="single" w:color="000000" w:sz="4" w:space="0"/>
                    <w:bottom w:val="single" w:color="000000" w:sz="4" w:space="0"/>
                    <w:right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达标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396" w:type="pct"/>
                  <w:vMerge w:val="continue"/>
                  <w:tcBorders>
                    <w:top w:val="single" w:color="000000"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p>
              </w:tc>
              <w:tc>
                <w:tcPr>
                  <w:tcW w:w="454"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p>
              </w:tc>
              <w:tc>
                <w:tcPr>
                  <w:tcW w:w="704"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p>
              </w:tc>
              <w:tc>
                <w:tcPr>
                  <w:tcW w:w="663"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第二次</w:t>
                  </w:r>
                </w:p>
              </w:tc>
              <w:tc>
                <w:tcPr>
                  <w:tcW w:w="609"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9.4</w:t>
                  </w:r>
                </w:p>
              </w:tc>
              <w:tc>
                <w:tcPr>
                  <w:tcW w:w="527"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24594</w:t>
                  </w:r>
                </w:p>
              </w:tc>
              <w:tc>
                <w:tcPr>
                  <w:tcW w:w="576"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0.23</w:t>
                  </w:r>
                </w:p>
              </w:tc>
              <w:tc>
                <w:tcPr>
                  <w:tcW w:w="678"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p>
              </w:tc>
              <w:tc>
                <w:tcPr>
                  <w:tcW w:w="388" w:type="pct"/>
                  <w:tcBorders>
                    <w:top w:val="single" w:color="000000" w:sz="4" w:space="0"/>
                    <w:left w:val="single" w:color="000000" w:sz="4" w:space="0"/>
                    <w:bottom w:val="single" w:color="000000" w:sz="4" w:space="0"/>
                    <w:right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达标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396" w:type="pct"/>
                  <w:vMerge w:val="continue"/>
                  <w:tcBorders>
                    <w:top w:val="single" w:color="000000"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p>
              </w:tc>
              <w:tc>
                <w:tcPr>
                  <w:tcW w:w="454"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p>
              </w:tc>
              <w:tc>
                <w:tcPr>
                  <w:tcW w:w="704"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p>
              </w:tc>
              <w:tc>
                <w:tcPr>
                  <w:tcW w:w="663"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第三次</w:t>
                  </w:r>
                </w:p>
              </w:tc>
              <w:tc>
                <w:tcPr>
                  <w:tcW w:w="609"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9.4</w:t>
                  </w:r>
                </w:p>
              </w:tc>
              <w:tc>
                <w:tcPr>
                  <w:tcW w:w="527"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24299</w:t>
                  </w:r>
                </w:p>
              </w:tc>
              <w:tc>
                <w:tcPr>
                  <w:tcW w:w="576"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0.23</w:t>
                  </w:r>
                </w:p>
              </w:tc>
              <w:tc>
                <w:tcPr>
                  <w:tcW w:w="678"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p>
              </w:tc>
              <w:tc>
                <w:tcPr>
                  <w:tcW w:w="388" w:type="pct"/>
                  <w:tcBorders>
                    <w:top w:val="single" w:color="000000" w:sz="4" w:space="0"/>
                    <w:left w:val="single" w:color="000000" w:sz="4" w:space="0"/>
                    <w:bottom w:val="single" w:color="000000" w:sz="4" w:space="0"/>
                    <w:right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达标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396" w:type="pct"/>
                  <w:vMerge w:val="continue"/>
                  <w:tcBorders>
                    <w:top w:val="single" w:color="000000"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p>
              </w:tc>
              <w:tc>
                <w:tcPr>
                  <w:tcW w:w="454"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p>
              </w:tc>
              <w:tc>
                <w:tcPr>
                  <w:tcW w:w="704" w:type="pct"/>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2017.05.18</w:t>
                  </w:r>
                </w:p>
              </w:tc>
              <w:tc>
                <w:tcPr>
                  <w:tcW w:w="663"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第一次</w:t>
                  </w:r>
                </w:p>
              </w:tc>
              <w:tc>
                <w:tcPr>
                  <w:tcW w:w="609"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9.6</w:t>
                  </w:r>
                </w:p>
              </w:tc>
              <w:tc>
                <w:tcPr>
                  <w:tcW w:w="527"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24158</w:t>
                  </w:r>
                </w:p>
              </w:tc>
              <w:tc>
                <w:tcPr>
                  <w:tcW w:w="576"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0.23</w:t>
                  </w:r>
                </w:p>
              </w:tc>
              <w:tc>
                <w:tcPr>
                  <w:tcW w:w="678"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p>
              </w:tc>
              <w:tc>
                <w:tcPr>
                  <w:tcW w:w="388" w:type="pct"/>
                  <w:tcBorders>
                    <w:top w:val="single" w:color="000000" w:sz="4" w:space="0"/>
                    <w:left w:val="single" w:color="000000" w:sz="4" w:space="0"/>
                    <w:bottom w:val="single" w:color="000000" w:sz="4" w:space="0"/>
                    <w:right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达标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396" w:type="pct"/>
                  <w:vMerge w:val="continue"/>
                  <w:tcBorders>
                    <w:top w:val="single" w:color="000000"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p>
              </w:tc>
              <w:tc>
                <w:tcPr>
                  <w:tcW w:w="454"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p>
              </w:tc>
              <w:tc>
                <w:tcPr>
                  <w:tcW w:w="704"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p>
              </w:tc>
              <w:tc>
                <w:tcPr>
                  <w:tcW w:w="663"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第二次</w:t>
                  </w:r>
                </w:p>
              </w:tc>
              <w:tc>
                <w:tcPr>
                  <w:tcW w:w="609"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9.2</w:t>
                  </w:r>
                </w:p>
              </w:tc>
              <w:tc>
                <w:tcPr>
                  <w:tcW w:w="527"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23542</w:t>
                  </w:r>
                </w:p>
              </w:tc>
              <w:tc>
                <w:tcPr>
                  <w:tcW w:w="576"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0.22</w:t>
                  </w:r>
                </w:p>
              </w:tc>
              <w:tc>
                <w:tcPr>
                  <w:tcW w:w="678"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p>
              </w:tc>
              <w:tc>
                <w:tcPr>
                  <w:tcW w:w="388" w:type="pct"/>
                  <w:tcBorders>
                    <w:top w:val="single" w:color="000000" w:sz="4" w:space="0"/>
                    <w:left w:val="single" w:color="000000" w:sz="4" w:space="0"/>
                    <w:bottom w:val="single" w:color="000000" w:sz="4" w:space="0"/>
                    <w:right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达标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396" w:type="pct"/>
                  <w:vMerge w:val="continue"/>
                  <w:tcBorders>
                    <w:top w:val="single" w:color="000000"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p>
              </w:tc>
              <w:tc>
                <w:tcPr>
                  <w:tcW w:w="454"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p>
              </w:tc>
              <w:tc>
                <w:tcPr>
                  <w:tcW w:w="704"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p>
              </w:tc>
              <w:tc>
                <w:tcPr>
                  <w:tcW w:w="663"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第三次</w:t>
                  </w:r>
                </w:p>
              </w:tc>
              <w:tc>
                <w:tcPr>
                  <w:tcW w:w="609"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9.4</w:t>
                  </w:r>
                </w:p>
              </w:tc>
              <w:tc>
                <w:tcPr>
                  <w:tcW w:w="527"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24234</w:t>
                  </w:r>
                </w:p>
              </w:tc>
              <w:tc>
                <w:tcPr>
                  <w:tcW w:w="576"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0.23</w:t>
                  </w:r>
                </w:p>
              </w:tc>
              <w:tc>
                <w:tcPr>
                  <w:tcW w:w="678"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p>
              </w:tc>
              <w:tc>
                <w:tcPr>
                  <w:tcW w:w="388" w:type="pct"/>
                  <w:tcBorders>
                    <w:top w:val="single" w:color="000000" w:sz="4" w:space="0"/>
                    <w:left w:val="single" w:color="000000" w:sz="4" w:space="0"/>
                    <w:bottom w:val="single" w:color="000000" w:sz="4" w:space="0"/>
                    <w:right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达标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396" w:type="pct"/>
                  <w:vMerge w:val="continue"/>
                  <w:tcBorders>
                    <w:top w:val="single" w:color="000000"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p>
              </w:tc>
              <w:tc>
                <w:tcPr>
                  <w:tcW w:w="454" w:type="pct"/>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苯并</w:t>
                  </w:r>
                  <w:r>
                    <w:rPr>
                      <w:rFonts w:hint="default" w:ascii="Times New Roman" w:hAnsi="Times New Roman" w:eastAsia="宋体" w:cs="Times New Roman"/>
                      <w:b w:val="0"/>
                      <w:bCs w:val="0"/>
                      <w:i w:val="0"/>
                      <w:iCs w:val="0"/>
                      <w:color w:val="auto"/>
                      <w:kern w:val="0"/>
                      <w:sz w:val="21"/>
                      <w:szCs w:val="21"/>
                      <w:highlight w:val="none"/>
                      <w:u w:val="none"/>
                      <w:lang w:val="en-US" w:eastAsia="zh-CN" w:bidi="ar"/>
                    </w:rPr>
                    <w:br w:type="textWrapping"/>
                  </w:r>
                  <w:r>
                    <w:rPr>
                      <w:rFonts w:hint="default" w:ascii="Times New Roman" w:hAnsi="Times New Roman" w:eastAsia="宋体" w:cs="Times New Roman"/>
                      <w:b w:val="0"/>
                      <w:bCs w:val="0"/>
                      <w:i w:val="0"/>
                      <w:iCs w:val="0"/>
                      <w:color w:val="auto"/>
                      <w:kern w:val="0"/>
                      <w:sz w:val="21"/>
                      <w:szCs w:val="21"/>
                      <w:highlight w:val="none"/>
                      <w:u w:val="none"/>
                      <w:lang w:val="en-US" w:eastAsia="zh-CN" w:bidi="ar"/>
                    </w:rPr>
                    <w:t>( a)</w:t>
                  </w:r>
                  <w:r>
                    <w:rPr>
                      <w:rFonts w:hint="default" w:ascii="Times New Roman" w:hAnsi="Times New Roman" w:eastAsia="宋体" w:cs="Times New Roman"/>
                      <w:b w:val="0"/>
                      <w:bCs w:val="0"/>
                      <w:i w:val="0"/>
                      <w:iCs w:val="0"/>
                      <w:color w:val="auto"/>
                      <w:kern w:val="0"/>
                      <w:sz w:val="21"/>
                      <w:szCs w:val="21"/>
                      <w:highlight w:val="none"/>
                      <w:u w:val="none"/>
                      <w:lang w:val="en-US" w:eastAsia="zh-CN" w:bidi="ar"/>
                    </w:rPr>
                    <w:br w:type="textWrapping"/>
                  </w:r>
                  <w:r>
                    <w:rPr>
                      <w:rFonts w:hint="default" w:ascii="Times New Roman" w:hAnsi="Times New Roman" w:eastAsia="宋体" w:cs="Times New Roman"/>
                      <w:b w:val="0"/>
                      <w:bCs w:val="0"/>
                      <w:i w:val="0"/>
                      <w:iCs w:val="0"/>
                      <w:color w:val="auto"/>
                      <w:kern w:val="0"/>
                      <w:sz w:val="21"/>
                      <w:szCs w:val="21"/>
                      <w:highlight w:val="none"/>
                      <w:u w:val="none"/>
                      <w:lang w:val="en-US" w:eastAsia="zh-CN" w:bidi="ar"/>
                    </w:rPr>
                    <w:t>芘</w:t>
                  </w:r>
                </w:p>
              </w:tc>
              <w:tc>
                <w:tcPr>
                  <w:tcW w:w="704" w:type="pct"/>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2017.05.17</w:t>
                  </w:r>
                </w:p>
              </w:tc>
              <w:tc>
                <w:tcPr>
                  <w:tcW w:w="663"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第一次</w:t>
                  </w:r>
                </w:p>
              </w:tc>
              <w:tc>
                <w:tcPr>
                  <w:tcW w:w="609"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1.6×10-4</w:t>
                  </w:r>
                </w:p>
              </w:tc>
              <w:tc>
                <w:tcPr>
                  <w:tcW w:w="527"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24067</w:t>
                  </w:r>
                </w:p>
              </w:tc>
              <w:tc>
                <w:tcPr>
                  <w:tcW w:w="576"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3.7×10-6</w:t>
                  </w:r>
                </w:p>
              </w:tc>
              <w:tc>
                <w:tcPr>
                  <w:tcW w:w="678" w:type="pct"/>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排放浓度</w:t>
                  </w:r>
                  <w:r>
                    <w:rPr>
                      <w:rFonts w:hint="default" w:ascii="Times New Roman" w:hAnsi="Times New Roman" w:eastAsia="宋体" w:cs="Times New Roman"/>
                      <w:b w:val="0"/>
                      <w:bCs w:val="0"/>
                      <w:i w:val="0"/>
                      <w:iCs w:val="0"/>
                      <w:color w:val="auto"/>
                      <w:kern w:val="0"/>
                      <w:sz w:val="21"/>
                      <w:szCs w:val="21"/>
                      <w:highlight w:val="none"/>
                      <w:u w:val="none"/>
                      <w:lang w:val="en-US" w:eastAsia="zh-CN" w:bidi="ar"/>
                    </w:rPr>
                    <w:br w:type="textWrapping"/>
                  </w:r>
                  <w:r>
                    <w:rPr>
                      <w:rFonts w:hint="default" w:ascii="Times New Roman" w:hAnsi="Times New Roman" w:eastAsia="宋体" w:cs="Times New Roman"/>
                      <w:b w:val="0"/>
                      <w:bCs w:val="0"/>
                      <w:i w:val="0"/>
                      <w:iCs w:val="0"/>
                      <w:color w:val="auto"/>
                      <w:kern w:val="0"/>
                      <w:sz w:val="21"/>
                      <w:szCs w:val="21"/>
                      <w:highlight w:val="none"/>
                      <w:u w:val="none"/>
                      <w:lang w:val="en-US" w:eastAsia="zh-CN" w:bidi="ar"/>
                    </w:rPr>
                    <w:t>0.30×10</w:t>
                  </w:r>
                  <w:r>
                    <w:rPr>
                      <w:rFonts w:hint="default" w:ascii="Times New Roman" w:hAnsi="Times New Roman" w:eastAsia="宋体" w:cs="Times New Roman"/>
                      <w:b w:val="0"/>
                      <w:bCs w:val="0"/>
                      <w:i w:val="0"/>
                      <w:iCs w:val="0"/>
                      <w:color w:val="auto"/>
                      <w:kern w:val="0"/>
                      <w:sz w:val="21"/>
                      <w:szCs w:val="21"/>
                      <w:highlight w:val="none"/>
                      <w:u w:val="none"/>
                      <w:vertAlign w:val="superscript"/>
                      <w:lang w:val="en-US" w:eastAsia="zh-CN" w:bidi="ar"/>
                    </w:rPr>
                    <w:t>-3</w:t>
                  </w:r>
                  <w:r>
                    <w:rPr>
                      <w:rFonts w:hint="default" w:ascii="Times New Roman" w:hAnsi="Times New Roman" w:eastAsia="宋体" w:cs="Times New Roman"/>
                      <w:b w:val="0"/>
                      <w:bCs w:val="0"/>
                      <w:i w:val="0"/>
                      <w:iCs w:val="0"/>
                      <w:color w:val="auto"/>
                      <w:kern w:val="0"/>
                      <w:sz w:val="21"/>
                      <w:szCs w:val="21"/>
                      <w:highlight w:val="none"/>
                      <w:u w:val="none"/>
                      <w:lang w:val="en-US" w:eastAsia="zh-CN" w:bidi="ar"/>
                    </w:rPr>
                    <w:br w:type="textWrapping"/>
                  </w:r>
                  <w:r>
                    <w:rPr>
                      <w:rFonts w:hint="default" w:ascii="Times New Roman" w:hAnsi="Times New Roman" w:eastAsia="宋体" w:cs="Times New Roman"/>
                      <w:b w:val="0"/>
                      <w:bCs w:val="0"/>
                      <w:i w:val="0"/>
                      <w:iCs w:val="0"/>
                      <w:color w:val="auto"/>
                      <w:kern w:val="0"/>
                      <w:sz w:val="21"/>
                      <w:szCs w:val="21"/>
                      <w:highlight w:val="none"/>
                      <w:u w:val="none"/>
                      <w:lang w:val="en-US" w:eastAsia="zh-CN" w:bidi="ar"/>
                    </w:rPr>
                    <w:t>mg/m3</w:t>
                  </w:r>
                  <w:r>
                    <w:rPr>
                      <w:rFonts w:hint="default" w:ascii="Times New Roman" w:hAnsi="Times New Roman" w:eastAsia="宋体" w:cs="Times New Roman"/>
                      <w:b w:val="0"/>
                      <w:bCs w:val="0"/>
                      <w:i w:val="0"/>
                      <w:iCs w:val="0"/>
                      <w:color w:val="auto"/>
                      <w:kern w:val="0"/>
                      <w:sz w:val="21"/>
                      <w:szCs w:val="21"/>
                      <w:highlight w:val="none"/>
                      <w:u w:val="none"/>
                      <w:lang w:val="en-US" w:eastAsia="zh-CN" w:bidi="ar"/>
                    </w:rPr>
                    <w:br w:type="textWrapping"/>
                  </w:r>
                  <w:r>
                    <w:rPr>
                      <w:rFonts w:hint="default" w:ascii="Times New Roman" w:hAnsi="Times New Roman" w:eastAsia="宋体" w:cs="Times New Roman"/>
                      <w:b w:val="0"/>
                      <w:bCs w:val="0"/>
                      <w:i w:val="0"/>
                      <w:iCs w:val="0"/>
                      <w:color w:val="auto"/>
                      <w:kern w:val="0"/>
                      <w:sz w:val="21"/>
                      <w:szCs w:val="21"/>
                      <w:highlight w:val="none"/>
                      <w:u w:val="none"/>
                      <w:lang w:val="en-US" w:eastAsia="zh-CN" w:bidi="ar"/>
                    </w:rPr>
                    <w:t>排放速率</w:t>
                  </w:r>
                  <w:r>
                    <w:rPr>
                      <w:rFonts w:hint="default" w:ascii="Times New Roman" w:hAnsi="Times New Roman" w:eastAsia="宋体" w:cs="Times New Roman"/>
                      <w:b w:val="0"/>
                      <w:bCs w:val="0"/>
                      <w:i w:val="0"/>
                      <w:iCs w:val="0"/>
                      <w:color w:val="auto"/>
                      <w:kern w:val="0"/>
                      <w:sz w:val="21"/>
                      <w:szCs w:val="21"/>
                      <w:highlight w:val="none"/>
                      <w:u w:val="none"/>
                      <w:lang w:val="en-US" w:eastAsia="zh-CN" w:bidi="ar"/>
                    </w:rPr>
                    <w:br w:type="textWrapping"/>
                  </w:r>
                  <w:r>
                    <w:rPr>
                      <w:rFonts w:hint="default" w:ascii="Times New Roman" w:hAnsi="Times New Roman" w:eastAsia="宋体" w:cs="Times New Roman"/>
                      <w:b w:val="0"/>
                      <w:bCs w:val="0"/>
                      <w:i w:val="0"/>
                      <w:iCs w:val="0"/>
                      <w:color w:val="auto"/>
                      <w:kern w:val="0"/>
                      <w:sz w:val="21"/>
                      <w:szCs w:val="21"/>
                      <w:highlight w:val="none"/>
                      <w:u w:val="none"/>
                      <w:lang w:val="en-US" w:eastAsia="zh-CN" w:bidi="ar"/>
                    </w:rPr>
                    <w:t>0.068×10</w:t>
                  </w:r>
                  <w:r>
                    <w:rPr>
                      <w:rFonts w:hint="default" w:ascii="Times New Roman" w:hAnsi="Times New Roman" w:eastAsia="宋体" w:cs="Times New Roman"/>
                      <w:b w:val="0"/>
                      <w:bCs w:val="0"/>
                      <w:i w:val="0"/>
                      <w:iCs w:val="0"/>
                      <w:color w:val="auto"/>
                      <w:kern w:val="0"/>
                      <w:sz w:val="21"/>
                      <w:szCs w:val="21"/>
                      <w:highlight w:val="none"/>
                      <w:u w:val="none"/>
                      <w:vertAlign w:val="superscript"/>
                      <w:lang w:val="en-US" w:eastAsia="zh-CN" w:bidi="ar"/>
                    </w:rPr>
                    <w:t>-3</w:t>
                  </w:r>
                  <w:r>
                    <w:rPr>
                      <w:rFonts w:hint="default" w:ascii="Times New Roman" w:hAnsi="Times New Roman" w:eastAsia="宋体" w:cs="Times New Roman"/>
                      <w:b w:val="0"/>
                      <w:bCs w:val="0"/>
                      <w:i w:val="0"/>
                      <w:iCs w:val="0"/>
                      <w:color w:val="auto"/>
                      <w:kern w:val="0"/>
                      <w:sz w:val="21"/>
                      <w:szCs w:val="21"/>
                      <w:highlight w:val="none"/>
                      <w:u w:val="none"/>
                      <w:lang w:val="en-US" w:eastAsia="zh-CN" w:bidi="ar"/>
                    </w:rPr>
                    <w:br w:type="textWrapping"/>
                  </w:r>
                  <w:r>
                    <w:rPr>
                      <w:rFonts w:hint="default" w:ascii="Times New Roman" w:hAnsi="Times New Roman" w:eastAsia="宋体" w:cs="Times New Roman"/>
                      <w:b w:val="0"/>
                      <w:bCs w:val="0"/>
                      <w:i w:val="0"/>
                      <w:iCs w:val="0"/>
                      <w:color w:val="auto"/>
                      <w:kern w:val="0"/>
                      <w:sz w:val="21"/>
                      <w:szCs w:val="21"/>
                      <w:highlight w:val="none"/>
                      <w:u w:val="none"/>
                      <w:lang w:val="en-US" w:eastAsia="zh-CN" w:bidi="ar"/>
                    </w:rPr>
                    <w:t>kg/h</w:t>
                  </w:r>
                </w:p>
              </w:tc>
              <w:tc>
                <w:tcPr>
                  <w:tcW w:w="388" w:type="pct"/>
                  <w:tcBorders>
                    <w:top w:val="single" w:color="000000" w:sz="4" w:space="0"/>
                    <w:left w:val="single" w:color="000000" w:sz="4" w:space="0"/>
                    <w:bottom w:val="single" w:color="000000" w:sz="4" w:space="0"/>
                    <w:right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|达标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396" w:type="pct"/>
                  <w:vMerge w:val="continue"/>
                  <w:tcBorders>
                    <w:top w:val="single" w:color="000000"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p>
              </w:tc>
              <w:tc>
                <w:tcPr>
                  <w:tcW w:w="454"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p>
              </w:tc>
              <w:tc>
                <w:tcPr>
                  <w:tcW w:w="704"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p>
              </w:tc>
              <w:tc>
                <w:tcPr>
                  <w:tcW w:w="663"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第二次</w:t>
                  </w:r>
                </w:p>
              </w:tc>
              <w:tc>
                <w:tcPr>
                  <w:tcW w:w="609"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1.4×10-</w:t>
                  </w:r>
                </w:p>
              </w:tc>
              <w:tc>
                <w:tcPr>
                  <w:tcW w:w="527"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25174</w:t>
                  </w:r>
                </w:p>
              </w:tc>
              <w:tc>
                <w:tcPr>
                  <w:tcW w:w="576"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3.4×10-6</w:t>
                  </w:r>
                </w:p>
              </w:tc>
              <w:tc>
                <w:tcPr>
                  <w:tcW w:w="678"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p>
              </w:tc>
              <w:tc>
                <w:tcPr>
                  <w:tcW w:w="388" w:type="pct"/>
                  <w:tcBorders>
                    <w:top w:val="single" w:color="000000" w:sz="4" w:space="0"/>
                    <w:left w:val="single" w:color="000000" w:sz="4" w:space="0"/>
                    <w:bottom w:val="single" w:color="000000" w:sz="4" w:space="0"/>
                    <w:right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达标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396" w:type="pct"/>
                  <w:vMerge w:val="continue"/>
                  <w:tcBorders>
                    <w:top w:val="single" w:color="000000"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p>
              </w:tc>
              <w:tc>
                <w:tcPr>
                  <w:tcW w:w="454"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p>
              </w:tc>
              <w:tc>
                <w:tcPr>
                  <w:tcW w:w="704"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p>
              </w:tc>
              <w:tc>
                <w:tcPr>
                  <w:tcW w:w="663"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第三次</w:t>
                  </w:r>
                </w:p>
              </w:tc>
              <w:tc>
                <w:tcPr>
                  <w:tcW w:w="609"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1.4×104</w:t>
                  </w:r>
                </w:p>
              </w:tc>
              <w:tc>
                <w:tcPr>
                  <w:tcW w:w="527"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25253</w:t>
                  </w:r>
                </w:p>
              </w:tc>
              <w:tc>
                <w:tcPr>
                  <w:tcW w:w="576"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3.6×10-6</w:t>
                  </w:r>
                </w:p>
              </w:tc>
              <w:tc>
                <w:tcPr>
                  <w:tcW w:w="678"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p>
              </w:tc>
              <w:tc>
                <w:tcPr>
                  <w:tcW w:w="388" w:type="pct"/>
                  <w:tcBorders>
                    <w:top w:val="single" w:color="000000" w:sz="4" w:space="0"/>
                    <w:left w:val="single" w:color="000000" w:sz="4" w:space="0"/>
                    <w:bottom w:val="single" w:color="000000" w:sz="4" w:space="0"/>
                    <w:right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达标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396" w:type="pct"/>
                  <w:vMerge w:val="continue"/>
                  <w:tcBorders>
                    <w:top w:val="single" w:color="000000"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p>
              </w:tc>
              <w:tc>
                <w:tcPr>
                  <w:tcW w:w="454"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p>
              </w:tc>
              <w:tc>
                <w:tcPr>
                  <w:tcW w:w="704" w:type="pct"/>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2017.05.18</w:t>
                  </w:r>
                </w:p>
              </w:tc>
              <w:tc>
                <w:tcPr>
                  <w:tcW w:w="663"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第一次</w:t>
                  </w:r>
                </w:p>
              </w:tc>
              <w:tc>
                <w:tcPr>
                  <w:tcW w:w="609"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1.3×104</w:t>
                  </w:r>
                </w:p>
              </w:tc>
              <w:tc>
                <w:tcPr>
                  <w:tcW w:w="527"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23883</w:t>
                  </w:r>
                </w:p>
              </w:tc>
              <w:tc>
                <w:tcPr>
                  <w:tcW w:w="576"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3.2×10-6</w:t>
                  </w:r>
                </w:p>
              </w:tc>
              <w:tc>
                <w:tcPr>
                  <w:tcW w:w="678"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p>
              </w:tc>
              <w:tc>
                <w:tcPr>
                  <w:tcW w:w="388" w:type="pct"/>
                  <w:tcBorders>
                    <w:top w:val="single" w:color="000000" w:sz="4" w:space="0"/>
                    <w:left w:val="single" w:color="000000" w:sz="4" w:space="0"/>
                    <w:bottom w:val="single" w:color="000000" w:sz="4" w:space="0"/>
                    <w:right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达标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396" w:type="pct"/>
                  <w:vMerge w:val="continue"/>
                  <w:tcBorders>
                    <w:top w:val="single" w:color="000000"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p>
              </w:tc>
              <w:tc>
                <w:tcPr>
                  <w:tcW w:w="454"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p>
              </w:tc>
              <w:tc>
                <w:tcPr>
                  <w:tcW w:w="704"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p>
              </w:tc>
              <w:tc>
                <w:tcPr>
                  <w:tcW w:w="663"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第二次</w:t>
                  </w:r>
                </w:p>
              </w:tc>
              <w:tc>
                <w:tcPr>
                  <w:tcW w:w="609"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1.3×104</w:t>
                  </w:r>
                </w:p>
              </w:tc>
              <w:tc>
                <w:tcPr>
                  <w:tcW w:w="527"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23906</w:t>
                  </w:r>
                </w:p>
              </w:tc>
              <w:tc>
                <w:tcPr>
                  <w:tcW w:w="576"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3.2×10-6</w:t>
                  </w:r>
                </w:p>
              </w:tc>
              <w:tc>
                <w:tcPr>
                  <w:tcW w:w="678"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p>
              </w:tc>
              <w:tc>
                <w:tcPr>
                  <w:tcW w:w="388" w:type="pct"/>
                  <w:tcBorders>
                    <w:top w:val="single" w:color="000000" w:sz="4" w:space="0"/>
                    <w:left w:val="single" w:color="000000" w:sz="4" w:space="0"/>
                    <w:bottom w:val="single" w:color="000000" w:sz="4" w:space="0"/>
                    <w:right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达标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396" w:type="pct"/>
                  <w:vMerge w:val="continue"/>
                  <w:tcBorders>
                    <w:top w:val="single" w:color="000000"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p>
              </w:tc>
              <w:tc>
                <w:tcPr>
                  <w:tcW w:w="454"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p>
              </w:tc>
              <w:tc>
                <w:tcPr>
                  <w:tcW w:w="704"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p>
              </w:tc>
              <w:tc>
                <w:tcPr>
                  <w:tcW w:w="663"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第三次</w:t>
                  </w:r>
                </w:p>
              </w:tc>
              <w:tc>
                <w:tcPr>
                  <w:tcW w:w="609"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1.5×104</w:t>
                  </w:r>
                </w:p>
              </w:tc>
              <w:tc>
                <w:tcPr>
                  <w:tcW w:w="527"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24278</w:t>
                  </w:r>
                </w:p>
              </w:tc>
              <w:tc>
                <w:tcPr>
                  <w:tcW w:w="576"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3.6×10-6</w:t>
                  </w:r>
                </w:p>
              </w:tc>
              <w:tc>
                <w:tcPr>
                  <w:tcW w:w="678"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p>
              </w:tc>
              <w:tc>
                <w:tcPr>
                  <w:tcW w:w="388" w:type="pct"/>
                  <w:tcBorders>
                    <w:top w:val="single" w:color="000000" w:sz="4" w:space="0"/>
                    <w:left w:val="single" w:color="000000" w:sz="4" w:space="0"/>
                    <w:bottom w:val="single" w:color="000000" w:sz="4" w:space="0"/>
                    <w:right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达标</w:t>
                  </w:r>
                </w:p>
              </w:tc>
            </w:tr>
          </w:tbl>
          <w:p>
            <w:pPr>
              <w:spacing w:line="360" w:lineRule="auto"/>
              <w:ind w:firstLine="482" w:firstLineChars="200"/>
              <w:jc w:val="both"/>
              <w:rPr>
                <w:rFonts w:hint="default" w:ascii="Times New Roman" w:hAnsi="Times New Roman" w:eastAsia="宋体" w:cs="Times New Roman"/>
                <w:b/>
                <w:bCs/>
                <w:snapToGrid w:val="0"/>
                <w:color w:val="auto"/>
                <w:kern w:val="0"/>
                <w:sz w:val="24"/>
                <w:highlight w:val="none"/>
                <w:lang w:val="en-US" w:eastAsia="zh-CN"/>
              </w:rPr>
            </w:pPr>
            <w:r>
              <w:rPr>
                <w:rFonts w:hint="default" w:ascii="Times New Roman" w:hAnsi="Times New Roman" w:eastAsia="宋体" w:cs="Times New Roman"/>
                <w:b/>
                <w:bCs/>
                <w:snapToGrid w:val="0"/>
                <w:color w:val="auto"/>
                <w:kern w:val="0"/>
                <w:sz w:val="24"/>
                <w:highlight w:val="none"/>
                <w:lang w:val="en-US" w:eastAsia="zh-CN"/>
              </w:rPr>
              <w:t>注：该项目排气筒高度为17.5m，根据《大气污染物综合排放标准》(GB16297-1996）附录B,采用内插法计算排放速率。</w:t>
            </w:r>
          </w:p>
          <w:p>
            <w:pPr>
              <w:spacing w:line="360" w:lineRule="auto"/>
              <w:ind w:firstLine="480" w:firstLineChars="200"/>
              <w:jc w:val="both"/>
              <w:rPr>
                <w:rFonts w:hint="eastAsia" w:ascii="Calibri" w:hAnsi="Calibri" w:eastAsia="宋体"/>
                <w:snapToGrid w:val="0"/>
                <w:color w:val="auto"/>
                <w:kern w:val="0"/>
                <w:sz w:val="24"/>
                <w:highlight w:val="none"/>
                <w:lang w:val="en-US" w:eastAsia="zh-CN"/>
              </w:rPr>
            </w:pPr>
            <w:r>
              <w:rPr>
                <w:rFonts w:hint="eastAsia" w:ascii="Calibri" w:hAnsi="Calibri"/>
                <w:snapToGrid w:val="0"/>
                <w:color w:val="auto"/>
                <w:kern w:val="0"/>
                <w:sz w:val="24"/>
                <w:highlight w:val="none"/>
                <w:lang w:val="en-US" w:eastAsia="zh-CN"/>
              </w:rPr>
              <w:t>监测结果表明：有组织废气排放浓度符合《大气污染物综合排放标准》(GB16297-1996）中二级标准。综上，本项目采用燃烧法处理</w:t>
            </w:r>
            <w:r>
              <w:rPr>
                <w:rFonts w:ascii="Calibri" w:hAnsi="Calibri"/>
                <w:snapToGrid w:val="0"/>
                <w:color w:val="auto"/>
                <w:kern w:val="0"/>
                <w:sz w:val="24"/>
                <w:highlight w:val="none"/>
              </w:rPr>
              <w:t>沥青烟气</w:t>
            </w:r>
            <w:r>
              <w:rPr>
                <w:rFonts w:hint="eastAsia" w:ascii="Calibri" w:hAnsi="Calibri"/>
                <w:snapToGrid w:val="0"/>
                <w:color w:val="auto"/>
                <w:kern w:val="0"/>
                <w:sz w:val="24"/>
                <w:highlight w:val="none"/>
                <w:lang w:eastAsia="zh-CN"/>
              </w:rPr>
              <w:t>，</w:t>
            </w:r>
            <w:r>
              <w:rPr>
                <w:rFonts w:hint="eastAsia" w:ascii="Calibri" w:hAnsi="Calibri"/>
                <w:snapToGrid w:val="0"/>
                <w:color w:val="auto"/>
                <w:kern w:val="0"/>
                <w:sz w:val="24"/>
                <w:highlight w:val="none"/>
              </w:rPr>
              <w:t>排气筒排放污染物浓度及排放速率可</w:t>
            </w:r>
            <w:r>
              <w:rPr>
                <w:rFonts w:hint="eastAsia" w:ascii="Calibri" w:hAnsi="Calibri"/>
                <w:snapToGrid w:val="0"/>
                <w:color w:val="auto"/>
                <w:kern w:val="0"/>
                <w:sz w:val="24"/>
                <w:highlight w:val="none"/>
                <w:lang w:val="en-US" w:eastAsia="zh-CN"/>
              </w:rPr>
              <w:t>满足</w:t>
            </w:r>
            <w:r>
              <w:rPr>
                <w:rFonts w:hint="eastAsia"/>
                <w:color w:val="auto"/>
                <w:sz w:val="24"/>
                <w:highlight w:val="none"/>
              </w:rPr>
              <w:t>《大气污染物综合排放标准》(GB16297-1996）中二级标准，措施可行</w:t>
            </w:r>
            <w:r>
              <w:rPr>
                <w:rFonts w:hint="eastAsia"/>
                <w:color w:val="auto"/>
                <w:sz w:val="24"/>
                <w:highlight w:val="none"/>
                <w:lang w:eastAsia="zh-CN"/>
              </w:rPr>
              <w:t>。</w:t>
            </w:r>
          </w:p>
          <w:p>
            <w:pPr>
              <w:spacing w:line="360" w:lineRule="auto"/>
              <w:ind w:firstLine="480" w:firstLineChars="200"/>
              <w:jc w:val="both"/>
              <w:rPr>
                <w:rFonts w:ascii="Calibri" w:hAnsi="Calibri"/>
                <w:snapToGrid w:val="0"/>
                <w:color w:val="auto"/>
                <w:kern w:val="0"/>
                <w:sz w:val="24"/>
                <w:highlight w:val="none"/>
              </w:rPr>
            </w:pPr>
            <w:r>
              <w:rPr>
                <w:rFonts w:ascii="Calibri" w:hAnsi="Calibri"/>
                <w:snapToGrid w:val="0"/>
                <w:color w:val="auto"/>
                <w:kern w:val="0"/>
                <w:sz w:val="24"/>
                <w:highlight w:val="none"/>
              </w:rPr>
              <w:t>④沥青储罐加热产生沥青烟气：采用负压收集后由专用管道引致烘干筒燃烧器燃烧处置后与燃气废气一并从1#排气简排放，燃烧处理效率达90%。</w:t>
            </w:r>
            <w:r>
              <w:rPr>
                <w:rFonts w:hint="eastAsia" w:ascii="Calibri" w:hAnsi="Calibri"/>
                <w:snapToGrid w:val="0"/>
                <w:color w:val="auto"/>
                <w:kern w:val="0"/>
                <w:sz w:val="24"/>
                <w:highlight w:val="none"/>
              </w:rPr>
              <w:t>同上，排气筒排放污染物浓度及排放速率可</w:t>
            </w:r>
            <w:r>
              <w:rPr>
                <w:rFonts w:hint="eastAsia"/>
                <w:color w:val="auto"/>
                <w:sz w:val="24"/>
                <w:highlight w:val="none"/>
              </w:rPr>
              <w:t>《大气污染物综合排放标准》(GB16297-1996）中二级标准，措施可行</w:t>
            </w:r>
            <w:r>
              <w:rPr>
                <w:rFonts w:hint="eastAsia" w:ascii="Calibri" w:hAnsi="Calibri"/>
                <w:snapToGrid w:val="0"/>
                <w:color w:val="auto"/>
                <w:kern w:val="0"/>
                <w:sz w:val="24"/>
                <w:highlight w:val="none"/>
              </w:rPr>
              <w:t>。</w:t>
            </w:r>
          </w:p>
          <w:p>
            <w:pPr>
              <w:spacing w:line="360" w:lineRule="auto"/>
              <w:ind w:firstLine="480" w:firstLineChars="200"/>
              <w:jc w:val="left"/>
              <w:rPr>
                <w:rFonts w:ascii="Calibri" w:hAnsi="Calibri"/>
                <w:snapToGrid w:val="0"/>
                <w:color w:val="auto"/>
                <w:kern w:val="0"/>
                <w:sz w:val="24"/>
                <w:highlight w:val="none"/>
              </w:rPr>
            </w:pPr>
            <w:r>
              <w:rPr>
                <w:rFonts w:ascii="Calibri" w:hAnsi="Calibri"/>
                <w:snapToGrid w:val="0"/>
                <w:color w:val="auto"/>
                <w:kern w:val="0"/>
                <w:sz w:val="24"/>
                <w:highlight w:val="none"/>
              </w:rPr>
              <w:t>⑤骨料堆场粉尘：骨料堆场调整为三面封闭，加装喷淋装置</w:t>
            </w:r>
            <w:r>
              <w:rPr>
                <w:rFonts w:hint="eastAsia" w:ascii="Calibri" w:hAnsi="Calibri"/>
                <w:snapToGrid w:val="0"/>
                <w:color w:val="auto"/>
                <w:kern w:val="0"/>
                <w:sz w:val="24"/>
                <w:highlight w:val="none"/>
              </w:rPr>
              <w:t>，</w:t>
            </w:r>
            <w:r>
              <w:rPr>
                <w:rFonts w:hint="eastAsia"/>
                <w:color w:val="auto"/>
                <w:sz w:val="24"/>
                <w:highlight w:val="none"/>
              </w:rPr>
              <w:t>其除尘效率达85%，措施可行。</w:t>
            </w:r>
          </w:p>
          <w:p>
            <w:pPr>
              <w:spacing w:line="360" w:lineRule="auto"/>
              <w:ind w:firstLine="480" w:firstLineChars="200"/>
              <w:jc w:val="left"/>
              <w:rPr>
                <w:rFonts w:ascii="Calibri" w:hAnsi="Calibri"/>
                <w:snapToGrid w:val="0"/>
                <w:color w:val="auto"/>
                <w:kern w:val="0"/>
                <w:sz w:val="24"/>
                <w:highlight w:val="none"/>
              </w:rPr>
            </w:pPr>
            <w:r>
              <w:rPr>
                <w:rFonts w:ascii="Calibri" w:hAnsi="Calibri"/>
                <w:snapToGrid w:val="0"/>
                <w:color w:val="auto"/>
                <w:kern w:val="0"/>
                <w:sz w:val="24"/>
                <w:highlight w:val="none"/>
              </w:rPr>
              <w:t>⑥厂区道路扬尘：道路进行硬化，同时进行洒水降尘</w:t>
            </w:r>
            <w:r>
              <w:rPr>
                <w:rFonts w:hint="eastAsia" w:ascii="Calibri" w:hAnsi="Calibri"/>
                <w:snapToGrid w:val="0"/>
                <w:color w:val="auto"/>
                <w:kern w:val="0"/>
                <w:sz w:val="24"/>
                <w:highlight w:val="none"/>
              </w:rPr>
              <w:t>，尽可能减少扬尘产生量，措施可行。</w:t>
            </w:r>
          </w:p>
          <w:p>
            <w:pPr>
              <w:adjustRightInd w:val="0"/>
              <w:snapToGrid w:val="0"/>
              <w:spacing w:line="360" w:lineRule="auto"/>
              <w:ind w:firstLine="480" w:firstLineChars="200"/>
              <w:rPr>
                <w:snapToGrid w:val="0"/>
                <w:color w:val="auto"/>
                <w:kern w:val="0"/>
                <w:sz w:val="24"/>
                <w:highlight w:val="none"/>
              </w:rPr>
            </w:pPr>
            <w:r>
              <w:rPr>
                <w:rFonts w:hint="eastAsia"/>
                <w:snapToGrid w:val="0"/>
                <w:color w:val="auto"/>
                <w:kern w:val="0"/>
                <w:sz w:val="24"/>
                <w:highlight w:val="none"/>
              </w:rPr>
              <w:t>4、废气环境影响分析</w:t>
            </w:r>
          </w:p>
          <w:p>
            <w:pPr>
              <w:spacing w:line="360" w:lineRule="auto"/>
              <w:ind w:firstLine="480" w:firstLineChars="200"/>
              <w:jc w:val="left"/>
              <w:rPr>
                <w:rFonts w:hint="eastAsia"/>
                <w:snapToGrid w:val="0"/>
                <w:color w:val="auto"/>
                <w:kern w:val="0"/>
                <w:sz w:val="24"/>
                <w:highlight w:val="none"/>
              </w:rPr>
            </w:pPr>
            <w:r>
              <w:rPr>
                <w:snapToGrid w:val="0"/>
                <w:color w:val="auto"/>
                <w:kern w:val="0"/>
                <w:sz w:val="24"/>
                <w:highlight w:val="none"/>
              </w:rPr>
              <w:t>项目运营期大气影响废气排放主要为：</w:t>
            </w:r>
            <w:r>
              <w:rPr>
                <w:rFonts w:hint="eastAsia"/>
                <w:snapToGrid w:val="0"/>
                <w:color w:val="auto"/>
                <w:kern w:val="0"/>
                <w:sz w:val="24"/>
                <w:highlight w:val="none"/>
              </w:rPr>
              <w:t>骨料加热粉尘及燃烧尾气</w:t>
            </w:r>
            <w:r>
              <w:rPr>
                <w:snapToGrid w:val="0"/>
                <w:color w:val="auto"/>
                <w:kern w:val="0"/>
                <w:sz w:val="24"/>
                <w:highlight w:val="none"/>
              </w:rPr>
              <w:t>、</w:t>
            </w:r>
            <w:r>
              <w:rPr>
                <w:rFonts w:hint="eastAsia"/>
                <w:snapToGrid w:val="0"/>
                <w:color w:val="auto"/>
                <w:kern w:val="0"/>
                <w:sz w:val="24"/>
                <w:highlight w:val="none"/>
              </w:rPr>
              <w:t>沥青烟气、导热油炉燃烧尾气</w:t>
            </w:r>
            <w:r>
              <w:rPr>
                <w:snapToGrid w:val="0"/>
                <w:color w:val="auto"/>
                <w:kern w:val="0"/>
                <w:sz w:val="24"/>
                <w:highlight w:val="none"/>
              </w:rPr>
              <w:t>的有组织废气；无组织源主要为</w:t>
            </w:r>
            <w:r>
              <w:rPr>
                <w:rFonts w:hint="eastAsia"/>
                <w:snapToGrid w:val="0"/>
                <w:color w:val="auto"/>
                <w:kern w:val="0"/>
                <w:sz w:val="24"/>
                <w:highlight w:val="none"/>
              </w:rPr>
              <w:t>原料堆场扬尘及沥青搅拌楼主楼沥青烟气的无组织排放</w:t>
            </w:r>
            <w:r>
              <w:rPr>
                <w:snapToGrid w:val="0"/>
                <w:color w:val="auto"/>
                <w:kern w:val="0"/>
                <w:sz w:val="24"/>
                <w:highlight w:val="none"/>
              </w:rPr>
              <w:t>。根据工程分析，有组织和无组织废气特征污染物主要为：PM</w:t>
            </w:r>
            <w:r>
              <w:rPr>
                <w:snapToGrid w:val="0"/>
                <w:color w:val="auto"/>
                <w:kern w:val="0"/>
                <w:sz w:val="24"/>
                <w:highlight w:val="none"/>
                <w:vertAlign w:val="subscript"/>
              </w:rPr>
              <w:t>10</w:t>
            </w:r>
            <w:r>
              <w:rPr>
                <w:snapToGrid w:val="0"/>
                <w:color w:val="auto"/>
                <w:kern w:val="0"/>
                <w:sz w:val="24"/>
                <w:highlight w:val="none"/>
              </w:rPr>
              <w:t>、SO</w:t>
            </w:r>
            <w:r>
              <w:rPr>
                <w:snapToGrid w:val="0"/>
                <w:color w:val="auto"/>
                <w:kern w:val="0"/>
                <w:sz w:val="24"/>
                <w:highlight w:val="none"/>
                <w:vertAlign w:val="subscript"/>
              </w:rPr>
              <w:t>2</w:t>
            </w:r>
            <w:r>
              <w:rPr>
                <w:snapToGrid w:val="0"/>
                <w:color w:val="auto"/>
                <w:kern w:val="0"/>
                <w:sz w:val="24"/>
                <w:highlight w:val="none"/>
              </w:rPr>
              <w:t>、NO</w:t>
            </w:r>
            <w:r>
              <w:rPr>
                <w:snapToGrid w:val="0"/>
                <w:color w:val="auto"/>
                <w:kern w:val="0"/>
                <w:sz w:val="24"/>
                <w:highlight w:val="none"/>
                <w:vertAlign w:val="subscript"/>
              </w:rPr>
              <w:t>X</w:t>
            </w:r>
            <w:r>
              <w:rPr>
                <w:rFonts w:hint="eastAsia"/>
                <w:snapToGrid w:val="0"/>
                <w:color w:val="auto"/>
                <w:kern w:val="0"/>
                <w:sz w:val="24"/>
                <w:highlight w:val="none"/>
              </w:rPr>
              <w:t>、沥青烟、苯并芘、非甲烷总烃、TSP，因沥青烟无质量标准，因此本次评价不对其进行环境影响预测</w:t>
            </w:r>
            <w:r>
              <w:rPr>
                <w:snapToGrid w:val="0"/>
                <w:color w:val="auto"/>
                <w:kern w:val="0"/>
                <w:sz w:val="24"/>
                <w:highlight w:val="none"/>
              </w:rPr>
              <w:t>。</w:t>
            </w:r>
          </w:p>
          <w:p>
            <w:pPr>
              <w:spacing w:line="360" w:lineRule="auto"/>
              <w:ind w:firstLine="480" w:firstLineChars="200"/>
              <w:jc w:val="left"/>
              <w:rPr>
                <w:snapToGrid w:val="0"/>
                <w:color w:val="auto"/>
                <w:kern w:val="0"/>
                <w:sz w:val="24"/>
                <w:highlight w:val="none"/>
              </w:rPr>
            </w:pPr>
            <w:r>
              <w:rPr>
                <w:snapToGrid w:val="0"/>
                <w:color w:val="auto"/>
                <w:kern w:val="0"/>
                <w:sz w:val="24"/>
                <w:highlight w:val="none"/>
              </w:rPr>
              <w:t>（1）大气运营期源强</w:t>
            </w:r>
          </w:p>
          <w:p>
            <w:pPr>
              <w:spacing w:before="120" w:beforeLines="50"/>
              <w:jc w:val="center"/>
              <w:rPr>
                <w:b/>
                <w:bCs/>
                <w:color w:val="auto"/>
                <w:highlight w:val="none"/>
              </w:rPr>
            </w:pPr>
            <w:r>
              <w:rPr>
                <w:b/>
                <w:bCs/>
                <w:color w:val="auto"/>
                <w:highlight w:val="none"/>
              </w:rPr>
              <w:t>表</w:t>
            </w:r>
            <w:r>
              <w:rPr>
                <w:rFonts w:hint="eastAsia"/>
                <w:b/>
                <w:bCs/>
                <w:color w:val="auto"/>
                <w:highlight w:val="none"/>
              </w:rPr>
              <w:t>4-</w:t>
            </w:r>
            <w:r>
              <w:rPr>
                <w:rFonts w:hint="eastAsia"/>
                <w:b/>
                <w:bCs/>
                <w:color w:val="auto"/>
                <w:highlight w:val="none"/>
                <w:lang w:val="en-US" w:eastAsia="zh-CN"/>
              </w:rPr>
              <w:t>9</w:t>
            </w:r>
            <w:r>
              <w:rPr>
                <w:b/>
                <w:bCs/>
                <w:color w:val="auto"/>
                <w:highlight w:val="none"/>
              </w:rPr>
              <w:t xml:space="preserve"> 有组织点源排放估算模式参数一览表</w:t>
            </w:r>
          </w:p>
          <w:tbl>
            <w:tblPr>
              <w:tblStyle w:val="39"/>
              <w:tblW w:w="8318"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354"/>
              <w:gridCol w:w="511"/>
              <w:gridCol w:w="845"/>
              <w:gridCol w:w="773"/>
              <w:gridCol w:w="793"/>
              <w:gridCol w:w="538"/>
              <w:gridCol w:w="640"/>
              <w:gridCol w:w="650"/>
              <w:gridCol w:w="500"/>
              <w:gridCol w:w="550"/>
              <w:gridCol w:w="541"/>
              <w:gridCol w:w="710"/>
              <w:gridCol w:w="913"/>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atLeast"/>
                <w:jc w:val="center"/>
              </w:trPr>
              <w:tc>
                <w:tcPr>
                  <w:tcW w:w="213" w:type="pct"/>
                  <w:vMerge w:val="restar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编</w:t>
                  </w:r>
                  <w:r>
                    <w:rPr>
                      <w:rFonts w:hint="default" w:ascii="Times New Roman" w:hAnsi="Times New Roman" w:eastAsia="宋体" w:cs="Times New Roman"/>
                      <w:b/>
                      <w:bCs/>
                      <w:i w:val="0"/>
                      <w:iCs w:val="0"/>
                      <w:color w:val="auto"/>
                      <w:kern w:val="0"/>
                      <w:sz w:val="21"/>
                      <w:szCs w:val="21"/>
                      <w:highlight w:val="none"/>
                      <w:u w:val="none"/>
                      <w:lang w:val="en-US" w:eastAsia="zh-CN" w:bidi="ar"/>
                    </w:rPr>
                    <w:br w:type="textWrapping"/>
                  </w:r>
                  <w:r>
                    <w:rPr>
                      <w:rFonts w:hint="default" w:ascii="Times New Roman" w:hAnsi="Times New Roman" w:eastAsia="宋体" w:cs="Times New Roman"/>
                      <w:b/>
                      <w:bCs/>
                      <w:i w:val="0"/>
                      <w:iCs w:val="0"/>
                      <w:color w:val="auto"/>
                      <w:kern w:val="0"/>
                      <w:sz w:val="21"/>
                      <w:szCs w:val="21"/>
                      <w:highlight w:val="none"/>
                      <w:u w:val="none"/>
                      <w:lang w:val="en-US" w:eastAsia="zh-CN" w:bidi="ar"/>
                    </w:rPr>
                    <w:t>号</w:t>
                  </w:r>
                </w:p>
              </w:tc>
              <w:tc>
                <w:tcPr>
                  <w:tcW w:w="307" w:type="pct"/>
                  <w:vMerge w:val="restart"/>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名称</w:t>
                  </w:r>
                </w:p>
              </w:tc>
              <w:tc>
                <w:tcPr>
                  <w:tcW w:w="971" w:type="pct"/>
                  <w:gridSpan w:val="2"/>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排气简底部中</w:t>
                  </w:r>
                  <w:r>
                    <w:rPr>
                      <w:rFonts w:hint="default" w:ascii="Times New Roman" w:hAnsi="Times New Roman" w:eastAsia="宋体" w:cs="Times New Roman"/>
                      <w:b/>
                      <w:bCs/>
                      <w:i w:val="0"/>
                      <w:iCs w:val="0"/>
                      <w:color w:val="auto"/>
                      <w:kern w:val="0"/>
                      <w:sz w:val="21"/>
                      <w:szCs w:val="21"/>
                      <w:highlight w:val="none"/>
                      <w:u w:val="none"/>
                      <w:lang w:val="en-US" w:eastAsia="zh-CN" w:bidi="ar"/>
                    </w:rPr>
                    <w:br w:type="textWrapping"/>
                  </w:r>
                  <w:r>
                    <w:rPr>
                      <w:rFonts w:hint="default" w:ascii="Times New Roman" w:hAnsi="Times New Roman" w:eastAsia="宋体" w:cs="Times New Roman"/>
                      <w:b/>
                      <w:bCs/>
                      <w:i w:val="0"/>
                      <w:iCs w:val="0"/>
                      <w:color w:val="auto"/>
                      <w:kern w:val="0"/>
                      <w:sz w:val="21"/>
                      <w:szCs w:val="21"/>
                      <w:highlight w:val="none"/>
                      <w:u w:val="none"/>
                      <w:lang w:val="en-US" w:eastAsia="zh-CN" w:bidi="ar"/>
                    </w:rPr>
                    <w:t>心坐标lm</w:t>
                  </w:r>
                </w:p>
              </w:tc>
              <w:tc>
                <w:tcPr>
                  <w:tcW w:w="476" w:type="pct"/>
                  <w:vMerge w:val="restart"/>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排气筒</w:t>
                  </w:r>
                  <w:r>
                    <w:rPr>
                      <w:rFonts w:hint="default" w:ascii="Times New Roman" w:hAnsi="Times New Roman" w:eastAsia="宋体" w:cs="Times New Roman"/>
                      <w:b/>
                      <w:bCs/>
                      <w:i w:val="0"/>
                      <w:iCs w:val="0"/>
                      <w:color w:val="auto"/>
                      <w:kern w:val="0"/>
                      <w:sz w:val="21"/>
                      <w:szCs w:val="21"/>
                      <w:highlight w:val="none"/>
                      <w:u w:val="none"/>
                      <w:lang w:val="en-US" w:eastAsia="zh-CN" w:bidi="ar"/>
                    </w:rPr>
                    <w:br w:type="textWrapping"/>
                  </w:r>
                  <w:r>
                    <w:rPr>
                      <w:rFonts w:hint="default" w:ascii="Times New Roman" w:hAnsi="Times New Roman" w:eastAsia="宋体" w:cs="Times New Roman"/>
                      <w:b/>
                      <w:bCs/>
                      <w:i w:val="0"/>
                      <w:iCs w:val="0"/>
                      <w:color w:val="auto"/>
                      <w:kern w:val="0"/>
                      <w:sz w:val="21"/>
                      <w:szCs w:val="21"/>
                      <w:highlight w:val="none"/>
                      <w:u w:val="none"/>
                      <w:lang w:val="en-US" w:eastAsia="zh-CN" w:bidi="ar"/>
                    </w:rPr>
                    <w:t>底部海</w:t>
                  </w:r>
                  <w:r>
                    <w:rPr>
                      <w:rFonts w:hint="default" w:ascii="Times New Roman" w:hAnsi="Times New Roman" w:eastAsia="宋体" w:cs="Times New Roman"/>
                      <w:b/>
                      <w:bCs/>
                      <w:i w:val="0"/>
                      <w:iCs w:val="0"/>
                      <w:color w:val="auto"/>
                      <w:kern w:val="0"/>
                      <w:sz w:val="21"/>
                      <w:szCs w:val="21"/>
                      <w:highlight w:val="none"/>
                      <w:u w:val="none"/>
                      <w:lang w:val="en-US" w:eastAsia="zh-CN" w:bidi="ar"/>
                    </w:rPr>
                    <w:br w:type="textWrapping"/>
                  </w:r>
                  <w:r>
                    <w:rPr>
                      <w:rFonts w:hint="default" w:ascii="Times New Roman" w:hAnsi="Times New Roman" w:eastAsia="宋体" w:cs="Times New Roman"/>
                      <w:b/>
                      <w:bCs/>
                      <w:i w:val="0"/>
                      <w:iCs w:val="0"/>
                      <w:color w:val="auto"/>
                      <w:kern w:val="0"/>
                      <w:sz w:val="21"/>
                      <w:szCs w:val="21"/>
                      <w:highlight w:val="none"/>
                      <w:u w:val="none"/>
                      <w:lang w:val="en-US" w:eastAsia="zh-CN" w:bidi="ar"/>
                    </w:rPr>
                    <w:t>拔高度</w:t>
                  </w:r>
                  <w:r>
                    <w:rPr>
                      <w:rFonts w:hint="default" w:ascii="Times New Roman" w:hAnsi="Times New Roman" w:eastAsia="宋体" w:cs="Times New Roman"/>
                      <w:b/>
                      <w:bCs/>
                      <w:i w:val="0"/>
                      <w:iCs w:val="0"/>
                      <w:color w:val="auto"/>
                      <w:kern w:val="0"/>
                      <w:sz w:val="21"/>
                      <w:szCs w:val="21"/>
                      <w:highlight w:val="none"/>
                      <w:u w:val="none"/>
                      <w:lang w:val="en-US" w:eastAsia="zh-CN" w:bidi="ar"/>
                    </w:rPr>
                    <w:br w:type="textWrapping"/>
                  </w:r>
                  <w:r>
                    <w:rPr>
                      <w:rFonts w:hint="default" w:ascii="Times New Roman" w:hAnsi="Times New Roman" w:eastAsia="宋体" w:cs="Times New Roman"/>
                      <w:b/>
                      <w:bCs/>
                      <w:i w:val="0"/>
                      <w:iCs w:val="0"/>
                      <w:color w:val="auto"/>
                      <w:kern w:val="0"/>
                      <w:sz w:val="21"/>
                      <w:szCs w:val="21"/>
                      <w:highlight w:val="none"/>
                      <w:u w:val="none"/>
                      <w:lang w:val="en-US" w:eastAsia="zh-CN" w:bidi="ar"/>
                    </w:rPr>
                    <w:t>/m</w:t>
                  </w:r>
                </w:p>
              </w:tc>
              <w:tc>
                <w:tcPr>
                  <w:tcW w:w="323" w:type="pct"/>
                  <w:vMerge w:val="restart"/>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排气筒</w:t>
                  </w:r>
                  <w:r>
                    <w:rPr>
                      <w:rFonts w:hint="default" w:ascii="Times New Roman" w:hAnsi="Times New Roman" w:eastAsia="宋体" w:cs="Times New Roman"/>
                      <w:b/>
                      <w:bCs/>
                      <w:i w:val="0"/>
                      <w:iCs w:val="0"/>
                      <w:color w:val="auto"/>
                      <w:kern w:val="0"/>
                      <w:sz w:val="21"/>
                      <w:szCs w:val="21"/>
                      <w:highlight w:val="none"/>
                      <w:u w:val="none"/>
                      <w:lang w:val="en-US" w:eastAsia="zh-CN" w:bidi="ar"/>
                    </w:rPr>
                    <w:br w:type="textWrapping"/>
                  </w:r>
                  <w:r>
                    <w:rPr>
                      <w:rFonts w:hint="default" w:ascii="Times New Roman" w:hAnsi="Times New Roman" w:eastAsia="宋体" w:cs="Times New Roman"/>
                      <w:b/>
                      <w:bCs/>
                      <w:i w:val="0"/>
                      <w:iCs w:val="0"/>
                      <w:color w:val="auto"/>
                      <w:kern w:val="0"/>
                      <w:sz w:val="21"/>
                      <w:szCs w:val="21"/>
                      <w:highlight w:val="none"/>
                      <w:u w:val="none"/>
                      <w:lang w:val="en-US" w:eastAsia="zh-CN" w:bidi="ar"/>
                    </w:rPr>
                    <w:t>高度/m</w:t>
                  </w:r>
                </w:p>
              </w:tc>
              <w:tc>
                <w:tcPr>
                  <w:tcW w:w="384" w:type="pct"/>
                  <w:vMerge w:val="restar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排气筒</w:t>
                  </w:r>
                  <w:r>
                    <w:rPr>
                      <w:rFonts w:hint="default" w:ascii="Times New Roman" w:hAnsi="Times New Roman" w:eastAsia="宋体" w:cs="Times New Roman"/>
                      <w:b/>
                      <w:bCs/>
                      <w:i w:val="0"/>
                      <w:iCs w:val="0"/>
                      <w:color w:val="auto"/>
                      <w:kern w:val="0"/>
                      <w:sz w:val="21"/>
                      <w:szCs w:val="21"/>
                      <w:highlight w:val="none"/>
                      <w:u w:val="none"/>
                      <w:lang w:val="en-US" w:eastAsia="zh-CN" w:bidi="ar"/>
                    </w:rPr>
                    <w:br w:type="textWrapping"/>
                  </w:r>
                  <w:r>
                    <w:rPr>
                      <w:rFonts w:hint="default" w:ascii="Times New Roman" w:hAnsi="Times New Roman" w:eastAsia="宋体" w:cs="Times New Roman"/>
                      <w:b/>
                      <w:bCs/>
                      <w:i w:val="0"/>
                      <w:iCs w:val="0"/>
                      <w:color w:val="auto"/>
                      <w:kern w:val="0"/>
                      <w:sz w:val="21"/>
                      <w:szCs w:val="21"/>
                      <w:highlight w:val="none"/>
                      <w:u w:val="none"/>
                      <w:lang w:val="en-US" w:eastAsia="zh-CN" w:bidi="ar"/>
                    </w:rPr>
                    <w:t>出口内</w:t>
                  </w:r>
                  <w:r>
                    <w:rPr>
                      <w:rFonts w:hint="default" w:ascii="Times New Roman" w:hAnsi="Times New Roman" w:eastAsia="宋体" w:cs="Times New Roman"/>
                      <w:b/>
                      <w:bCs/>
                      <w:i w:val="0"/>
                      <w:iCs w:val="0"/>
                      <w:color w:val="auto"/>
                      <w:kern w:val="0"/>
                      <w:sz w:val="21"/>
                      <w:szCs w:val="21"/>
                      <w:highlight w:val="none"/>
                      <w:u w:val="none"/>
                      <w:lang w:val="en-US" w:eastAsia="zh-CN" w:bidi="ar"/>
                    </w:rPr>
                    <w:br w:type="textWrapping"/>
                  </w:r>
                  <w:r>
                    <w:rPr>
                      <w:rFonts w:hint="default" w:ascii="Times New Roman" w:hAnsi="Times New Roman" w:eastAsia="宋体" w:cs="Times New Roman"/>
                      <w:b/>
                      <w:bCs/>
                      <w:i w:val="0"/>
                      <w:iCs w:val="0"/>
                      <w:color w:val="auto"/>
                      <w:kern w:val="0"/>
                      <w:sz w:val="21"/>
                      <w:szCs w:val="21"/>
                      <w:highlight w:val="none"/>
                      <w:u w:val="none"/>
                      <w:lang w:val="en-US" w:eastAsia="zh-CN" w:bidi="ar"/>
                    </w:rPr>
                    <w:t>径/m</w:t>
                  </w:r>
                </w:p>
              </w:tc>
              <w:tc>
                <w:tcPr>
                  <w:tcW w:w="390" w:type="pct"/>
                  <w:vMerge w:val="restar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烟气流速</w:t>
                  </w:r>
                  <w:r>
                    <w:rPr>
                      <w:rFonts w:hint="default" w:ascii="Times New Roman" w:hAnsi="Times New Roman" w:eastAsia="宋体" w:cs="Times New Roman"/>
                      <w:b/>
                      <w:bCs/>
                      <w:i w:val="0"/>
                      <w:iCs w:val="0"/>
                      <w:color w:val="auto"/>
                      <w:kern w:val="0"/>
                      <w:sz w:val="21"/>
                      <w:szCs w:val="21"/>
                      <w:highlight w:val="none"/>
                      <w:u w:val="none"/>
                      <w:lang w:val="en-US" w:eastAsia="zh-CN" w:bidi="ar"/>
                    </w:rPr>
                    <w:br w:type="textWrapping"/>
                  </w:r>
                  <w:r>
                    <w:rPr>
                      <w:rFonts w:hint="default" w:ascii="Times New Roman" w:hAnsi="Times New Roman" w:eastAsia="宋体" w:cs="Times New Roman"/>
                      <w:b/>
                      <w:bCs/>
                      <w:i w:val="0"/>
                      <w:iCs w:val="0"/>
                      <w:color w:val="auto"/>
                      <w:kern w:val="0"/>
                      <w:sz w:val="21"/>
                      <w:szCs w:val="21"/>
                      <w:highlight w:val="none"/>
                      <w:u w:val="none"/>
                      <w:lang w:val="en-US" w:eastAsia="zh-CN" w:bidi="ar"/>
                    </w:rPr>
                    <w:t>/（m/s）</w:t>
                  </w:r>
                </w:p>
              </w:tc>
              <w:tc>
                <w:tcPr>
                  <w:tcW w:w="300" w:type="pct"/>
                  <w:vMerge w:val="restar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烟气温度/℃</w:t>
                  </w:r>
                </w:p>
              </w:tc>
              <w:tc>
                <w:tcPr>
                  <w:tcW w:w="330" w:type="pct"/>
                  <w:vMerge w:val="restar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年排放量小时数/h</w:t>
                  </w:r>
                </w:p>
              </w:tc>
              <w:tc>
                <w:tcPr>
                  <w:tcW w:w="325" w:type="pct"/>
                  <w:vMerge w:val="restar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排放工况</w:t>
                  </w:r>
                </w:p>
              </w:tc>
              <w:tc>
                <w:tcPr>
                  <w:tcW w:w="426" w:type="pct"/>
                  <w:vMerge w:val="restart"/>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污染物</w:t>
                  </w:r>
                </w:p>
              </w:tc>
              <w:tc>
                <w:tcPr>
                  <w:tcW w:w="548" w:type="pct"/>
                  <w:vMerge w:val="restart"/>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排放速率/（kg/h）</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70" w:hRule="atLeast"/>
                <w:jc w:val="center"/>
              </w:trPr>
              <w:tc>
                <w:tcPr>
                  <w:tcW w:w="213" w:type="pct"/>
                  <w:vMerge w:val="continue"/>
                  <w:tcBorders>
                    <w:tl2br w:val="nil"/>
                    <w:tr2bl w:val="nil"/>
                  </w:tcBorders>
                  <w:noWrap w:val="0"/>
                  <w:vAlign w:val="center"/>
                </w:tcPr>
                <w:p>
                  <w:pPr>
                    <w:jc w:val="center"/>
                    <w:rPr>
                      <w:rFonts w:hint="default" w:ascii="Times New Roman" w:hAnsi="Times New Roman" w:eastAsia="宋体" w:cs="Times New Roman"/>
                      <w:i w:val="0"/>
                      <w:iCs w:val="0"/>
                      <w:color w:val="auto"/>
                      <w:sz w:val="21"/>
                      <w:szCs w:val="21"/>
                      <w:highlight w:val="none"/>
                      <w:u w:val="none"/>
                    </w:rPr>
                  </w:pPr>
                </w:p>
              </w:tc>
              <w:tc>
                <w:tcPr>
                  <w:tcW w:w="307" w:type="pct"/>
                  <w:vMerge w:val="continue"/>
                  <w:tcBorders>
                    <w:tl2br w:val="nil"/>
                    <w:tr2bl w:val="nil"/>
                  </w:tcBorders>
                  <w:noWrap/>
                  <w:vAlign w:val="center"/>
                </w:tcPr>
                <w:p>
                  <w:pPr>
                    <w:jc w:val="center"/>
                    <w:rPr>
                      <w:rFonts w:hint="default" w:ascii="Times New Roman" w:hAnsi="Times New Roman" w:eastAsia="宋体" w:cs="Times New Roman"/>
                      <w:i w:val="0"/>
                      <w:iCs w:val="0"/>
                      <w:color w:val="auto"/>
                      <w:sz w:val="21"/>
                      <w:szCs w:val="21"/>
                      <w:highlight w:val="none"/>
                      <w:u w:val="none"/>
                    </w:rPr>
                  </w:pPr>
                </w:p>
              </w:tc>
              <w:tc>
                <w:tcPr>
                  <w:tcW w:w="507" w:type="pct"/>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lang w:val="en-US" w:eastAsia="zh-CN"/>
                    </w:rPr>
                  </w:pPr>
                  <w:r>
                    <w:rPr>
                      <w:rFonts w:hint="default" w:ascii="Times New Roman" w:hAnsi="Times New Roman" w:eastAsia="宋体" w:cs="Times New Roman"/>
                      <w:i w:val="0"/>
                      <w:iCs w:val="0"/>
                      <w:color w:val="auto"/>
                      <w:sz w:val="21"/>
                      <w:szCs w:val="21"/>
                      <w:highlight w:val="none"/>
                      <w:u w:val="none"/>
                      <w:lang w:val="en-US" w:eastAsia="zh-CN"/>
                    </w:rPr>
                    <w:t>X</w:t>
                  </w:r>
                </w:p>
              </w:tc>
              <w:tc>
                <w:tcPr>
                  <w:tcW w:w="464" w:type="pct"/>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lang w:val="en-US" w:eastAsia="zh-CN"/>
                    </w:rPr>
                  </w:pPr>
                  <w:r>
                    <w:rPr>
                      <w:rFonts w:hint="default" w:ascii="Times New Roman" w:hAnsi="Times New Roman" w:eastAsia="宋体" w:cs="Times New Roman"/>
                      <w:i w:val="0"/>
                      <w:iCs w:val="0"/>
                      <w:color w:val="auto"/>
                      <w:sz w:val="21"/>
                      <w:szCs w:val="21"/>
                      <w:highlight w:val="none"/>
                      <w:u w:val="none"/>
                      <w:lang w:val="en-US" w:eastAsia="zh-CN"/>
                    </w:rPr>
                    <w:t>Y</w:t>
                  </w:r>
                </w:p>
              </w:tc>
              <w:tc>
                <w:tcPr>
                  <w:tcW w:w="476" w:type="pct"/>
                  <w:vMerge w:val="continue"/>
                  <w:tcBorders>
                    <w:tl2br w:val="nil"/>
                    <w:tr2bl w:val="nil"/>
                  </w:tcBorders>
                  <w:noWrap/>
                  <w:vAlign w:val="center"/>
                </w:tcPr>
                <w:p>
                  <w:pPr>
                    <w:jc w:val="center"/>
                    <w:rPr>
                      <w:rFonts w:hint="default" w:ascii="Times New Roman" w:hAnsi="Times New Roman" w:eastAsia="宋体" w:cs="Times New Roman"/>
                      <w:i w:val="0"/>
                      <w:iCs w:val="0"/>
                      <w:color w:val="auto"/>
                      <w:sz w:val="21"/>
                      <w:szCs w:val="21"/>
                      <w:highlight w:val="none"/>
                      <w:u w:val="none"/>
                    </w:rPr>
                  </w:pPr>
                </w:p>
              </w:tc>
              <w:tc>
                <w:tcPr>
                  <w:tcW w:w="323" w:type="pct"/>
                  <w:vMerge w:val="continue"/>
                  <w:tcBorders>
                    <w:tl2br w:val="nil"/>
                    <w:tr2bl w:val="nil"/>
                  </w:tcBorders>
                  <w:noWrap/>
                  <w:vAlign w:val="center"/>
                </w:tcPr>
                <w:p>
                  <w:pPr>
                    <w:jc w:val="center"/>
                    <w:rPr>
                      <w:rFonts w:hint="default" w:ascii="Times New Roman" w:hAnsi="Times New Roman" w:eastAsia="宋体" w:cs="Times New Roman"/>
                      <w:i w:val="0"/>
                      <w:iCs w:val="0"/>
                      <w:color w:val="auto"/>
                      <w:sz w:val="21"/>
                      <w:szCs w:val="21"/>
                      <w:highlight w:val="none"/>
                      <w:u w:val="none"/>
                    </w:rPr>
                  </w:pPr>
                </w:p>
              </w:tc>
              <w:tc>
                <w:tcPr>
                  <w:tcW w:w="384" w:type="pct"/>
                  <w:vMerge w:val="continue"/>
                  <w:tcBorders>
                    <w:tl2br w:val="nil"/>
                    <w:tr2bl w:val="nil"/>
                  </w:tcBorders>
                  <w:noWrap w:val="0"/>
                  <w:vAlign w:val="center"/>
                </w:tcPr>
                <w:p>
                  <w:pPr>
                    <w:jc w:val="center"/>
                    <w:rPr>
                      <w:rFonts w:hint="default" w:ascii="Times New Roman" w:hAnsi="Times New Roman" w:eastAsia="宋体" w:cs="Times New Roman"/>
                      <w:i w:val="0"/>
                      <w:iCs w:val="0"/>
                      <w:color w:val="auto"/>
                      <w:sz w:val="21"/>
                      <w:szCs w:val="21"/>
                      <w:highlight w:val="none"/>
                      <w:u w:val="none"/>
                    </w:rPr>
                  </w:pPr>
                </w:p>
              </w:tc>
              <w:tc>
                <w:tcPr>
                  <w:tcW w:w="390" w:type="pct"/>
                  <w:vMerge w:val="continue"/>
                  <w:tcBorders>
                    <w:tl2br w:val="nil"/>
                    <w:tr2bl w:val="nil"/>
                  </w:tcBorders>
                  <w:noWrap w:val="0"/>
                  <w:vAlign w:val="center"/>
                </w:tcPr>
                <w:p>
                  <w:pPr>
                    <w:jc w:val="center"/>
                    <w:rPr>
                      <w:rFonts w:hint="default" w:ascii="Times New Roman" w:hAnsi="Times New Roman" w:eastAsia="宋体" w:cs="Times New Roman"/>
                      <w:i w:val="0"/>
                      <w:iCs w:val="0"/>
                      <w:color w:val="auto"/>
                      <w:sz w:val="21"/>
                      <w:szCs w:val="21"/>
                      <w:highlight w:val="none"/>
                      <w:u w:val="none"/>
                    </w:rPr>
                  </w:pPr>
                </w:p>
              </w:tc>
              <w:tc>
                <w:tcPr>
                  <w:tcW w:w="300" w:type="pct"/>
                  <w:vMerge w:val="continue"/>
                  <w:tcBorders>
                    <w:tl2br w:val="nil"/>
                    <w:tr2bl w:val="nil"/>
                  </w:tcBorders>
                  <w:noWrap w:val="0"/>
                  <w:vAlign w:val="center"/>
                </w:tcPr>
                <w:p>
                  <w:pPr>
                    <w:jc w:val="center"/>
                    <w:rPr>
                      <w:rFonts w:hint="default" w:ascii="Times New Roman" w:hAnsi="Times New Roman" w:eastAsia="宋体" w:cs="Times New Roman"/>
                      <w:i w:val="0"/>
                      <w:iCs w:val="0"/>
                      <w:color w:val="auto"/>
                      <w:sz w:val="21"/>
                      <w:szCs w:val="21"/>
                      <w:highlight w:val="none"/>
                      <w:u w:val="none"/>
                    </w:rPr>
                  </w:pPr>
                </w:p>
              </w:tc>
              <w:tc>
                <w:tcPr>
                  <w:tcW w:w="330" w:type="pct"/>
                  <w:vMerge w:val="continue"/>
                  <w:tcBorders>
                    <w:tl2br w:val="nil"/>
                    <w:tr2bl w:val="nil"/>
                  </w:tcBorders>
                  <w:noWrap w:val="0"/>
                  <w:vAlign w:val="center"/>
                </w:tcPr>
                <w:p>
                  <w:pPr>
                    <w:jc w:val="center"/>
                    <w:rPr>
                      <w:rFonts w:hint="default" w:ascii="Times New Roman" w:hAnsi="Times New Roman" w:eastAsia="宋体" w:cs="Times New Roman"/>
                      <w:i w:val="0"/>
                      <w:iCs w:val="0"/>
                      <w:color w:val="auto"/>
                      <w:sz w:val="21"/>
                      <w:szCs w:val="21"/>
                      <w:highlight w:val="none"/>
                      <w:u w:val="none"/>
                    </w:rPr>
                  </w:pPr>
                </w:p>
              </w:tc>
              <w:tc>
                <w:tcPr>
                  <w:tcW w:w="325" w:type="pct"/>
                  <w:vMerge w:val="continue"/>
                  <w:tcBorders>
                    <w:tl2br w:val="nil"/>
                    <w:tr2bl w:val="nil"/>
                  </w:tcBorders>
                  <w:noWrap w:val="0"/>
                  <w:vAlign w:val="center"/>
                </w:tcPr>
                <w:p>
                  <w:pPr>
                    <w:jc w:val="center"/>
                    <w:rPr>
                      <w:rFonts w:hint="default" w:ascii="Times New Roman" w:hAnsi="Times New Roman" w:eastAsia="宋体" w:cs="Times New Roman"/>
                      <w:i w:val="0"/>
                      <w:iCs w:val="0"/>
                      <w:color w:val="auto"/>
                      <w:sz w:val="21"/>
                      <w:szCs w:val="21"/>
                      <w:highlight w:val="none"/>
                      <w:u w:val="none"/>
                    </w:rPr>
                  </w:pPr>
                </w:p>
              </w:tc>
              <w:tc>
                <w:tcPr>
                  <w:tcW w:w="426" w:type="pct"/>
                  <w:vMerge w:val="continue"/>
                  <w:tcBorders>
                    <w:tl2br w:val="nil"/>
                    <w:tr2bl w:val="nil"/>
                  </w:tcBorders>
                  <w:noWrap/>
                  <w:vAlign w:val="center"/>
                </w:tcPr>
                <w:p>
                  <w:pPr>
                    <w:jc w:val="center"/>
                    <w:rPr>
                      <w:rFonts w:hint="default" w:ascii="Times New Roman" w:hAnsi="Times New Roman" w:eastAsia="宋体" w:cs="Times New Roman"/>
                      <w:i w:val="0"/>
                      <w:iCs w:val="0"/>
                      <w:color w:val="auto"/>
                      <w:sz w:val="21"/>
                      <w:szCs w:val="21"/>
                      <w:highlight w:val="none"/>
                      <w:u w:val="none"/>
                    </w:rPr>
                  </w:pPr>
                </w:p>
              </w:tc>
              <w:tc>
                <w:tcPr>
                  <w:tcW w:w="548" w:type="pct"/>
                  <w:vMerge w:val="continue"/>
                  <w:tcBorders>
                    <w:tl2br w:val="nil"/>
                    <w:tr2bl w:val="nil"/>
                  </w:tcBorders>
                  <w:noWrap/>
                  <w:vAlign w:val="center"/>
                </w:tcPr>
                <w:p>
                  <w:pPr>
                    <w:jc w:val="center"/>
                    <w:rPr>
                      <w:rFonts w:hint="default" w:ascii="Times New Roman" w:hAnsi="Times New Roman" w:eastAsia="宋体" w:cs="Times New Roman"/>
                      <w:i w:val="0"/>
                      <w:iCs w:val="0"/>
                      <w:color w:val="auto"/>
                      <w:sz w:val="21"/>
                      <w:szCs w:val="21"/>
                      <w:highlight w:val="none"/>
                      <w:u w:val="none"/>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5" w:hRule="atLeast"/>
                <w:jc w:val="center"/>
              </w:trPr>
              <w:tc>
                <w:tcPr>
                  <w:tcW w:w="213" w:type="pct"/>
                  <w:vMerge w:val="restar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307" w:type="pct"/>
                  <w:vMerge w:val="restar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排气筒G1</w:t>
                  </w:r>
                </w:p>
              </w:tc>
              <w:tc>
                <w:tcPr>
                  <w:tcW w:w="844" w:type="dxa"/>
                  <w:vMerge w:val="restar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372578.91</w:t>
                  </w:r>
                </w:p>
              </w:tc>
              <w:tc>
                <w:tcPr>
                  <w:tcW w:w="773" w:type="dxa"/>
                  <w:vMerge w:val="restar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3282199.65</w:t>
                  </w:r>
                </w:p>
              </w:tc>
              <w:tc>
                <w:tcPr>
                  <w:tcW w:w="476" w:type="pct"/>
                  <w:vMerge w:val="restar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406.59</w:t>
                  </w:r>
                </w:p>
              </w:tc>
              <w:tc>
                <w:tcPr>
                  <w:tcW w:w="323" w:type="pct"/>
                  <w:vMerge w:val="restar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15</w:t>
                  </w:r>
                </w:p>
              </w:tc>
              <w:tc>
                <w:tcPr>
                  <w:tcW w:w="384" w:type="pct"/>
                  <w:vMerge w:val="restar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1.2</w:t>
                  </w:r>
                </w:p>
              </w:tc>
              <w:tc>
                <w:tcPr>
                  <w:tcW w:w="390" w:type="pct"/>
                  <w:vMerge w:val="restar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25.8</w:t>
                  </w:r>
                </w:p>
              </w:tc>
              <w:tc>
                <w:tcPr>
                  <w:tcW w:w="300" w:type="pct"/>
                  <w:vMerge w:val="restar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80</w:t>
                  </w:r>
                </w:p>
              </w:tc>
              <w:tc>
                <w:tcPr>
                  <w:tcW w:w="330" w:type="pct"/>
                  <w:vMerge w:val="restar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800</w:t>
                  </w:r>
                </w:p>
              </w:tc>
              <w:tc>
                <w:tcPr>
                  <w:tcW w:w="325" w:type="pct"/>
                  <w:vMerge w:val="restar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正常排放</w:t>
                  </w:r>
                </w:p>
              </w:tc>
              <w:tc>
                <w:tcPr>
                  <w:tcW w:w="426"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SO</w:t>
                  </w:r>
                  <w:r>
                    <w:rPr>
                      <w:rFonts w:hint="default" w:ascii="Times New Roman" w:hAnsi="Times New Roman" w:eastAsia="宋体" w:cs="Times New Roman"/>
                      <w:i w:val="0"/>
                      <w:iCs w:val="0"/>
                      <w:color w:val="auto"/>
                      <w:kern w:val="0"/>
                      <w:sz w:val="21"/>
                      <w:szCs w:val="21"/>
                      <w:highlight w:val="none"/>
                      <w:u w:val="none"/>
                      <w:vertAlign w:val="subscript"/>
                      <w:lang w:val="en-US" w:eastAsia="zh-CN" w:bidi="ar"/>
                    </w:rPr>
                    <w:t>2</w:t>
                  </w:r>
                </w:p>
              </w:tc>
              <w:tc>
                <w:tcPr>
                  <w:tcW w:w="548"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0.025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70" w:hRule="atLeast"/>
                <w:jc w:val="center"/>
              </w:trPr>
              <w:tc>
                <w:tcPr>
                  <w:tcW w:w="213" w:type="pct"/>
                  <w:vMerge w:val="continue"/>
                  <w:tcBorders>
                    <w:tl2br w:val="nil"/>
                    <w:tr2bl w:val="nil"/>
                  </w:tcBorders>
                  <w:noWrap w:val="0"/>
                  <w:vAlign w:val="center"/>
                </w:tcPr>
                <w:p>
                  <w:pPr>
                    <w:jc w:val="center"/>
                    <w:rPr>
                      <w:rFonts w:hint="default" w:ascii="Times New Roman" w:hAnsi="Times New Roman" w:eastAsia="宋体" w:cs="Times New Roman"/>
                      <w:i w:val="0"/>
                      <w:iCs w:val="0"/>
                      <w:color w:val="auto"/>
                      <w:sz w:val="21"/>
                      <w:szCs w:val="21"/>
                      <w:highlight w:val="none"/>
                      <w:u w:val="none"/>
                    </w:rPr>
                  </w:pPr>
                </w:p>
              </w:tc>
              <w:tc>
                <w:tcPr>
                  <w:tcW w:w="307" w:type="pct"/>
                  <w:vMerge w:val="continue"/>
                  <w:tcBorders>
                    <w:tl2br w:val="nil"/>
                    <w:tr2bl w:val="nil"/>
                  </w:tcBorders>
                  <w:noWrap w:val="0"/>
                  <w:vAlign w:val="center"/>
                </w:tcPr>
                <w:p>
                  <w:pPr>
                    <w:jc w:val="center"/>
                    <w:rPr>
                      <w:rFonts w:hint="default" w:ascii="Times New Roman" w:hAnsi="Times New Roman" w:eastAsia="宋体" w:cs="Times New Roman"/>
                      <w:i w:val="0"/>
                      <w:iCs w:val="0"/>
                      <w:color w:val="auto"/>
                      <w:sz w:val="21"/>
                      <w:szCs w:val="21"/>
                      <w:highlight w:val="none"/>
                      <w:u w:val="none"/>
                    </w:rPr>
                  </w:pPr>
                </w:p>
              </w:tc>
              <w:tc>
                <w:tcPr>
                  <w:tcW w:w="507" w:type="pct"/>
                  <w:vMerge w:val="continue"/>
                  <w:tcBorders>
                    <w:tl2br w:val="nil"/>
                    <w:tr2bl w:val="nil"/>
                  </w:tcBorders>
                  <w:noWrap w:val="0"/>
                  <w:vAlign w:val="center"/>
                </w:tcPr>
                <w:p>
                  <w:pPr>
                    <w:jc w:val="center"/>
                    <w:rPr>
                      <w:rFonts w:hint="default" w:ascii="Times New Roman" w:hAnsi="Times New Roman" w:eastAsia="宋体" w:cs="Times New Roman"/>
                      <w:i w:val="0"/>
                      <w:iCs w:val="0"/>
                      <w:color w:val="auto"/>
                      <w:sz w:val="21"/>
                      <w:szCs w:val="21"/>
                      <w:highlight w:val="none"/>
                      <w:u w:val="none"/>
                    </w:rPr>
                  </w:pPr>
                </w:p>
              </w:tc>
              <w:tc>
                <w:tcPr>
                  <w:tcW w:w="464" w:type="pct"/>
                  <w:vMerge w:val="continue"/>
                  <w:tcBorders>
                    <w:tl2br w:val="nil"/>
                    <w:tr2bl w:val="nil"/>
                  </w:tcBorders>
                  <w:noWrap w:val="0"/>
                  <w:vAlign w:val="center"/>
                </w:tcPr>
                <w:p>
                  <w:pPr>
                    <w:jc w:val="center"/>
                    <w:rPr>
                      <w:rFonts w:hint="default" w:ascii="Times New Roman" w:hAnsi="Times New Roman" w:eastAsia="宋体" w:cs="Times New Roman"/>
                      <w:i w:val="0"/>
                      <w:iCs w:val="0"/>
                      <w:color w:val="auto"/>
                      <w:sz w:val="21"/>
                      <w:szCs w:val="21"/>
                      <w:highlight w:val="none"/>
                      <w:u w:val="none"/>
                    </w:rPr>
                  </w:pPr>
                </w:p>
              </w:tc>
              <w:tc>
                <w:tcPr>
                  <w:tcW w:w="476" w:type="pct"/>
                  <w:vMerge w:val="continue"/>
                  <w:tcBorders>
                    <w:tl2br w:val="nil"/>
                    <w:tr2bl w:val="nil"/>
                  </w:tcBorders>
                  <w:noWrap w:val="0"/>
                  <w:vAlign w:val="center"/>
                </w:tcPr>
                <w:p>
                  <w:pPr>
                    <w:jc w:val="center"/>
                    <w:rPr>
                      <w:rFonts w:hint="default" w:ascii="Times New Roman" w:hAnsi="Times New Roman" w:eastAsia="宋体" w:cs="Times New Roman"/>
                      <w:i w:val="0"/>
                      <w:iCs w:val="0"/>
                      <w:color w:val="auto"/>
                      <w:sz w:val="21"/>
                      <w:szCs w:val="21"/>
                      <w:highlight w:val="none"/>
                      <w:u w:val="none"/>
                    </w:rPr>
                  </w:pPr>
                </w:p>
              </w:tc>
              <w:tc>
                <w:tcPr>
                  <w:tcW w:w="323" w:type="pct"/>
                  <w:vMerge w:val="continue"/>
                  <w:tcBorders>
                    <w:tl2br w:val="nil"/>
                    <w:tr2bl w:val="nil"/>
                  </w:tcBorders>
                  <w:noWrap w:val="0"/>
                  <w:vAlign w:val="center"/>
                </w:tcPr>
                <w:p>
                  <w:pPr>
                    <w:jc w:val="center"/>
                    <w:rPr>
                      <w:rFonts w:hint="default" w:ascii="Times New Roman" w:hAnsi="Times New Roman" w:eastAsia="宋体" w:cs="Times New Roman"/>
                      <w:i w:val="0"/>
                      <w:iCs w:val="0"/>
                      <w:color w:val="auto"/>
                      <w:sz w:val="21"/>
                      <w:szCs w:val="21"/>
                      <w:highlight w:val="none"/>
                      <w:u w:val="none"/>
                    </w:rPr>
                  </w:pPr>
                </w:p>
              </w:tc>
              <w:tc>
                <w:tcPr>
                  <w:tcW w:w="384" w:type="pct"/>
                  <w:vMerge w:val="continue"/>
                  <w:tcBorders>
                    <w:tl2br w:val="nil"/>
                    <w:tr2bl w:val="nil"/>
                  </w:tcBorders>
                  <w:noWrap w:val="0"/>
                  <w:vAlign w:val="center"/>
                </w:tcPr>
                <w:p>
                  <w:pPr>
                    <w:jc w:val="center"/>
                    <w:rPr>
                      <w:rFonts w:hint="default" w:ascii="Times New Roman" w:hAnsi="Times New Roman" w:eastAsia="宋体" w:cs="Times New Roman"/>
                      <w:i w:val="0"/>
                      <w:iCs w:val="0"/>
                      <w:color w:val="auto"/>
                      <w:sz w:val="21"/>
                      <w:szCs w:val="21"/>
                      <w:highlight w:val="none"/>
                      <w:u w:val="none"/>
                    </w:rPr>
                  </w:pPr>
                </w:p>
              </w:tc>
              <w:tc>
                <w:tcPr>
                  <w:tcW w:w="390" w:type="pct"/>
                  <w:vMerge w:val="continue"/>
                  <w:tcBorders>
                    <w:tl2br w:val="nil"/>
                    <w:tr2bl w:val="nil"/>
                  </w:tcBorders>
                  <w:noWrap w:val="0"/>
                  <w:vAlign w:val="center"/>
                </w:tcPr>
                <w:p>
                  <w:pPr>
                    <w:jc w:val="center"/>
                    <w:rPr>
                      <w:rFonts w:hint="default" w:ascii="Times New Roman" w:hAnsi="Times New Roman" w:eastAsia="宋体" w:cs="Times New Roman"/>
                      <w:i w:val="0"/>
                      <w:iCs w:val="0"/>
                      <w:color w:val="auto"/>
                      <w:sz w:val="21"/>
                      <w:szCs w:val="21"/>
                      <w:highlight w:val="none"/>
                      <w:u w:val="none"/>
                    </w:rPr>
                  </w:pPr>
                </w:p>
              </w:tc>
              <w:tc>
                <w:tcPr>
                  <w:tcW w:w="300" w:type="pct"/>
                  <w:vMerge w:val="continue"/>
                  <w:tcBorders>
                    <w:tl2br w:val="nil"/>
                    <w:tr2bl w:val="nil"/>
                  </w:tcBorders>
                  <w:noWrap w:val="0"/>
                  <w:vAlign w:val="center"/>
                </w:tcPr>
                <w:p>
                  <w:pPr>
                    <w:jc w:val="center"/>
                    <w:rPr>
                      <w:rFonts w:hint="default" w:ascii="Times New Roman" w:hAnsi="Times New Roman" w:eastAsia="宋体" w:cs="Times New Roman"/>
                      <w:i w:val="0"/>
                      <w:iCs w:val="0"/>
                      <w:color w:val="auto"/>
                      <w:sz w:val="21"/>
                      <w:szCs w:val="21"/>
                      <w:highlight w:val="none"/>
                      <w:u w:val="none"/>
                    </w:rPr>
                  </w:pPr>
                </w:p>
              </w:tc>
              <w:tc>
                <w:tcPr>
                  <w:tcW w:w="330" w:type="pct"/>
                  <w:vMerge w:val="continue"/>
                  <w:tcBorders>
                    <w:tl2br w:val="nil"/>
                    <w:tr2bl w:val="nil"/>
                  </w:tcBorders>
                  <w:noWrap w:val="0"/>
                  <w:vAlign w:val="center"/>
                </w:tcPr>
                <w:p>
                  <w:pPr>
                    <w:jc w:val="center"/>
                    <w:rPr>
                      <w:rFonts w:hint="default" w:ascii="Times New Roman" w:hAnsi="Times New Roman" w:eastAsia="宋体" w:cs="Times New Roman"/>
                      <w:i w:val="0"/>
                      <w:iCs w:val="0"/>
                      <w:color w:val="auto"/>
                      <w:sz w:val="21"/>
                      <w:szCs w:val="21"/>
                      <w:highlight w:val="none"/>
                      <w:u w:val="none"/>
                    </w:rPr>
                  </w:pPr>
                </w:p>
              </w:tc>
              <w:tc>
                <w:tcPr>
                  <w:tcW w:w="325" w:type="pct"/>
                  <w:vMerge w:val="continue"/>
                  <w:tcBorders>
                    <w:tl2br w:val="nil"/>
                    <w:tr2bl w:val="nil"/>
                  </w:tcBorders>
                  <w:noWrap w:val="0"/>
                  <w:vAlign w:val="center"/>
                </w:tcPr>
                <w:p>
                  <w:pPr>
                    <w:jc w:val="center"/>
                    <w:rPr>
                      <w:rFonts w:hint="default" w:ascii="Times New Roman" w:hAnsi="Times New Roman" w:eastAsia="宋体" w:cs="Times New Roman"/>
                      <w:i w:val="0"/>
                      <w:iCs w:val="0"/>
                      <w:color w:val="auto"/>
                      <w:sz w:val="21"/>
                      <w:szCs w:val="21"/>
                      <w:highlight w:val="none"/>
                      <w:u w:val="none"/>
                    </w:rPr>
                  </w:pPr>
                </w:p>
              </w:tc>
              <w:tc>
                <w:tcPr>
                  <w:tcW w:w="426"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NOx</w:t>
                  </w:r>
                </w:p>
              </w:tc>
              <w:tc>
                <w:tcPr>
                  <w:tcW w:w="548"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0.09925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70" w:hRule="atLeast"/>
                <w:jc w:val="center"/>
              </w:trPr>
              <w:tc>
                <w:tcPr>
                  <w:tcW w:w="213" w:type="pct"/>
                  <w:vMerge w:val="continue"/>
                  <w:tcBorders>
                    <w:tl2br w:val="nil"/>
                    <w:tr2bl w:val="nil"/>
                  </w:tcBorders>
                  <w:noWrap w:val="0"/>
                  <w:vAlign w:val="center"/>
                </w:tcPr>
                <w:p>
                  <w:pPr>
                    <w:jc w:val="center"/>
                    <w:rPr>
                      <w:rFonts w:hint="default" w:ascii="Times New Roman" w:hAnsi="Times New Roman" w:eastAsia="宋体" w:cs="Times New Roman"/>
                      <w:i w:val="0"/>
                      <w:iCs w:val="0"/>
                      <w:color w:val="auto"/>
                      <w:sz w:val="21"/>
                      <w:szCs w:val="21"/>
                      <w:highlight w:val="none"/>
                      <w:u w:val="none"/>
                    </w:rPr>
                  </w:pPr>
                </w:p>
              </w:tc>
              <w:tc>
                <w:tcPr>
                  <w:tcW w:w="307" w:type="pct"/>
                  <w:vMerge w:val="continue"/>
                  <w:tcBorders>
                    <w:tl2br w:val="nil"/>
                    <w:tr2bl w:val="nil"/>
                  </w:tcBorders>
                  <w:noWrap w:val="0"/>
                  <w:vAlign w:val="center"/>
                </w:tcPr>
                <w:p>
                  <w:pPr>
                    <w:jc w:val="center"/>
                    <w:rPr>
                      <w:rFonts w:hint="default" w:ascii="Times New Roman" w:hAnsi="Times New Roman" w:eastAsia="宋体" w:cs="Times New Roman"/>
                      <w:i w:val="0"/>
                      <w:iCs w:val="0"/>
                      <w:color w:val="auto"/>
                      <w:sz w:val="21"/>
                      <w:szCs w:val="21"/>
                      <w:highlight w:val="none"/>
                      <w:u w:val="none"/>
                    </w:rPr>
                  </w:pPr>
                </w:p>
              </w:tc>
              <w:tc>
                <w:tcPr>
                  <w:tcW w:w="507" w:type="pct"/>
                  <w:vMerge w:val="continue"/>
                  <w:tcBorders>
                    <w:tl2br w:val="nil"/>
                    <w:tr2bl w:val="nil"/>
                  </w:tcBorders>
                  <w:noWrap w:val="0"/>
                  <w:vAlign w:val="center"/>
                </w:tcPr>
                <w:p>
                  <w:pPr>
                    <w:jc w:val="center"/>
                    <w:rPr>
                      <w:rFonts w:hint="default" w:ascii="Times New Roman" w:hAnsi="Times New Roman" w:eastAsia="宋体" w:cs="Times New Roman"/>
                      <w:i w:val="0"/>
                      <w:iCs w:val="0"/>
                      <w:color w:val="auto"/>
                      <w:sz w:val="21"/>
                      <w:szCs w:val="21"/>
                      <w:highlight w:val="none"/>
                      <w:u w:val="none"/>
                    </w:rPr>
                  </w:pPr>
                </w:p>
              </w:tc>
              <w:tc>
                <w:tcPr>
                  <w:tcW w:w="464" w:type="pct"/>
                  <w:vMerge w:val="continue"/>
                  <w:tcBorders>
                    <w:tl2br w:val="nil"/>
                    <w:tr2bl w:val="nil"/>
                  </w:tcBorders>
                  <w:noWrap w:val="0"/>
                  <w:vAlign w:val="center"/>
                </w:tcPr>
                <w:p>
                  <w:pPr>
                    <w:jc w:val="center"/>
                    <w:rPr>
                      <w:rFonts w:hint="default" w:ascii="Times New Roman" w:hAnsi="Times New Roman" w:eastAsia="宋体" w:cs="Times New Roman"/>
                      <w:i w:val="0"/>
                      <w:iCs w:val="0"/>
                      <w:color w:val="auto"/>
                      <w:sz w:val="21"/>
                      <w:szCs w:val="21"/>
                      <w:highlight w:val="none"/>
                      <w:u w:val="none"/>
                    </w:rPr>
                  </w:pPr>
                </w:p>
              </w:tc>
              <w:tc>
                <w:tcPr>
                  <w:tcW w:w="476" w:type="pct"/>
                  <w:vMerge w:val="continue"/>
                  <w:tcBorders>
                    <w:tl2br w:val="nil"/>
                    <w:tr2bl w:val="nil"/>
                  </w:tcBorders>
                  <w:noWrap w:val="0"/>
                  <w:vAlign w:val="center"/>
                </w:tcPr>
                <w:p>
                  <w:pPr>
                    <w:jc w:val="center"/>
                    <w:rPr>
                      <w:rFonts w:hint="default" w:ascii="Times New Roman" w:hAnsi="Times New Roman" w:eastAsia="宋体" w:cs="Times New Roman"/>
                      <w:i w:val="0"/>
                      <w:iCs w:val="0"/>
                      <w:color w:val="auto"/>
                      <w:sz w:val="21"/>
                      <w:szCs w:val="21"/>
                      <w:highlight w:val="none"/>
                      <w:u w:val="none"/>
                    </w:rPr>
                  </w:pPr>
                </w:p>
              </w:tc>
              <w:tc>
                <w:tcPr>
                  <w:tcW w:w="323" w:type="pct"/>
                  <w:vMerge w:val="continue"/>
                  <w:tcBorders>
                    <w:tl2br w:val="nil"/>
                    <w:tr2bl w:val="nil"/>
                  </w:tcBorders>
                  <w:noWrap w:val="0"/>
                  <w:vAlign w:val="center"/>
                </w:tcPr>
                <w:p>
                  <w:pPr>
                    <w:jc w:val="center"/>
                    <w:rPr>
                      <w:rFonts w:hint="default" w:ascii="Times New Roman" w:hAnsi="Times New Roman" w:eastAsia="宋体" w:cs="Times New Roman"/>
                      <w:i w:val="0"/>
                      <w:iCs w:val="0"/>
                      <w:color w:val="auto"/>
                      <w:sz w:val="21"/>
                      <w:szCs w:val="21"/>
                      <w:highlight w:val="none"/>
                      <w:u w:val="none"/>
                    </w:rPr>
                  </w:pPr>
                </w:p>
              </w:tc>
              <w:tc>
                <w:tcPr>
                  <w:tcW w:w="384" w:type="pct"/>
                  <w:vMerge w:val="continue"/>
                  <w:tcBorders>
                    <w:tl2br w:val="nil"/>
                    <w:tr2bl w:val="nil"/>
                  </w:tcBorders>
                  <w:noWrap w:val="0"/>
                  <w:vAlign w:val="center"/>
                </w:tcPr>
                <w:p>
                  <w:pPr>
                    <w:jc w:val="center"/>
                    <w:rPr>
                      <w:rFonts w:hint="default" w:ascii="Times New Roman" w:hAnsi="Times New Roman" w:eastAsia="宋体" w:cs="Times New Roman"/>
                      <w:i w:val="0"/>
                      <w:iCs w:val="0"/>
                      <w:color w:val="auto"/>
                      <w:sz w:val="21"/>
                      <w:szCs w:val="21"/>
                      <w:highlight w:val="none"/>
                      <w:u w:val="none"/>
                    </w:rPr>
                  </w:pPr>
                </w:p>
              </w:tc>
              <w:tc>
                <w:tcPr>
                  <w:tcW w:w="390" w:type="pct"/>
                  <w:vMerge w:val="continue"/>
                  <w:tcBorders>
                    <w:tl2br w:val="nil"/>
                    <w:tr2bl w:val="nil"/>
                  </w:tcBorders>
                  <w:noWrap w:val="0"/>
                  <w:vAlign w:val="center"/>
                </w:tcPr>
                <w:p>
                  <w:pPr>
                    <w:jc w:val="center"/>
                    <w:rPr>
                      <w:rFonts w:hint="default" w:ascii="Times New Roman" w:hAnsi="Times New Roman" w:eastAsia="宋体" w:cs="Times New Roman"/>
                      <w:i w:val="0"/>
                      <w:iCs w:val="0"/>
                      <w:color w:val="auto"/>
                      <w:sz w:val="21"/>
                      <w:szCs w:val="21"/>
                      <w:highlight w:val="none"/>
                      <w:u w:val="none"/>
                    </w:rPr>
                  </w:pPr>
                </w:p>
              </w:tc>
              <w:tc>
                <w:tcPr>
                  <w:tcW w:w="300" w:type="pct"/>
                  <w:vMerge w:val="continue"/>
                  <w:tcBorders>
                    <w:tl2br w:val="nil"/>
                    <w:tr2bl w:val="nil"/>
                  </w:tcBorders>
                  <w:noWrap w:val="0"/>
                  <w:vAlign w:val="center"/>
                </w:tcPr>
                <w:p>
                  <w:pPr>
                    <w:jc w:val="center"/>
                    <w:rPr>
                      <w:rFonts w:hint="default" w:ascii="Times New Roman" w:hAnsi="Times New Roman" w:eastAsia="宋体" w:cs="Times New Roman"/>
                      <w:i w:val="0"/>
                      <w:iCs w:val="0"/>
                      <w:color w:val="auto"/>
                      <w:sz w:val="21"/>
                      <w:szCs w:val="21"/>
                      <w:highlight w:val="none"/>
                      <w:u w:val="none"/>
                    </w:rPr>
                  </w:pPr>
                </w:p>
              </w:tc>
              <w:tc>
                <w:tcPr>
                  <w:tcW w:w="330" w:type="pct"/>
                  <w:vMerge w:val="continue"/>
                  <w:tcBorders>
                    <w:tl2br w:val="nil"/>
                    <w:tr2bl w:val="nil"/>
                  </w:tcBorders>
                  <w:noWrap w:val="0"/>
                  <w:vAlign w:val="center"/>
                </w:tcPr>
                <w:p>
                  <w:pPr>
                    <w:jc w:val="center"/>
                    <w:rPr>
                      <w:rFonts w:hint="default" w:ascii="Times New Roman" w:hAnsi="Times New Roman" w:eastAsia="宋体" w:cs="Times New Roman"/>
                      <w:i w:val="0"/>
                      <w:iCs w:val="0"/>
                      <w:color w:val="auto"/>
                      <w:sz w:val="21"/>
                      <w:szCs w:val="21"/>
                      <w:highlight w:val="none"/>
                      <w:u w:val="none"/>
                    </w:rPr>
                  </w:pPr>
                </w:p>
              </w:tc>
              <w:tc>
                <w:tcPr>
                  <w:tcW w:w="325" w:type="pct"/>
                  <w:vMerge w:val="continue"/>
                  <w:tcBorders>
                    <w:tl2br w:val="nil"/>
                    <w:tr2bl w:val="nil"/>
                  </w:tcBorders>
                  <w:noWrap w:val="0"/>
                  <w:vAlign w:val="center"/>
                </w:tcPr>
                <w:p>
                  <w:pPr>
                    <w:jc w:val="center"/>
                    <w:rPr>
                      <w:rFonts w:hint="default" w:ascii="Times New Roman" w:hAnsi="Times New Roman" w:eastAsia="宋体" w:cs="Times New Roman"/>
                      <w:i w:val="0"/>
                      <w:iCs w:val="0"/>
                      <w:color w:val="auto"/>
                      <w:sz w:val="21"/>
                      <w:szCs w:val="21"/>
                      <w:highlight w:val="none"/>
                      <w:u w:val="none"/>
                    </w:rPr>
                  </w:pPr>
                </w:p>
              </w:tc>
              <w:tc>
                <w:tcPr>
                  <w:tcW w:w="426"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颗粒物</w:t>
                  </w:r>
                </w:p>
              </w:tc>
              <w:tc>
                <w:tcPr>
                  <w:tcW w:w="548"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0.0119</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70" w:hRule="atLeast"/>
                <w:jc w:val="center"/>
              </w:trPr>
              <w:tc>
                <w:tcPr>
                  <w:tcW w:w="213" w:type="pct"/>
                  <w:vMerge w:val="continue"/>
                  <w:tcBorders>
                    <w:tl2br w:val="nil"/>
                    <w:tr2bl w:val="nil"/>
                  </w:tcBorders>
                  <w:noWrap w:val="0"/>
                  <w:vAlign w:val="center"/>
                </w:tcPr>
                <w:p>
                  <w:pPr>
                    <w:jc w:val="center"/>
                    <w:rPr>
                      <w:rFonts w:hint="default" w:ascii="Times New Roman" w:hAnsi="Times New Roman" w:eastAsia="宋体" w:cs="Times New Roman"/>
                      <w:i w:val="0"/>
                      <w:iCs w:val="0"/>
                      <w:color w:val="auto"/>
                      <w:sz w:val="21"/>
                      <w:szCs w:val="21"/>
                      <w:highlight w:val="none"/>
                      <w:u w:val="none"/>
                    </w:rPr>
                  </w:pPr>
                </w:p>
              </w:tc>
              <w:tc>
                <w:tcPr>
                  <w:tcW w:w="307" w:type="pct"/>
                  <w:vMerge w:val="continue"/>
                  <w:tcBorders>
                    <w:tl2br w:val="nil"/>
                    <w:tr2bl w:val="nil"/>
                  </w:tcBorders>
                  <w:noWrap w:val="0"/>
                  <w:vAlign w:val="center"/>
                </w:tcPr>
                <w:p>
                  <w:pPr>
                    <w:jc w:val="center"/>
                    <w:rPr>
                      <w:rFonts w:hint="default" w:ascii="Times New Roman" w:hAnsi="Times New Roman" w:eastAsia="宋体" w:cs="Times New Roman"/>
                      <w:i w:val="0"/>
                      <w:iCs w:val="0"/>
                      <w:color w:val="auto"/>
                      <w:sz w:val="21"/>
                      <w:szCs w:val="21"/>
                      <w:highlight w:val="none"/>
                      <w:u w:val="none"/>
                    </w:rPr>
                  </w:pPr>
                </w:p>
              </w:tc>
              <w:tc>
                <w:tcPr>
                  <w:tcW w:w="507" w:type="pct"/>
                  <w:vMerge w:val="continue"/>
                  <w:tcBorders>
                    <w:tl2br w:val="nil"/>
                    <w:tr2bl w:val="nil"/>
                  </w:tcBorders>
                  <w:noWrap w:val="0"/>
                  <w:vAlign w:val="center"/>
                </w:tcPr>
                <w:p>
                  <w:pPr>
                    <w:jc w:val="center"/>
                    <w:rPr>
                      <w:rFonts w:hint="default" w:ascii="Times New Roman" w:hAnsi="Times New Roman" w:eastAsia="宋体" w:cs="Times New Roman"/>
                      <w:i w:val="0"/>
                      <w:iCs w:val="0"/>
                      <w:color w:val="auto"/>
                      <w:sz w:val="21"/>
                      <w:szCs w:val="21"/>
                      <w:highlight w:val="none"/>
                      <w:u w:val="none"/>
                    </w:rPr>
                  </w:pPr>
                </w:p>
              </w:tc>
              <w:tc>
                <w:tcPr>
                  <w:tcW w:w="464" w:type="pct"/>
                  <w:vMerge w:val="continue"/>
                  <w:tcBorders>
                    <w:tl2br w:val="nil"/>
                    <w:tr2bl w:val="nil"/>
                  </w:tcBorders>
                  <w:noWrap w:val="0"/>
                  <w:vAlign w:val="center"/>
                </w:tcPr>
                <w:p>
                  <w:pPr>
                    <w:jc w:val="center"/>
                    <w:rPr>
                      <w:rFonts w:hint="default" w:ascii="Times New Roman" w:hAnsi="Times New Roman" w:eastAsia="宋体" w:cs="Times New Roman"/>
                      <w:i w:val="0"/>
                      <w:iCs w:val="0"/>
                      <w:color w:val="auto"/>
                      <w:sz w:val="21"/>
                      <w:szCs w:val="21"/>
                      <w:highlight w:val="none"/>
                      <w:u w:val="none"/>
                    </w:rPr>
                  </w:pPr>
                </w:p>
              </w:tc>
              <w:tc>
                <w:tcPr>
                  <w:tcW w:w="476" w:type="pct"/>
                  <w:vMerge w:val="continue"/>
                  <w:tcBorders>
                    <w:tl2br w:val="nil"/>
                    <w:tr2bl w:val="nil"/>
                  </w:tcBorders>
                  <w:noWrap w:val="0"/>
                  <w:vAlign w:val="center"/>
                </w:tcPr>
                <w:p>
                  <w:pPr>
                    <w:jc w:val="center"/>
                    <w:rPr>
                      <w:rFonts w:hint="default" w:ascii="Times New Roman" w:hAnsi="Times New Roman" w:eastAsia="宋体" w:cs="Times New Roman"/>
                      <w:i w:val="0"/>
                      <w:iCs w:val="0"/>
                      <w:color w:val="auto"/>
                      <w:sz w:val="21"/>
                      <w:szCs w:val="21"/>
                      <w:highlight w:val="none"/>
                      <w:u w:val="none"/>
                    </w:rPr>
                  </w:pPr>
                </w:p>
              </w:tc>
              <w:tc>
                <w:tcPr>
                  <w:tcW w:w="323" w:type="pct"/>
                  <w:vMerge w:val="continue"/>
                  <w:tcBorders>
                    <w:tl2br w:val="nil"/>
                    <w:tr2bl w:val="nil"/>
                  </w:tcBorders>
                  <w:noWrap w:val="0"/>
                  <w:vAlign w:val="center"/>
                </w:tcPr>
                <w:p>
                  <w:pPr>
                    <w:jc w:val="center"/>
                    <w:rPr>
                      <w:rFonts w:hint="default" w:ascii="Times New Roman" w:hAnsi="Times New Roman" w:eastAsia="宋体" w:cs="Times New Roman"/>
                      <w:i w:val="0"/>
                      <w:iCs w:val="0"/>
                      <w:color w:val="auto"/>
                      <w:sz w:val="21"/>
                      <w:szCs w:val="21"/>
                      <w:highlight w:val="none"/>
                      <w:u w:val="none"/>
                    </w:rPr>
                  </w:pPr>
                </w:p>
              </w:tc>
              <w:tc>
                <w:tcPr>
                  <w:tcW w:w="384" w:type="pct"/>
                  <w:vMerge w:val="continue"/>
                  <w:tcBorders>
                    <w:tl2br w:val="nil"/>
                    <w:tr2bl w:val="nil"/>
                  </w:tcBorders>
                  <w:noWrap w:val="0"/>
                  <w:vAlign w:val="center"/>
                </w:tcPr>
                <w:p>
                  <w:pPr>
                    <w:jc w:val="center"/>
                    <w:rPr>
                      <w:rFonts w:hint="default" w:ascii="Times New Roman" w:hAnsi="Times New Roman" w:eastAsia="宋体" w:cs="Times New Roman"/>
                      <w:i w:val="0"/>
                      <w:iCs w:val="0"/>
                      <w:color w:val="auto"/>
                      <w:sz w:val="21"/>
                      <w:szCs w:val="21"/>
                      <w:highlight w:val="none"/>
                      <w:u w:val="none"/>
                    </w:rPr>
                  </w:pPr>
                </w:p>
              </w:tc>
              <w:tc>
                <w:tcPr>
                  <w:tcW w:w="390" w:type="pct"/>
                  <w:vMerge w:val="continue"/>
                  <w:tcBorders>
                    <w:tl2br w:val="nil"/>
                    <w:tr2bl w:val="nil"/>
                  </w:tcBorders>
                  <w:noWrap w:val="0"/>
                  <w:vAlign w:val="center"/>
                </w:tcPr>
                <w:p>
                  <w:pPr>
                    <w:jc w:val="center"/>
                    <w:rPr>
                      <w:rFonts w:hint="default" w:ascii="Times New Roman" w:hAnsi="Times New Roman" w:eastAsia="宋体" w:cs="Times New Roman"/>
                      <w:i w:val="0"/>
                      <w:iCs w:val="0"/>
                      <w:color w:val="auto"/>
                      <w:sz w:val="21"/>
                      <w:szCs w:val="21"/>
                      <w:highlight w:val="none"/>
                      <w:u w:val="none"/>
                    </w:rPr>
                  </w:pPr>
                </w:p>
              </w:tc>
              <w:tc>
                <w:tcPr>
                  <w:tcW w:w="300" w:type="pct"/>
                  <w:vMerge w:val="continue"/>
                  <w:tcBorders>
                    <w:tl2br w:val="nil"/>
                    <w:tr2bl w:val="nil"/>
                  </w:tcBorders>
                  <w:noWrap w:val="0"/>
                  <w:vAlign w:val="center"/>
                </w:tcPr>
                <w:p>
                  <w:pPr>
                    <w:jc w:val="center"/>
                    <w:rPr>
                      <w:rFonts w:hint="default" w:ascii="Times New Roman" w:hAnsi="Times New Roman" w:eastAsia="宋体" w:cs="Times New Roman"/>
                      <w:i w:val="0"/>
                      <w:iCs w:val="0"/>
                      <w:color w:val="auto"/>
                      <w:sz w:val="21"/>
                      <w:szCs w:val="21"/>
                      <w:highlight w:val="none"/>
                      <w:u w:val="none"/>
                    </w:rPr>
                  </w:pPr>
                </w:p>
              </w:tc>
              <w:tc>
                <w:tcPr>
                  <w:tcW w:w="330" w:type="pct"/>
                  <w:vMerge w:val="continue"/>
                  <w:tcBorders>
                    <w:tl2br w:val="nil"/>
                    <w:tr2bl w:val="nil"/>
                  </w:tcBorders>
                  <w:noWrap w:val="0"/>
                  <w:vAlign w:val="center"/>
                </w:tcPr>
                <w:p>
                  <w:pPr>
                    <w:jc w:val="center"/>
                    <w:rPr>
                      <w:rFonts w:hint="default" w:ascii="Times New Roman" w:hAnsi="Times New Roman" w:eastAsia="宋体" w:cs="Times New Roman"/>
                      <w:i w:val="0"/>
                      <w:iCs w:val="0"/>
                      <w:color w:val="auto"/>
                      <w:sz w:val="21"/>
                      <w:szCs w:val="21"/>
                      <w:highlight w:val="none"/>
                      <w:u w:val="none"/>
                    </w:rPr>
                  </w:pPr>
                </w:p>
              </w:tc>
              <w:tc>
                <w:tcPr>
                  <w:tcW w:w="325" w:type="pct"/>
                  <w:vMerge w:val="continue"/>
                  <w:tcBorders>
                    <w:tl2br w:val="nil"/>
                    <w:tr2bl w:val="nil"/>
                  </w:tcBorders>
                  <w:noWrap w:val="0"/>
                  <w:vAlign w:val="center"/>
                </w:tcPr>
                <w:p>
                  <w:pPr>
                    <w:jc w:val="center"/>
                    <w:rPr>
                      <w:rFonts w:hint="default" w:ascii="Times New Roman" w:hAnsi="Times New Roman" w:eastAsia="宋体" w:cs="Times New Roman"/>
                      <w:i w:val="0"/>
                      <w:iCs w:val="0"/>
                      <w:color w:val="auto"/>
                      <w:sz w:val="21"/>
                      <w:szCs w:val="21"/>
                      <w:highlight w:val="none"/>
                      <w:u w:val="none"/>
                    </w:rPr>
                  </w:pPr>
                </w:p>
              </w:tc>
              <w:tc>
                <w:tcPr>
                  <w:tcW w:w="426"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苯并芘</w:t>
                  </w:r>
                </w:p>
              </w:tc>
              <w:tc>
                <w:tcPr>
                  <w:tcW w:w="548"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6.282*10</w:t>
                  </w:r>
                  <w:r>
                    <w:rPr>
                      <w:rFonts w:hint="default" w:ascii="Times New Roman" w:hAnsi="Times New Roman" w:eastAsia="宋体" w:cs="Times New Roman"/>
                      <w:i w:val="0"/>
                      <w:iCs w:val="0"/>
                      <w:color w:val="auto"/>
                      <w:kern w:val="0"/>
                      <w:sz w:val="21"/>
                      <w:szCs w:val="21"/>
                      <w:highlight w:val="none"/>
                      <w:u w:val="none"/>
                      <w:vertAlign w:val="superscript"/>
                      <w:lang w:val="en-US" w:eastAsia="zh-CN" w:bidi="ar"/>
                    </w:rPr>
                    <w:t>-7</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213" w:type="pct"/>
                  <w:vMerge w:val="continue"/>
                  <w:tcBorders>
                    <w:tl2br w:val="nil"/>
                    <w:tr2bl w:val="nil"/>
                  </w:tcBorders>
                  <w:noWrap w:val="0"/>
                  <w:vAlign w:val="center"/>
                </w:tcPr>
                <w:p>
                  <w:pPr>
                    <w:jc w:val="center"/>
                    <w:rPr>
                      <w:rFonts w:hint="default" w:ascii="Times New Roman" w:hAnsi="Times New Roman" w:eastAsia="宋体" w:cs="Times New Roman"/>
                      <w:i w:val="0"/>
                      <w:iCs w:val="0"/>
                      <w:color w:val="auto"/>
                      <w:sz w:val="21"/>
                      <w:szCs w:val="21"/>
                      <w:highlight w:val="none"/>
                      <w:u w:val="none"/>
                    </w:rPr>
                  </w:pPr>
                </w:p>
              </w:tc>
              <w:tc>
                <w:tcPr>
                  <w:tcW w:w="307" w:type="pct"/>
                  <w:vMerge w:val="continue"/>
                  <w:tcBorders>
                    <w:tl2br w:val="nil"/>
                    <w:tr2bl w:val="nil"/>
                  </w:tcBorders>
                  <w:noWrap w:val="0"/>
                  <w:vAlign w:val="center"/>
                </w:tcPr>
                <w:p>
                  <w:pPr>
                    <w:jc w:val="center"/>
                    <w:rPr>
                      <w:rFonts w:hint="default" w:ascii="Times New Roman" w:hAnsi="Times New Roman" w:eastAsia="宋体" w:cs="Times New Roman"/>
                      <w:i w:val="0"/>
                      <w:iCs w:val="0"/>
                      <w:color w:val="auto"/>
                      <w:sz w:val="21"/>
                      <w:szCs w:val="21"/>
                      <w:highlight w:val="none"/>
                      <w:u w:val="none"/>
                    </w:rPr>
                  </w:pPr>
                </w:p>
              </w:tc>
              <w:tc>
                <w:tcPr>
                  <w:tcW w:w="507" w:type="pct"/>
                  <w:vMerge w:val="continue"/>
                  <w:tcBorders>
                    <w:tl2br w:val="nil"/>
                    <w:tr2bl w:val="nil"/>
                  </w:tcBorders>
                  <w:noWrap w:val="0"/>
                  <w:vAlign w:val="center"/>
                </w:tcPr>
                <w:p>
                  <w:pPr>
                    <w:jc w:val="center"/>
                    <w:rPr>
                      <w:rFonts w:hint="default" w:ascii="Times New Roman" w:hAnsi="Times New Roman" w:eastAsia="宋体" w:cs="Times New Roman"/>
                      <w:i w:val="0"/>
                      <w:iCs w:val="0"/>
                      <w:color w:val="auto"/>
                      <w:sz w:val="21"/>
                      <w:szCs w:val="21"/>
                      <w:highlight w:val="none"/>
                      <w:u w:val="none"/>
                    </w:rPr>
                  </w:pPr>
                </w:p>
              </w:tc>
              <w:tc>
                <w:tcPr>
                  <w:tcW w:w="464" w:type="pct"/>
                  <w:vMerge w:val="continue"/>
                  <w:tcBorders>
                    <w:tl2br w:val="nil"/>
                    <w:tr2bl w:val="nil"/>
                  </w:tcBorders>
                  <w:noWrap w:val="0"/>
                  <w:vAlign w:val="center"/>
                </w:tcPr>
                <w:p>
                  <w:pPr>
                    <w:jc w:val="center"/>
                    <w:rPr>
                      <w:rFonts w:hint="default" w:ascii="Times New Roman" w:hAnsi="Times New Roman" w:eastAsia="宋体" w:cs="Times New Roman"/>
                      <w:i w:val="0"/>
                      <w:iCs w:val="0"/>
                      <w:color w:val="auto"/>
                      <w:sz w:val="21"/>
                      <w:szCs w:val="21"/>
                      <w:highlight w:val="none"/>
                      <w:u w:val="none"/>
                    </w:rPr>
                  </w:pPr>
                </w:p>
              </w:tc>
              <w:tc>
                <w:tcPr>
                  <w:tcW w:w="476" w:type="pct"/>
                  <w:vMerge w:val="continue"/>
                  <w:tcBorders>
                    <w:tl2br w:val="nil"/>
                    <w:tr2bl w:val="nil"/>
                  </w:tcBorders>
                  <w:noWrap w:val="0"/>
                  <w:vAlign w:val="center"/>
                </w:tcPr>
                <w:p>
                  <w:pPr>
                    <w:jc w:val="center"/>
                    <w:rPr>
                      <w:rFonts w:hint="default" w:ascii="Times New Roman" w:hAnsi="Times New Roman" w:eastAsia="宋体" w:cs="Times New Roman"/>
                      <w:i w:val="0"/>
                      <w:iCs w:val="0"/>
                      <w:color w:val="auto"/>
                      <w:sz w:val="21"/>
                      <w:szCs w:val="21"/>
                      <w:highlight w:val="none"/>
                      <w:u w:val="none"/>
                    </w:rPr>
                  </w:pPr>
                </w:p>
              </w:tc>
              <w:tc>
                <w:tcPr>
                  <w:tcW w:w="323" w:type="pct"/>
                  <w:vMerge w:val="continue"/>
                  <w:tcBorders>
                    <w:tl2br w:val="nil"/>
                    <w:tr2bl w:val="nil"/>
                  </w:tcBorders>
                  <w:noWrap w:val="0"/>
                  <w:vAlign w:val="center"/>
                </w:tcPr>
                <w:p>
                  <w:pPr>
                    <w:jc w:val="center"/>
                    <w:rPr>
                      <w:rFonts w:hint="default" w:ascii="Times New Roman" w:hAnsi="Times New Roman" w:eastAsia="宋体" w:cs="Times New Roman"/>
                      <w:i w:val="0"/>
                      <w:iCs w:val="0"/>
                      <w:color w:val="auto"/>
                      <w:sz w:val="21"/>
                      <w:szCs w:val="21"/>
                      <w:highlight w:val="none"/>
                      <w:u w:val="none"/>
                    </w:rPr>
                  </w:pPr>
                </w:p>
              </w:tc>
              <w:tc>
                <w:tcPr>
                  <w:tcW w:w="384" w:type="pct"/>
                  <w:vMerge w:val="continue"/>
                  <w:tcBorders>
                    <w:tl2br w:val="nil"/>
                    <w:tr2bl w:val="nil"/>
                  </w:tcBorders>
                  <w:noWrap w:val="0"/>
                  <w:vAlign w:val="center"/>
                </w:tcPr>
                <w:p>
                  <w:pPr>
                    <w:jc w:val="center"/>
                    <w:rPr>
                      <w:rFonts w:hint="default" w:ascii="Times New Roman" w:hAnsi="Times New Roman" w:eastAsia="宋体" w:cs="Times New Roman"/>
                      <w:i w:val="0"/>
                      <w:iCs w:val="0"/>
                      <w:color w:val="auto"/>
                      <w:sz w:val="21"/>
                      <w:szCs w:val="21"/>
                      <w:highlight w:val="none"/>
                      <w:u w:val="none"/>
                    </w:rPr>
                  </w:pPr>
                </w:p>
              </w:tc>
              <w:tc>
                <w:tcPr>
                  <w:tcW w:w="390" w:type="pct"/>
                  <w:vMerge w:val="continue"/>
                  <w:tcBorders>
                    <w:tl2br w:val="nil"/>
                    <w:tr2bl w:val="nil"/>
                  </w:tcBorders>
                  <w:noWrap w:val="0"/>
                  <w:vAlign w:val="center"/>
                </w:tcPr>
                <w:p>
                  <w:pPr>
                    <w:jc w:val="center"/>
                    <w:rPr>
                      <w:rFonts w:hint="default" w:ascii="Times New Roman" w:hAnsi="Times New Roman" w:eastAsia="宋体" w:cs="Times New Roman"/>
                      <w:i w:val="0"/>
                      <w:iCs w:val="0"/>
                      <w:color w:val="auto"/>
                      <w:sz w:val="21"/>
                      <w:szCs w:val="21"/>
                      <w:highlight w:val="none"/>
                      <w:u w:val="none"/>
                    </w:rPr>
                  </w:pPr>
                </w:p>
              </w:tc>
              <w:tc>
                <w:tcPr>
                  <w:tcW w:w="300" w:type="pct"/>
                  <w:vMerge w:val="continue"/>
                  <w:tcBorders>
                    <w:tl2br w:val="nil"/>
                    <w:tr2bl w:val="nil"/>
                  </w:tcBorders>
                  <w:noWrap w:val="0"/>
                  <w:vAlign w:val="center"/>
                </w:tcPr>
                <w:p>
                  <w:pPr>
                    <w:jc w:val="center"/>
                    <w:rPr>
                      <w:rFonts w:hint="default" w:ascii="Times New Roman" w:hAnsi="Times New Roman" w:eastAsia="宋体" w:cs="Times New Roman"/>
                      <w:i w:val="0"/>
                      <w:iCs w:val="0"/>
                      <w:color w:val="auto"/>
                      <w:sz w:val="21"/>
                      <w:szCs w:val="21"/>
                      <w:highlight w:val="none"/>
                      <w:u w:val="none"/>
                    </w:rPr>
                  </w:pPr>
                </w:p>
              </w:tc>
              <w:tc>
                <w:tcPr>
                  <w:tcW w:w="330" w:type="pct"/>
                  <w:vMerge w:val="continue"/>
                  <w:tcBorders>
                    <w:tl2br w:val="nil"/>
                    <w:tr2bl w:val="nil"/>
                  </w:tcBorders>
                  <w:noWrap w:val="0"/>
                  <w:vAlign w:val="center"/>
                </w:tcPr>
                <w:p>
                  <w:pPr>
                    <w:jc w:val="center"/>
                    <w:rPr>
                      <w:rFonts w:hint="default" w:ascii="Times New Roman" w:hAnsi="Times New Roman" w:eastAsia="宋体" w:cs="Times New Roman"/>
                      <w:i w:val="0"/>
                      <w:iCs w:val="0"/>
                      <w:color w:val="auto"/>
                      <w:sz w:val="21"/>
                      <w:szCs w:val="21"/>
                      <w:highlight w:val="none"/>
                      <w:u w:val="none"/>
                    </w:rPr>
                  </w:pPr>
                </w:p>
              </w:tc>
              <w:tc>
                <w:tcPr>
                  <w:tcW w:w="325" w:type="pct"/>
                  <w:vMerge w:val="continue"/>
                  <w:tcBorders>
                    <w:tl2br w:val="nil"/>
                    <w:tr2bl w:val="nil"/>
                  </w:tcBorders>
                  <w:noWrap w:val="0"/>
                  <w:vAlign w:val="center"/>
                </w:tcPr>
                <w:p>
                  <w:pPr>
                    <w:jc w:val="center"/>
                    <w:rPr>
                      <w:rFonts w:hint="default" w:ascii="Times New Roman" w:hAnsi="Times New Roman" w:eastAsia="宋体" w:cs="Times New Roman"/>
                      <w:i w:val="0"/>
                      <w:iCs w:val="0"/>
                      <w:color w:val="auto"/>
                      <w:sz w:val="21"/>
                      <w:szCs w:val="21"/>
                      <w:highlight w:val="none"/>
                      <w:u w:val="none"/>
                    </w:rPr>
                  </w:pPr>
                </w:p>
              </w:tc>
              <w:tc>
                <w:tcPr>
                  <w:tcW w:w="426"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非甲烷总烃</w:t>
                  </w:r>
                </w:p>
              </w:tc>
              <w:tc>
                <w:tcPr>
                  <w:tcW w:w="548"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0.000188</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5" w:hRule="atLeast"/>
                <w:jc w:val="center"/>
              </w:trPr>
              <w:tc>
                <w:tcPr>
                  <w:tcW w:w="213" w:type="pct"/>
                  <w:vMerge w:val="restar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w:t>
                  </w:r>
                </w:p>
              </w:tc>
              <w:tc>
                <w:tcPr>
                  <w:tcW w:w="307" w:type="pct"/>
                  <w:vMerge w:val="restar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排气筒G2</w:t>
                  </w:r>
                </w:p>
              </w:tc>
              <w:tc>
                <w:tcPr>
                  <w:tcW w:w="844" w:type="dxa"/>
                  <w:vMerge w:val="restar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372579.72</w:t>
                  </w:r>
                </w:p>
              </w:tc>
              <w:tc>
                <w:tcPr>
                  <w:tcW w:w="773" w:type="dxa"/>
                  <w:vMerge w:val="restar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3282270.58</w:t>
                  </w:r>
                </w:p>
              </w:tc>
              <w:tc>
                <w:tcPr>
                  <w:tcW w:w="476" w:type="pct"/>
                  <w:vMerge w:val="restar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406.59</w:t>
                  </w:r>
                </w:p>
              </w:tc>
              <w:tc>
                <w:tcPr>
                  <w:tcW w:w="323" w:type="pct"/>
                  <w:vMerge w:val="restar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15</w:t>
                  </w:r>
                </w:p>
              </w:tc>
              <w:tc>
                <w:tcPr>
                  <w:tcW w:w="384" w:type="pct"/>
                  <w:vMerge w:val="restar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0.3</w:t>
                  </w:r>
                </w:p>
              </w:tc>
              <w:tc>
                <w:tcPr>
                  <w:tcW w:w="390" w:type="pct"/>
                  <w:vMerge w:val="restar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2.678</w:t>
                  </w:r>
                </w:p>
              </w:tc>
              <w:tc>
                <w:tcPr>
                  <w:tcW w:w="300" w:type="pct"/>
                  <w:vMerge w:val="restar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80</w:t>
                  </w:r>
                </w:p>
              </w:tc>
              <w:tc>
                <w:tcPr>
                  <w:tcW w:w="330" w:type="pct"/>
                  <w:vMerge w:val="restar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600</w:t>
                  </w:r>
                </w:p>
              </w:tc>
              <w:tc>
                <w:tcPr>
                  <w:tcW w:w="325" w:type="pct"/>
                  <w:vMerge w:val="restar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正常排放</w:t>
                  </w:r>
                </w:p>
              </w:tc>
              <w:tc>
                <w:tcPr>
                  <w:tcW w:w="426"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SO</w:t>
                  </w:r>
                  <w:r>
                    <w:rPr>
                      <w:rFonts w:hint="default" w:ascii="Times New Roman" w:hAnsi="Times New Roman" w:eastAsia="宋体" w:cs="Times New Roman"/>
                      <w:i w:val="0"/>
                      <w:iCs w:val="0"/>
                      <w:color w:val="auto"/>
                      <w:kern w:val="0"/>
                      <w:sz w:val="21"/>
                      <w:szCs w:val="21"/>
                      <w:highlight w:val="none"/>
                      <w:u w:val="none"/>
                      <w:vertAlign w:val="subscript"/>
                      <w:lang w:val="en-US" w:eastAsia="zh-CN" w:bidi="ar"/>
                    </w:rPr>
                    <w:t>2</w:t>
                  </w:r>
                </w:p>
              </w:tc>
              <w:tc>
                <w:tcPr>
                  <w:tcW w:w="548"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0.02</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70" w:hRule="atLeast"/>
                <w:jc w:val="center"/>
              </w:trPr>
              <w:tc>
                <w:tcPr>
                  <w:tcW w:w="213" w:type="pct"/>
                  <w:vMerge w:val="continue"/>
                  <w:tcBorders>
                    <w:tl2br w:val="nil"/>
                    <w:tr2bl w:val="nil"/>
                  </w:tcBorders>
                  <w:noWrap w:val="0"/>
                  <w:vAlign w:val="center"/>
                </w:tcPr>
                <w:p>
                  <w:pPr>
                    <w:jc w:val="center"/>
                    <w:rPr>
                      <w:rFonts w:hint="default" w:ascii="Times New Roman" w:hAnsi="Times New Roman" w:eastAsia="宋体" w:cs="Times New Roman"/>
                      <w:i w:val="0"/>
                      <w:iCs w:val="0"/>
                      <w:color w:val="auto"/>
                      <w:sz w:val="21"/>
                      <w:szCs w:val="21"/>
                      <w:highlight w:val="none"/>
                      <w:u w:val="none"/>
                    </w:rPr>
                  </w:pPr>
                </w:p>
              </w:tc>
              <w:tc>
                <w:tcPr>
                  <w:tcW w:w="307" w:type="pct"/>
                  <w:vMerge w:val="continue"/>
                  <w:tcBorders>
                    <w:tl2br w:val="nil"/>
                    <w:tr2bl w:val="nil"/>
                  </w:tcBorders>
                  <w:noWrap w:val="0"/>
                  <w:vAlign w:val="center"/>
                </w:tcPr>
                <w:p>
                  <w:pPr>
                    <w:jc w:val="center"/>
                    <w:rPr>
                      <w:rFonts w:hint="default" w:ascii="Times New Roman" w:hAnsi="Times New Roman" w:eastAsia="宋体" w:cs="Times New Roman"/>
                      <w:i w:val="0"/>
                      <w:iCs w:val="0"/>
                      <w:color w:val="auto"/>
                      <w:sz w:val="21"/>
                      <w:szCs w:val="21"/>
                      <w:highlight w:val="none"/>
                      <w:u w:val="none"/>
                    </w:rPr>
                  </w:pPr>
                </w:p>
              </w:tc>
              <w:tc>
                <w:tcPr>
                  <w:tcW w:w="507" w:type="pct"/>
                  <w:vMerge w:val="continue"/>
                  <w:tcBorders>
                    <w:tl2br w:val="nil"/>
                    <w:tr2bl w:val="nil"/>
                  </w:tcBorders>
                  <w:noWrap w:val="0"/>
                  <w:vAlign w:val="center"/>
                </w:tcPr>
                <w:p>
                  <w:pPr>
                    <w:jc w:val="center"/>
                    <w:rPr>
                      <w:rFonts w:hint="default" w:ascii="Times New Roman" w:hAnsi="Times New Roman" w:eastAsia="宋体" w:cs="Times New Roman"/>
                      <w:i w:val="0"/>
                      <w:iCs w:val="0"/>
                      <w:color w:val="auto"/>
                      <w:sz w:val="21"/>
                      <w:szCs w:val="21"/>
                      <w:highlight w:val="none"/>
                      <w:u w:val="none"/>
                    </w:rPr>
                  </w:pPr>
                </w:p>
              </w:tc>
              <w:tc>
                <w:tcPr>
                  <w:tcW w:w="464" w:type="pct"/>
                  <w:vMerge w:val="continue"/>
                  <w:tcBorders>
                    <w:tl2br w:val="nil"/>
                    <w:tr2bl w:val="nil"/>
                  </w:tcBorders>
                  <w:noWrap w:val="0"/>
                  <w:vAlign w:val="center"/>
                </w:tcPr>
                <w:p>
                  <w:pPr>
                    <w:jc w:val="center"/>
                    <w:rPr>
                      <w:rFonts w:hint="default" w:ascii="Times New Roman" w:hAnsi="Times New Roman" w:eastAsia="宋体" w:cs="Times New Roman"/>
                      <w:i w:val="0"/>
                      <w:iCs w:val="0"/>
                      <w:color w:val="auto"/>
                      <w:sz w:val="21"/>
                      <w:szCs w:val="21"/>
                      <w:highlight w:val="none"/>
                      <w:u w:val="none"/>
                    </w:rPr>
                  </w:pPr>
                </w:p>
              </w:tc>
              <w:tc>
                <w:tcPr>
                  <w:tcW w:w="476" w:type="pct"/>
                  <w:vMerge w:val="continue"/>
                  <w:tcBorders>
                    <w:tl2br w:val="nil"/>
                    <w:tr2bl w:val="nil"/>
                  </w:tcBorders>
                  <w:noWrap w:val="0"/>
                  <w:vAlign w:val="center"/>
                </w:tcPr>
                <w:p>
                  <w:pPr>
                    <w:jc w:val="center"/>
                    <w:rPr>
                      <w:rFonts w:hint="default" w:ascii="Times New Roman" w:hAnsi="Times New Roman" w:eastAsia="宋体" w:cs="Times New Roman"/>
                      <w:i w:val="0"/>
                      <w:iCs w:val="0"/>
                      <w:color w:val="auto"/>
                      <w:sz w:val="21"/>
                      <w:szCs w:val="21"/>
                      <w:highlight w:val="none"/>
                      <w:u w:val="none"/>
                    </w:rPr>
                  </w:pPr>
                </w:p>
              </w:tc>
              <w:tc>
                <w:tcPr>
                  <w:tcW w:w="323" w:type="pct"/>
                  <w:vMerge w:val="continue"/>
                  <w:tcBorders>
                    <w:tl2br w:val="nil"/>
                    <w:tr2bl w:val="nil"/>
                  </w:tcBorders>
                  <w:noWrap w:val="0"/>
                  <w:vAlign w:val="center"/>
                </w:tcPr>
                <w:p>
                  <w:pPr>
                    <w:jc w:val="center"/>
                    <w:rPr>
                      <w:rFonts w:hint="default" w:ascii="Times New Roman" w:hAnsi="Times New Roman" w:eastAsia="宋体" w:cs="Times New Roman"/>
                      <w:i w:val="0"/>
                      <w:iCs w:val="0"/>
                      <w:color w:val="auto"/>
                      <w:sz w:val="21"/>
                      <w:szCs w:val="21"/>
                      <w:highlight w:val="none"/>
                      <w:u w:val="none"/>
                    </w:rPr>
                  </w:pPr>
                </w:p>
              </w:tc>
              <w:tc>
                <w:tcPr>
                  <w:tcW w:w="384" w:type="pct"/>
                  <w:vMerge w:val="continue"/>
                  <w:tcBorders>
                    <w:tl2br w:val="nil"/>
                    <w:tr2bl w:val="nil"/>
                  </w:tcBorders>
                  <w:noWrap w:val="0"/>
                  <w:vAlign w:val="center"/>
                </w:tcPr>
                <w:p>
                  <w:pPr>
                    <w:jc w:val="center"/>
                    <w:rPr>
                      <w:rFonts w:hint="default" w:ascii="Times New Roman" w:hAnsi="Times New Roman" w:eastAsia="宋体" w:cs="Times New Roman"/>
                      <w:i w:val="0"/>
                      <w:iCs w:val="0"/>
                      <w:color w:val="auto"/>
                      <w:sz w:val="21"/>
                      <w:szCs w:val="21"/>
                      <w:highlight w:val="none"/>
                      <w:u w:val="none"/>
                    </w:rPr>
                  </w:pPr>
                </w:p>
              </w:tc>
              <w:tc>
                <w:tcPr>
                  <w:tcW w:w="390" w:type="pct"/>
                  <w:vMerge w:val="continue"/>
                  <w:tcBorders>
                    <w:tl2br w:val="nil"/>
                    <w:tr2bl w:val="nil"/>
                  </w:tcBorders>
                  <w:noWrap w:val="0"/>
                  <w:vAlign w:val="center"/>
                </w:tcPr>
                <w:p>
                  <w:pPr>
                    <w:jc w:val="center"/>
                    <w:rPr>
                      <w:rFonts w:hint="default" w:ascii="Times New Roman" w:hAnsi="Times New Roman" w:eastAsia="宋体" w:cs="Times New Roman"/>
                      <w:i w:val="0"/>
                      <w:iCs w:val="0"/>
                      <w:color w:val="auto"/>
                      <w:sz w:val="21"/>
                      <w:szCs w:val="21"/>
                      <w:highlight w:val="none"/>
                      <w:u w:val="none"/>
                    </w:rPr>
                  </w:pPr>
                </w:p>
              </w:tc>
              <w:tc>
                <w:tcPr>
                  <w:tcW w:w="300" w:type="pct"/>
                  <w:vMerge w:val="continue"/>
                  <w:tcBorders>
                    <w:tl2br w:val="nil"/>
                    <w:tr2bl w:val="nil"/>
                  </w:tcBorders>
                  <w:noWrap w:val="0"/>
                  <w:vAlign w:val="center"/>
                </w:tcPr>
                <w:p>
                  <w:pPr>
                    <w:jc w:val="center"/>
                    <w:rPr>
                      <w:rFonts w:hint="default" w:ascii="Times New Roman" w:hAnsi="Times New Roman" w:eastAsia="宋体" w:cs="Times New Roman"/>
                      <w:i w:val="0"/>
                      <w:iCs w:val="0"/>
                      <w:color w:val="auto"/>
                      <w:sz w:val="21"/>
                      <w:szCs w:val="21"/>
                      <w:highlight w:val="none"/>
                      <w:u w:val="none"/>
                    </w:rPr>
                  </w:pPr>
                </w:p>
              </w:tc>
              <w:tc>
                <w:tcPr>
                  <w:tcW w:w="330" w:type="pct"/>
                  <w:vMerge w:val="continue"/>
                  <w:tcBorders>
                    <w:tl2br w:val="nil"/>
                    <w:tr2bl w:val="nil"/>
                  </w:tcBorders>
                  <w:noWrap w:val="0"/>
                  <w:vAlign w:val="center"/>
                </w:tcPr>
                <w:p>
                  <w:pPr>
                    <w:jc w:val="center"/>
                    <w:rPr>
                      <w:rFonts w:hint="default" w:ascii="Times New Roman" w:hAnsi="Times New Roman" w:eastAsia="宋体" w:cs="Times New Roman"/>
                      <w:i w:val="0"/>
                      <w:iCs w:val="0"/>
                      <w:color w:val="auto"/>
                      <w:sz w:val="21"/>
                      <w:szCs w:val="21"/>
                      <w:highlight w:val="none"/>
                      <w:u w:val="none"/>
                    </w:rPr>
                  </w:pPr>
                </w:p>
              </w:tc>
              <w:tc>
                <w:tcPr>
                  <w:tcW w:w="325" w:type="pct"/>
                  <w:vMerge w:val="continue"/>
                  <w:tcBorders>
                    <w:tl2br w:val="nil"/>
                    <w:tr2bl w:val="nil"/>
                  </w:tcBorders>
                  <w:noWrap w:val="0"/>
                  <w:vAlign w:val="center"/>
                </w:tcPr>
                <w:p>
                  <w:pPr>
                    <w:jc w:val="center"/>
                    <w:rPr>
                      <w:rFonts w:hint="default" w:ascii="Times New Roman" w:hAnsi="Times New Roman" w:eastAsia="宋体" w:cs="Times New Roman"/>
                      <w:i w:val="0"/>
                      <w:iCs w:val="0"/>
                      <w:color w:val="auto"/>
                      <w:sz w:val="21"/>
                      <w:szCs w:val="21"/>
                      <w:highlight w:val="none"/>
                      <w:u w:val="none"/>
                    </w:rPr>
                  </w:pPr>
                </w:p>
              </w:tc>
              <w:tc>
                <w:tcPr>
                  <w:tcW w:w="426"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NOx</w:t>
                  </w:r>
                </w:p>
              </w:tc>
              <w:tc>
                <w:tcPr>
                  <w:tcW w:w="548"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0.08</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70" w:hRule="atLeast"/>
                <w:jc w:val="center"/>
              </w:trPr>
              <w:tc>
                <w:tcPr>
                  <w:tcW w:w="213" w:type="pct"/>
                  <w:vMerge w:val="continue"/>
                  <w:tcBorders>
                    <w:tl2br w:val="nil"/>
                    <w:tr2bl w:val="nil"/>
                  </w:tcBorders>
                  <w:noWrap w:val="0"/>
                  <w:vAlign w:val="center"/>
                </w:tcPr>
                <w:p>
                  <w:pPr>
                    <w:jc w:val="center"/>
                    <w:rPr>
                      <w:rFonts w:hint="default" w:ascii="Times New Roman" w:hAnsi="Times New Roman" w:eastAsia="宋体" w:cs="Times New Roman"/>
                      <w:i w:val="0"/>
                      <w:iCs w:val="0"/>
                      <w:color w:val="auto"/>
                      <w:sz w:val="21"/>
                      <w:szCs w:val="21"/>
                      <w:highlight w:val="none"/>
                      <w:u w:val="none"/>
                    </w:rPr>
                  </w:pPr>
                </w:p>
              </w:tc>
              <w:tc>
                <w:tcPr>
                  <w:tcW w:w="307" w:type="pct"/>
                  <w:vMerge w:val="continue"/>
                  <w:tcBorders>
                    <w:tl2br w:val="nil"/>
                    <w:tr2bl w:val="nil"/>
                  </w:tcBorders>
                  <w:noWrap w:val="0"/>
                  <w:vAlign w:val="center"/>
                </w:tcPr>
                <w:p>
                  <w:pPr>
                    <w:jc w:val="center"/>
                    <w:rPr>
                      <w:rFonts w:hint="default" w:ascii="Times New Roman" w:hAnsi="Times New Roman" w:eastAsia="宋体" w:cs="Times New Roman"/>
                      <w:i w:val="0"/>
                      <w:iCs w:val="0"/>
                      <w:color w:val="auto"/>
                      <w:sz w:val="21"/>
                      <w:szCs w:val="21"/>
                      <w:highlight w:val="none"/>
                      <w:u w:val="none"/>
                    </w:rPr>
                  </w:pPr>
                </w:p>
              </w:tc>
              <w:tc>
                <w:tcPr>
                  <w:tcW w:w="507" w:type="pct"/>
                  <w:vMerge w:val="continue"/>
                  <w:tcBorders>
                    <w:tl2br w:val="nil"/>
                    <w:tr2bl w:val="nil"/>
                  </w:tcBorders>
                  <w:noWrap w:val="0"/>
                  <w:vAlign w:val="center"/>
                </w:tcPr>
                <w:p>
                  <w:pPr>
                    <w:jc w:val="center"/>
                    <w:rPr>
                      <w:rFonts w:hint="default" w:ascii="Times New Roman" w:hAnsi="Times New Roman" w:eastAsia="宋体" w:cs="Times New Roman"/>
                      <w:i w:val="0"/>
                      <w:iCs w:val="0"/>
                      <w:color w:val="auto"/>
                      <w:sz w:val="21"/>
                      <w:szCs w:val="21"/>
                      <w:highlight w:val="none"/>
                      <w:u w:val="none"/>
                    </w:rPr>
                  </w:pPr>
                </w:p>
              </w:tc>
              <w:tc>
                <w:tcPr>
                  <w:tcW w:w="464" w:type="pct"/>
                  <w:vMerge w:val="continue"/>
                  <w:tcBorders>
                    <w:tl2br w:val="nil"/>
                    <w:tr2bl w:val="nil"/>
                  </w:tcBorders>
                  <w:noWrap w:val="0"/>
                  <w:vAlign w:val="center"/>
                </w:tcPr>
                <w:p>
                  <w:pPr>
                    <w:jc w:val="center"/>
                    <w:rPr>
                      <w:rFonts w:hint="default" w:ascii="Times New Roman" w:hAnsi="Times New Roman" w:eastAsia="宋体" w:cs="Times New Roman"/>
                      <w:i w:val="0"/>
                      <w:iCs w:val="0"/>
                      <w:color w:val="auto"/>
                      <w:sz w:val="21"/>
                      <w:szCs w:val="21"/>
                      <w:highlight w:val="none"/>
                      <w:u w:val="none"/>
                    </w:rPr>
                  </w:pPr>
                </w:p>
              </w:tc>
              <w:tc>
                <w:tcPr>
                  <w:tcW w:w="476" w:type="pct"/>
                  <w:vMerge w:val="continue"/>
                  <w:tcBorders>
                    <w:tl2br w:val="nil"/>
                    <w:tr2bl w:val="nil"/>
                  </w:tcBorders>
                  <w:noWrap w:val="0"/>
                  <w:vAlign w:val="center"/>
                </w:tcPr>
                <w:p>
                  <w:pPr>
                    <w:jc w:val="center"/>
                    <w:rPr>
                      <w:rFonts w:hint="default" w:ascii="Times New Roman" w:hAnsi="Times New Roman" w:eastAsia="宋体" w:cs="Times New Roman"/>
                      <w:i w:val="0"/>
                      <w:iCs w:val="0"/>
                      <w:color w:val="auto"/>
                      <w:sz w:val="21"/>
                      <w:szCs w:val="21"/>
                      <w:highlight w:val="none"/>
                      <w:u w:val="none"/>
                    </w:rPr>
                  </w:pPr>
                </w:p>
              </w:tc>
              <w:tc>
                <w:tcPr>
                  <w:tcW w:w="323" w:type="pct"/>
                  <w:vMerge w:val="continue"/>
                  <w:tcBorders>
                    <w:tl2br w:val="nil"/>
                    <w:tr2bl w:val="nil"/>
                  </w:tcBorders>
                  <w:noWrap w:val="0"/>
                  <w:vAlign w:val="center"/>
                </w:tcPr>
                <w:p>
                  <w:pPr>
                    <w:jc w:val="center"/>
                    <w:rPr>
                      <w:rFonts w:hint="default" w:ascii="Times New Roman" w:hAnsi="Times New Roman" w:eastAsia="宋体" w:cs="Times New Roman"/>
                      <w:i w:val="0"/>
                      <w:iCs w:val="0"/>
                      <w:color w:val="auto"/>
                      <w:sz w:val="21"/>
                      <w:szCs w:val="21"/>
                      <w:highlight w:val="none"/>
                      <w:u w:val="none"/>
                    </w:rPr>
                  </w:pPr>
                </w:p>
              </w:tc>
              <w:tc>
                <w:tcPr>
                  <w:tcW w:w="384" w:type="pct"/>
                  <w:vMerge w:val="continue"/>
                  <w:tcBorders>
                    <w:tl2br w:val="nil"/>
                    <w:tr2bl w:val="nil"/>
                  </w:tcBorders>
                  <w:noWrap w:val="0"/>
                  <w:vAlign w:val="center"/>
                </w:tcPr>
                <w:p>
                  <w:pPr>
                    <w:jc w:val="center"/>
                    <w:rPr>
                      <w:rFonts w:hint="default" w:ascii="Times New Roman" w:hAnsi="Times New Roman" w:eastAsia="宋体" w:cs="Times New Roman"/>
                      <w:i w:val="0"/>
                      <w:iCs w:val="0"/>
                      <w:color w:val="auto"/>
                      <w:sz w:val="21"/>
                      <w:szCs w:val="21"/>
                      <w:highlight w:val="none"/>
                      <w:u w:val="none"/>
                    </w:rPr>
                  </w:pPr>
                </w:p>
              </w:tc>
              <w:tc>
                <w:tcPr>
                  <w:tcW w:w="390" w:type="pct"/>
                  <w:vMerge w:val="continue"/>
                  <w:tcBorders>
                    <w:tl2br w:val="nil"/>
                    <w:tr2bl w:val="nil"/>
                  </w:tcBorders>
                  <w:noWrap w:val="0"/>
                  <w:vAlign w:val="center"/>
                </w:tcPr>
                <w:p>
                  <w:pPr>
                    <w:jc w:val="center"/>
                    <w:rPr>
                      <w:rFonts w:hint="default" w:ascii="Times New Roman" w:hAnsi="Times New Roman" w:eastAsia="宋体" w:cs="Times New Roman"/>
                      <w:i w:val="0"/>
                      <w:iCs w:val="0"/>
                      <w:color w:val="auto"/>
                      <w:sz w:val="21"/>
                      <w:szCs w:val="21"/>
                      <w:highlight w:val="none"/>
                      <w:u w:val="none"/>
                    </w:rPr>
                  </w:pPr>
                </w:p>
              </w:tc>
              <w:tc>
                <w:tcPr>
                  <w:tcW w:w="300" w:type="pct"/>
                  <w:vMerge w:val="continue"/>
                  <w:tcBorders>
                    <w:tl2br w:val="nil"/>
                    <w:tr2bl w:val="nil"/>
                  </w:tcBorders>
                  <w:noWrap w:val="0"/>
                  <w:vAlign w:val="center"/>
                </w:tcPr>
                <w:p>
                  <w:pPr>
                    <w:jc w:val="center"/>
                    <w:rPr>
                      <w:rFonts w:hint="default" w:ascii="Times New Roman" w:hAnsi="Times New Roman" w:eastAsia="宋体" w:cs="Times New Roman"/>
                      <w:i w:val="0"/>
                      <w:iCs w:val="0"/>
                      <w:color w:val="auto"/>
                      <w:sz w:val="21"/>
                      <w:szCs w:val="21"/>
                      <w:highlight w:val="none"/>
                      <w:u w:val="none"/>
                    </w:rPr>
                  </w:pPr>
                </w:p>
              </w:tc>
              <w:tc>
                <w:tcPr>
                  <w:tcW w:w="330" w:type="pct"/>
                  <w:vMerge w:val="continue"/>
                  <w:tcBorders>
                    <w:tl2br w:val="nil"/>
                    <w:tr2bl w:val="nil"/>
                  </w:tcBorders>
                  <w:noWrap w:val="0"/>
                  <w:vAlign w:val="center"/>
                </w:tcPr>
                <w:p>
                  <w:pPr>
                    <w:jc w:val="center"/>
                    <w:rPr>
                      <w:rFonts w:hint="default" w:ascii="Times New Roman" w:hAnsi="Times New Roman" w:eastAsia="宋体" w:cs="Times New Roman"/>
                      <w:i w:val="0"/>
                      <w:iCs w:val="0"/>
                      <w:color w:val="auto"/>
                      <w:sz w:val="21"/>
                      <w:szCs w:val="21"/>
                      <w:highlight w:val="none"/>
                      <w:u w:val="none"/>
                    </w:rPr>
                  </w:pPr>
                </w:p>
              </w:tc>
              <w:tc>
                <w:tcPr>
                  <w:tcW w:w="325" w:type="pct"/>
                  <w:vMerge w:val="continue"/>
                  <w:tcBorders>
                    <w:tl2br w:val="nil"/>
                    <w:tr2bl w:val="nil"/>
                  </w:tcBorders>
                  <w:noWrap w:val="0"/>
                  <w:vAlign w:val="center"/>
                </w:tcPr>
                <w:p>
                  <w:pPr>
                    <w:jc w:val="center"/>
                    <w:rPr>
                      <w:rFonts w:hint="default" w:ascii="Times New Roman" w:hAnsi="Times New Roman" w:eastAsia="宋体" w:cs="Times New Roman"/>
                      <w:i w:val="0"/>
                      <w:iCs w:val="0"/>
                      <w:color w:val="auto"/>
                      <w:sz w:val="21"/>
                      <w:szCs w:val="21"/>
                      <w:highlight w:val="none"/>
                      <w:u w:val="none"/>
                    </w:rPr>
                  </w:pPr>
                </w:p>
              </w:tc>
              <w:tc>
                <w:tcPr>
                  <w:tcW w:w="426"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颗粒物</w:t>
                  </w:r>
                </w:p>
              </w:tc>
              <w:tc>
                <w:tcPr>
                  <w:tcW w:w="548"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0.0072</w:t>
                  </w:r>
                </w:p>
              </w:tc>
            </w:tr>
          </w:tbl>
          <w:p>
            <w:pPr>
              <w:spacing w:before="120" w:beforeLines="50"/>
              <w:jc w:val="center"/>
              <w:rPr>
                <w:b/>
                <w:bCs/>
                <w:color w:val="auto"/>
                <w:highlight w:val="none"/>
              </w:rPr>
            </w:pPr>
            <w:r>
              <w:rPr>
                <w:b/>
                <w:bCs/>
                <w:color w:val="auto"/>
                <w:highlight w:val="none"/>
              </w:rPr>
              <w:t>表</w:t>
            </w:r>
            <w:r>
              <w:rPr>
                <w:rFonts w:hint="eastAsia"/>
                <w:b/>
                <w:bCs/>
                <w:color w:val="auto"/>
                <w:highlight w:val="none"/>
              </w:rPr>
              <w:t>4-</w:t>
            </w:r>
            <w:r>
              <w:rPr>
                <w:rFonts w:hint="eastAsia"/>
                <w:b/>
                <w:bCs/>
                <w:color w:val="auto"/>
                <w:highlight w:val="none"/>
                <w:lang w:val="en-US" w:eastAsia="zh-CN"/>
              </w:rPr>
              <w:t>10</w:t>
            </w:r>
            <w:r>
              <w:rPr>
                <w:b/>
                <w:bCs/>
                <w:color w:val="auto"/>
                <w:highlight w:val="none"/>
              </w:rPr>
              <w:t xml:space="preserve"> 本项目无组织污染物估算模式计算参数表</w:t>
            </w:r>
          </w:p>
          <w:tbl>
            <w:tblPr>
              <w:tblStyle w:val="39"/>
              <w:tblW w:w="4941"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00"/>
              <w:gridCol w:w="400"/>
              <w:gridCol w:w="848"/>
              <w:gridCol w:w="767"/>
              <w:gridCol w:w="734"/>
              <w:gridCol w:w="566"/>
              <w:gridCol w:w="484"/>
              <w:gridCol w:w="599"/>
              <w:gridCol w:w="713"/>
              <w:gridCol w:w="593"/>
              <w:gridCol w:w="632"/>
              <w:gridCol w:w="686"/>
              <w:gridCol w:w="80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243" w:type="pct"/>
                  <w:vMerge w:val="restart"/>
                  <w:tcBorders>
                    <w:top w:val="single" w:color="000000" w:sz="12"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编</w:t>
                  </w:r>
                  <w:r>
                    <w:rPr>
                      <w:rFonts w:hint="default" w:ascii="Times New Roman" w:hAnsi="Times New Roman" w:eastAsia="宋体" w:cs="Times New Roman"/>
                      <w:b/>
                      <w:bCs/>
                      <w:i w:val="0"/>
                      <w:iCs w:val="0"/>
                      <w:color w:val="auto"/>
                      <w:kern w:val="0"/>
                      <w:sz w:val="21"/>
                      <w:szCs w:val="21"/>
                      <w:highlight w:val="none"/>
                      <w:u w:val="none"/>
                      <w:lang w:val="en-US" w:eastAsia="zh-CN" w:bidi="ar"/>
                    </w:rPr>
                    <w:br w:type="textWrapping"/>
                  </w:r>
                  <w:r>
                    <w:rPr>
                      <w:rStyle w:val="191"/>
                      <w:rFonts w:hint="default" w:ascii="Times New Roman" w:hAnsi="Times New Roman" w:eastAsia="宋体" w:cs="Times New Roman"/>
                      <w:b/>
                      <w:bCs/>
                      <w:color w:val="auto"/>
                      <w:sz w:val="21"/>
                      <w:szCs w:val="21"/>
                      <w:highlight w:val="none"/>
                      <w:lang w:val="en-US" w:eastAsia="zh-CN" w:bidi="ar"/>
                    </w:rPr>
                    <w:t>号</w:t>
                  </w:r>
                </w:p>
              </w:tc>
              <w:tc>
                <w:tcPr>
                  <w:tcW w:w="243" w:type="pct"/>
                  <w:vMerge w:val="restart"/>
                  <w:tcBorders>
                    <w:top w:val="single" w:color="000000" w:sz="12"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名</w:t>
                  </w:r>
                  <w:r>
                    <w:rPr>
                      <w:rFonts w:hint="default" w:ascii="Times New Roman" w:hAnsi="Times New Roman" w:eastAsia="宋体" w:cs="Times New Roman"/>
                      <w:b/>
                      <w:bCs/>
                      <w:i w:val="0"/>
                      <w:iCs w:val="0"/>
                      <w:color w:val="auto"/>
                      <w:kern w:val="0"/>
                      <w:sz w:val="21"/>
                      <w:szCs w:val="21"/>
                      <w:highlight w:val="none"/>
                      <w:u w:val="none"/>
                      <w:lang w:val="en-US" w:eastAsia="zh-CN" w:bidi="ar"/>
                    </w:rPr>
                    <w:br w:type="textWrapping"/>
                  </w:r>
                  <w:r>
                    <w:rPr>
                      <w:rStyle w:val="191"/>
                      <w:rFonts w:hint="default" w:ascii="Times New Roman" w:hAnsi="Times New Roman" w:eastAsia="宋体" w:cs="Times New Roman"/>
                      <w:b/>
                      <w:bCs/>
                      <w:color w:val="auto"/>
                      <w:sz w:val="21"/>
                      <w:szCs w:val="21"/>
                      <w:highlight w:val="none"/>
                      <w:lang w:val="en-US" w:eastAsia="zh-CN" w:bidi="ar"/>
                    </w:rPr>
                    <w:t>称</w:t>
                  </w:r>
                </w:p>
              </w:tc>
              <w:tc>
                <w:tcPr>
                  <w:tcW w:w="981" w:type="pct"/>
                  <w:gridSpan w:val="2"/>
                  <w:tcBorders>
                    <w:top w:val="single" w:color="000000" w:sz="12"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面源起</w:t>
                  </w:r>
                  <w:r>
                    <w:rPr>
                      <w:rFonts w:hint="default" w:ascii="Times New Roman" w:hAnsi="Times New Roman" w:eastAsia="宋体" w:cs="Times New Roman"/>
                      <w:b/>
                      <w:bCs/>
                      <w:i w:val="0"/>
                      <w:iCs w:val="0"/>
                      <w:color w:val="auto"/>
                      <w:kern w:val="0"/>
                      <w:sz w:val="21"/>
                      <w:szCs w:val="21"/>
                      <w:highlight w:val="none"/>
                      <w:u w:val="none"/>
                      <w:lang w:val="en-US" w:eastAsia="zh-CN" w:bidi="ar"/>
                    </w:rPr>
                    <w:br w:type="textWrapping"/>
                  </w:r>
                  <w:r>
                    <w:rPr>
                      <w:rStyle w:val="191"/>
                      <w:rFonts w:hint="default" w:ascii="Times New Roman" w:hAnsi="Times New Roman" w:eastAsia="宋体" w:cs="Times New Roman"/>
                      <w:b/>
                      <w:bCs/>
                      <w:color w:val="auto"/>
                      <w:sz w:val="21"/>
                      <w:szCs w:val="21"/>
                      <w:highlight w:val="none"/>
                      <w:lang w:val="en-US" w:eastAsia="zh-CN" w:bidi="ar"/>
                    </w:rPr>
                    <w:t>点坐标</w:t>
                  </w:r>
                  <w:r>
                    <w:rPr>
                      <w:rFonts w:hint="default" w:ascii="Times New Roman" w:hAnsi="Times New Roman" w:eastAsia="宋体" w:cs="Times New Roman"/>
                      <w:b/>
                      <w:bCs/>
                      <w:i w:val="0"/>
                      <w:iCs w:val="0"/>
                      <w:color w:val="auto"/>
                      <w:kern w:val="0"/>
                      <w:sz w:val="21"/>
                      <w:szCs w:val="21"/>
                      <w:highlight w:val="none"/>
                      <w:u w:val="none"/>
                      <w:lang w:val="en-US" w:eastAsia="zh-CN" w:bidi="ar"/>
                    </w:rPr>
                    <w:br w:type="textWrapping"/>
                  </w:r>
                  <w:r>
                    <w:rPr>
                      <w:rFonts w:hint="default" w:ascii="Times New Roman" w:hAnsi="Times New Roman" w:eastAsia="宋体" w:cs="Times New Roman"/>
                      <w:b/>
                      <w:bCs/>
                      <w:i w:val="0"/>
                      <w:iCs w:val="0"/>
                      <w:color w:val="auto"/>
                      <w:kern w:val="0"/>
                      <w:sz w:val="21"/>
                      <w:szCs w:val="21"/>
                      <w:highlight w:val="none"/>
                      <w:u w:val="none"/>
                      <w:lang w:val="en-US" w:eastAsia="zh-CN" w:bidi="ar"/>
                    </w:rPr>
                    <w:t>/m</w:t>
                  </w:r>
                </w:p>
              </w:tc>
              <w:tc>
                <w:tcPr>
                  <w:tcW w:w="446" w:type="pct"/>
                  <w:vMerge w:val="restart"/>
                  <w:tcBorders>
                    <w:top w:val="single" w:color="000000" w:sz="12"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面源</w:t>
                  </w:r>
                  <w:r>
                    <w:rPr>
                      <w:rFonts w:hint="default" w:ascii="Times New Roman" w:hAnsi="Times New Roman" w:eastAsia="宋体" w:cs="Times New Roman"/>
                      <w:b/>
                      <w:bCs/>
                      <w:i w:val="0"/>
                      <w:iCs w:val="0"/>
                      <w:color w:val="auto"/>
                      <w:kern w:val="0"/>
                      <w:sz w:val="21"/>
                      <w:szCs w:val="21"/>
                      <w:highlight w:val="none"/>
                      <w:u w:val="none"/>
                      <w:lang w:val="en-US" w:eastAsia="zh-CN" w:bidi="ar"/>
                    </w:rPr>
                    <w:br w:type="textWrapping"/>
                  </w:r>
                  <w:r>
                    <w:rPr>
                      <w:rStyle w:val="191"/>
                      <w:rFonts w:hint="default" w:ascii="Times New Roman" w:hAnsi="Times New Roman" w:eastAsia="宋体" w:cs="Times New Roman"/>
                      <w:b/>
                      <w:bCs/>
                      <w:color w:val="auto"/>
                      <w:sz w:val="21"/>
                      <w:szCs w:val="21"/>
                      <w:highlight w:val="none"/>
                      <w:lang w:val="en-US" w:eastAsia="zh-CN" w:bidi="ar"/>
                    </w:rPr>
                    <w:t>海拔</w:t>
                  </w:r>
                  <w:r>
                    <w:rPr>
                      <w:rFonts w:hint="default" w:ascii="Times New Roman" w:hAnsi="Times New Roman" w:eastAsia="宋体" w:cs="Times New Roman"/>
                      <w:b/>
                      <w:bCs/>
                      <w:i w:val="0"/>
                      <w:iCs w:val="0"/>
                      <w:color w:val="auto"/>
                      <w:kern w:val="0"/>
                      <w:sz w:val="21"/>
                      <w:szCs w:val="21"/>
                      <w:highlight w:val="none"/>
                      <w:u w:val="none"/>
                      <w:lang w:val="en-US" w:eastAsia="zh-CN" w:bidi="ar"/>
                    </w:rPr>
                    <w:br w:type="textWrapping"/>
                  </w:r>
                  <w:r>
                    <w:rPr>
                      <w:rStyle w:val="191"/>
                      <w:rFonts w:hint="default" w:ascii="Times New Roman" w:hAnsi="Times New Roman" w:eastAsia="宋体" w:cs="Times New Roman"/>
                      <w:b/>
                      <w:bCs/>
                      <w:color w:val="auto"/>
                      <w:sz w:val="21"/>
                      <w:szCs w:val="21"/>
                      <w:highlight w:val="none"/>
                      <w:lang w:val="en-US" w:eastAsia="zh-CN" w:bidi="ar"/>
                    </w:rPr>
                    <w:t>高度</w:t>
                  </w:r>
                  <w:r>
                    <w:rPr>
                      <w:rFonts w:hint="default" w:ascii="Times New Roman" w:hAnsi="Times New Roman" w:eastAsia="宋体" w:cs="Times New Roman"/>
                      <w:b/>
                      <w:bCs/>
                      <w:i w:val="0"/>
                      <w:iCs w:val="0"/>
                      <w:color w:val="auto"/>
                      <w:kern w:val="0"/>
                      <w:sz w:val="21"/>
                      <w:szCs w:val="21"/>
                      <w:highlight w:val="none"/>
                      <w:u w:val="none"/>
                      <w:lang w:val="en-US" w:eastAsia="zh-CN" w:bidi="ar"/>
                    </w:rPr>
                    <w:br w:type="textWrapping"/>
                  </w:r>
                  <w:r>
                    <w:rPr>
                      <w:rFonts w:hint="default" w:ascii="Times New Roman" w:hAnsi="Times New Roman" w:eastAsia="宋体" w:cs="Times New Roman"/>
                      <w:b/>
                      <w:bCs/>
                      <w:i w:val="0"/>
                      <w:iCs w:val="0"/>
                      <w:color w:val="auto"/>
                      <w:kern w:val="0"/>
                      <w:sz w:val="21"/>
                      <w:szCs w:val="21"/>
                      <w:highlight w:val="none"/>
                      <w:u w:val="none"/>
                      <w:lang w:val="en-US" w:eastAsia="zh-CN" w:bidi="ar"/>
                    </w:rPr>
                    <w:t>/m</w:t>
                  </w:r>
                </w:p>
              </w:tc>
              <w:tc>
                <w:tcPr>
                  <w:tcW w:w="344" w:type="pct"/>
                  <w:vMerge w:val="restart"/>
                  <w:tcBorders>
                    <w:top w:val="single" w:color="000000" w:sz="12"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面源</w:t>
                  </w:r>
                  <w:r>
                    <w:rPr>
                      <w:rFonts w:hint="default" w:ascii="Times New Roman" w:hAnsi="Times New Roman" w:eastAsia="宋体" w:cs="Times New Roman"/>
                      <w:b/>
                      <w:bCs/>
                      <w:i w:val="0"/>
                      <w:iCs w:val="0"/>
                      <w:color w:val="auto"/>
                      <w:kern w:val="0"/>
                      <w:sz w:val="21"/>
                      <w:szCs w:val="21"/>
                      <w:highlight w:val="none"/>
                      <w:u w:val="none"/>
                      <w:lang w:val="en-US" w:eastAsia="zh-CN" w:bidi="ar"/>
                    </w:rPr>
                    <w:br w:type="textWrapping"/>
                  </w:r>
                  <w:r>
                    <w:rPr>
                      <w:rStyle w:val="191"/>
                      <w:rFonts w:hint="default" w:ascii="Times New Roman" w:hAnsi="Times New Roman" w:eastAsia="宋体" w:cs="Times New Roman"/>
                      <w:b/>
                      <w:bCs/>
                      <w:color w:val="auto"/>
                      <w:sz w:val="21"/>
                      <w:szCs w:val="21"/>
                      <w:highlight w:val="none"/>
                      <w:lang w:val="en-US" w:eastAsia="zh-CN" w:bidi="ar"/>
                    </w:rPr>
                    <w:t>长度</w:t>
                  </w:r>
                  <w:r>
                    <w:rPr>
                      <w:rFonts w:hint="default" w:ascii="Times New Roman" w:hAnsi="Times New Roman" w:eastAsia="宋体" w:cs="Times New Roman"/>
                      <w:b/>
                      <w:bCs/>
                      <w:i w:val="0"/>
                      <w:iCs w:val="0"/>
                      <w:color w:val="auto"/>
                      <w:kern w:val="0"/>
                      <w:sz w:val="21"/>
                      <w:szCs w:val="21"/>
                      <w:highlight w:val="none"/>
                      <w:u w:val="none"/>
                      <w:lang w:val="en-US" w:eastAsia="zh-CN" w:bidi="ar"/>
                    </w:rPr>
                    <w:br w:type="textWrapping"/>
                  </w:r>
                  <w:r>
                    <w:rPr>
                      <w:rFonts w:hint="default" w:ascii="Times New Roman" w:hAnsi="Times New Roman" w:eastAsia="宋体" w:cs="Times New Roman"/>
                      <w:b/>
                      <w:bCs/>
                      <w:i w:val="0"/>
                      <w:iCs w:val="0"/>
                      <w:color w:val="auto"/>
                      <w:kern w:val="0"/>
                      <w:sz w:val="21"/>
                      <w:szCs w:val="21"/>
                      <w:highlight w:val="none"/>
                      <w:u w:val="none"/>
                      <w:lang w:val="en-US" w:eastAsia="zh-CN" w:bidi="ar"/>
                    </w:rPr>
                    <w:t>/m</w:t>
                  </w:r>
                </w:p>
              </w:tc>
              <w:tc>
                <w:tcPr>
                  <w:tcW w:w="294" w:type="pct"/>
                  <w:vMerge w:val="restart"/>
                  <w:tcBorders>
                    <w:top w:val="single" w:color="000000" w:sz="12"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面源</w:t>
                  </w:r>
                  <w:r>
                    <w:rPr>
                      <w:rFonts w:hint="default" w:ascii="Times New Roman" w:hAnsi="Times New Roman" w:eastAsia="宋体" w:cs="Times New Roman"/>
                      <w:b/>
                      <w:bCs/>
                      <w:i w:val="0"/>
                      <w:iCs w:val="0"/>
                      <w:color w:val="auto"/>
                      <w:kern w:val="0"/>
                      <w:sz w:val="21"/>
                      <w:szCs w:val="21"/>
                      <w:highlight w:val="none"/>
                      <w:u w:val="none"/>
                      <w:lang w:val="en-US" w:eastAsia="zh-CN" w:bidi="ar"/>
                    </w:rPr>
                    <w:br w:type="textWrapping"/>
                  </w:r>
                  <w:r>
                    <w:rPr>
                      <w:rStyle w:val="191"/>
                      <w:rFonts w:hint="default" w:ascii="Times New Roman" w:hAnsi="Times New Roman" w:eastAsia="宋体" w:cs="Times New Roman"/>
                      <w:b/>
                      <w:bCs/>
                      <w:color w:val="auto"/>
                      <w:sz w:val="21"/>
                      <w:szCs w:val="21"/>
                      <w:highlight w:val="none"/>
                      <w:lang w:val="en-US" w:eastAsia="zh-CN" w:bidi="ar"/>
                    </w:rPr>
                    <w:t>宽度</w:t>
                  </w:r>
                  <w:r>
                    <w:rPr>
                      <w:rFonts w:hint="default" w:ascii="Times New Roman" w:hAnsi="Times New Roman" w:eastAsia="宋体" w:cs="Times New Roman"/>
                      <w:b/>
                      <w:bCs/>
                      <w:i w:val="0"/>
                      <w:iCs w:val="0"/>
                      <w:color w:val="auto"/>
                      <w:kern w:val="0"/>
                      <w:sz w:val="21"/>
                      <w:szCs w:val="21"/>
                      <w:highlight w:val="none"/>
                      <w:u w:val="none"/>
                      <w:lang w:val="en-US" w:eastAsia="zh-CN" w:bidi="ar"/>
                    </w:rPr>
                    <w:br w:type="textWrapping"/>
                  </w:r>
                  <w:r>
                    <w:rPr>
                      <w:rFonts w:hint="default" w:ascii="Times New Roman" w:hAnsi="Times New Roman" w:eastAsia="宋体" w:cs="Times New Roman"/>
                      <w:b/>
                      <w:bCs/>
                      <w:i w:val="0"/>
                      <w:iCs w:val="0"/>
                      <w:color w:val="auto"/>
                      <w:kern w:val="0"/>
                      <w:sz w:val="21"/>
                      <w:szCs w:val="21"/>
                      <w:highlight w:val="none"/>
                      <w:u w:val="none"/>
                      <w:lang w:val="en-US" w:eastAsia="zh-CN" w:bidi="ar"/>
                    </w:rPr>
                    <w:t>/m</w:t>
                  </w:r>
                </w:p>
              </w:tc>
              <w:tc>
                <w:tcPr>
                  <w:tcW w:w="364" w:type="pct"/>
                  <w:vMerge w:val="restart"/>
                  <w:tcBorders>
                    <w:top w:val="single" w:color="000000" w:sz="12"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与正</w:t>
                  </w:r>
                  <w:r>
                    <w:rPr>
                      <w:rFonts w:hint="default" w:ascii="Times New Roman" w:hAnsi="Times New Roman" w:eastAsia="宋体" w:cs="Times New Roman"/>
                      <w:b/>
                      <w:bCs/>
                      <w:i w:val="0"/>
                      <w:iCs w:val="0"/>
                      <w:color w:val="auto"/>
                      <w:kern w:val="0"/>
                      <w:sz w:val="21"/>
                      <w:szCs w:val="21"/>
                      <w:highlight w:val="none"/>
                      <w:u w:val="none"/>
                      <w:lang w:val="en-US" w:eastAsia="zh-CN" w:bidi="ar"/>
                    </w:rPr>
                    <w:br w:type="textWrapping"/>
                  </w:r>
                  <w:r>
                    <w:rPr>
                      <w:rStyle w:val="191"/>
                      <w:rFonts w:hint="default" w:ascii="Times New Roman" w:hAnsi="Times New Roman" w:eastAsia="宋体" w:cs="Times New Roman"/>
                      <w:b/>
                      <w:bCs/>
                      <w:color w:val="auto"/>
                      <w:sz w:val="21"/>
                      <w:szCs w:val="21"/>
                      <w:highlight w:val="none"/>
                      <w:lang w:val="en-US" w:eastAsia="zh-CN" w:bidi="ar"/>
                    </w:rPr>
                    <w:t>北向</w:t>
                  </w:r>
                  <w:r>
                    <w:rPr>
                      <w:rFonts w:hint="default" w:ascii="Times New Roman" w:hAnsi="Times New Roman" w:eastAsia="宋体" w:cs="Times New Roman"/>
                      <w:b/>
                      <w:bCs/>
                      <w:i w:val="0"/>
                      <w:iCs w:val="0"/>
                      <w:color w:val="auto"/>
                      <w:kern w:val="0"/>
                      <w:sz w:val="21"/>
                      <w:szCs w:val="21"/>
                      <w:highlight w:val="none"/>
                      <w:u w:val="none"/>
                      <w:lang w:val="en-US" w:eastAsia="zh-CN" w:bidi="ar"/>
                    </w:rPr>
                    <w:br w:type="textWrapping"/>
                  </w:r>
                  <w:r>
                    <w:rPr>
                      <w:rStyle w:val="191"/>
                      <w:rFonts w:hint="default" w:ascii="Times New Roman" w:hAnsi="Times New Roman" w:eastAsia="宋体" w:cs="Times New Roman"/>
                      <w:b/>
                      <w:bCs/>
                      <w:color w:val="auto"/>
                      <w:sz w:val="21"/>
                      <w:szCs w:val="21"/>
                      <w:highlight w:val="none"/>
                      <w:lang w:val="en-US" w:eastAsia="zh-CN" w:bidi="ar"/>
                    </w:rPr>
                    <w:t>夹角</w:t>
                  </w:r>
                  <w:r>
                    <w:rPr>
                      <w:rFonts w:hint="default" w:ascii="Times New Roman" w:hAnsi="Times New Roman" w:eastAsia="宋体" w:cs="Times New Roman"/>
                      <w:b/>
                      <w:bCs/>
                      <w:i w:val="0"/>
                      <w:iCs w:val="0"/>
                      <w:color w:val="auto"/>
                      <w:kern w:val="0"/>
                      <w:sz w:val="21"/>
                      <w:szCs w:val="21"/>
                      <w:highlight w:val="none"/>
                      <w:u w:val="none"/>
                      <w:lang w:val="en-US" w:eastAsia="zh-CN" w:bidi="ar"/>
                    </w:rPr>
                    <w:t>/</w:t>
                  </w:r>
                  <w:r>
                    <w:rPr>
                      <w:rFonts w:hint="default" w:ascii="Times New Roman" w:hAnsi="Times New Roman" w:eastAsia="宋体" w:cs="Times New Roman"/>
                      <w:b/>
                      <w:bCs/>
                      <w:i w:val="0"/>
                      <w:iCs w:val="0"/>
                      <w:color w:val="auto"/>
                      <w:kern w:val="0"/>
                      <w:sz w:val="21"/>
                      <w:szCs w:val="21"/>
                      <w:highlight w:val="none"/>
                      <w:u w:val="none"/>
                      <w:lang w:val="en-US" w:eastAsia="zh-CN" w:bidi="ar"/>
                    </w:rPr>
                    <w:br w:type="textWrapping"/>
                  </w:r>
                  <w:r>
                    <w:rPr>
                      <w:rFonts w:hint="default" w:ascii="Times New Roman" w:hAnsi="Times New Roman" w:eastAsia="宋体" w:cs="Times New Roman"/>
                      <w:b/>
                      <w:bCs/>
                      <w:i w:val="0"/>
                      <w:iCs w:val="0"/>
                      <w:color w:val="auto"/>
                      <w:kern w:val="0"/>
                      <w:sz w:val="21"/>
                      <w:szCs w:val="21"/>
                      <w:highlight w:val="none"/>
                      <w:u w:val="none"/>
                      <w:lang w:val="en-US" w:eastAsia="zh-CN" w:bidi="ar"/>
                    </w:rPr>
                    <w:t>o</w:t>
                  </w:r>
                </w:p>
              </w:tc>
              <w:tc>
                <w:tcPr>
                  <w:tcW w:w="433" w:type="pct"/>
                  <w:vMerge w:val="restart"/>
                  <w:tcBorders>
                    <w:top w:val="single" w:color="000000" w:sz="12"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面源有</w:t>
                  </w:r>
                  <w:r>
                    <w:rPr>
                      <w:rFonts w:hint="default" w:ascii="Times New Roman" w:hAnsi="Times New Roman" w:eastAsia="宋体" w:cs="Times New Roman"/>
                      <w:b/>
                      <w:bCs/>
                      <w:i w:val="0"/>
                      <w:iCs w:val="0"/>
                      <w:color w:val="auto"/>
                      <w:kern w:val="0"/>
                      <w:sz w:val="21"/>
                      <w:szCs w:val="21"/>
                      <w:highlight w:val="none"/>
                      <w:u w:val="none"/>
                      <w:lang w:val="en-US" w:eastAsia="zh-CN" w:bidi="ar"/>
                    </w:rPr>
                    <w:br w:type="textWrapping"/>
                  </w:r>
                  <w:r>
                    <w:rPr>
                      <w:rStyle w:val="191"/>
                      <w:rFonts w:hint="default" w:ascii="Times New Roman" w:hAnsi="Times New Roman" w:eastAsia="宋体" w:cs="Times New Roman"/>
                      <w:b/>
                      <w:bCs/>
                      <w:color w:val="auto"/>
                      <w:sz w:val="21"/>
                      <w:szCs w:val="21"/>
                      <w:highlight w:val="none"/>
                      <w:lang w:val="en-US" w:eastAsia="zh-CN" w:bidi="ar"/>
                    </w:rPr>
                    <w:t>效排放</w:t>
                  </w:r>
                  <w:r>
                    <w:rPr>
                      <w:rFonts w:hint="default" w:ascii="Times New Roman" w:hAnsi="Times New Roman" w:eastAsia="宋体" w:cs="Times New Roman"/>
                      <w:b/>
                      <w:bCs/>
                      <w:i w:val="0"/>
                      <w:iCs w:val="0"/>
                      <w:color w:val="auto"/>
                      <w:kern w:val="0"/>
                      <w:sz w:val="21"/>
                      <w:szCs w:val="21"/>
                      <w:highlight w:val="none"/>
                      <w:u w:val="none"/>
                      <w:lang w:val="en-US" w:eastAsia="zh-CN" w:bidi="ar"/>
                    </w:rPr>
                    <w:br w:type="textWrapping"/>
                  </w:r>
                  <w:r>
                    <w:rPr>
                      <w:rStyle w:val="191"/>
                      <w:rFonts w:hint="default" w:ascii="Times New Roman" w:hAnsi="Times New Roman" w:eastAsia="宋体" w:cs="Times New Roman"/>
                      <w:b/>
                      <w:bCs/>
                      <w:color w:val="auto"/>
                      <w:sz w:val="21"/>
                      <w:szCs w:val="21"/>
                      <w:highlight w:val="none"/>
                      <w:lang w:val="en-US" w:eastAsia="zh-CN" w:bidi="ar"/>
                    </w:rPr>
                    <w:t>高度</w:t>
                  </w:r>
                  <w:r>
                    <w:rPr>
                      <w:rFonts w:hint="default" w:ascii="Times New Roman" w:hAnsi="Times New Roman" w:eastAsia="宋体" w:cs="Times New Roman"/>
                      <w:b/>
                      <w:bCs/>
                      <w:i w:val="0"/>
                      <w:iCs w:val="0"/>
                      <w:color w:val="auto"/>
                      <w:kern w:val="0"/>
                      <w:sz w:val="21"/>
                      <w:szCs w:val="21"/>
                      <w:highlight w:val="none"/>
                      <w:u w:val="none"/>
                      <w:lang w:val="en-US" w:eastAsia="zh-CN" w:bidi="ar"/>
                    </w:rPr>
                    <w:t>/m</w:t>
                  </w:r>
                </w:p>
              </w:tc>
              <w:tc>
                <w:tcPr>
                  <w:tcW w:w="360" w:type="pct"/>
                  <w:vMerge w:val="restart"/>
                  <w:tcBorders>
                    <w:top w:val="single" w:color="000000" w:sz="12"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年排放</w:t>
                  </w:r>
                  <w:r>
                    <w:rPr>
                      <w:rFonts w:hint="default" w:ascii="Times New Roman" w:hAnsi="Times New Roman" w:eastAsia="宋体" w:cs="Times New Roman"/>
                      <w:b/>
                      <w:bCs/>
                      <w:i w:val="0"/>
                      <w:iCs w:val="0"/>
                      <w:color w:val="auto"/>
                      <w:kern w:val="0"/>
                      <w:sz w:val="21"/>
                      <w:szCs w:val="21"/>
                      <w:highlight w:val="none"/>
                      <w:u w:val="none"/>
                      <w:lang w:val="en-US" w:eastAsia="zh-CN" w:bidi="ar"/>
                    </w:rPr>
                    <w:br w:type="textWrapping"/>
                  </w:r>
                  <w:r>
                    <w:rPr>
                      <w:rStyle w:val="191"/>
                      <w:rFonts w:hint="default" w:ascii="Times New Roman" w:hAnsi="Times New Roman" w:eastAsia="宋体" w:cs="Times New Roman"/>
                      <w:b/>
                      <w:bCs/>
                      <w:color w:val="auto"/>
                      <w:sz w:val="21"/>
                      <w:szCs w:val="21"/>
                      <w:highlight w:val="none"/>
                      <w:lang w:val="en-US" w:eastAsia="zh-CN" w:bidi="ar"/>
                    </w:rPr>
                    <w:t>小时数</w:t>
                  </w:r>
                  <w:r>
                    <w:rPr>
                      <w:rFonts w:hint="default" w:ascii="Times New Roman" w:hAnsi="Times New Roman" w:eastAsia="宋体" w:cs="Times New Roman"/>
                      <w:b/>
                      <w:bCs/>
                      <w:i w:val="0"/>
                      <w:iCs w:val="0"/>
                      <w:color w:val="auto"/>
                      <w:kern w:val="0"/>
                      <w:sz w:val="21"/>
                      <w:szCs w:val="21"/>
                      <w:highlight w:val="none"/>
                      <w:u w:val="none"/>
                      <w:lang w:val="en-US" w:eastAsia="zh-CN" w:bidi="ar"/>
                    </w:rPr>
                    <w:t>/</w:t>
                  </w:r>
                  <w:r>
                    <w:rPr>
                      <w:rFonts w:hint="default" w:ascii="Times New Roman" w:hAnsi="Times New Roman" w:eastAsia="宋体" w:cs="Times New Roman"/>
                      <w:b/>
                      <w:bCs/>
                      <w:i w:val="0"/>
                      <w:iCs w:val="0"/>
                      <w:color w:val="auto"/>
                      <w:kern w:val="0"/>
                      <w:sz w:val="21"/>
                      <w:szCs w:val="21"/>
                      <w:highlight w:val="none"/>
                      <w:u w:val="none"/>
                      <w:lang w:val="en-US" w:eastAsia="zh-CN" w:bidi="ar"/>
                    </w:rPr>
                    <w:br w:type="textWrapping"/>
                  </w:r>
                  <w:r>
                    <w:rPr>
                      <w:rFonts w:hint="default" w:ascii="Times New Roman" w:hAnsi="Times New Roman" w:eastAsia="宋体" w:cs="Times New Roman"/>
                      <w:b/>
                      <w:bCs/>
                      <w:i w:val="0"/>
                      <w:iCs w:val="0"/>
                      <w:color w:val="auto"/>
                      <w:kern w:val="0"/>
                      <w:sz w:val="21"/>
                      <w:szCs w:val="21"/>
                      <w:highlight w:val="none"/>
                      <w:u w:val="none"/>
                      <w:lang w:val="en-US" w:eastAsia="zh-CN" w:bidi="ar"/>
                    </w:rPr>
                    <w:t>h</w:t>
                  </w:r>
                </w:p>
              </w:tc>
              <w:tc>
                <w:tcPr>
                  <w:tcW w:w="384" w:type="pct"/>
                  <w:vMerge w:val="restart"/>
                  <w:tcBorders>
                    <w:top w:val="single" w:color="000000" w:sz="12"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排放</w:t>
                  </w:r>
                  <w:r>
                    <w:rPr>
                      <w:rFonts w:hint="default" w:ascii="Times New Roman" w:hAnsi="Times New Roman" w:eastAsia="宋体" w:cs="Times New Roman"/>
                      <w:b/>
                      <w:bCs/>
                      <w:i w:val="0"/>
                      <w:iCs w:val="0"/>
                      <w:color w:val="auto"/>
                      <w:kern w:val="0"/>
                      <w:sz w:val="21"/>
                      <w:szCs w:val="21"/>
                      <w:highlight w:val="none"/>
                      <w:u w:val="none"/>
                      <w:lang w:val="en-US" w:eastAsia="zh-CN" w:bidi="ar"/>
                    </w:rPr>
                    <w:br w:type="textWrapping"/>
                  </w:r>
                  <w:r>
                    <w:rPr>
                      <w:rStyle w:val="191"/>
                      <w:rFonts w:hint="default" w:ascii="Times New Roman" w:hAnsi="Times New Roman" w:eastAsia="宋体" w:cs="Times New Roman"/>
                      <w:b/>
                      <w:bCs/>
                      <w:color w:val="auto"/>
                      <w:sz w:val="21"/>
                      <w:szCs w:val="21"/>
                      <w:highlight w:val="none"/>
                      <w:lang w:val="en-US" w:eastAsia="zh-CN" w:bidi="ar"/>
                    </w:rPr>
                    <w:t>工况</w:t>
                  </w:r>
                </w:p>
              </w:tc>
              <w:tc>
                <w:tcPr>
                  <w:tcW w:w="416" w:type="pct"/>
                  <w:vMerge w:val="restart"/>
                  <w:tcBorders>
                    <w:top w:val="single" w:color="000000" w:sz="12"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污染物</w:t>
                  </w:r>
                </w:p>
              </w:tc>
              <w:tc>
                <w:tcPr>
                  <w:tcW w:w="487" w:type="pct"/>
                  <w:vMerge w:val="restart"/>
                  <w:tcBorders>
                    <w:top w:val="single" w:color="000000" w:sz="12" w:space="0"/>
                    <w:left w:val="single" w:color="000000" w:sz="4" w:space="0"/>
                    <w:bottom w:val="single" w:color="000000" w:sz="4" w:space="0"/>
                    <w:right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排放速率/</w:t>
                  </w:r>
                  <w:r>
                    <w:rPr>
                      <w:rFonts w:hint="default" w:ascii="Times New Roman" w:hAnsi="Times New Roman" w:eastAsia="宋体" w:cs="Times New Roman"/>
                      <w:b/>
                      <w:bCs/>
                      <w:i w:val="0"/>
                      <w:iCs w:val="0"/>
                      <w:color w:val="auto"/>
                      <w:kern w:val="0"/>
                      <w:sz w:val="21"/>
                      <w:szCs w:val="21"/>
                      <w:highlight w:val="none"/>
                      <w:u w:val="none"/>
                      <w:lang w:val="en-US" w:eastAsia="zh-CN" w:bidi="ar"/>
                    </w:rPr>
                    <w:br w:type="textWrapping"/>
                  </w:r>
                  <w:r>
                    <w:rPr>
                      <w:rFonts w:hint="default" w:ascii="Times New Roman" w:hAnsi="Times New Roman" w:eastAsia="宋体" w:cs="Times New Roman"/>
                      <w:b/>
                      <w:bCs/>
                      <w:i w:val="0"/>
                      <w:iCs w:val="0"/>
                      <w:color w:val="auto"/>
                      <w:kern w:val="0"/>
                      <w:sz w:val="21"/>
                      <w:szCs w:val="21"/>
                      <w:highlight w:val="none"/>
                      <w:u w:val="none"/>
                      <w:lang w:val="en-US" w:eastAsia="zh-CN" w:bidi="ar"/>
                    </w:rPr>
                    <w:t>(kg/h)</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0" w:hRule="atLeast"/>
              </w:trPr>
              <w:tc>
                <w:tcPr>
                  <w:tcW w:w="243" w:type="pct"/>
                  <w:vMerge w:val="continue"/>
                  <w:tcBorders>
                    <w:top w:val="single" w:color="000000" w:sz="4" w:space="0"/>
                    <w:left w:val="nil"/>
                    <w:bottom w:val="single" w:color="000000" w:sz="4" w:space="0"/>
                    <w:right w:val="single" w:color="000000" w:sz="4" w:space="0"/>
                  </w:tcBorders>
                  <w:noWrap w:val="0"/>
                  <w:vAlign w:val="center"/>
                </w:tcPr>
                <w:p>
                  <w:pPr>
                    <w:jc w:val="center"/>
                    <w:rPr>
                      <w:rFonts w:hint="default" w:ascii="Times New Roman" w:hAnsi="Times New Roman" w:eastAsia="宋体" w:cs="Times New Roman"/>
                      <w:i w:val="0"/>
                      <w:iCs w:val="0"/>
                      <w:color w:val="auto"/>
                      <w:sz w:val="21"/>
                      <w:szCs w:val="21"/>
                      <w:highlight w:val="none"/>
                      <w:u w:val="none"/>
                    </w:rPr>
                  </w:pPr>
                </w:p>
              </w:tc>
              <w:tc>
                <w:tcPr>
                  <w:tcW w:w="243" w:type="pct"/>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default" w:ascii="Times New Roman" w:hAnsi="Times New Roman" w:eastAsia="宋体" w:cs="Times New Roman"/>
                      <w:i w:val="0"/>
                      <w:iCs w:val="0"/>
                      <w:color w:val="auto"/>
                      <w:sz w:val="21"/>
                      <w:szCs w:val="21"/>
                      <w:highlight w:val="none"/>
                      <w:u w:val="none"/>
                    </w:rPr>
                  </w:pPr>
                </w:p>
              </w:tc>
              <w:tc>
                <w:tcPr>
                  <w:tcW w:w="515"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X</w:t>
                  </w:r>
                </w:p>
              </w:tc>
              <w:tc>
                <w:tcPr>
                  <w:tcW w:w="465"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Y</w:t>
                  </w:r>
                </w:p>
              </w:tc>
              <w:tc>
                <w:tcPr>
                  <w:tcW w:w="446" w:type="pct"/>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default" w:ascii="Times New Roman" w:hAnsi="Times New Roman" w:eastAsia="宋体" w:cs="Times New Roman"/>
                      <w:i w:val="0"/>
                      <w:iCs w:val="0"/>
                      <w:color w:val="auto"/>
                      <w:sz w:val="21"/>
                      <w:szCs w:val="21"/>
                      <w:highlight w:val="none"/>
                      <w:u w:val="none"/>
                    </w:rPr>
                  </w:pPr>
                </w:p>
              </w:tc>
              <w:tc>
                <w:tcPr>
                  <w:tcW w:w="344"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i w:val="0"/>
                      <w:iCs w:val="0"/>
                      <w:color w:val="auto"/>
                      <w:sz w:val="21"/>
                      <w:szCs w:val="21"/>
                      <w:highlight w:val="none"/>
                      <w:u w:val="none"/>
                    </w:rPr>
                  </w:pPr>
                </w:p>
              </w:tc>
              <w:tc>
                <w:tcPr>
                  <w:tcW w:w="294"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i w:val="0"/>
                      <w:iCs w:val="0"/>
                      <w:color w:val="auto"/>
                      <w:sz w:val="21"/>
                      <w:szCs w:val="21"/>
                      <w:highlight w:val="none"/>
                      <w:u w:val="none"/>
                    </w:rPr>
                  </w:pPr>
                </w:p>
              </w:tc>
              <w:tc>
                <w:tcPr>
                  <w:tcW w:w="364"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i w:val="0"/>
                      <w:iCs w:val="0"/>
                      <w:color w:val="auto"/>
                      <w:sz w:val="21"/>
                      <w:szCs w:val="21"/>
                      <w:highlight w:val="none"/>
                      <w:u w:val="none"/>
                    </w:rPr>
                  </w:pPr>
                </w:p>
              </w:tc>
              <w:tc>
                <w:tcPr>
                  <w:tcW w:w="433"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i w:val="0"/>
                      <w:iCs w:val="0"/>
                      <w:color w:val="auto"/>
                      <w:sz w:val="21"/>
                      <w:szCs w:val="21"/>
                      <w:highlight w:val="none"/>
                      <w:u w:val="none"/>
                    </w:rPr>
                  </w:pPr>
                </w:p>
              </w:tc>
              <w:tc>
                <w:tcPr>
                  <w:tcW w:w="360"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i w:val="0"/>
                      <w:iCs w:val="0"/>
                      <w:color w:val="auto"/>
                      <w:sz w:val="21"/>
                      <w:szCs w:val="21"/>
                      <w:highlight w:val="none"/>
                      <w:u w:val="none"/>
                    </w:rPr>
                  </w:pPr>
                </w:p>
              </w:tc>
              <w:tc>
                <w:tcPr>
                  <w:tcW w:w="384"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i w:val="0"/>
                      <w:iCs w:val="0"/>
                      <w:color w:val="auto"/>
                      <w:sz w:val="21"/>
                      <w:szCs w:val="21"/>
                      <w:highlight w:val="none"/>
                      <w:u w:val="none"/>
                    </w:rPr>
                  </w:pPr>
                </w:p>
              </w:tc>
              <w:tc>
                <w:tcPr>
                  <w:tcW w:w="416" w:type="pct"/>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default" w:ascii="Times New Roman" w:hAnsi="Times New Roman" w:eastAsia="宋体" w:cs="Times New Roman"/>
                      <w:i w:val="0"/>
                      <w:iCs w:val="0"/>
                      <w:color w:val="auto"/>
                      <w:sz w:val="21"/>
                      <w:szCs w:val="21"/>
                      <w:highlight w:val="none"/>
                      <w:u w:val="none"/>
                    </w:rPr>
                  </w:pPr>
                </w:p>
              </w:tc>
              <w:tc>
                <w:tcPr>
                  <w:tcW w:w="487" w:type="pct"/>
                  <w:vMerge w:val="continue"/>
                  <w:tcBorders>
                    <w:top w:val="single" w:color="000000" w:sz="4" w:space="0"/>
                    <w:left w:val="single" w:color="000000" w:sz="4" w:space="0"/>
                    <w:bottom w:val="single" w:color="000000" w:sz="4" w:space="0"/>
                    <w:right w:val="nil"/>
                  </w:tcBorders>
                  <w:noWrap w:val="0"/>
                  <w:vAlign w:val="center"/>
                </w:tcPr>
                <w:p>
                  <w:pPr>
                    <w:jc w:val="center"/>
                    <w:rPr>
                      <w:rFonts w:hint="default" w:ascii="Times New Roman" w:hAnsi="Times New Roman" w:eastAsia="宋体" w:cs="Times New Roman"/>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43" w:type="pct"/>
                  <w:vMerge w:val="restart"/>
                  <w:tcBorders>
                    <w:top w:val="single" w:color="000000"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243"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原料堆场1</w:t>
                  </w:r>
                </w:p>
              </w:tc>
              <w:tc>
                <w:tcPr>
                  <w:tcW w:w="515"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372515.67</w:t>
                  </w:r>
                </w:p>
              </w:tc>
              <w:tc>
                <w:tcPr>
                  <w:tcW w:w="465"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3282210.68</w:t>
                  </w:r>
                </w:p>
              </w:tc>
              <w:tc>
                <w:tcPr>
                  <w:tcW w:w="446"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404.495</w:t>
                  </w:r>
                </w:p>
              </w:tc>
              <w:tc>
                <w:tcPr>
                  <w:tcW w:w="344"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50</w:t>
                  </w:r>
                </w:p>
              </w:tc>
              <w:tc>
                <w:tcPr>
                  <w:tcW w:w="294"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30</w:t>
                  </w:r>
                </w:p>
              </w:tc>
              <w:tc>
                <w:tcPr>
                  <w:tcW w:w="364"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10</w:t>
                  </w:r>
                </w:p>
              </w:tc>
              <w:tc>
                <w:tcPr>
                  <w:tcW w:w="433"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w:t>
                  </w:r>
                </w:p>
              </w:tc>
              <w:tc>
                <w:tcPr>
                  <w:tcW w:w="360"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2400</w:t>
                  </w:r>
                </w:p>
              </w:tc>
              <w:tc>
                <w:tcPr>
                  <w:tcW w:w="384"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正常工况</w:t>
                  </w:r>
                </w:p>
              </w:tc>
              <w:tc>
                <w:tcPr>
                  <w:tcW w:w="416"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TSP</w:t>
                  </w:r>
                </w:p>
              </w:tc>
              <w:tc>
                <w:tcPr>
                  <w:tcW w:w="487" w:type="pct"/>
                  <w:vMerge w:val="restart"/>
                  <w:tcBorders>
                    <w:top w:val="single" w:color="000000" w:sz="4" w:space="0"/>
                    <w:left w:val="single" w:color="000000" w:sz="4" w:space="0"/>
                    <w:bottom w:val="single" w:color="000000" w:sz="4" w:space="0"/>
                    <w:right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0.0852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43" w:type="pct"/>
                  <w:vMerge w:val="continue"/>
                  <w:tcBorders>
                    <w:top w:val="single" w:color="000000" w:sz="4" w:space="0"/>
                    <w:left w:val="nil"/>
                    <w:bottom w:val="single" w:color="000000" w:sz="4" w:space="0"/>
                    <w:right w:val="single" w:color="000000" w:sz="4" w:space="0"/>
                  </w:tcBorders>
                  <w:noWrap w:val="0"/>
                  <w:vAlign w:val="center"/>
                </w:tcPr>
                <w:p>
                  <w:pPr>
                    <w:jc w:val="center"/>
                    <w:rPr>
                      <w:rFonts w:hint="default" w:ascii="Times New Roman" w:hAnsi="Times New Roman" w:eastAsia="宋体" w:cs="Times New Roman"/>
                      <w:i w:val="0"/>
                      <w:iCs w:val="0"/>
                      <w:color w:val="auto"/>
                      <w:sz w:val="21"/>
                      <w:szCs w:val="21"/>
                      <w:highlight w:val="none"/>
                      <w:u w:val="none"/>
                    </w:rPr>
                  </w:pPr>
                </w:p>
              </w:tc>
              <w:tc>
                <w:tcPr>
                  <w:tcW w:w="243"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i w:val="0"/>
                      <w:iCs w:val="0"/>
                      <w:color w:val="auto"/>
                      <w:sz w:val="21"/>
                      <w:szCs w:val="21"/>
                      <w:highlight w:val="none"/>
                      <w:u w:val="none"/>
                    </w:rPr>
                  </w:pPr>
                </w:p>
              </w:tc>
              <w:tc>
                <w:tcPr>
                  <w:tcW w:w="515"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465"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446"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i w:val="0"/>
                      <w:iCs w:val="0"/>
                      <w:color w:val="auto"/>
                      <w:sz w:val="21"/>
                      <w:szCs w:val="21"/>
                      <w:highlight w:val="none"/>
                      <w:u w:val="none"/>
                    </w:rPr>
                  </w:pPr>
                </w:p>
              </w:tc>
              <w:tc>
                <w:tcPr>
                  <w:tcW w:w="344"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i w:val="0"/>
                      <w:iCs w:val="0"/>
                      <w:color w:val="auto"/>
                      <w:sz w:val="21"/>
                      <w:szCs w:val="21"/>
                      <w:highlight w:val="none"/>
                      <w:u w:val="none"/>
                    </w:rPr>
                  </w:pPr>
                </w:p>
              </w:tc>
              <w:tc>
                <w:tcPr>
                  <w:tcW w:w="294"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i w:val="0"/>
                      <w:iCs w:val="0"/>
                      <w:color w:val="auto"/>
                      <w:sz w:val="21"/>
                      <w:szCs w:val="21"/>
                      <w:highlight w:val="none"/>
                      <w:u w:val="none"/>
                    </w:rPr>
                  </w:pPr>
                </w:p>
              </w:tc>
              <w:tc>
                <w:tcPr>
                  <w:tcW w:w="364"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i w:val="0"/>
                      <w:iCs w:val="0"/>
                      <w:color w:val="auto"/>
                      <w:sz w:val="21"/>
                      <w:szCs w:val="21"/>
                      <w:highlight w:val="none"/>
                      <w:u w:val="none"/>
                    </w:rPr>
                  </w:pPr>
                </w:p>
              </w:tc>
              <w:tc>
                <w:tcPr>
                  <w:tcW w:w="433"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i w:val="0"/>
                      <w:iCs w:val="0"/>
                      <w:color w:val="auto"/>
                      <w:sz w:val="21"/>
                      <w:szCs w:val="21"/>
                      <w:highlight w:val="none"/>
                      <w:u w:val="none"/>
                    </w:rPr>
                  </w:pPr>
                </w:p>
              </w:tc>
              <w:tc>
                <w:tcPr>
                  <w:tcW w:w="360"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i w:val="0"/>
                      <w:iCs w:val="0"/>
                      <w:color w:val="auto"/>
                      <w:sz w:val="21"/>
                      <w:szCs w:val="21"/>
                      <w:highlight w:val="none"/>
                      <w:u w:val="none"/>
                    </w:rPr>
                  </w:pPr>
                </w:p>
              </w:tc>
              <w:tc>
                <w:tcPr>
                  <w:tcW w:w="384"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i w:val="0"/>
                      <w:iCs w:val="0"/>
                      <w:color w:val="auto"/>
                      <w:sz w:val="21"/>
                      <w:szCs w:val="21"/>
                      <w:highlight w:val="none"/>
                      <w:u w:val="none"/>
                    </w:rPr>
                  </w:pPr>
                </w:p>
              </w:tc>
              <w:tc>
                <w:tcPr>
                  <w:tcW w:w="416"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i w:val="0"/>
                      <w:iCs w:val="0"/>
                      <w:color w:val="auto"/>
                      <w:sz w:val="21"/>
                      <w:szCs w:val="21"/>
                      <w:highlight w:val="none"/>
                      <w:u w:val="none"/>
                    </w:rPr>
                  </w:pPr>
                </w:p>
              </w:tc>
              <w:tc>
                <w:tcPr>
                  <w:tcW w:w="487" w:type="pct"/>
                  <w:vMerge w:val="continue"/>
                  <w:tcBorders>
                    <w:top w:val="single" w:color="000000" w:sz="4" w:space="0"/>
                    <w:left w:val="single" w:color="000000" w:sz="4" w:space="0"/>
                    <w:bottom w:val="single" w:color="000000" w:sz="4" w:space="0"/>
                    <w:right w:val="nil"/>
                  </w:tcBorders>
                  <w:noWrap w:val="0"/>
                  <w:vAlign w:val="center"/>
                </w:tcPr>
                <w:p>
                  <w:pPr>
                    <w:jc w:val="center"/>
                    <w:rPr>
                      <w:rFonts w:hint="default" w:ascii="Times New Roman" w:hAnsi="Times New Roman" w:eastAsia="宋体" w:cs="Times New Roman"/>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43" w:type="pct"/>
                  <w:vMerge w:val="restart"/>
                  <w:tcBorders>
                    <w:top w:val="single" w:color="000000"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243"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原料堆场2</w:t>
                  </w:r>
                </w:p>
              </w:tc>
              <w:tc>
                <w:tcPr>
                  <w:tcW w:w="515"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372528.91</w:t>
                  </w:r>
                </w:p>
              </w:tc>
              <w:tc>
                <w:tcPr>
                  <w:tcW w:w="465"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3282169.19</w:t>
                  </w:r>
                </w:p>
              </w:tc>
              <w:tc>
                <w:tcPr>
                  <w:tcW w:w="446"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403.451</w:t>
                  </w:r>
                </w:p>
              </w:tc>
              <w:tc>
                <w:tcPr>
                  <w:tcW w:w="344"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50</w:t>
                  </w:r>
                </w:p>
              </w:tc>
              <w:tc>
                <w:tcPr>
                  <w:tcW w:w="294"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30</w:t>
                  </w:r>
                </w:p>
              </w:tc>
              <w:tc>
                <w:tcPr>
                  <w:tcW w:w="364"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10</w:t>
                  </w:r>
                </w:p>
              </w:tc>
              <w:tc>
                <w:tcPr>
                  <w:tcW w:w="433"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w:t>
                  </w:r>
                </w:p>
              </w:tc>
              <w:tc>
                <w:tcPr>
                  <w:tcW w:w="360"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2400</w:t>
                  </w:r>
                </w:p>
              </w:tc>
              <w:tc>
                <w:tcPr>
                  <w:tcW w:w="384"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正常工况</w:t>
                  </w:r>
                </w:p>
              </w:tc>
              <w:tc>
                <w:tcPr>
                  <w:tcW w:w="416"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TSP</w:t>
                  </w:r>
                </w:p>
              </w:tc>
              <w:tc>
                <w:tcPr>
                  <w:tcW w:w="487" w:type="pct"/>
                  <w:vMerge w:val="restart"/>
                  <w:tcBorders>
                    <w:top w:val="single" w:color="000000" w:sz="4" w:space="0"/>
                    <w:left w:val="single" w:color="000000" w:sz="4" w:space="0"/>
                    <w:bottom w:val="single" w:color="000000" w:sz="4" w:space="0"/>
                    <w:right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0.0852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43" w:type="pct"/>
                  <w:vMerge w:val="continue"/>
                  <w:tcBorders>
                    <w:top w:val="single" w:color="000000" w:sz="4" w:space="0"/>
                    <w:left w:val="nil"/>
                    <w:bottom w:val="single" w:color="000000" w:sz="4" w:space="0"/>
                    <w:right w:val="single" w:color="000000" w:sz="4" w:space="0"/>
                  </w:tcBorders>
                  <w:noWrap w:val="0"/>
                  <w:vAlign w:val="center"/>
                </w:tcPr>
                <w:p>
                  <w:pPr>
                    <w:jc w:val="center"/>
                    <w:rPr>
                      <w:rFonts w:hint="default" w:ascii="Times New Roman" w:hAnsi="Times New Roman" w:eastAsia="宋体" w:cs="Times New Roman"/>
                      <w:i w:val="0"/>
                      <w:iCs w:val="0"/>
                      <w:color w:val="auto"/>
                      <w:sz w:val="21"/>
                      <w:szCs w:val="21"/>
                      <w:highlight w:val="none"/>
                      <w:u w:val="none"/>
                    </w:rPr>
                  </w:pPr>
                </w:p>
              </w:tc>
              <w:tc>
                <w:tcPr>
                  <w:tcW w:w="243"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i w:val="0"/>
                      <w:iCs w:val="0"/>
                      <w:color w:val="auto"/>
                      <w:sz w:val="21"/>
                      <w:szCs w:val="21"/>
                      <w:highlight w:val="none"/>
                      <w:u w:val="none"/>
                    </w:rPr>
                  </w:pPr>
                </w:p>
              </w:tc>
              <w:tc>
                <w:tcPr>
                  <w:tcW w:w="515"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465"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446"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i w:val="0"/>
                      <w:iCs w:val="0"/>
                      <w:color w:val="auto"/>
                      <w:sz w:val="21"/>
                      <w:szCs w:val="21"/>
                      <w:highlight w:val="none"/>
                      <w:u w:val="none"/>
                    </w:rPr>
                  </w:pPr>
                </w:p>
              </w:tc>
              <w:tc>
                <w:tcPr>
                  <w:tcW w:w="344"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i w:val="0"/>
                      <w:iCs w:val="0"/>
                      <w:color w:val="auto"/>
                      <w:sz w:val="21"/>
                      <w:szCs w:val="21"/>
                      <w:highlight w:val="none"/>
                      <w:u w:val="none"/>
                    </w:rPr>
                  </w:pPr>
                </w:p>
              </w:tc>
              <w:tc>
                <w:tcPr>
                  <w:tcW w:w="294"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i w:val="0"/>
                      <w:iCs w:val="0"/>
                      <w:color w:val="auto"/>
                      <w:sz w:val="21"/>
                      <w:szCs w:val="21"/>
                      <w:highlight w:val="none"/>
                      <w:u w:val="none"/>
                    </w:rPr>
                  </w:pPr>
                </w:p>
              </w:tc>
              <w:tc>
                <w:tcPr>
                  <w:tcW w:w="364"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i w:val="0"/>
                      <w:iCs w:val="0"/>
                      <w:color w:val="auto"/>
                      <w:sz w:val="21"/>
                      <w:szCs w:val="21"/>
                      <w:highlight w:val="none"/>
                      <w:u w:val="none"/>
                    </w:rPr>
                  </w:pPr>
                </w:p>
              </w:tc>
              <w:tc>
                <w:tcPr>
                  <w:tcW w:w="433"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i w:val="0"/>
                      <w:iCs w:val="0"/>
                      <w:color w:val="auto"/>
                      <w:sz w:val="21"/>
                      <w:szCs w:val="21"/>
                      <w:highlight w:val="none"/>
                      <w:u w:val="none"/>
                    </w:rPr>
                  </w:pPr>
                </w:p>
              </w:tc>
              <w:tc>
                <w:tcPr>
                  <w:tcW w:w="360"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i w:val="0"/>
                      <w:iCs w:val="0"/>
                      <w:color w:val="auto"/>
                      <w:sz w:val="21"/>
                      <w:szCs w:val="21"/>
                      <w:highlight w:val="none"/>
                      <w:u w:val="none"/>
                    </w:rPr>
                  </w:pPr>
                </w:p>
              </w:tc>
              <w:tc>
                <w:tcPr>
                  <w:tcW w:w="384"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i w:val="0"/>
                      <w:iCs w:val="0"/>
                      <w:color w:val="auto"/>
                      <w:sz w:val="21"/>
                      <w:szCs w:val="21"/>
                      <w:highlight w:val="none"/>
                      <w:u w:val="none"/>
                    </w:rPr>
                  </w:pPr>
                </w:p>
              </w:tc>
              <w:tc>
                <w:tcPr>
                  <w:tcW w:w="416"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i w:val="0"/>
                      <w:iCs w:val="0"/>
                      <w:color w:val="auto"/>
                      <w:sz w:val="21"/>
                      <w:szCs w:val="21"/>
                      <w:highlight w:val="none"/>
                      <w:u w:val="none"/>
                    </w:rPr>
                  </w:pPr>
                </w:p>
              </w:tc>
              <w:tc>
                <w:tcPr>
                  <w:tcW w:w="487" w:type="pct"/>
                  <w:vMerge w:val="continue"/>
                  <w:tcBorders>
                    <w:top w:val="single" w:color="000000" w:sz="4" w:space="0"/>
                    <w:left w:val="single" w:color="000000" w:sz="4" w:space="0"/>
                    <w:bottom w:val="single" w:color="000000" w:sz="4" w:space="0"/>
                    <w:right w:val="nil"/>
                  </w:tcBorders>
                  <w:noWrap w:val="0"/>
                  <w:vAlign w:val="center"/>
                </w:tcPr>
                <w:p>
                  <w:pPr>
                    <w:jc w:val="center"/>
                    <w:rPr>
                      <w:rFonts w:hint="default" w:ascii="Times New Roman" w:hAnsi="Times New Roman" w:eastAsia="宋体" w:cs="Times New Roman"/>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43" w:type="pct"/>
                  <w:vMerge w:val="restart"/>
                  <w:tcBorders>
                    <w:top w:val="single" w:color="000000"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w:t>
                  </w:r>
                </w:p>
              </w:tc>
              <w:tc>
                <w:tcPr>
                  <w:tcW w:w="243"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沥青拌和楼沥青烟气</w:t>
                  </w:r>
                </w:p>
              </w:tc>
              <w:tc>
                <w:tcPr>
                  <w:tcW w:w="515"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372586.68</w:t>
                  </w:r>
                </w:p>
              </w:tc>
              <w:tc>
                <w:tcPr>
                  <w:tcW w:w="465"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3282201.23</w:t>
                  </w:r>
                </w:p>
              </w:tc>
              <w:tc>
                <w:tcPr>
                  <w:tcW w:w="446"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407.266</w:t>
                  </w:r>
                </w:p>
              </w:tc>
              <w:tc>
                <w:tcPr>
                  <w:tcW w:w="344"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50</w:t>
                  </w:r>
                </w:p>
              </w:tc>
              <w:tc>
                <w:tcPr>
                  <w:tcW w:w="294"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25</w:t>
                  </w:r>
                </w:p>
              </w:tc>
              <w:tc>
                <w:tcPr>
                  <w:tcW w:w="364"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10</w:t>
                  </w:r>
                </w:p>
              </w:tc>
              <w:tc>
                <w:tcPr>
                  <w:tcW w:w="433"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w:t>
                  </w:r>
                </w:p>
              </w:tc>
              <w:tc>
                <w:tcPr>
                  <w:tcW w:w="360"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800</w:t>
                  </w:r>
                </w:p>
              </w:tc>
              <w:tc>
                <w:tcPr>
                  <w:tcW w:w="384"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正常工况</w:t>
                  </w:r>
                </w:p>
              </w:tc>
              <w:tc>
                <w:tcPr>
                  <w:tcW w:w="41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苯并芘</w:t>
                  </w:r>
                </w:p>
              </w:tc>
              <w:tc>
                <w:tcPr>
                  <w:tcW w:w="487" w:type="pct"/>
                  <w:tcBorders>
                    <w:top w:val="single" w:color="000000" w:sz="4" w:space="0"/>
                    <w:left w:val="single" w:color="000000" w:sz="4" w:space="0"/>
                    <w:bottom w:val="single" w:color="000000" w:sz="4" w:space="0"/>
                    <w:right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6.98*10</w:t>
                  </w:r>
                  <w:r>
                    <w:rPr>
                      <w:rStyle w:val="192"/>
                      <w:rFonts w:hint="default" w:ascii="Times New Roman" w:hAnsi="Times New Roman" w:eastAsia="宋体" w:cs="Times New Roman"/>
                      <w:color w:val="auto"/>
                      <w:sz w:val="21"/>
                      <w:szCs w:val="21"/>
                      <w:highlight w:val="none"/>
                      <w:lang w:val="en-US" w:eastAsia="zh-CN" w:bidi="ar"/>
                    </w:rPr>
                    <w:t>-7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43" w:type="pct"/>
                  <w:vMerge w:val="continue"/>
                  <w:tcBorders>
                    <w:top w:val="single" w:color="000000" w:sz="4" w:space="0"/>
                    <w:left w:val="nil"/>
                    <w:bottom w:val="single" w:color="000000" w:sz="12" w:space="0"/>
                    <w:right w:val="single" w:color="000000" w:sz="4" w:space="0"/>
                  </w:tcBorders>
                  <w:noWrap w:val="0"/>
                  <w:vAlign w:val="center"/>
                </w:tcPr>
                <w:p>
                  <w:pPr>
                    <w:jc w:val="center"/>
                    <w:rPr>
                      <w:rFonts w:hint="default" w:ascii="Times New Roman" w:hAnsi="Times New Roman" w:eastAsia="宋体" w:cs="Times New Roman"/>
                      <w:i w:val="0"/>
                      <w:iCs w:val="0"/>
                      <w:color w:val="auto"/>
                      <w:sz w:val="21"/>
                      <w:szCs w:val="21"/>
                      <w:highlight w:val="none"/>
                      <w:u w:val="none"/>
                    </w:rPr>
                  </w:pPr>
                </w:p>
              </w:tc>
              <w:tc>
                <w:tcPr>
                  <w:tcW w:w="243" w:type="pct"/>
                  <w:vMerge w:val="continue"/>
                  <w:tcBorders>
                    <w:top w:val="single" w:color="000000" w:sz="4" w:space="0"/>
                    <w:left w:val="single" w:color="000000" w:sz="4" w:space="0"/>
                    <w:bottom w:val="single" w:color="000000" w:sz="12" w:space="0"/>
                    <w:right w:val="single" w:color="000000" w:sz="4" w:space="0"/>
                  </w:tcBorders>
                  <w:noWrap w:val="0"/>
                  <w:vAlign w:val="center"/>
                </w:tcPr>
                <w:p>
                  <w:pPr>
                    <w:jc w:val="center"/>
                    <w:rPr>
                      <w:rFonts w:hint="default" w:ascii="Times New Roman" w:hAnsi="Times New Roman" w:eastAsia="宋体" w:cs="Times New Roman"/>
                      <w:i w:val="0"/>
                      <w:iCs w:val="0"/>
                      <w:color w:val="auto"/>
                      <w:sz w:val="21"/>
                      <w:szCs w:val="21"/>
                      <w:highlight w:val="none"/>
                      <w:u w:val="none"/>
                    </w:rPr>
                  </w:pPr>
                </w:p>
              </w:tc>
              <w:tc>
                <w:tcPr>
                  <w:tcW w:w="515" w:type="pct"/>
                  <w:vMerge w:val="continue"/>
                  <w:tcBorders>
                    <w:top w:val="single" w:color="000000" w:sz="4" w:space="0"/>
                    <w:left w:val="single" w:color="000000" w:sz="4" w:space="0"/>
                    <w:bottom w:val="single" w:color="000000" w:sz="12" w:space="0"/>
                    <w:right w:val="single" w:color="000000" w:sz="4" w:space="0"/>
                  </w:tcBorders>
                  <w:noWrap w:val="0"/>
                  <w:vAlign w:val="center"/>
                </w:tcPr>
                <w:p>
                  <w:pPr>
                    <w:jc w:val="center"/>
                    <w:rPr>
                      <w:rFonts w:hint="default" w:ascii="Times New Roman" w:hAnsi="Times New Roman" w:eastAsia="宋体" w:cs="Times New Roman"/>
                      <w:i w:val="0"/>
                      <w:iCs w:val="0"/>
                      <w:color w:val="auto"/>
                      <w:sz w:val="21"/>
                      <w:szCs w:val="21"/>
                      <w:highlight w:val="none"/>
                      <w:u w:val="none"/>
                    </w:rPr>
                  </w:pPr>
                </w:p>
              </w:tc>
              <w:tc>
                <w:tcPr>
                  <w:tcW w:w="465" w:type="pct"/>
                  <w:vMerge w:val="continue"/>
                  <w:tcBorders>
                    <w:top w:val="single" w:color="000000" w:sz="4" w:space="0"/>
                    <w:left w:val="single" w:color="000000" w:sz="4" w:space="0"/>
                    <w:bottom w:val="single" w:color="000000" w:sz="12" w:space="0"/>
                    <w:right w:val="single" w:color="000000" w:sz="4" w:space="0"/>
                  </w:tcBorders>
                  <w:noWrap w:val="0"/>
                  <w:vAlign w:val="center"/>
                </w:tcPr>
                <w:p>
                  <w:pPr>
                    <w:jc w:val="center"/>
                    <w:rPr>
                      <w:rFonts w:hint="default" w:ascii="Times New Roman" w:hAnsi="Times New Roman" w:eastAsia="宋体" w:cs="Times New Roman"/>
                      <w:i w:val="0"/>
                      <w:iCs w:val="0"/>
                      <w:color w:val="auto"/>
                      <w:sz w:val="21"/>
                      <w:szCs w:val="21"/>
                      <w:highlight w:val="none"/>
                      <w:u w:val="none"/>
                    </w:rPr>
                  </w:pPr>
                </w:p>
              </w:tc>
              <w:tc>
                <w:tcPr>
                  <w:tcW w:w="446" w:type="pct"/>
                  <w:vMerge w:val="continue"/>
                  <w:tcBorders>
                    <w:top w:val="single" w:color="000000" w:sz="4" w:space="0"/>
                    <w:left w:val="single" w:color="000000" w:sz="4" w:space="0"/>
                    <w:bottom w:val="single" w:color="000000" w:sz="12" w:space="0"/>
                    <w:right w:val="single" w:color="000000" w:sz="4" w:space="0"/>
                  </w:tcBorders>
                  <w:noWrap w:val="0"/>
                  <w:vAlign w:val="center"/>
                </w:tcPr>
                <w:p>
                  <w:pPr>
                    <w:jc w:val="center"/>
                    <w:rPr>
                      <w:rFonts w:hint="default" w:ascii="Times New Roman" w:hAnsi="Times New Roman" w:eastAsia="宋体" w:cs="Times New Roman"/>
                      <w:i w:val="0"/>
                      <w:iCs w:val="0"/>
                      <w:color w:val="auto"/>
                      <w:sz w:val="21"/>
                      <w:szCs w:val="21"/>
                      <w:highlight w:val="none"/>
                      <w:u w:val="none"/>
                    </w:rPr>
                  </w:pPr>
                </w:p>
              </w:tc>
              <w:tc>
                <w:tcPr>
                  <w:tcW w:w="344" w:type="pct"/>
                  <w:vMerge w:val="continue"/>
                  <w:tcBorders>
                    <w:top w:val="single" w:color="000000" w:sz="4" w:space="0"/>
                    <w:left w:val="single" w:color="000000" w:sz="4" w:space="0"/>
                    <w:bottom w:val="single" w:color="000000" w:sz="12" w:space="0"/>
                    <w:right w:val="single" w:color="000000" w:sz="4" w:space="0"/>
                  </w:tcBorders>
                  <w:noWrap w:val="0"/>
                  <w:vAlign w:val="center"/>
                </w:tcPr>
                <w:p>
                  <w:pPr>
                    <w:jc w:val="center"/>
                    <w:rPr>
                      <w:rFonts w:hint="default" w:ascii="Times New Roman" w:hAnsi="Times New Roman" w:eastAsia="宋体" w:cs="Times New Roman"/>
                      <w:i w:val="0"/>
                      <w:iCs w:val="0"/>
                      <w:color w:val="auto"/>
                      <w:sz w:val="21"/>
                      <w:szCs w:val="21"/>
                      <w:highlight w:val="none"/>
                      <w:u w:val="none"/>
                    </w:rPr>
                  </w:pPr>
                </w:p>
              </w:tc>
              <w:tc>
                <w:tcPr>
                  <w:tcW w:w="294" w:type="pct"/>
                  <w:vMerge w:val="continue"/>
                  <w:tcBorders>
                    <w:top w:val="single" w:color="000000" w:sz="4" w:space="0"/>
                    <w:left w:val="single" w:color="000000" w:sz="4" w:space="0"/>
                    <w:bottom w:val="single" w:color="000000" w:sz="12" w:space="0"/>
                    <w:right w:val="single" w:color="000000" w:sz="4" w:space="0"/>
                  </w:tcBorders>
                  <w:noWrap w:val="0"/>
                  <w:vAlign w:val="center"/>
                </w:tcPr>
                <w:p>
                  <w:pPr>
                    <w:jc w:val="center"/>
                    <w:rPr>
                      <w:rFonts w:hint="default" w:ascii="Times New Roman" w:hAnsi="Times New Roman" w:eastAsia="宋体" w:cs="Times New Roman"/>
                      <w:i w:val="0"/>
                      <w:iCs w:val="0"/>
                      <w:color w:val="auto"/>
                      <w:sz w:val="21"/>
                      <w:szCs w:val="21"/>
                      <w:highlight w:val="none"/>
                      <w:u w:val="none"/>
                    </w:rPr>
                  </w:pPr>
                </w:p>
              </w:tc>
              <w:tc>
                <w:tcPr>
                  <w:tcW w:w="364" w:type="pct"/>
                  <w:vMerge w:val="continue"/>
                  <w:tcBorders>
                    <w:top w:val="single" w:color="000000" w:sz="4" w:space="0"/>
                    <w:left w:val="single" w:color="000000" w:sz="4" w:space="0"/>
                    <w:bottom w:val="single" w:color="000000" w:sz="12" w:space="0"/>
                    <w:right w:val="single" w:color="000000" w:sz="4" w:space="0"/>
                  </w:tcBorders>
                  <w:noWrap w:val="0"/>
                  <w:vAlign w:val="center"/>
                </w:tcPr>
                <w:p>
                  <w:pPr>
                    <w:jc w:val="center"/>
                    <w:rPr>
                      <w:rFonts w:hint="default" w:ascii="Times New Roman" w:hAnsi="Times New Roman" w:eastAsia="宋体" w:cs="Times New Roman"/>
                      <w:i w:val="0"/>
                      <w:iCs w:val="0"/>
                      <w:color w:val="auto"/>
                      <w:sz w:val="21"/>
                      <w:szCs w:val="21"/>
                      <w:highlight w:val="none"/>
                      <w:u w:val="none"/>
                    </w:rPr>
                  </w:pPr>
                </w:p>
              </w:tc>
              <w:tc>
                <w:tcPr>
                  <w:tcW w:w="433" w:type="pct"/>
                  <w:vMerge w:val="continue"/>
                  <w:tcBorders>
                    <w:top w:val="single" w:color="000000" w:sz="4" w:space="0"/>
                    <w:left w:val="single" w:color="000000" w:sz="4" w:space="0"/>
                    <w:bottom w:val="single" w:color="000000" w:sz="12" w:space="0"/>
                    <w:right w:val="single" w:color="000000" w:sz="4" w:space="0"/>
                  </w:tcBorders>
                  <w:noWrap w:val="0"/>
                  <w:vAlign w:val="center"/>
                </w:tcPr>
                <w:p>
                  <w:pPr>
                    <w:jc w:val="center"/>
                    <w:rPr>
                      <w:rFonts w:hint="default" w:ascii="Times New Roman" w:hAnsi="Times New Roman" w:eastAsia="宋体" w:cs="Times New Roman"/>
                      <w:i w:val="0"/>
                      <w:iCs w:val="0"/>
                      <w:color w:val="auto"/>
                      <w:sz w:val="21"/>
                      <w:szCs w:val="21"/>
                      <w:highlight w:val="none"/>
                      <w:u w:val="none"/>
                    </w:rPr>
                  </w:pPr>
                </w:p>
              </w:tc>
              <w:tc>
                <w:tcPr>
                  <w:tcW w:w="360" w:type="pct"/>
                  <w:vMerge w:val="continue"/>
                  <w:tcBorders>
                    <w:top w:val="single" w:color="000000" w:sz="4" w:space="0"/>
                    <w:left w:val="single" w:color="000000" w:sz="4" w:space="0"/>
                    <w:bottom w:val="single" w:color="000000" w:sz="12" w:space="0"/>
                    <w:right w:val="single" w:color="000000" w:sz="4" w:space="0"/>
                  </w:tcBorders>
                  <w:noWrap w:val="0"/>
                  <w:vAlign w:val="center"/>
                </w:tcPr>
                <w:p>
                  <w:pPr>
                    <w:jc w:val="center"/>
                    <w:rPr>
                      <w:rFonts w:hint="default" w:ascii="Times New Roman" w:hAnsi="Times New Roman" w:eastAsia="宋体" w:cs="Times New Roman"/>
                      <w:i w:val="0"/>
                      <w:iCs w:val="0"/>
                      <w:color w:val="auto"/>
                      <w:sz w:val="21"/>
                      <w:szCs w:val="21"/>
                      <w:highlight w:val="none"/>
                      <w:u w:val="none"/>
                    </w:rPr>
                  </w:pPr>
                </w:p>
              </w:tc>
              <w:tc>
                <w:tcPr>
                  <w:tcW w:w="384" w:type="pct"/>
                  <w:vMerge w:val="continue"/>
                  <w:tcBorders>
                    <w:top w:val="single" w:color="000000" w:sz="4" w:space="0"/>
                    <w:left w:val="single" w:color="000000" w:sz="4" w:space="0"/>
                    <w:bottom w:val="single" w:color="000000" w:sz="12" w:space="0"/>
                    <w:right w:val="single" w:color="000000" w:sz="4" w:space="0"/>
                  </w:tcBorders>
                  <w:noWrap w:val="0"/>
                  <w:vAlign w:val="center"/>
                </w:tcPr>
                <w:p>
                  <w:pPr>
                    <w:jc w:val="center"/>
                    <w:rPr>
                      <w:rFonts w:hint="default" w:ascii="Times New Roman" w:hAnsi="Times New Roman" w:eastAsia="宋体" w:cs="Times New Roman"/>
                      <w:i w:val="0"/>
                      <w:iCs w:val="0"/>
                      <w:color w:val="auto"/>
                      <w:sz w:val="21"/>
                      <w:szCs w:val="21"/>
                      <w:highlight w:val="none"/>
                      <w:u w:val="none"/>
                    </w:rPr>
                  </w:pPr>
                </w:p>
              </w:tc>
              <w:tc>
                <w:tcPr>
                  <w:tcW w:w="416" w:type="pct"/>
                  <w:tcBorders>
                    <w:top w:val="single" w:color="000000" w:sz="4" w:space="0"/>
                    <w:left w:val="single" w:color="000000" w:sz="4" w:space="0"/>
                    <w:bottom w:val="single" w:color="000000" w:sz="12"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非甲烷总烃</w:t>
                  </w:r>
                </w:p>
              </w:tc>
              <w:tc>
                <w:tcPr>
                  <w:tcW w:w="487" w:type="pct"/>
                  <w:tcBorders>
                    <w:top w:val="single" w:color="000000" w:sz="4" w:space="0"/>
                    <w:left w:val="single" w:color="000000" w:sz="4" w:space="0"/>
                    <w:bottom w:val="single" w:color="000000" w:sz="12" w:space="0"/>
                    <w:right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0.000208</w:t>
                  </w:r>
                </w:p>
              </w:tc>
            </w:tr>
          </w:tbl>
          <w:p>
            <w:pPr>
              <w:spacing w:line="360" w:lineRule="auto"/>
              <w:ind w:firstLine="480" w:firstLineChars="200"/>
              <w:jc w:val="left"/>
              <w:rPr>
                <w:snapToGrid w:val="0"/>
                <w:color w:val="auto"/>
                <w:kern w:val="0"/>
                <w:sz w:val="24"/>
                <w:highlight w:val="none"/>
              </w:rPr>
            </w:pPr>
            <w:r>
              <w:rPr>
                <w:snapToGrid w:val="0"/>
                <w:color w:val="auto"/>
                <w:kern w:val="0"/>
                <w:sz w:val="24"/>
                <w:highlight w:val="none"/>
              </w:rPr>
              <w:t>（2）预测模式</w:t>
            </w:r>
          </w:p>
          <w:p>
            <w:pPr>
              <w:spacing w:line="360" w:lineRule="auto"/>
              <w:ind w:firstLine="480" w:firstLineChars="200"/>
              <w:jc w:val="left"/>
              <w:rPr>
                <w:snapToGrid w:val="0"/>
                <w:color w:val="auto"/>
                <w:kern w:val="0"/>
                <w:sz w:val="24"/>
                <w:highlight w:val="none"/>
              </w:rPr>
            </w:pPr>
            <w:r>
              <w:rPr>
                <w:snapToGrid w:val="0"/>
                <w:color w:val="auto"/>
                <w:kern w:val="0"/>
                <w:sz w:val="24"/>
                <w:highlight w:val="none"/>
              </w:rPr>
              <w:t>本次评价采用《环境影响评价技术导则－大气环境》（HJ2.2-2018）附录A推荐模型中估算模式即AERSCREEN模式计算项目污染物排放源对周围大气的环境影响。</w:t>
            </w:r>
          </w:p>
          <w:p>
            <w:pPr>
              <w:spacing w:line="360" w:lineRule="auto"/>
              <w:ind w:firstLine="480" w:firstLineChars="200"/>
              <w:jc w:val="left"/>
              <w:rPr>
                <w:snapToGrid w:val="0"/>
                <w:color w:val="auto"/>
                <w:kern w:val="0"/>
                <w:sz w:val="24"/>
                <w:highlight w:val="none"/>
              </w:rPr>
            </w:pPr>
            <w:r>
              <w:rPr>
                <w:snapToGrid w:val="0"/>
                <w:color w:val="auto"/>
                <w:kern w:val="0"/>
                <w:sz w:val="24"/>
                <w:highlight w:val="none"/>
              </w:rPr>
              <w:t>（3）预测参数</w:t>
            </w:r>
          </w:p>
          <w:p>
            <w:pPr>
              <w:spacing w:line="360" w:lineRule="auto"/>
              <w:ind w:firstLine="480" w:firstLineChars="200"/>
              <w:jc w:val="left"/>
              <w:rPr>
                <w:snapToGrid w:val="0"/>
                <w:color w:val="auto"/>
                <w:kern w:val="0"/>
                <w:sz w:val="24"/>
                <w:highlight w:val="none"/>
              </w:rPr>
            </w:pPr>
            <w:r>
              <w:rPr>
                <w:snapToGrid w:val="0"/>
                <w:color w:val="auto"/>
                <w:kern w:val="0"/>
                <w:sz w:val="24"/>
                <w:highlight w:val="none"/>
              </w:rPr>
              <w:t>点源数据：单个排气筒点源排放速率（kg/h）、排气筒几何高度（m）、排气筒出口内径（m）、烟气排放速率（m3/h）、烟气温度（℃）、环境温度（℃）。根据工程分析，本项目</w:t>
            </w:r>
            <w:r>
              <w:rPr>
                <w:rFonts w:hint="eastAsia"/>
                <w:snapToGrid w:val="0"/>
                <w:color w:val="auto"/>
                <w:kern w:val="0"/>
                <w:sz w:val="24"/>
                <w:highlight w:val="none"/>
              </w:rPr>
              <w:t>骨料加热粉尘及燃烧尾气</w:t>
            </w:r>
            <w:r>
              <w:rPr>
                <w:snapToGrid w:val="0"/>
                <w:color w:val="auto"/>
                <w:kern w:val="0"/>
                <w:sz w:val="24"/>
                <w:highlight w:val="none"/>
              </w:rPr>
              <w:t>、</w:t>
            </w:r>
            <w:r>
              <w:rPr>
                <w:rFonts w:hint="eastAsia"/>
                <w:snapToGrid w:val="0"/>
                <w:color w:val="auto"/>
                <w:kern w:val="0"/>
                <w:sz w:val="24"/>
                <w:highlight w:val="none"/>
              </w:rPr>
              <w:t>沥青烟气、导热油炉燃烧尾气</w:t>
            </w:r>
            <w:r>
              <w:rPr>
                <w:snapToGrid w:val="0"/>
                <w:color w:val="auto"/>
                <w:kern w:val="0"/>
                <w:sz w:val="24"/>
                <w:highlight w:val="none"/>
              </w:rPr>
              <w:t>污染物排放（排气筒编号</w:t>
            </w:r>
            <w:r>
              <w:rPr>
                <w:rFonts w:hint="eastAsia"/>
                <w:snapToGrid w:val="0"/>
                <w:color w:val="auto"/>
                <w:kern w:val="0"/>
                <w:sz w:val="24"/>
                <w:highlight w:val="none"/>
              </w:rPr>
              <w:t>G</w:t>
            </w:r>
            <w:r>
              <w:rPr>
                <w:snapToGrid w:val="0"/>
                <w:color w:val="auto"/>
                <w:kern w:val="0"/>
                <w:sz w:val="24"/>
                <w:highlight w:val="none"/>
              </w:rPr>
              <w:t>1、</w:t>
            </w:r>
            <w:r>
              <w:rPr>
                <w:rFonts w:hint="eastAsia"/>
                <w:snapToGrid w:val="0"/>
                <w:color w:val="auto"/>
                <w:kern w:val="0"/>
                <w:sz w:val="24"/>
                <w:highlight w:val="none"/>
              </w:rPr>
              <w:t>G</w:t>
            </w:r>
            <w:r>
              <w:rPr>
                <w:snapToGrid w:val="0"/>
                <w:color w:val="auto"/>
                <w:kern w:val="0"/>
                <w:sz w:val="24"/>
                <w:highlight w:val="none"/>
              </w:rPr>
              <w:t>2）排放参数见表</w:t>
            </w:r>
            <w:r>
              <w:rPr>
                <w:rFonts w:hint="eastAsia"/>
                <w:snapToGrid w:val="0"/>
                <w:color w:val="auto"/>
                <w:kern w:val="0"/>
                <w:sz w:val="24"/>
                <w:highlight w:val="none"/>
              </w:rPr>
              <w:t>4-6</w:t>
            </w:r>
            <w:r>
              <w:rPr>
                <w:snapToGrid w:val="0"/>
                <w:color w:val="auto"/>
                <w:kern w:val="0"/>
                <w:sz w:val="24"/>
                <w:highlight w:val="none"/>
              </w:rPr>
              <w:t>所示。</w:t>
            </w:r>
          </w:p>
          <w:p>
            <w:pPr>
              <w:spacing w:line="360" w:lineRule="auto"/>
              <w:ind w:firstLine="480" w:firstLineChars="200"/>
              <w:jc w:val="left"/>
              <w:rPr>
                <w:snapToGrid w:val="0"/>
                <w:color w:val="auto"/>
                <w:kern w:val="0"/>
                <w:sz w:val="24"/>
                <w:highlight w:val="none"/>
              </w:rPr>
            </w:pPr>
            <w:r>
              <w:rPr>
                <w:snapToGrid w:val="0"/>
                <w:color w:val="auto"/>
                <w:kern w:val="0"/>
                <w:sz w:val="24"/>
                <w:highlight w:val="none"/>
              </w:rPr>
              <w:t>项目估算模式所用参数见表</w:t>
            </w:r>
            <w:r>
              <w:rPr>
                <w:rFonts w:hint="eastAsia"/>
                <w:snapToGrid w:val="0"/>
                <w:color w:val="auto"/>
                <w:kern w:val="0"/>
                <w:sz w:val="24"/>
                <w:highlight w:val="none"/>
              </w:rPr>
              <w:t>4-1</w:t>
            </w:r>
            <w:r>
              <w:rPr>
                <w:rFonts w:hint="eastAsia"/>
                <w:snapToGrid w:val="0"/>
                <w:color w:val="auto"/>
                <w:kern w:val="0"/>
                <w:sz w:val="24"/>
                <w:highlight w:val="none"/>
                <w:lang w:val="en-US" w:eastAsia="zh-CN"/>
              </w:rPr>
              <w:t>1</w:t>
            </w:r>
            <w:r>
              <w:rPr>
                <w:snapToGrid w:val="0"/>
                <w:color w:val="auto"/>
                <w:kern w:val="0"/>
                <w:sz w:val="24"/>
                <w:highlight w:val="none"/>
              </w:rPr>
              <w:t>。</w:t>
            </w:r>
          </w:p>
          <w:p>
            <w:pPr>
              <w:spacing w:before="120" w:beforeLines="50"/>
              <w:ind w:firstLine="482"/>
              <w:jc w:val="center"/>
              <w:rPr>
                <w:b/>
                <w:color w:val="auto"/>
                <w:szCs w:val="21"/>
                <w:highlight w:val="none"/>
              </w:rPr>
            </w:pPr>
            <w:r>
              <w:rPr>
                <w:b/>
                <w:color w:val="auto"/>
                <w:szCs w:val="21"/>
                <w:highlight w:val="none"/>
              </w:rPr>
              <w:t>表</w:t>
            </w:r>
            <w:r>
              <w:rPr>
                <w:rFonts w:hint="eastAsia"/>
                <w:b/>
                <w:color w:val="auto"/>
                <w:szCs w:val="21"/>
                <w:highlight w:val="none"/>
              </w:rPr>
              <w:t>4-1</w:t>
            </w:r>
            <w:r>
              <w:rPr>
                <w:rFonts w:hint="eastAsia"/>
                <w:b/>
                <w:color w:val="auto"/>
                <w:szCs w:val="21"/>
                <w:highlight w:val="none"/>
                <w:lang w:val="en-US" w:eastAsia="zh-CN"/>
              </w:rPr>
              <w:t>1</w:t>
            </w:r>
            <w:r>
              <w:rPr>
                <w:b/>
                <w:color w:val="auto"/>
                <w:szCs w:val="21"/>
                <w:highlight w:val="none"/>
              </w:rPr>
              <w:t xml:space="preserve">  项目估算模式参数一览表</w:t>
            </w:r>
          </w:p>
          <w:tbl>
            <w:tblPr>
              <w:tblStyle w:val="39"/>
              <w:tblW w:w="0" w:type="auto"/>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2145"/>
              <w:gridCol w:w="3110"/>
              <w:gridCol w:w="2691"/>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1" w:hRule="atLeast"/>
                <w:jc w:val="center"/>
              </w:trPr>
              <w:tc>
                <w:tcPr>
                  <w:tcW w:w="5255" w:type="dxa"/>
                  <w:gridSpan w:val="2"/>
                  <w:noWrap w:val="0"/>
                  <w:vAlign w:val="center"/>
                </w:tcPr>
                <w:p>
                  <w:pPr>
                    <w:jc w:val="center"/>
                    <w:rPr>
                      <w:b/>
                      <w:bCs/>
                      <w:color w:val="auto"/>
                      <w:szCs w:val="21"/>
                      <w:highlight w:val="none"/>
                    </w:rPr>
                  </w:pPr>
                  <w:r>
                    <w:rPr>
                      <w:b/>
                      <w:bCs/>
                      <w:color w:val="auto"/>
                      <w:szCs w:val="21"/>
                      <w:highlight w:val="none"/>
                    </w:rPr>
                    <w:t>参数</w:t>
                  </w:r>
                </w:p>
              </w:tc>
              <w:tc>
                <w:tcPr>
                  <w:tcW w:w="2691" w:type="dxa"/>
                  <w:noWrap w:val="0"/>
                  <w:vAlign w:val="center"/>
                </w:tcPr>
                <w:p>
                  <w:pPr>
                    <w:jc w:val="center"/>
                    <w:rPr>
                      <w:b/>
                      <w:bCs/>
                      <w:color w:val="auto"/>
                      <w:szCs w:val="21"/>
                      <w:highlight w:val="none"/>
                    </w:rPr>
                  </w:pPr>
                  <w:r>
                    <w:rPr>
                      <w:b/>
                      <w:bCs/>
                      <w:color w:val="auto"/>
                      <w:szCs w:val="21"/>
                      <w:highlight w:val="none"/>
                    </w:rPr>
                    <w:t>取值</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13" w:hRule="atLeast"/>
                <w:jc w:val="center"/>
              </w:trPr>
              <w:tc>
                <w:tcPr>
                  <w:tcW w:w="2145" w:type="dxa"/>
                  <w:vMerge w:val="restart"/>
                  <w:noWrap w:val="0"/>
                  <w:vAlign w:val="center"/>
                </w:tcPr>
                <w:p>
                  <w:pPr>
                    <w:jc w:val="center"/>
                    <w:rPr>
                      <w:color w:val="auto"/>
                      <w:szCs w:val="21"/>
                      <w:highlight w:val="none"/>
                    </w:rPr>
                  </w:pPr>
                  <w:r>
                    <w:rPr>
                      <w:color w:val="auto"/>
                      <w:szCs w:val="21"/>
                      <w:highlight w:val="none"/>
                    </w:rPr>
                    <w:t>城市农村/选项</w:t>
                  </w:r>
                </w:p>
              </w:tc>
              <w:tc>
                <w:tcPr>
                  <w:tcW w:w="3110" w:type="dxa"/>
                  <w:noWrap w:val="0"/>
                  <w:vAlign w:val="center"/>
                </w:tcPr>
                <w:p>
                  <w:pPr>
                    <w:jc w:val="center"/>
                    <w:rPr>
                      <w:color w:val="auto"/>
                      <w:szCs w:val="21"/>
                      <w:highlight w:val="none"/>
                    </w:rPr>
                  </w:pPr>
                  <w:r>
                    <w:rPr>
                      <w:color w:val="auto"/>
                      <w:szCs w:val="21"/>
                      <w:highlight w:val="none"/>
                    </w:rPr>
                    <w:t>城市/农村</w:t>
                  </w:r>
                </w:p>
              </w:tc>
              <w:tc>
                <w:tcPr>
                  <w:tcW w:w="2691" w:type="dxa"/>
                  <w:noWrap w:val="0"/>
                  <w:vAlign w:val="center"/>
                </w:tcPr>
                <w:p>
                  <w:pPr>
                    <w:jc w:val="center"/>
                    <w:rPr>
                      <w:color w:val="auto"/>
                      <w:szCs w:val="21"/>
                      <w:highlight w:val="none"/>
                    </w:rPr>
                  </w:pPr>
                  <w:r>
                    <w:rPr>
                      <w:color w:val="auto"/>
                      <w:szCs w:val="21"/>
                      <w:highlight w:val="none"/>
                    </w:rPr>
                    <w:t>农村</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18" w:hRule="atLeast"/>
                <w:jc w:val="center"/>
              </w:trPr>
              <w:tc>
                <w:tcPr>
                  <w:tcW w:w="2145" w:type="dxa"/>
                  <w:vMerge w:val="continue"/>
                  <w:noWrap w:val="0"/>
                  <w:vAlign w:val="center"/>
                </w:tcPr>
                <w:p>
                  <w:pPr>
                    <w:jc w:val="center"/>
                    <w:rPr>
                      <w:color w:val="auto"/>
                      <w:szCs w:val="21"/>
                      <w:highlight w:val="none"/>
                    </w:rPr>
                  </w:pPr>
                </w:p>
              </w:tc>
              <w:tc>
                <w:tcPr>
                  <w:tcW w:w="3110" w:type="dxa"/>
                  <w:noWrap w:val="0"/>
                  <w:vAlign w:val="center"/>
                </w:tcPr>
                <w:p>
                  <w:pPr>
                    <w:jc w:val="center"/>
                    <w:rPr>
                      <w:color w:val="auto"/>
                      <w:szCs w:val="21"/>
                      <w:highlight w:val="none"/>
                    </w:rPr>
                  </w:pPr>
                  <w:r>
                    <w:rPr>
                      <w:color w:val="auto"/>
                      <w:szCs w:val="21"/>
                      <w:highlight w:val="none"/>
                    </w:rPr>
                    <w:t>人口数(城市人口数)</w:t>
                  </w:r>
                </w:p>
              </w:tc>
              <w:tc>
                <w:tcPr>
                  <w:tcW w:w="2691" w:type="dxa"/>
                  <w:noWrap w:val="0"/>
                  <w:vAlign w:val="center"/>
                </w:tcPr>
                <w:p>
                  <w:pPr>
                    <w:jc w:val="center"/>
                    <w:rPr>
                      <w:color w:val="auto"/>
                      <w:szCs w:val="21"/>
                      <w:highlight w:val="none"/>
                    </w:rPr>
                  </w:pPr>
                  <w:r>
                    <w:rPr>
                      <w:color w:val="auto"/>
                      <w:szCs w:val="21"/>
                      <w:highlight w:val="none"/>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79" w:hRule="atLeast"/>
                <w:jc w:val="center"/>
              </w:trPr>
              <w:tc>
                <w:tcPr>
                  <w:tcW w:w="5255" w:type="dxa"/>
                  <w:gridSpan w:val="2"/>
                  <w:noWrap w:val="0"/>
                  <w:vAlign w:val="center"/>
                </w:tcPr>
                <w:p>
                  <w:pPr>
                    <w:jc w:val="center"/>
                    <w:rPr>
                      <w:color w:val="auto"/>
                      <w:szCs w:val="21"/>
                      <w:highlight w:val="none"/>
                    </w:rPr>
                  </w:pPr>
                  <w:r>
                    <w:rPr>
                      <w:color w:val="auto"/>
                      <w:szCs w:val="21"/>
                      <w:highlight w:val="none"/>
                    </w:rPr>
                    <w:t>最高环境温度</w:t>
                  </w:r>
                </w:p>
              </w:tc>
              <w:tc>
                <w:tcPr>
                  <w:tcW w:w="2691" w:type="dxa"/>
                  <w:noWrap w:val="0"/>
                  <w:vAlign w:val="center"/>
                </w:tcPr>
                <w:p>
                  <w:pPr>
                    <w:jc w:val="center"/>
                    <w:rPr>
                      <w:color w:val="auto"/>
                      <w:szCs w:val="21"/>
                      <w:highlight w:val="none"/>
                    </w:rPr>
                  </w:pPr>
                  <w:r>
                    <w:rPr>
                      <w:rFonts w:hint="eastAsia"/>
                      <w:color w:val="auto"/>
                      <w:szCs w:val="21"/>
                      <w:highlight w:val="none"/>
                    </w:rPr>
                    <w:t>37.7</w:t>
                  </w:r>
                  <w:r>
                    <w:rPr>
                      <w:color w:val="auto"/>
                      <w:szCs w:val="21"/>
                      <w:highlight w:val="none"/>
                    </w:rPr>
                    <w:t>°C</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42" w:hRule="atLeast"/>
                <w:jc w:val="center"/>
              </w:trPr>
              <w:tc>
                <w:tcPr>
                  <w:tcW w:w="5255" w:type="dxa"/>
                  <w:gridSpan w:val="2"/>
                  <w:noWrap w:val="0"/>
                  <w:vAlign w:val="center"/>
                </w:tcPr>
                <w:p>
                  <w:pPr>
                    <w:jc w:val="center"/>
                    <w:rPr>
                      <w:color w:val="auto"/>
                      <w:szCs w:val="21"/>
                      <w:highlight w:val="none"/>
                    </w:rPr>
                  </w:pPr>
                  <w:r>
                    <w:rPr>
                      <w:color w:val="auto"/>
                      <w:szCs w:val="21"/>
                      <w:highlight w:val="none"/>
                    </w:rPr>
                    <w:t>最低环境温度</w:t>
                  </w:r>
                </w:p>
              </w:tc>
              <w:tc>
                <w:tcPr>
                  <w:tcW w:w="2691" w:type="dxa"/>
                  <w:noWrap w:val="0"/>
                  <w:vAlign w:val="center"/>
                </w:tcPr>
                <w:p>
                  <w:pPr>
                    <w:jc w:val="center"/>
                    <w:rPr>
                      <w:color w:val="auto"/>
                      <w:szCs w:val="21"/>
                      <w:highlight w:val="none"/>
                    </w:rPr>
                  </w:pPr>
                  <w:r>
                    <w:rPr>
                      <w:rFonts w:hint="eastAsia"/>
                      <w:color w:val="auto"/>
                      <w:szCs w:val="21"/>
                      <w:highlight w:val="none"/>
                    </w:rPr>
                    <w:t>-3.9</w:t>
                  </w:r>
                  <w:r>
                    <w:rPr>
                      <w:color w:val="auto"/>
                      <w:szCs w:val="21"/>
                      <w:highlight w:val="none"/>
                    </w:rPr>
                    <w:t>°C</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03" w:hRule="atLeast"/>
                <w:jc w:val="center"/>
              </w:trPr>
              <w:tc>
                <w:tcPr>
                  <w:tcW w:w="5255" w:type="dxa"/>
                  <w:gridSpan w:val="2"/>
                  <w:noWrap w:val="0"/>
                  <w:vAlign w:val="center"/>
                </w:tcPr>
                <w:p>
                  <w:pPr>
                    <w:jc w:val="center"/>
                    <w:rPr>
                      <w:color w:val="auto"/>
                      <w:szCs w:val="21"/>
                      <w:highlight w:val="none"/>
                    </w:rPr>
                  </w:pPr>
                  <w:r>
                    <w:rPr>
                      <w:color w:val="auto"/>
                      <w:szCs w:val="21"/>
                      <w:highlight w:val="none"/>
                    </w:rPr>
                    <w:t>土地利用类型</w:t>
                  </w:r>
                </w:p>
              </w:tc>
              <w:tc>
                <w:tcPr>
                  <w:tcW w:w="2691" w:type="dxa"/>
                  <w:noWrap w:val="0"/>
                  <w:vAlign w:val="center"/>
                </w:tcPr>
                <w:p>
                  <w:pPr>
                    <w:jc w:val="center"/>
                    <w:rPr>
                      <w:color w:val="auto"/>
                      <w:szCs w:val="21"/>
                      <w:highlight w:val="none"/>
                    </w:rPr>
                  </w:pPr>
                  <w:r>
                    <w:rPr>
                      <w:color w:val="auto"/>
                      <w:szCs w:val="21"/>
                      <w:highlight w:val="none"/>
                    </w:rPr>
                    <w:t>耕地</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70" w:hRule="atLeast"/>
                <w:jc w:val="center"/>
              </w:trPr>
              <w:tc>
                <w:tcPr>
                  <w:tcW w:w="5255" w:type="dxa"/>
                  <w:gridSpan w:val="2"/>
                  <w:noWrap w:val="0"/>
                  <w:vAlign w:val="center"/>
                </w:tcPr>
                <w:p>
                  <w:pPr>
                    <w:jc w:val="center"/>
                    <w:rPr>
                      <w:color w:val="auto"/>
                      <w:szCs w:val="21"/>
                      <w:highlight w:val="none"/>
                    </w:rPr>
                  </w:pPr>
                  <w:r>
                    <w:rPr>
                      <w:color w:val="auto"/>
                      <w:szCs w:val="21"/>
                      <w:highlight w:val="none"/>
                    </w:rPr>
                    <w:t>区域湿度条件</w:t>
                  </w:r>
                </w:p>
              </w:tc>
              <w:tc>
                <w:tcPr>
                  <w:tcW w:w="2691" w:type="dxa"/>
                  <w:noWrap w:val="0"/>
                  <w:vAlign w:val="center"/>
                </w:tcPr>
                <w:p>
                  <w:pPr>
                    <w:jc w:val="center"/>
                    <w:rPr>
                      <w:color w:val="auto"/>
                      <w:szCs w:val="21"/>
                      <w:highlight w:val="none"/>
                    </w:rPr>
                  </w:pPr>
                  <w:r>
                    <w:rPr>
                      <w:color w:val="auto"/>
                      <w:szCs w:val="21"/>
                      <w:highlight w:val="none"/>
                    </w:rPr>
                    <w:t>湿润</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99" w:hRule="atLeast"/>
                <w:jc w:val="center"/>
              </w:trPr>
              <w:tc>
                <w:tcPr>
                  <w:tcW w:w="2145" w:type="dxa"/>
                  <w:vMerge w:val="restart"/>
                  <w:noWrap w:val="0"/>
                  <w:vAlign w:val="center"/>
                </w:tcPr>
                <w:p>
                  <w:pPr>
                    <w:jc w:val="center"/>
                    <w:rPr>
                      <w:color w:val="auto"/>
                      <w:szCs w:val="21"/>
                      <w:highlight w:val="none"/>
                    </w:rPr>
                  </w:pPr>
                  <w:r>
                    <w:rPr>
                      <w:color w:val="auto"/>
                      <w:szCs w:val="21"/>
                      <w:highlight w:val="none"/>
                    </w:rPr>
                    <w:t>是否考虑地形</w:t>
                  </w:r>
                </w:p>
              </w:tc>
              <w:tc>
                <w:tcPr>
                  <w:tcW w:w="3110" w:type="dxa"/>
                  <w:noWrap w:val="0"/>
                  <w:vAlign w:val="center"/>
                </w:tcPr>
                <w:p>
                  <w:pPr>
                    <w:jc w:val="center"/>
                    <w:rPr>
                      <w:color w:val="auto"/>
                      <w:szCs w:val="21"/>
                      <w:highlight w:val="none"/>
                    </w:rPr>
                  </w:pPr>
                  <w:r>
                    <w:rPr>
                      <w:color w:val="auto"/>
                      <w:szCs w:val="21"/>
                      <w:highlight w:val="none"/>
                    </w:rPr>
                    <w:t>考虑地形</w:t>
                  </w:r>
                </w:p>
              </w:tc>
              <w:tc>
                <w:tcPr>
                  <w:tcW w:w="2691" w:type="dxa"/>
                  <w:noWrap w:val="0"/>
                  <w:vAlign w:val="center"/>
                </w:tcPr>
                <w:p>
                  <w:pPr>
                    <w:jc w:val="center"/>
                    <w:rPr>
                      <w:color w:val="auto"/>
                      <w:szCs w:val="21"/>
                      <w:highlight w:val="none"/>
                    </w:rPr>
                  </w:pPr>
                  <w:r>
                    <w:rPr>
                      <w:color w:val="auto"/>
                      <w:szCs w:val="21"/>
                      <w:highlight w:val="none"/>
                    </w:rPr>
                    <w:t>否</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31" w:hRule="atLeast"/>
                <w:jc w:val="center"/>
              </w:trPr>
              <w:tc>
                <w:tcPr>
                  <w:tcW w:w="2145" w:type="dxa"/>
                  <w:vMerge w:val="continue"/>
                  <w:noWrap w:val="0"/>
                  <w:vAlign w:val="center"/>
                </w:tcPr>
                <w:p>
                  <w:pPr>
                    <w:jc w:val="center"/>
                    <w:rPr>
                      <w:color w:val="auto"/>
                      <w:szCs w:val="21"/>
                      <w:highlight w:val="none"/>
                    </w:rPr>
                  </w:pPr>
                </w:p>
              </w:tc>
              <w:tc>
                <w:tcPr>
                  <w:tcW w:w="3110" w:type="dxa"/>
                  <w:noWrap w:val="0"/>
                  <w:vAlign w:val="center"/>
                </w:tcPr>
                <w:p>
                  <w:pPr>
                    <w:jc w:val="center"/>
                    <w:rPr>
                      <w:color w:val="auto"/>
                      <w:szCs w:val="21"/>
                      <w:highlight w:val="none"/>
                    </w:rPr>
                  </w:pPr>
                  <w:r>
                    <w:rPr>
                      <w:color w:val="auto"/>
                      <w:szCs w:val="21"/>
                      <w:highlight w:val="none"/>
                    </w:rPr>
                    <w:t>地形数据分辨率(m)</w:t>
                  </w:r>
                </w:p>
              </w:tc>
              <w:tc>
                <w:tcPr>
                  <w:tcW w:w="2691" w:type="dxa"/>
                  <w:noWrap w:val="0"/>
                  <w:vAlign w:val="center"/>
                </w:tcPr>
                <w:p>
                  <w:pPr>
                    <w:jc w:val="center"/>
                    <w:rPr>
                      <w:color w:val="auto"/>
                      <w:szCs w:val="21"/>
                      <w:highlight w:val="none"/>
                    </w:rPr>
                  </w:pPr>
                  <w:r>
                    <w:rPr>
                      <w:color w:val="auto"/>
                      <w:szCs w:val="21"/>
                      <w:highlight w:val="none"/>
                    </w:rPr>
                    <w:t>90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6" w:hRule="atLeast"/>
                <w:jc w:val="center"/>
              </w:trPr>
              <w:tc>
                <w:tcPr>
                  <w:tcW w:w="2145" w:type="dxa"/>
                  <w:vMerge w:val="restart"/>
                  <w:noWrap w:val="0"/>
                  <w:vAlign w:val="center"/>
                </w:tcPr>
                <w:p>
                  <w:pPr>
                    <w:jc w:val="center"/>
                    <w:rPr>
                      <w:color w:val="auto"/>
                      <w:szCs w:val="21"/>
                      <w:highlight w:val="none"/>
                    </w:rPr>
                  </w:pPr>
                  <w:r>
                    <w:rPr>
                      <w:color w:val="auto"/>
                      <w:szCs w:val="21"/>
                      <w:highlight w:val="none"/>
                    </w:rPr>
                    <w:t>是否考虑海岸线熏烟</w:t>
                  </w:r>
                </w:p>
              </w:tc>
              <w:tc>
                <w:tcPr>
                  <w:tcW w:w="3110" w:type="dxa"/>
                  <w:noWrap w:val="0"/>
                  <w:vAlign w:val="center"/>
                </w:tcPr>
                <w:p>
                  <w:pPr>
                    <w:jc w:val="center"/>
                    <w:rPr>
                      <w:color w:val="auto"/>
                      <w:szCs w:val="21"/>
                      <w:highlight w:val="none"/>
                    </w:rPr>
                  </w:pPr>
                  <w:r>
                    <w:rPr>
                      <w:color w:val="auto"/>
                      <w:szCs w:val="21"/>
                      <w:highlight w:val="none"/>
                    </w:rPr>
                    <w:t>考虑海岸线熏烟</w:t>
                  </w:r>
                </w:p>
              </w:tc>
              <w:tc>
                <w:tcPr>
                  <w:tcW w:w="2691" w:type="dxa"/>
                  <w:noWrap w:val="0"/>
                  <w:vAlign w:val="center"/>
                </w:tcPr>
                <w:p>
                  <w:pPr>
                    <w:jc w:val="center"/>
                    <w:rPr>
                      <w:color w:val="auto"/>
                      <w:szCs w:val="21"/>
                      <w:highlight w:val="none"/>
                    </w:rPr>
                  </w:pPr>
                  <w:r>
                    <w:rPr>
                      <w:color w:val="auto"/>
                      <w:szCs w:val="21"/>
                      <w:highlight w:val="none"/>
                    </w:rPr>
                    <w:t>否</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70" w:hRule="atLeast"/>
                <w:jc w:val="center"/>
              </w:trPr>
              <w:tc>
                <w:tcPr>
                  <w:tcW w:w="2145" w:type="dxa"/>
                  <w:vMerge w:val="continue"/>
                  <w:noWrap w:val="0"/>
                  <w:vAlign w:val="center"/>
                </w:tcPr>
                <w:p>
                  <w:pPr>
                    <w:jc w:val="center"/>
                    <w:rPr>
                      <w:color w:val="auto"/>
                      <w:szCs w:val="21"/>
                      <w:highlight w:val="none"/>
                    </w:rPr>
                  </w:pPr>
                </w:p>
              </w:tc>
              <w:tc>
                <w:tcPr>
                  <w:tcW w:w="3110" w:type="dxa"/>
                  <w:noWrap w:val="0"/>
                  <w:vAlign w:val="center"/>
                </w:tcPr>
                <w:p>
                  <w:pPr>
                    <w:jc w:val="center"/>
                    <w:rPr>
                      <w:color w:val="auto"/>
                      <w:szCs w:val="21"/>
                      <w:highlight w:val="none"/>
                    </w:rPr>
                  </w:pPr>
                  <w:r>
                    <w:rPr>
                      <w:color w:val="auto"/>
                      <w:szCs w:val="21"/>
                      <w:highlight w:val="none"/>
                    </w:rPr>
                    <w:t>海岸线距离/km</w:t>
                  </w:r>
                </w:p>
              </w:tc>
              <w:tc>
                <w:tcPr>
                  <w:tcW w:w="2691" w:type="dxa"/>
                  <w:noWrap w:val="0"/>
                  <w:vAlign w:val="center"/>
                </w:tcPr>
                <w:p>
                  <w:pPr>
                    <w:jc w:val="center"/>
                    <w:rPr>
                      <w:color w:val="auto"/>
                      <w:szCs w:val="21"/>
                      <w:highlight w:val="none"/>
                    </w:rPr>
                  </w:pPr>
                  <w:r>
                    <w:rPr>
                      <w:color w:val="auto"/>
                      <w:szCs w:val="21"/>
                      <w:highlight w:val="none"/>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70" w:hRule="atLeast"/>
                <w:jc w:val="center"/>
              </w:trPr>
              <w:tc>
                <w:tcPr>
                  <w:tcW w:w="2145" w:type="dxa"/>
                  <w:vMerge w:val="continue"/>
                  <w:noWrap w:val="0"/>
                  <w:vAlign w:val="center"/>
                </w:tcPr>
                <w:p>
                  <w:pPr>
                    <w:jc w:val="center"/>
                    <w:rPr>
                      <w:color w:val="auto"/>
                      <w:szCs w:val="21"/>
                      <w:highlight w:val="none"/>
                    </w:rPr>
                  </w:pPr>
                </w:p>
              </w:tc>
              <w:tc>
                <w:tcPr>
                  <w:tcW w:w="3110" w:type="dxa"/>
                  <w:noWrap w:val="0"/>
                  <w:vAlign w:val="center"/>
                </w:tcPr>
                <w:p>
                  <w:pPr>
                    <w:jc w:val="center"/>
                    <w:rPr>
                      <w:color w:val="auto"/>
                      <w:szCs w:val="21"/>
                      <w:highlight w:val="none"/>
                    </w:rPr>
                  </w:pPr>
                  <w:r>
                    <w:rPr>
                      <w:color w:val="auto"/>
                      <w:szCs w:val="21"/>
                      <w:highlight w:val="none"/>
                    </w:rPr>
                    <w:t>海岸线方向/</w:t>
                  </w:r>
                  <w:r>
                    <w:rPr>
                      <w:color w:val="auto"/>
                      <w:szCs w:val="21"/>
                      <w:highlight w:val="none"/>
                      <w:vertAlign w:val="superscript"/>
                    </w:rPr>
                    <w:t>o</w:t>
                  </w:r>
                </w:p>
              </w:tc>
              <w:tc>
                <w:tcPr>
                  <w:tcW w:w="2691" w:type="dxa"/>
                  <w:noWrap w:val="0"/>
                  <w:vAlign w:val="center"/>
                </w:tcPr>
                <w:p>
                  <w:pPr>
                    <w:jc w:val="center"/>
                    <w:rPr>
                      <w:color w:val="auto"/>
                      <w:szCs w:val="21"/>
                      <w:highlight w:val="none"/>
                    </w:rPr>
                  </w:pPr>
                  <w:r>
                    <w:rPr>
                      <w:color w:val="auto"/>
                      <w:szCs w:val="21"/>
                      <w:highlight w:val="none"/>
                    </w:rPr>
                    <w:t>/</w:t>
                  </w:r>
                </w:p>
              </w:tc>
            </w:tr>
          </w:tbl>
          <w:p>
            <w:pPr>
              <w:spacing w:line="360" w:lineRule="auto"/>
              <w:ind w:firstLine="480" w:firstLineChars="200"/>
              <w:jc w:val="left"/>
              <w:rPr>
                <w:snapToGrid w:val="0"/>
                <w:color w:val="auto"/>
                <w:kern w:val="0"/>
                <w:sz w:val="24"/>
                <w:highlight w:val="none"/>
              </w:rPr>
            </w:pPr>
            <w:r>
              <w:rPr>
                <w:rFonts w:hint="eastAsia"/>
                <w:snapToGrid w:val="0"/>
                <w:color w:val="auto"/>
                <w:kern w:val="0"/>
                <w:sz w:val="24"/>
                <w:highlight w:val="none"/>
              </w:rPr>
              <w:t>（4）预测结果</w:t>
            </w:r>
          </w:p>
          <w:p>
            <w:pPr>
              <w:spacing w:line="360" w:lineRule="auto"/>
              <w:ind w:firstLine="480" w:firstLineChars="200"/>
              <w:jc w:val="left"/>
              <w:rPr>
                <w:color w:val="auto"/>
                <w:sz w:val="24"/>
                <w:highlight w:val="none"/>
              </w:rPr>
            </w:pPr>
            <w:r>
              <w:rPr>
                <w:rFonts w:hint="eastAsia"/>
                <w:snapToGrid w:val="0"/>
                <w:color w:val="auto"/>
                <w:kern w:val="0"/>
                <w:sz w:val="24"/>
                <w:highlight w:val="none"/>
              </w:rPr>
              <w:t>根据</w:t>
            </w:r>
            <w:r>
              <w:rPr>
                <w:rFonts w:hint="eastAsia"/>
                <w:color w:val="auto"/>
                <w:sz w:val="24"/>
                <w:highlight w:val="none"/>
              </w:rPr>
              <w:t>估算模型计算，本项目主要有组织污染源估算模型计算结果详见下表所示。</w:t>
            </w:r>
          </w:p>
          <w:p>
            <w:pPr>
              <w:tabs>
                <w:tab w:val="left" w:pos="0"/>
              </w:tabs>
              <w:adjustRightInd w:val="0"/>
              <w:snapToGrid w:val="0"/>
              <w:jc w:val="center"/>
              <w:rPr>
                <w:rFonts w:ascii="黑体" w:hAnsi="黑体" w:eastAsia="黑体" w:cs="黑体"/>
                <w:snapToGrid w:val="0"/>
                <w:color w:val="auto"/>
                <w:kern w:val="0"/>
                <w:szCs w:val="21"/>
                <w:highlight w:val="none"/>
              </w:rPr>
            </w:pPr>
            <w:r>
              <w:rPr>
                <w:rFonts w:hint="eastAsia" w:ascii="黑体" w:hAnsi="黑体" w:eastAsia="黑体" w:cs="黑体"/>
                <w:snapToGrid w:val="0"/>
                <w:color w:val="auto"/>
                <w:kern w:val="0"/>
                <w:szCs w:val="21"/>
                <w:highlight w:val="none"/>
              </w:rPr>
              <w:t>表4-1</w:t>
            </w:r>
            <w:r>
              <w:rPr>
                <w:rFonts w:hint="eastAsia" w:ascii="黑体" w:hAnsi="黑体" w:eastAsia="黑体" w:cs="黑体"/>
                <w:snapToGrid w:val="0"/>
                <w:color w:val="auto"/>
                <w:kern w:val="0"/>
                <w:szCs w:val="21"/>
                <w:highlight w:val="none"/>
                <w:lang w:val="en-US" w:eastAsia="zh-CN"/>
              </w:rPr>
              <w:t>2</w:t>
            </w:r>
            <w:r>
              <w:rPr>
                <w:rFonts w:hint="eastAsia" w:ascii="黑体" w:hAnsi="黑体" w:eastAsia="黑体" w:cs="黑体"/>
                <w:snapToGrid w:val="0"/>
                <w:color w:val="auto"/>
                <w:kern w:val="0"/>
                <w:szCs w:val="21"/>
                <w:highlight w:val="none"/>
              </w:rPr>
              <w:t xml:space="preserve"> 骨料加热粉尘及燃烧尾气、沥青烟气有组织</w:t>
            </w:r>
            <w:r>
              <w:rPr>
                <w:rFonts w:ascii="黑体" w:hAnsi="黑体" w:eastAsia="黑体" w:cs="黑体"/>
                <w:snapToGrid w:val="0"/>
                <w:color w:val="auto"/>
                <w:kern w:val="0"/>
                <w:szCs w:val="21"/>
                <w:highlight w:val="none"/>
              </w:rPr>
              <w:t>污染源估算模型计算结果</w:t>
            </w:r>
            <w:r>
              <w:rPr>
                <w:rFonts w:hint="eastAsia" w:ascii="黑体" w:hAnsi="黑体" w:eastAsia="黑体" w:cs="黑体"/>
                <w:snapToGrid w:val="0"/>
                <w:color w:val="auto"/>
                <w:kern w:val="0"/>
                <w:szCs w:val="21"/>
                <w:highlight w:val="none"/>
              </w:rPr>
              <w:t>表</w:t>
            </w:r>
          </w:p>
          <w:tbl>
            <w:tblPr>
              <w:tblStyle w:val="39"/>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96"/>
              <w:gridCol w:w="809"/>
              <w:gridCol w:w="610"/>
              <w:gridCol w:w="827"/>
              <w:gridCol w:w="601"/>
              <w:gridCol w:w="779"/>
              <w:gridCol w:w="742"/>
              <w:gridCol w:w="841"/>
              <w:gridCol w:w="739"/>
              <w:gridCol w:w="748"/>
              <w:gridCol w:w="75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133" w:hRule="atLeast"/>
                <w:jc w:val="center"/>
              </w:trPr>
              <w:tc>
                <w:tcPr>
                  <w:tcW w:w="496" w:type="dxa"/>
                  <w:vMerge w:val="restart"/>
                  <w:noWrap w:val="0"/>
                  <w:vAlign w:val="center"/>
                </w:tcPr>
                <w:p>
                  <w:pPr>
                    <w:tabs>
                      <w:tab w:val="left" w:pos="0"/>
                    </w:tabs>
                    <w:jc w:val="center"/>
                    <w:rPr>
                      <w:color w:val="auto"/>
                      <w:szCs w:val="21"/>
                      <w:highlight w:val="none"/>
                    </w:rPr>
                  </w:pPr>
                  <w:r>
                    <w:rPr>
                      <w:color w:val="auto"/>
                      <w:szCs w:val="21"/>
                      <w:highlight w:val="none"/>
                    </w:rPr>
                    <w:t>下风向距离m</w:t>
                  </w:r>
                </w:p>
              </w:tc>
              <w:tc>
                <w:tcPr>
                  <w:tcW w:w="1419" w:type="dxa"/>
                  <w:gridSpan w:val="2"/>
                  <w:noWrap w:val="0"/>
                  <w:vAlign w:val="center"/>
                </w:tcPr>
                <w:p>
                  <w:pPr>
                    <w:tabs>
                      <w:tab w:val="left" w:pos="0"/>
                    </w:tabs>
                    <w:jc w:val="center"/>
                    <w:rPr>
                      <w:color w:val="auto"/>
                      <w:szCs w:val="21"/>
                      <w:highlight w:val="none"/>
                    </w:rPr>
                  </w:pPr>
                  <w:r>
                    <w:rPr>
                      <w:color w:val="auto"/>
                      <w:kern w:val="0"/>
                      <w:szCs w:val="21"/>
                      <w:highlight w:val="none"/>
                    </w:rPr>
                    <w:t>SO2</w:t>
                  </w:r>
                </w:p>
              </w:tc>
              <w:tc>
                <w:tcPr>
                  <w:tcW w:w="1428" w:type="dxa"/>
                  <w:gridSpan w:val="2"/>
                  <w:noWrap w:val="0"/>
                  <w:vAlign w:val="center"/>
                </w:tcPr>
                <w:p>
                  <w:pPr>
                    <w:tabs>
                      <w:tab w:val="left" w:pos="0"/>
                    </w:tabs>
                    <w:jc w:val="center"/>
                    <w:rPr>
                      <w:color w:val="auto"/>
                      <w:szCs w:val="21"/>
                      <w:highlight w:val="none"/>
                    </w:rPr>
                  </w:pPr>
                  <w:r>
                    <w:rPr>
                      <w:color w:val="auto"/>
                      <w:szCs w:val="21"/>
                      <w:highlight w:val="none"/>
                    </w:rPr>
                    <w:t>NOx</w:t>
                  </w:r>
                </w:p>
              </w:tc>
              <w:tc>
                <w:tcPr>
                  <w:tcW w:w="1521" w:type="dxa"/>
                  <w:gridSpan w:val="2"/>
                  <w:noWrap w:val="0"/>
                  <w:vAlign w:val="center"/>
                </w:tcPr>
                <w:p>
                  <w:pPr>
                    <w:tabs>
                      <w:tab w:val="left" w:pos="0"/>
                    </w:tabs>
                    <w:jc w:val="center"/>
                    <w:rPr>
                      <w:color w:val="auto"/>
                      <w:szCs w:val="21"/>
                      <w:highlight w:val="none"/>
                    </w:rPr>
                  </w:pPr>
                  <w:r>
                    <w:rPr>
                      <w:color w:val="auto"/>
                      <w:szCs w:val="21"/>
                      <w:highlight w:val="none"/>
                    </w:rPr>
                    <w:t>PM10</w:t>
                  </w:r>
                </w:p>
              </w:tc>
              <w:tc>
                <w:tcPr>
                  <w:tcW w:w="1580" w:type="dxa"/>
                  <w:gridSpan w:val="2"/>
                  <w:noWrap w:val="0"/>
                  <w:vAlign w:val="center"/>
                </w:tcPr>
                <w:p>
                  <w:pPr>
                    <w:tabs>
                      <w:tab w:val="left" w:pos="0"/>
                    </w:tabs>
                    <w:jc w:val="center"/>
                    <w:rPr>
                      <w:color w:val="auto"/>
                      <w:szCs w:val="21"/>
                      <w:highlight w:val="none"/>
                    </w:rPr>
                  </w:pPr>
                  <w:r>
                    <w:rPr>
                      <w:rFonts w:hint="eastAsia"/>
                      <w:color w:val="auto"/>
                      <w:szCs w:val="21"/>
                      <w:highlight w:val="none"/>
                      <w:lang w:val="en-US" w:eastAsia="zh-CN"/>
                    </w:rPr>
                    <w:t>非甲烷总烃</w:t>
                  </w:r>
                </w:p>
              </w:tc>
              <w:tc>
                <w:tcPr>
                  <w:tcW w:w="1499" w:type="dxa"/>
                  <w:gridSpan w:val="2"/>
                  <w:noWrap w:val="0"/>
                  <w:vAlign w:val="center"/>
                </w:tcPr>
                <w:p>
                  <w:pPr>
                    <w:tabs>
                      <w:tab w:val="left" w:pos="0"/>
                    </w:tabs>
                    <w:jc w:val="center"/>
                    <w:rPr>
                      <w:color w:val="auto"/>
                      <w:szCs w:val="21"/>
                      <w:highlight w:val="none"/>
                    </w:rPr>
                  </w:pPr>
                  <w:r>
                    <w:rPr>
                      <w:rFonts w:hint="eastAsia"/>
                      <w:color w:val="auto"/>
                      <w:szCs w:val="21"/>
                      <w:highlight w:val="none"/>
                    </w:rPr>
                    <w:t>BaP</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8" w:hRule="atLeast"/>
                <w:jc w:val="center"/>
              </w:trPr>
              <w:tc>
                <w:tcPr>
                  <w:tcW w:w="496" w:type="dxa"/>
                  <w:vMerge w:val="continue"/>
                  <w:noWrap w:val="0"/>
                  <w:vAlign w:val="center"/>
                </w:tcPr>
                <w:p>
                  <w:pPr>
                    <w:tabs>
                      <w:tab w:val="left" w:pos="0"/>
                    </w:tabs>
                    <w:jc w:val="center"/>
                    <w:rPr>
                      <w:color w:val="auto"/>
                      <w:kern w:val="0"/>
                      <w:szCs w:val="21"/>
                      <w:highlight w:val="none"/>
                    </w:rPr>
                  </w:pPr>
                </w:p>
              </w:tc>
              <w:tc>
                <w:tcPr>
                  <w:tcW w:w="809" w:type="dxa"/>
                  <w:noWrap w:val="0"/>
                  <w:vAlign w:val="center"/>
                </w:tcPr>
                <w:p>
                  <w:pPr>
                    <w:tabs>
                      <w:tab w:val="left" w:pos="0"/>
                    </w:tabs>
                    <w:jc w:val="center"/>
                    <w:rPr>
                      <w:color w:val="auto"/>
                      <w:kern w:val="0"/>
                      <w:szCs w:val="21"/>
                      <w:highlight w:val="none"/>
                      <w:vertAlign w:val="superscript"/>
                    </w:rPr>
                  </w:pPr>
                  <w:r>
                    <w:rPr>
                      <w:color w:val="auto"/>
                      <w:kern w:val="0"/>
                      <w:szCs w:val="21"/>
                      <w:highlight w:val="none"/>
                    </w:rPr>
                    <w:t>预测质量浓度μg/m</w:t>
                  </w:r>
                  <w:r>
                    <w:rPr>
                      <w:color w:val="auto"/>
                      <w:kern w:val="0"/>
                      <w:szCs w:val="21"/>
                      <w:highlight w:val="none"/>
                      <w:vertAlign w:val="superscript"/>
                    </w:rPr>
                    <w:t>3</w:t>
                  </w:r>
                </w:p>
              </w:tc>
              <w:tc>
                <w:tcPr>
                  <w:tcW w:w="610" w:type="dxa"/>
                  <w:noWrap w:val="0"/>
                  <w:vAlign w:val="center"/>
                </w:tcPr>
                <w:p>
                  <w:pPr>
                    <w:tabs>
                      <w:tab w:val="left" w:pos="0"/>
                    </w:tabs>
                    <w:jc w:val="center"/>
                    <w:rPr>
                      <w:color w:val="auto"/>
                      <w:szCs w:val="21"/>
                      <w:highlight w:val="none"/>
                    </w:rPr>
                  </w:pPr>
                  <w:r>
                    <w:rPr>
                      <w:color w:val="auto"/>
                      <w:szCs w:val="21"/>
                      <w:highlight w:val="none"/>
                    </w:rPr>
                    <w:t>占标率%</w:t>
                  </w:r>
                </w:p>
              </w:tc>
              <w:tc>
                <w:tcPr>
                  <w:tcW w:w="827" w:type="dxa"/>
                  <w:noWrap w:val="0"/>
                  <w:vAlign w:val="center"/>
                </w:tcPr>
                <w:p>
                  <w:pPr>
                    <w:tabs>
                      <w:tab w:val="left" w:pos="0"/>
                    </w:tabs>
                    <w:jc w:val="center"/>
                    <w:rPr>
                      <w:color w:val="auto"/>
                      <w:szCs w:val="21"/>
                      <w:highlight w:val="none"/>
                    </w:rPr>
                  </w:pPr>
                  <w:r>
                    <w:rPr>
                      <w:color w:val="auto"/>
                      <w:kern w:val="0"/>
                      <w:szCs w:val="21"/>
                      <w:highlight w:val="none"/>
                    </w:rPr>
                    <w:t>预测质量浓度μg/m</w:t>
                  </w:r>
                  <w:r>
                    <w:rPr>
                      <w:color w:val="auto"/>
                      <w:kern w:val="0"/>
                      <w:szCs w:val="21"/>
                      <w:highlight w:val="none"/>
                      <w:vertAlign w:val="superscript"/>
                    </w:rPr>
                    <w:t>3</w:t>
                  </w:r>
                </w:p>
              </w:tc>
              <w:tc>
                <w:tcPr>
                  <w:tcW w:w="601" w:type="dxa"/>
                  <w:noWrap w:val="0"/>
                  <w:vAlign w:val="center"/>
                </w:tcPr>
                <w:p>
                  <w:pPr>
                    <w:tabs>
                      <w:tab w:val="left" w:pos="0"/>
                    </w:tabs>
                    <w:jc w:val="center"/>
                    <w:rPr>
                      <w:color w:val="auto"/>
                      <w:szCs w:val="21"/>
                      <w:highlight w:val="none"/>
                    </w:rPr>
                  </w:pPr>
                  <w:r>
                    <w:rPr>
                      <w:color w:val="auto"/>
                      <w:szCs w:val="21"/>
                      <w:highlight w:val="none"/>
                    </w:rPr>
                    <w:t>占标率%</w:t>
                  </w:r>
                </w:p>
              </w:tc>
              <w:tc>
                <w:tcPr>
                  <w:tcW w:w="779" w:type="dxa"/>
                  <w:noWrap w:val="0"/>
                  <w:vAlign w:val="center"/>
                </w:tcPr>
                <w:p>
                  <w:pPr>
                    <w:tabs>
                      <w:tab w:val="left" w:pos="0"/>
                    </w:tabs>
                    <w:jc w:val="center"/>
                    <w:rPr>
                      <w:color w:val="auto"/>
                      <w:szCs w:val="21"/>
                      <w:highlight w:val="none"/>
                    </w:rPr>
                  </w:pPr>
                  <w:r>
                    <w:rPr>
                      <w:color w:val="auto"/>
                      <w:kern w:val="0"/>
                      <w:szCs w:val="21"/>
                      <w:highlight w:val="none"/>
                    </w:rPr>
                    <w:t>预测质量浓度μg/m</w:t>
                  </w:r>
                  <w:r>
                    <w:rPr>
                      <w:color w:val="auto"/>
                      <w:kern w:val="0"/>
                      <w:szCs w:val="21"/>
                      <w:highlight w:val="none"/>
                      <w:vertAlign w:val="superscript"/>
                    </w:rPr>
                    <w:t>3</w:t>
                  </w:r>
                </w:p>
              </w:tc>
              <w:tc>
                <w:tcPr>
                  <w:tcW w:w="742" w:type="dxa"/>
                  <w:noWrap w:val="0"/>
                  <w:vAlign w:val="center"/>
                </w:tcPr>
                <w:p>
                  <w:pPr>
                    <w:tabs>
                      <w:tab w:val="left" w:pos="0"/>
                    </w:tabs>
                    <w:jc w:val="center"/>
                    <w:rPr>
                      <w:color w:val="auto"/>
                      <w:szCs w:val="21"/>
                      <w:highlight w:val="none"/>
                    </w:rPr>
                  </w:pPr>
                  <w:r>
                    <w:rPr>
                      <w:color w:val="auto"/>
                      <w:szCs w:val="21"/>
                      <w:highlight w:val="none"/>
                    </w:rPr>
                    <w:t>占标率%</w:t>
                  </w:r>
                </w:p>
              </w:tc>
              <w:tc>
                <w:tcPr>
                  <w:tcW w:w="841" w:type="dxa"/>
                  <w:noWrap w:val="0"/>
                  <w:vAlign w:val="center"/>
                </w:tcPr>
                <w:p>
                  <w:pPr>
                    <w:tabs>
                      <w:tab w:val="left" w:pos="0"/>
                    </w:tabs>
                    <w:jc w:val="center"/>
                    <w:rPr>
                      <w:color w:val="auto"/>
                      <w:szCs w:val="21"/>
                      <w:highlight w:val="none"/>
                    </w:rPr>
                  </w:pPr>
                  <w:r>
                    <w:rPr>
                      <w:color w:val="auto"/>
                      <w:kern w:val="0"/>
                      <w:szCs w:val="21"/>
                      <w:highlight w:val="none"/>
                    </w:rPr>
                    <w:t>预测质量浓度μg/m</w:t>
                  </w:r>
                  <w:r>
                    <w:rPr>
                      <w:color w:val="auto"/>
                      <w:kern w:val="0"/>
                      <w:szCs w:val="21"/>
                      <w:highlight w:val="none"/>
                      <w:vertAlign w:val="superscript"/>
                    </w:rPr>
                    <w:t>3</w:t>
                  </w:r>
                </w:p>
              </w:tc>
              <w:tc>
                <w:tcPr>
                  <w:tcW w:w="739" w:type="dxa"/>
                  <w:noWrap w:val="0"/>
                  <w:vAlign w:val="center"/>
                </w:tcPr>
                <w:p>
                  <w:pPr>
                    <w:tabs>
                      <w:tab w:val="left" w:pos="0"/>
                    </w:tabs>
                    <w:jc w:val="center"/>
                    <w:rPr>
                      <w:color w:val="auto"/>
                      <w:szCs w:val="21"/>
                      <w:highlight w:val="none"/>
                    </w:rPr>
                  </w:pPr>
                  <w:r>
                    <w:rPr>
                      <w:color w:val="auto"/>
                      <w:szCs w:val="21"/>
                      <w:highlight w:val="none"/>
                    </w:rPr>
                    <w:t>占标率%</w:t>
                  </w:r>
                </w:p>
              </w:tc>
              <w:tc>
                <w:tcPr>
                  <w:tcW w:w="748" w:type="dxa"/>
                  <w:noWrap w:val="0"/>
                  <w:vAlign w:val="center"/>
                </w:tcPr>
                <w:p>
                  <w:pPr>
                    <w:tabs>
                      <w:tab w:val="left" w:pos="0"/>
                    </w:tabs>
                    <w:jc w:val="center"/>
                    <w:rPr>
                      <w:color w:val="auto"/>
                      <w:szCs w:val="21"/>
                      <w:highlight w:val="none"/>
                    </w:rPr>
                  </w:pPr>
                  <w:r>
                    <w:rPr>
                      <w:color w:val="auto"/>
                      <w:kern w:val="0"/>
                      <w:szCs w:val="21"/>
                      <w:highlight w:val="none"/>
                    </w:rPr>
                    <w:t>预测质量浓度μg/m</w:t>
                  </w:r>
                  <w:r>
                    <w:rPr>
                      <w:color w:val="auto"/>
                      <w:kern w:val="0"/>
                      <w:szCs w:val="21"/>
                      <w:highlight w:val="none"/>
                      <w:vertAlign w:val="superscript"/>
                    </w:rPr>
                    <w:t>3</w:t>
                  </w:r>
                </w:p>
              </w:tc>
              <w:tc>
                <w:tcPr>
                  <w:tcW w:w="751" w:type="dxa"/>
                  <w:noWrap w:val="0"/>
                  <w:vAlign w:val="center"/>
                </w:tcPr>
                <w:p>
                  <w:pPr>
                    <w:tabs>
                      <w:tab w:val="left" w:pos="0"/>
                    </w:tabs>
                    <w:jc w:val="center"/>
                    <w:rPr>
                      <w:color w:val="auto"/>
                      <w:szCs w:val="21"/>
                      <w:highlight w:val="none"/>
                    </w:rPr>
                  </w:pPr>
                  <w:r>
                    <w:rPr>
                      <w:color w:val="auto"/>
                      <w:szCs w:val="21"/>
                      <w:highlight w:val="none"/>
                    </w:rPr>
                    <w:t>占标率%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8" w:hRule="atLeast"/>
                <w:jc w:val="center"/>
              </w:trPr>
              <w:tc>
                <w:tcPr>
                  <w:tcW w:w="496" w:type="dxa"/>
                  <w:noWrap w:val="0"/>
                  <w:vAlign w:val="center"/>
                </w:tcPr>
                <w:p>
                  <w:pPr>
                    <w:tabs>
                      <w:tab w:val="left" w:pos="0"/>
                    </w:tabs>
                    <w:jc w:val="center"/>
                    <w:rPr>
                      <w:color w:val="auto"/>
                      <w:szCs w:val="21"/>
                      <w:highlight w:val="none"/>
                    </w:rPr>
                  </w:pPr>
                  <w:r>
                    <w:rPr>
                      <w:color w:val="auto"/>
                      <w:szCs w:val="21"/>
                      <w:highlight w:val="none"/>
                    </w:rPr>
                    <w:t>10</w:t>
                  </w:r>
                </w:p>
              </w:tc>
              <w:tc>
                <w:tcPr>
                  <w:tcW w:w="809" w:type="dxa"/>
                  <w:noWrap w:val="0"/>
                  <w:vAlign w:val="center"/>
                </w:tcPr>
                <w:p>
                  <w:pPr>
                    <w:widowControl/>
                    <w:jc w:val="center"/>
                    <w:textAlignment w:val="center"/>
                    <w:rPr>
                      <w:rFonts w:hint="eastAsia"/>
                      <w:color w:val="auto"/>
                      <w:highlight w:val="none"/>
                    </w:rPr>
                  </w:pPr>
                  <w:r>
                    <w:rPr>
                      <w:rFonts w:hint="eastAsia"/>
                      <w:color w:val="auto"/>
                      <w:highlight w:val="none"/>
                    </w:rPr>
                    <w:t xml:space="preserve"> 0.009</w:t>
                  </w:r>
                </w:p>
              </w:tc>
              <w:tc>
                <w:tcPr>
                  <w:tcW w:w="610" w:type="dxa"/>
                  <w:noWrap w:val="0"/>
                  <w:vAlign w:val="center"/>
                </w:tcPr>
                <w:p>
                  <w:pPr>
                    <w:widowControl/>
                    <w:jc w:val="center"/>
                    <w:textAlignment w:val="center"/>
                    <w:rPr>
                      <w:rFonts w:hint="eastAsia"/>
                      <w:color w:val="auto"/>
                      <w:highlight w:val="none"/>
                    </w:rPr>
                  </w:pPr>
                  <w:r>
                    <w:rPr>
                      <w:rFonts w:hint="eastAsia"/>
                      <w:color w:val="auto"/>
                      <w:highlight w:val="none"/>
                    </w:rPr>
                    <w:t>0.00</w:t>
                  </w:r>
                </w:p>
              </w:tc>
              <w:tc>
                <w:tcPr>
                  <w:tcW w:w="827" w:type="dxa"/>
                  <w:noWrap w:val="0"/>
                  <w:vAlign w:val="center"/>
                </w:tcPr>
                <w:p>
                  <w:pPr>
                    <w:widowControl/>
                    <w:jc w:val="center"/>
                    <w:textAlignment w:val="center"/>
                    <w:rPr>
                      <w:rFonts w:hint="eastAsia"/>
                      <w:color w:val="auto"/>
                      <w:highlight w:val="none"/>
                    </w:rPr>
                  </w:pPr>
                  <w:r>
                    <w:rPr>
                      <w:rFonts w:hint="eastAsia"/>
                      <w:color w:val="auto"/>
                      <w:highlight w:val="none"/>
                    </w:rPr>
                    <w:t xml:space="preserve"> 0.036</w:t>
                  </w:r>
                </w:p>
              </w:tc>
              <w:tc>
                <w:tcPr>
                  <w:tcW w:w="601" w:type="dxa"/>
                  <w:noWrap w:val="0"/>
                  <w:vAlign w:val="center"/>
                </w:tcPr>
                <w:p>
                  <w:pPr>
                    <w:widowControl/>
                    <w:jc w:val="center"/>
                    <w:textAlignment w:val="center"/>
                    <w:rPr>
                      <w:rFonts w:hint="eastAsia"/>
                      <w:color w:val="auto"/>
                      <w:highlight w:val="none"/>
                    </w:rPr>
                  </w:pPr>
                  <w:r>
                    <w:rPr>
                      <w:rFonts w:hint="eastAsia"/>
                      <w:color w:val="auto"/>
                      <w:highlight w:val="none"/>
                    </w:rPr>
                    <w:t>0.00</w:t>
                  </w:r>
                </w:p>
              </w:tc>
              <w:tc>
                <w:tcPr>
                  <w:tcW w:w="779" w:type="dxa"/>
                  <w:noWrap w:val="0"/>
                  <w:vAlign w:val="center"/>
                </w:tcPr>
                <w:p>
                  <w:pPr>
                    <w:widowControl/>
                    <w:jc w:val="center"/>
                    <w:textAlignment w:val="center"/>
                    <w:rPr>
                      <w:rFonts w:hint="eastAsia"/>
                      <w:color w:val="auto"/>
                      <w:highlight w:val="none"/>
                    </w:rPr>
                  </w:pPr>
                  <w:r>
                    <w:rPr>
                      <w:rFonts w:hint="eastAsia"/>
                      <w:color w:val="auto"/>
                      <w:highlight w:val="none"/>
                    </w:rPr>
                    <w:t xml:space="preserve"> 0.004</w:t>
                  </w:r>
                </w:p>
              </w:tc>
              <w:tc>
                <w:tcPr>
                  <w:tcW w:w="742" w:type="dxa"/>
                  <w:noWrap w:val="0"/>
                  <w:vAlign w:val="center"/>
                </w:tcPr>
                <w:p>
                  <w:pPr>
                    <w:widowControl/>
                    <w:jc w:val="center"/>
                    <w:textAlignment w:val="center"/>
                    <w:rPr>
                      <w:rFonts w:hint="eastAsia"/>
                      <w:color w:val="auto"/>
                      <w:highlight w:val="none"/>
                    </w:rPr>
                  </w:pPr>
                  <w:r>
                    <w:rPr>
                      <w:rFonts w:hint="eastAsia"/>
                      <w:color w:val="auto"/>
                      <w:highlight w:val="none"/>
                    </w:rPr>
                    <w:t>0.00</w:t>
                  </w:r>
                </w:p>
              </w:tc>
              <w:tc>
                <w:tcPr>
                  <w:tcW w:w="841" w:type="dxa"/>
                  <w:noWrap w:val="0"/>
                  <w:vAlign w:val="center"/>
                </w:tcPr>
                <w:p>
                  <w:pPr>
                    <w:widowControl/>
                    <w:jc w:val="center"/>
                    <w:textAlignment w:val="center"/>
                    <w:rPr>
                      <w:color w:val="auto"/>
                      <w:highlight w:val="none"/>
                    </w:rPr>
                  </w:pPr>
                  <w:r>
                    <w:rPr>
                      <w:rFonts w:hint="eastAsia"/>
                      <w:color w:val="auto"/>
                      <w:highlight w:val="none"/>
                    </w:rPr>
                    <w:t xml:space="preserve"> 6.77687E-05</w:t>
                  </w:r>
                </w:p>
              </w:tc>
              <w:tc>
                <w:tcPr>
                  <w:tcW w:w="739" w:type="dxa"/>
                  <w:noWrap w:val="0"/>
                  <w:vAlign w:val="center"/>
                </w:tcPr>
                <w:p>
                  <w:pPr>
                    <w:widowControl/>
                    <w:jc w:val="center"/>
                    <w:textAlignment w:val="center"/>
                    <w:rPr>
                      <w:rFonts w:hint="eastAsia"/>
                      <w:color w:val="auto"/>
                      <w:highlight w:val="none"/>
                    </w:rPr>
                  </w:pPr>
                  <w:r>
                    <w:rPr>
                      <w:rFonts w:hint="eastAsia"/>
                      <w:color w:val="auto"/>
                      <w:highlight w:val="none"/>
                    </w:rPr>
                    <w:t>0.00</w:t>
                  </w:r>
                </w:p>
              </w:tc>
              <w:tc>
                <w:tcPr>
                  <w:tcW w:w="748" w:type="dxa"/>
                  <w:noWrap w:val="0"/>
                  <w:vAlign w:val="center"/>
                </w:tcPr>
                <w:p>
                  <w:pPr>
                    <w:widowControl/>
                    <w:jc w:val="center"/>
                    <w:textAlignment w:val="center"/>
                    <w:rPr>
                      <w:rFonts w:hint="eastAsia"/>
                      <w:color w:val="auto"/>
                      <w:highlight w:val="none"/>
                    </w:rPr>
                  </w:pPr>
                  <w:r>
                    <w:rPr>
                      <w:rFonts w:hint="eastAsia"/>
                      <w:color w:val="auto"/>
                      <w:highlight w:val="none"/>
                    </w:rPr>
                    <w:t xml:space="preserve"> 2.2645E-07</w:t>
                  </w:r>
                </w:p>
              </w:tc>
              <w:tc>
                <w:tcPr>
                  <w:tcW w:w="751" w:type="dxa"/>
                  <w:noWrap w:val="0"/>
                  <w:vAlign w:val="center"/>
                </w:tcPr>
                <w:p>
                  <w:pPr>
                    <w:widowControl/>
                    <w:jc w:val="center"/>
                    <w:textAlignment w:val="center"/>
                    <w:rPr>
                      <w:rFonts w:hint="eastAsia"/>
                      <w:color w:val="auto"/>
                      <w:highlight w:val="none"/>
                    </w:rPr>
                  </w:pPr>
                  <w:r>
                    <w:rPr>
                      <w:rFonts w:hint="eastAsia"/>
                      <w:color w:val="auto"/>
                      <w:highlight w:val="none"/>
                    </w:rPr>
                    <w:t>0.00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8" w:hRule="atLeast"/>
                <w:jc w:val="center"/>
              </w:trPr>
              <w:tc>
                <w:tcPr>
                  <w:tcW w:w="496" w:type="dxa"/>
                  <w:noWrap w:val="0"/>
                  <w:vAlign w:val="center"/>
                </w:tcPr>
                <w:p>
                  <w:pPr>
                    <w:tabs>
                      <w:tab w:val="left" w:pos="0"/>
                    </w:tabs>
                    <w:jc w:val="center"/>
                    <w:rPr>
                      <w:color w:val="auto"/>
                      <w:szCs w:val="21"/>
                      <w:highlight w:val="none"/>
                    </w:rPr>
                  </w:pPr>
                  <w:r>
                    <w:rPr>
                      <w:color w:val="auto"/>
                      <w:szCs w:val="21"/>
                      <w:highlight w:val="none"/>
                    </w:rPr>
                    <w:t>25</w:t>
                  </w:r>
                </w:p>
              </w:tc>
              <w:tc>
                <w:tcPr>
                  <w:tcW w:w="809" w:type="dxa"/>
                  <w:noWrap w:val="0"/>
                  <w:vAlign w:val="center"/>
                </w:tcPr>
                <w:p>
                  <w:pPr>
                    <w:widowControl/>
                    <w:jc w:val="center"/>
                    <w:textAlignment w:val="center"/>
                    <w:rPr>
                      <w:rFonts w:hint="eastAsia"/>
                      <w:color w:val="auto"/>
                      <w:highlight w:val="none"/>
                    </w:rPr>
                  </w:pPr>
                  <w:r>
                    <w:rPr>
                      <w:rFonts w:hint="eastAsia"/>
                      <w:color w:val="auto"/>
                      <w:highlight w:val="none"/>
                    </w:rPr>
                    <w:t>0.047</w:t>
                  </w:r>
                </w:p>
              </w:tc>
              <w:tc>
                <w:tcPr>
                  <w:tcW w:w="610" w:type="dxa"/>
                  <w:noWrap w:val="0"/>
                  <w:vAlign w:val="center"/>
                </w:tcPr>
                <w:p>
                  <w:pPr>
                    <w:widowControl/>
                    <w:jc w:val="center"/>
                    <w:textAlignment w:val="center"/>
                    <w:rPr>
                      <w:rFonts w:hint="eastAsia"/>
                      <w:color w:val="auto"/>
                      <w:highlight w:val="none"/>
                    </w:rPr>
                  </w:pPr>
                  <w:r>
                    <w:rPr>
                      <w:rFonts w:hint="eastAsia"/>
                      <w:color w:val="auto"/>
                      <w:highlight w:val="none"/>
                    </w:rPr>
                    <w:t>0.00</w:t>
                  </w:r>
                </w:p>
              </w:tc>
              <w:tc>
                <w:tcPr>
                  <w:tcW w:w="827" w:type="dxa"/>
                  <w:noWrap w:val="0"/>
                  <w:vAlign w:val="center"/>
                </w:tcPr>
                <w:p>
                  <w:pPr>
                    <w:widowControl/>
                    <w:jc w:val="center"/>
                    <w:textAlignment w:val="center"/>
                    <w:rPr>
                      <w:rFonts w:hint="eastAsia"/>
                      <w:color w:val="auto"/>
                      <w:highlight w:val="none"/>
                    </w:rPr>
                  </w:pPr>
                  <w:r>
                    <w:rPr>
                      <w:rFonts w:hint="eastAsia"/>
                      <w:color w:val="auto"/>
                      <w:highlight w:val="none"/>
                    </w:rPr>
                    <w:t>0.187</w:t>
                  </w:r>
                </w:p>
              </w:tc>
              <w:tc>
                <w:tcPr>
                  <w:tcW w:w="601" w:type="dxa"/>
                  <w:noWrap w:val="0"/>
                  <w:vAlign w:val="center"/>
                </w:tcPr>
                <w:p>
                  <w:pPr>
                    <w:widowControl/>
                    <w:jc w:val="center"/>
                    <w:textAlignment w:val="center"/>
                    <w:rPr>
                      <w:rFonts w:hint="eastAsia"/>
                      <w:color w:val="auto"/>
                      <w:highlight w:val="none"/>
                    </w:rPr>
                  </w:pPr>
                  <w:r>
                    <w:rPr>
                      <w:rFonts w:hint="eastAsia"/>
                      <w:color w:val="auto"/>
                      <w:highlight w:val="none"/>
                    </w:rPr>
                    <w:t>0.10</w:t>
                  </w:r>
                </w:p>
              </w:tc>
              <w:tc>
                <w:tcPr>
                  <w:tcW w:w="779" w:type="dxa"/>
                  <w:noWrap w:val="0"/>
                  <w:vAlign w:val="center"/>
                </w:tcPr>
                <w:p>
                  <w:pPr>
                    <w:widowControl/>
                    <w:jc w:val="center"/>
                    <w:textAlignment w:val="center"/>
                    <w:rPr>
                      <w:rFonts w:hint="eastAsia"/>
                      <w:color w:val="auto"/>
                      <w:highlight w:val="none"/>
                    </w:rPr>
                  </w:pPr>
                  <w:r>
                    <w:rPr>
                      <w:rFonts w:hint="eastAsia"/>
                      <w:color w:val="auto"/>
                      <w:highlight w:val="none"/>
                    </w:rPr>
                    <w:t>0.022</w:t>
                  </w:r>
                </w:p>
              </w:tc>
              <w:tc>
                <w:tcPr>
                  <w:tcW w:w="742" w:type="dxa"/>
                  <w:noWrap w:val="0"/>
                  <w:vAlign w:val="center"/>
                </w:tcPr>
                <w:p>
                  <w:pPr>
                    <w:widowControl/>
                    <w:jc w:val="center"/>
                    <w:textAlignment w:val="center"/>
                    <w:rPr>
                      <w:rFonts w:hint="eastAsia"/>
                      <w:color w:val="auto"/>
                      <w:highlight w:val="none"/>
                    </w:rPr>
                  </w:pPr>
                  <w:r>
                    <w:rPr>
                      <w:rFonts w:hint="eastAsia"/>
                      <w:color w:val="auto"/>
                      <w:highlight w:val="none"/>
                    </w:rPr>
                    <w:t>0.00</w:t>
                  </w:r>
                </w:p>
              </w:tc>
              <w:tc>
                <w:tcPr>
                  <w:tcW w:w="841" w:type="dxa"/>
                  <w:noWrap w:val="0"/>
                  <w:vAlign w:val="center"/>
                </w:tcPr>
                <w:p>
                  <w:pPr>
                    <w:widowControl/>
                    <w:jc w:val="center"/>
                    <w:textAlignment w:val="center"/>
                    <w:rPr>
                      <w:rFonts w:hint="eastAsia"/>
                      <w:color w:val="auto"/>
                      <w:highlight w:val="none"/>
                    </w:rPr>
                  </w:pPr>
                  <w:r>
                    <w:rPr>
                      <w:rFonts w:hint="eastAsia"/>
                      <w:color w:val="auto"/>
                      <w:highlight w:val="none"/>
                    </w:rPr>
                    <w:t>0.00035</w:t>
                  </w:r>
                </w:p>
              </w:tc>
              <w:tc>
                <w:tcPr>
                  <w:tcW w:w="739" w:type="dxa"/>
                  <w:noWrap w:val="0"/>
                  <w:vAlign w:val="center"/>
                </w:tcPr>
                <w:p>
                  <w:pPr>
                    <w:widowControl/>
                    <w:jc w:val="center"/>
                    <w:textAlignment w:val="center"/>
                    <w:rPr>
                      <w:rFonts w:hint="eastAsia"/>
                      <w:color w:val="auto"/>
                      <w:highlight w:val="none"/>
                    </w:rPr>
                  </w:pPr>
                  <w:r>
                    <w:rPr>
                      <w:rFonts w:hint="eastAsia"/>
                      <w:color w:val="auto"/>
                      <w:highlight w:val="none"/>
                    </w:rPr>
                    <w:t>0.00</w:t>
                  </w:r>
                </w:p>
              </w:tc>
              <w:tc>
                <w:tcPr>
                  <w:tcW w:w="748" w:type="dxa"/>
                  <w:noWrap w:val="0"/>
                  <w:vAlign w:val="center"/>
                </w:tcPr>
                <w:p>
                  <w:pPr>
                    <w:widowControl/>
                    <w:jc w:val="center"/>
                    <w:textAlignment w:val="center"/>
                    <w:rPr>
                      <w:rFonts w:hint="eastAsia"/>
                      <w:color w:val="auto"/>
                      <w:highlight w:val="none"/>
                    </w:rPr>
                  </w:pPr>
                  <w:r>
                    <w:rPr>
                      <w:rFonts w:hint="eastAsia"/>
                      <w:color w:val="auto"/>
                      <w:highlight w:val="none"/>
                    </w:rPr>
                    <w:t>1.182E-06</w:t>
                  </w:r>
                </w:p>
              </w:tc>
              <w:tc>
                <w:tcPr>
                  <w:tcW w:w="751" w:type="dxa"/>
                  <w:noWrap w:val="0"/>
                  <w:vAlign w:val="center"/>
                </w:tcPr>
                <w:p>
                  <w:pPr>
                    <w:widowControl/>
                    <w:jc w:val="center"/>
                    <w:textAlignment w:val="center"/>
                    <w:rPr>
                      <w:rFonts w:hint="eastAsia"/>
                      <w:color w:val="auto"/>
                      <w:highlight w:val="none"/>
                    </w:rPr>
                  </w:pPr>
                  <w:r>
                    <w:rPr>
                      <w:rFonts w:hint="eastAsia"/>
                      <w:color w:val="auto"/>
                      <w:highlight w:val="none"/>
                    </w:rPr>
                    <w:t>0.00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8" w:hRule="atLeast"/>
                <w:jc w:val="center"/>
              </w:trPr>
              <w:tc>
                <w:tcPr>
                  <w:tcW w:w="496" w:type="dxa"/>
                  <w:noWrap w:val="0"/>
                  <w:vAlign w:val="center"/>
                </w:tcPr>
                <w:p>
                  <w:pPr>
                    <w:tabs>
                      <w:tab w:val="left" w:pos="0"/>
                    </w:tabs>
                    <w:jc w:val="center"/>
                    <w:rPr>
                      <w:color w:val="auto"/>
                      <w:szCs w:val="21"/>
                      <w:highlight w:val="none"/>
                    </w:rPr>
                  </w:pPr>
                  <w:r>
                    <w:rPr>
                      <w:color w:val="auto"/>
                      <w:szCs w:val="21"/>
                      <w:highlight w:val="none"/>
                    </w:rPr>
                    <w:t>50</w:t>
                  </w:r>
                </w:p>
              </w:tc>
              <w:tc>
                <w:tcPr>
                  <w:tcW w:w="809" w:type="dxa"/>
                  <w:noWrap w:val="0"/>
                  <w:vAlign w:val="center"/>
                </w:tcPr>
                <w:p>
                  <w:pPr>
                    <w:widowControl/>
                    <w:jc w:val="center"/>
                    <w:textAlignment w:val="center"/>
                    <w:rPr>
                      <w:rFonts w:hint="eastAsia"/>
                      <w:color w:val="auto"/>
                      <w:highlight w:val="none"/>
                    </w:rPr>
                  </w:pPr>
                  <w:r>
                    <w:rPr>
                      <w:rFonts w:hint="eastAsia"/>
                      <w:color w:val="auto"/>
                      <w:highlight w:val="none"/>
                    </w:rPr>
                    <w:t>0.056</w:t>
                  </w:r>
                </w:p>
              </w:tc>
              <w:tc>
                <w:tcPr>
                  <w:tcW w:w="610" w:type="dxa"/>
                  <w:noWrap w:val="0"/>
                  <w:vAlign w:val="center"/>
                </w:tcPr>
                <w:p>
                  <w:pPr>
                    <w:widowControl/>
                    <w:jc w:val="center"/>
                    <w:textAlignment w:val="center"/>
                    <w:rPr>
                      <w:rFonts w:hint="eastAsia"/>
                      <w:color w:val="auto"/>
                      <w:highlight w:val="none"/>
                    </w:rPr>
                  </w:pPr>
                  <w:r>
                    <w:rPr>
                      <w:rFonts w:hint="eastAsia"/>
                      <w:color w:val="auto"/>
                      <w:highlight w:val="none"/>
                    </w:rPr>
                    <w:t>0.00</w:t>
                  </w:r>
                </w:p>
              </w:tc>
              <w:tc>
                <w:tcPr>
                  <w:tcW w:w="827" w:type="dxa"/>
                  <w:noWrap w:val="0"/>
                  <w:vAlign w:val="center"/>
                </w:tcPr>
                <w:p>
                  <w:pPr>
                    <w:widowControl/>
                    <w:jc w:val="center"/>
                    <w:textAlignment w:val="center"/>
                    <w:rPr>
                      <w:rFonts w:hint="eastAsia"/>
                      <w:color w:val="auto"/>
                      <w:highlight w:val="none"/>
                    </w:rPr>
                  </w:pPr>
                  <w:r>
                    <w:rPr>
                      <w:rFonts w:hint="eastAsia"/>
                      <w:color w:val="auto"/>
                      <w:highlight w:val="none"/>
                    </w:rPr>
                    <w:t>0.223</w:t>
                  </w:r>
                </w:p>
              </w:tc>
              <w:tc>
                <w:tcPr>
                  <w:tcW w:w="601" w:type="dxa"/>
                  <w:noWrap w:val="0"/>
                  <w:vAlign w:val="center"/>
                </w:tcPr>
                <w:p>
                  <w:pPr>
                    <w:widowControl/>
                    <w:jc w:val="center"/>
                    <w:textAlignment w:val="center"/>
                    <w:rPr>
                      <w:rFonts w:hint="eastAsia"/>
                      <w:color w:val="auto"/>
                      <w:highlight w:val="none"/>
                    </w:rPr>
                  </w:pPr>
                  <w:r>
                    <w:rPr>
                      <w:rFonts w:hint="eastAsia"/>
                      <w:color w:val="auto"/>
                      <w:highlight w:val="none"/>
                    </w:rPr>
                    <w:t>0.10</w:t>
                  </w:r>
                </w:p>
              </w:tc>
              <w:tc>
                <w:tcPr>
                  <w:tcW w:w="779" w:type="dxa"/>
                  <w:noWrap w:val="0"/>
                  <w:vAlign w:val="center"/>
                </w:tcPr>
                <w:p>
                  <w:pPr>
                    <w:widowControl/>
                    <w:jc w:val="center"/>
                    <w:textAlignment w:val="center"/>
                    <w:rPr>
                      <w:rFonts w:hint="eastAsia"/>
                      <w:color w:val="auto"/>
                      <w:highlight w:val="none"/>
                    </w:rPr>
                  </w:pPr>
                  <w:r>
                    <w:rPr>
                      <w:rFonts w:hint="eastAsia"/>
                      <w:color w:val="auto"/>
                      <w:highlight w:val="none"/>
                    </w:rPr>
                    <w:t>0.027</w:t>
                  </w:r>
                </w:p>
              </w:tc>
              <w:tc>
                <w:tcPr>
                  <w:tcW w:w="742" w:type="dxa"/>
                  <w:noWrap w:val="0"/>
                  <w:vAlign w:val="center"/>
                </w:tcPr>
                <w:p>
                  <w:pPr>
                    <w:widowControl/>
                    <w:jc w:val="center"/>
                    <w:textAlignment w:val="center"/>
                    <w:rPr>
                      <w:rFonts w:hint="eastAsia"/>
                      <w:color w:val="auto"/>
                      <w:highlight w:val="none"/>
                    </w:rPr>
                  </w:pPr>
                  <w:r>
                    <w:rPr>
                      <w:rFonts w:hint="eastAsia"/>
                      <w:color w:val="auto"/>
                      <w:highlight w:val="none"/>
                    </w:rPr>
                    <w:t>0.00</w:t>
                  </w:r>
                </w:p>
              </w:tc>
              <w:tc>
                <w:tcPr>
                  <w:tcW w:w="841" w:type="dxa"/>
                  <w:noWrap w:val="0"/>
                  <w:vAlign w:val="center"/>
                </w:tcPr>
                <w:p>
                  <w:pPr>
                    <w:widowControl/>
                    <w:jc w:val="center"/>
                    <w:textAlignment w:val="center"/>
                    <w:rPr>
                      <w:rFonts w:hint="eastAsia"/>
                      <w:color w:val="auto"/>
                      <w:highlight w:val="none"/>
                    </w:rPr>
                  </w:pPr>
                  <w:r>
                    <w:rPr>
                      <w:rFonts w:hint="eastAsia"/>
                      <w:color w:val="auto"/>
                      <w:highlight w:val="none"/>
                    </w:rPr>
                    <w:t>0.00042</w:t>
                  </w:r>
                </w:p>
              </w:tc>
              <w:tc>
                <w:tcPr>
                  <w:tcW w:w="739" w:type="dxa"/>
                  <w:noWrap w:val="0"/>
                  <w:vAlign w:val="center"/>
                </w:tcPr>
                <w:p>
                  <w:pPr>
                    <w:widowControl/>
                    <w:jc w:val="center"/>
                    <w:textAlignment w:val="center"/>
                    <w:rPr>
                      <w:rFonts w:hint="eastAsia"/>
                      <w:color w:val="auto"/>
                      <w:highlight w:val="none"/>
                    </w:rPr>
                  </w:pPr>
                  <w:r>
                    <w:rPr>
                      <w:rFonts w:hint="eastAsia"/>
                      <w:color w:val="auto"/>
                      <w:highlight w:val="none"/>
                    </w:rPr>
                    <w:t>0.00</w:t>
                  </w:r>
                </w:p>
              </w:tc>
              <w:tc>
                <w:tcPr>
                  <w:tcW w:w="748" w:type="dxa"/>
                  <w:noWrap w:val="0"/>
                  <w:vAlign w:val="center"/>
                </w:tcPr>
                <w:p>
                  <w:pPr>
                    <w:widowControl/>
                    <w:jc w:val="center"/>
                    <w:textAlignment w:val="center"/>
                    <w:rPr>
                      <w:rFonts w:hint="eastAsia"/>
                      <w:color w:val="auto"/>
                      <w:highlight w:val="none"/>
                    </w:rPr>
                  </w:pPr>
                  <w:r>
                    <w:rPr>
                      <w:rFonts w:hint="eastAsia"/>
                      <w:color w:val="auto"/>
                      <w:highlight w:val="none"/>
                    </w:rPr>
                    <w:t>1.41047E-06</w:t>
                  </w:r>
                </w:p>
              </w:tc>
              <w:tc>
                <w:tcPr>
                  <w:tcW w:w="751" w:type="dxa"/>
                  <w:noWrap w:val="0"/>
                  <w:vAlign w:val="center"/>
                </w:tcPr>
                <w:p>
                  <w:pPr>
                    <w:widowControl/>
                    <w:jc w:val="center"/>
                    <w:textAlignment w:val="center"/>
                    <w:rPr>
                      <w:rFonts w:hint="eastAsia"/>
                      <w:color w:val="auto"/>
                      <w:highlight w:val="none"/>
                    </w:rPr>
                  </w:pPr>
                  <w:r>
                    <w:rPr>
                      <w:rFonts w:hint="eastAsia"/>
                      <w:color w:val="auto"/>
                      <w:highlight w:val="none"/>
                    </w:rPr>
                    <w:t>0.00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8" w:hRule="atLeast"/>
                <w:jc w:val="center"/>
              </w:trPr>
              <w:tc>
                <w:tcPr>
                  <w:tcW w:w="496" w:type="dxa"/>
                  <w:noWrap w:val="0"/>
                  <w:vAlign w:val="center"/>
                </w:tcPr>
                <w:p>
                  <w:pPr>
                    <w:tabs>
                      <w:tab w:val="left" w:pos="0"/>
                    </w:tabs>
                    <w:jc w:val="center"/>
                    <w:rPr>
                      <w:color w:val="auto"/>
                      <w:szCs w:val="21"/>
                      <w:highlight w:val="none"/>
                    </w:rPr>
                  </w:pPr>
                  <w:r>
                    <w:rPr>
                      <w:color w:val="auto"/>
                      <w:szCs w:val="21"/>
                      <w:highlight w:val="none"/>
                    </w:rPr>
                    <w:t>75</w:t>
                  </w:r>
                </w:p>
              </w:tc>
              <w:tc>
                <w:tcPr>
                  <w:tcW w:w="809" w:type="dxa"/>
                  <w:noWrap w:val="0"/>
                  <w:vAlign w:val="center"/>
                </w:tcPr>
                <w:p>
                  <w:pPr>
                    <w:widowControl/>
                    <w:jc w:val="center"/>
                    <w:textAlignment w:val="center"/>
                    <w:rPr>
                      <w:rFonts w:hint="eastAsia"/>
                      <w:color w:val="auto"/>
                      <w:highlight w:val="none"/>
                    </w:rPr>
                  </w:pPr>
                  <w:r>
                    <w:rPr>
                      <w:rFonts w:hint="eastAsia"/>
                      <w:color w:val="auto"/>
                      <w:highlight w:val="none"/>
                    </w:rPr>
                    <w:t>0.069</w:t>
                  </w:r>
                </w:p>
              </w:tc>
              <w:tc>
                <w:tcPr>
                  <w:tcW w:w="610" w:type="dxa"/>
                  <w:noWrap w:val="0"/>
                  <w:vAlign w:val="center"/>
                </w:tcPr>
                <w:p>
                  <w:pPr>
                    <w:widowControl/>
                    <w:jc w:val="center"/>
                    <w:textAlignment w:val="center"/>
                    <w:rPr>
                      <w:rFonts w:hint="eastAsia"/>
                      <w:color w:val="auto"/>
                      <w:highlight w:val="none"/>
                    </w:rPr>
                  </w:pPr>
                  <w:r>
                    <w:rPr>
                      <w:rFonts w:hint="eastAsia"/>
                      <w:color w:val="auto"/>
                      <w:highlight w:val="none"/>
                    </w:rPr>
                    <w:t>0.00</w:t>
                  </w:r>
                </w:p>
              </w:tc>
              <w:tc>
                <w:tcPr>
                  <w:tcW w:w="827" w:type="dxa"/>
                  <w:noWrap w:val="0"/>
                  <w:vAlign w:val="center"/>
                </w:tcPr>
                <w:p>
                  <w:pPr>
                    <w:widowControl/>
                    <w:jc w:val="center"/>
                    <w:textAlignment w:val="center"/>
                    <w:rPr>
                      <w:rFonts w:hint="eastAsia"/>
                      <w:color w:val="auto"/>
                      <w:highlight w:val="none"/>
                    </w:rPr>
                  </w:pPr>
                  <w:r>
                    <w:rPr>
                      <w:rFonts w:hint="eastAsia"/>
                      <w:color w:val="auto"/>
                      <w:highlight w:val="none"/>
                    </w:rPr>
                    <w:t>0.275</w:t>
                  </w:r>
                </w:p>
              </w:tc>
              <w:tc>
                <w:tcPr>
                  <w:tcW w:w="601" w:type="dxa"/>
                  <w:noWrap w:val="0"/>
                  <w:vAlign w:val="center"/>
                </w:tcPr>
                <w:p>
                  <w:pPr>
                    <w:widowControl/>
                    <w:jc w:val="center"/>
                    <w:textAlignment w:val="center"/>
                    <w:rPr>
                      <w:rFonts w:hint="eastAsia"/>
                      <w:color w:val="auto"/>
                      <w:highlight w:val="none"/>
                    </w:rPr>
                  </w:pPr>
                  <w:r>
                    <w:rPr>
                      <w:rFonts w:hint="eastAsia"/>
                      <w:color w:val="auto"/>
                      <w:highlight w:val="none"/>
                    </w:rPr>
                    <w:t>0.10</w:t>
                  </w:r>
                </w:p>
              </w:tc>
              <w:tc>
                <w:tcPr>
                  <w:tcW w:w="779" w:type="dxa"/>
                  <w:noWrap w:val="0"/>
                  <w:vAlign w:val="center"/>
                </w:tcPr>
                <w:p>
                  <w:pPr>
                    <w:widowControl/>
                    <w:jc w:val="center"/>
                    <w:textAlignment w:val="center"/>
                    <w:rPr>
                      <w:rFonts w:hint="eastAsia"/>
                      <w:color w:val="auto"/>
                      <w:highlight w:val="none"/>
                    </w:rPr>
                  </w:pPr>
                  <w:r>
                    <w:rPr>
                      <w:rFonts w:hint="eastAsia"/>
                      <w:color w:val="auto"/>
                      <w:highlight w:val="none"/>
                    </w:rPr>
                    <w:t>0.033</w:t>
                  </w:r>
                </w:p>
              </w:tc>
              <w:tc>
                <w:tcPr>
                  <w:tcW w:w="742" w:type="dxa"/>
                  <w:noWrap w:val="0"/>
                  <w:vAlign w:val="center"/>
                </w:tcPr>
                <w:p>
                  <w:pPr>
                    <w:widowControl/>
                    <w:jc w:val="center"/>
                    <w:textAlignment w:val="center"/>
                    <w:rPr>
                      <w:rFonts w:hint="eastAsia"/>
                      <w:color w:val="auto"/>
                      <w:highlight w:val="none"/>
                    </w:rPr>
                  </w:pPr>
                  <w:r>
                    <w:rPr>
                      <w:rFonts w:hint="eastAsia"/>
                      <w:color w:val="auto"/>
                      <w:highlight w:val="none"/>
                    </w:rPr>
                    <w:t>0.00</w:t>
                  </w:r>
                </w:p>
              </w:tc>
              <w:tc>
                <w:tcPr>
                  <w:tcW w:w="841" w:type="dxa"/>
                  <w:noWrap w:val="0"/>
                  <w:vAlign w:val="center"/>
                </w:tcPr>
                <w:p>
                  <w:pPr>
                    <w:widowControl/>
                    <w:jc w:val="center"/>
                    <w:textAlignment w:val="center"/>
                    <w:rPr>
                      <w:rFonts w:hint="eastAsia"/>
                      <w:color w:val="auto"/>
                      <w:highlight w:val="none"/>
                    </w:rPr>
                  </w:pPr>
                  <w:r>
                    <w:rPr>
                      <w:rFonts w:hint="eastAsia"/>
                      <w:color w:val="auto"/>
                      <w:highlight w:val="none"/>
                    </w:rPr>
                    <w:t>0.00052</w:t>
                  </w:r>
                </w:p>
              </w:tc>
              <w:tc>
                <w:tcPr>
                  <w:tcW w:w="739" w:type="dxa"/>
                  <w:noWrap w:val="0"/>
                  <w:vAlign w:val="center"/>
                </w:tcPr>
                <w:p>
                  <w:pPr>
                    <w:widowControl/>
                    <w:jc w:val="center"/>
                    <w:textAlignment w:val="center"/>
                    <w:rPr>
                      <w:rFonts w:hint="eastAsia"/>
                      <w:color w:val="auto"/>
                      <w:highlight w:val="none"/>
                    </w:rPr>
                  </w:pPr>
                  <w:r>
                    <w:rPr>
                      <w:rFonts w:hint="eastAsia"/>
                      <w:color w:val="auto"/>
                      <w:highlight w:val="none"/>
                    </w:rPr>
                    <w:t>0.00</w:t>
                  </w:r>
                </w:p>
              </w:tc>
              <w:tc>
                <w:tcPr>
                  <w:tcW w:w="748" w:type="dxa"/>
                  <w:noWrap w:val="0"/>
                  <w:vAlign w:val="center"/>
                </w:tcPr>
                <w:p>
                  <w:pPr>
                    <w:widowControl/>
                    <w:jc w:val="center"/>
                    <w:textAlignment w:val="center"/>
                    <w:rPr>
                      <w:rFonts w:hint="eastAsia"/>
                      <w:color w:val="auto"/>
                      <w:highlight w:val="none"/>
                    </w:rPr>
                  </w:pPr>
                  <w:r>
                    <w:rPr>
                      <w:rFonts w:hint="eastAsia"/>
                      <w:color w:val="auto"/>
                      <w:highlight w:val="none"/>
                    </w:rPr>
                    <w:t>1.7404E-06</w:t>
                  </w:r>
                </w:p>
              </w:tc>
              <w:tc>
                <w:tcPr>
                  <w:tcW w:w="751" w:type="dxa"/>
                  <w:noWrap w:val="0"/>
                  <w:vAlign w:val="center"/>
                </w:tcPr>
                <w:p>
                  <w:pPr>
                    <w:widowControl/>
                    <w:jc w:val="center"/>
                    <w:textAlignment w:val="center"/>
                    <w:rPr>
                      <w:rFonts w:hint="eastAsia"/>
                      <w:color w:val="auto"/>
                      <w:highlight w:val="none"/>
                    </w:rPr>
                  </w:pPr>
                  <w:r>
                    <w:rPr>
                      <w:rFonts w:hint="eastAsia"/>
                      <w:color w:val="auto"/>
                      <w:highlight w:val="none"/>
                    </w:rPr>
                    <w:t>0.00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8" w:hRule="atLeast"/>
                <w:jc w:val="center"/>
              </w:trPr>
              <w:tc>
                <w:tcPr>
                  <w:tcW w:w="496" w:type="dxa"/>
                  <w:noWrap w:val="0"/>
                  <w:vAlign w:val="center"/>
                </w:tcPr>
                <w:p>
                  <w:pPr>
                    <w:tabs>
                      <w:tab w:val="left" w:pos="0"/>
                    </w:tabs>
                    <w:jc w:val="center"/>
                    <w:rPr>
                      <w:color w:val="auto"/>
                      <w:szCs w:val="21"/>
                      <w:highlight w:val="none"/>
                    </w:rPr>
                  </w:pPr>
                  <w:r>
                    <w:rPr>
                      <w:color w:val="auto"/>
                      <w:szCs w:val="21"/>
                      <w:highlight w:val="none"/>
                    </w:rPr>
                    <w:t>100</w:t>
                  </w:r>
                </w:p>
              </w:tc>
              <w:tc>
                <w:tcPr>
                  <w:tcW w:w="809" w:type="dxa"/>
                  <w:noWrap w:val="0"/>
                  <w:vAlign w:val="center"/>
                </w:tcPr>
                <w:p>
                  <w:pPr>
                    <w:widowControl/>
                    <w:jc w:val="center"/>
                    <w:textAlignment w:val="center"/>
                    <w:rPr>
                      <w:rFonts w:hint="eastAsia"/>
                      <w:color w:val="auto"/>
                      <w:highlight w:val="none"/>
                    </w:rPr>
                  </w:pPr>
                  <w:r>
                    <w:rPr>
                      <w:rFonts w:hint="eastAsia"/>
                      <w:color w:val="auto"/>
                      <w:highlight w:val="none"/>
                    </w:rPr>
                    <w:t>0.149</w:t>
                  </w:r>
                </w:p>
              </w:tc>
              <w:tc>
                <w:tcPr>
                  <w:tcW w:w="610" w:type="dxa"/>
                  <w:noWrap w:val="0"/>
                  <w:vAlign w:val="center"/>
                </w:tcPr>
                <w:p>
                  <w:pPr>
                    <w:widowControl/>
                    <w:jc w:val="center"/>
                    <w:textAlignment w:val="center"/>
                    <w:rPr>
                      <w:rFonts w:hint="eastAsia"/>
                      <w:color w:val="auto"/>
                      <w:highlight w:val="none"/>
                    </w:rPr>
                  </w:pPr>
                  <w:r>
                    <w:rPr>
                      <w:rFonts w:hint="eastAsia"/>
                      <w:color w:val="auto"/>
                      <w:highlight w:val="none"/>
                    </w:rPr>
                    <w:t>0.00</w:t>
                  </w:r>
                </w:p>
              </w:tc>
              <w:tc>
                <w:tcPr>
                  <w:tcW w:w="827" w:type="dxa"/>
                  <w:noWrap w:val="0"/>
                  <w:vAlign w:val="center"/>
                </w:tcPr>
                <w:p>
                  <w:pPr>
                    <w:widowControl/>
                    <w:jc w:val="center"/>
                    <w:textAlignment w:val="center"/>
                    <w:rPr>
                      <w:rFonts w:hint="eastAsia"/>
                      <w:color w:val="auto"/>
                      <w:highlight w:val="none"/>
                    </w:rPr>
                  </w:pPr>
                  <w:r>
                    <w:rPr>
                      <w:rFonts w:hint="eastAsia"/>
                      <w:color w:val="auto"/>
                      <w:highlight w:val="none"/>
                    </w:rPr>
                    <w:t>0.592</w:t>
                  </w:r>
                </w:p>
              </w:tc>
              <w:tc>
                <w:tcPr>
                  <w:tcW w:w="601" w:type="dxa"/>
                  <w:noWrap w:val="0"/>
                  <w:vAlign w:val="center"/>
                </w:tcPr>
                <w:p>
                  <w:pPr>
                    <w:widowControl/>
                    <w:jc w:val="center"/>
                    <w:textAlignment w:val="center"/>
                    <w:rPr>
                      <w:rFonts w:hint="eastAsia"/>
                      <w:color w:val="auto"/>
                      <w:highlight w:val="none"/>
                    </w:rPr>
                  </w:pPr>
                  <w:r>
                    <w:rPr>
                      <w:rFonts w:hint="eastAsia"/>
                      <w:color w:val="auto"/>
                      <w:highlight w:val="none"/>
                    </w:rPr>
                    <w:t>0.20</w:t>
                  </w:r>
                </w:p>
              </w:tc>
              <w:tc>
                <w:tcPr>
                  <w:tcW w:w="779" w:type="dxa"/>
                  <w:noWrap w:val="0"/>
                  <w:vAlign w:val="center"/>
                </w:tcPr>
                <w:p>
                  <w:pPr>
                    <w:widowControl/>
                    <w:jc w:val="center"/>
                    <w:textAlignment w:val="center"/>
                    <w:rPr>
                      <w:rFonts w:hint="eastAsia"/>
                      <w:color w:val="auto"/>
                      <w:highlight w:val="none"/>
                    </w:rPr>
                  </w:pPr>
                  <w:r>
                    <w:rPr>
                      <w:rFonts w:hint="eastAsia"/>
                      <w:color w:val="auto"/>
                      <w:highlight w:val="none"/>
                    </w:rPr>
                    <w:t>0.071</w:t>
                  </w:r>
                </w:p>
              </w:tc>
              <w:tc>
                <w:tcPr>
                  <w:tcW w:w="742" w:type="dxa"/>
                  <w:noWrap w:val="0"/>
                  <w:vAlign w:val="center"/>
                </w:tcPr>
                <w:p>
                  <w:pPr>
                    <w:widowControl/>
                    <w:jc w:val="center"/>
                    <w:textAlignment w:val="center"/>
                    <w:rPr>
                      <w:rFonts w:hint="eastAsia"/>
                      <w:color w:val="auto"/>
                      <w:highlight w:val="none"/>
                    </w:rPr>
                  </w:pPr>
                  <w:r>
                    <w:rPr>
                      <w:rFonts w:hint="eastAsia"/>
                      <w:color w:val="auto"/>
                      <w:highlight w:val="none"/>
                    </w:rPr>
                    <w:t>0.00</w:t>
                  </w:r>
                </w:p>
              </w:tc>
              <w:tc>
                <w:tcPr>
                  <w:tcW w:w="841" w:type="dxa"/>
                  <w:noWrap w:val="0"/>
                  <w:vAlign w:val="center"/>
                </w:tcPr>
                <w:p>
                  <w:pPr>
                    <w:widowControl/>
                    <w:jc w:val="center"/>
                    <w:textAlignment w:val="center"/>
                    <w:rPr>
                      <w:rFonts w:hint="eastAsia"/>
                      <w:color w:val="auto"/>
                      <w:highlight w:val="none"/>
                    </w:rPr>
                  </w:pPr>
                  <w:r>
                    <w:rPr>
                      <w:rFonts w:hint="eastAsia"/>
                      <w:color w:val="auto"/>
                      <w:highlight w:val="none"/>
                    </w:rPr>
                    <w:t>0.00112</w:t>
                  </w:r>
                </w:p>
              </w:tc>
              <w:tc>
                <w:tcPr>
                  <w:tcW w:w="739" w:type="dxa"/>
                  <w:noWrap w:val="0"/>
                  <w:vAlign w:val="center"/>
                </w:tcPr>
                <w:p>
                  <w:pPr>
                    <w:widowControl/>
                    <w:jc w:val="center"/>
                    <w:textAlignment w:val="center"/>
                    <w:rPr>
                      <w:rFonts w:hint="eastAsia"/>
                      <w:color w:val="auto"/>
                      <w:highlight w:val="none"/>
                    </w:rPr>
                  </w:pPr>
                  <w:r>
                    <w:rPr>
                      <w:rFonts w:hint="eastAsia"/>
                      <w:color w:val="auto"/>
                      <w:highlight w:val="none"/>
                    </w:rPr>
                    <w:t>0.00</w:t>
                  </w:r>
                </w:p>
              </w:tc>
              <w:tc>
                <w:tcPr>
                  <w:tcW w:w="748" w:type="dxa"/>
                  <w:noWrap w:val="0"/>
                  <w:vAlign w:val="center"/>
                </w:tcPr>
                <w:p>
                  <w:pPr>
                    <w:widowControl/>
                    <w:jc w:val="center"/>
                    <w:textAlignment w:val="center"/>
                    <w:rPr>
                      <w:rFonts w:hint="eastAsia"/>
                      <w:color w:val="auto"/>
                      <w:highlight w:val="none"/>
                    </w:rPr>
                  </w:pPr>
                  <w:r>
                    <w:rPr>
                      <w:rFonts w:hint="eastAsia"/>
                      <w:color w:val="auto"/>
                      <w:highlight w:val="none"/>
                    </w:rPr>
                    <w:t>3.74585E-06</w:t>
                  </w:r>
                </w:p>
              </w:tc>
              <w:tc>
                <w:tcPr>
                  <w:tcW w:w="751" w:type="dxa"/>
                  <w:noWrap w:val="0"/>
                  <w:vAlign w:val="center"/>
                </w:tcPr>
                <w:p>
                  <w:pPr>
                    <w:widowControl/>
                    <w:jc w:val="center"/>
                    <w:textAlignment w:val="center"/>
                    <w:rPr>
                      <w:rFonts w:hint="eastAsia"/>
                      <w:color w:val="auto"/>
                      <w:highlight w:val="none"/>
                    </w:rPr>
                  </w:pPr>
                  <w:r>
                    <w:rPr>
                      <w:rFonts w:hint="eastAsia"/>
                      <w:color w:val="auto"/>
                      <w:highlight w:val="none"/>
                    </w:rPr>
                    <w:t>0.00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8" w:hRule="atLeast"/>
                <w:jc w:val="center"/>
              </w:trPr>
              <w:tc>
                <w:tcPr>
                  <w:tcW w:w="496" w:type="dxa"/>
                  <w:noWrap w:val="0"/>
                  <w:vAlign w:val="center"/>
                </w:tcPr>
                <w:p>
                  <w:pPr>
                    <w:tabs>
                      <w:tab w:val="left" w:pos="0"/>
                    </w:tabs>
                    <w:jc w:val="center"/>
                    <w:rPr>
                      <w:color w:val="auto"/>
                      <w:szCs w:val="21"/>
                      <w:highlight w:val="none"/>
                    </w:rPr>
                  </w:pPr>
                  <w:r>
                    <w:rPr>
                      <w:color w:val="auto"/>
                      <w:szCs w:val="21"/>
                      <w:highlight w:val="none"/>
                    </w:rPr>
                    <w:t>125</w:t>
                  </w:r>
                </w:p>
              </w:tc>
              <w:tc>
                <w:tcPr>
                  <w:tcW w:w="809" w:type="dxa"/>
                  <w:noWrap w:val="0"/>
                  <w:vAlign w:val="center"/>
                </w:tcPr>
                <w:p>
                  <w:pPr>
                    <w:widowControl/>
                    <w:jc w:val="center"/>
                    <w:textAlignment w:val="center"/>
                    <w:rPr>
                      <w:rFonts w:hint="eastAsia"/>
                      <w:color w:val="auto"/>
                      <w:highlight w:val="none"/>
                    </w:rPr>
                  </w:pPr>
                  <w:r>
                    <w:rPr>
                      <w:rFonts w:hint="eastAsia"/>
                      <w:color w:val="auto"/>
                      <w:highlight w:val="none"/>
                    </w:rPr>
                    <w:t>0.184</w:t>
                  </w:r>
                </w:p>
              </w:tc>
              <w:tc>
                <w:tcPr>
                  <w:tcW w:w="610" w:type="dxa"/>
                  <w:noWrap w:val="0"/>
                  <w:vAlign w:val="center"/>
                </w:tcPr>
                <w:p>
                  <w:pPr>
                    <w:widowControl/>
                    <w:jc w:val="center"/>
                    <w:textAlignment w:val="center"/>
                    <w:rPr>
                      <w:rFonts w:hint="eastAsia"/>
                      <w:color w:val="auto"/>
                      <w:highlight w:val="none"/>
                    </w:rPr>
                  </w:pPr>
                  <w:r>
                    <w:rPr>
                      <w:rFonts w:hint="eastAsia"/>
                      <w:color w:val="auto"/>
                      <w:highlight w:val="none"/>
                    </w:rPr>
                    <w:t>0.00</w:t>
                  </w:r>
                </w:p>
              </w:tc>
              <w:tc>
                <w:tcPr>
                  <w:tcW w:w="827" w:type="dxa"/>
                  <w:noWrap w:val="0"/>
                  <w:vAlign w:val="center"/>
                </w:tcPr>
                <w:p>
                  <w:pPr>
                    <w:widowControl/>
                    <w:jc w:val="center"/>
                    <w:textAlignment w:val="center"/>
                    <w:rPr>
                      <w:rFonts w:hint="eastAsia"/>
                      <w:color w:val="auto"/>
                      <w:highlight w:val="none"/>
                    </w:rPr>
                  </w:pPr>
                  <w:r>
                    <w:rPr>
                      <w:rFonts w:hint="eastAsia"/>
                      <w:color w:val="auto"/>
                      <w:highlight w:val="none"/>
                    </w:rPr>
                    <w:t>0.731</w:t>
                  </w:r>
                </w:p>
              </w:tc>
              <w:tc>
                <w:tcPr>
                  <w:tcW w:w="601" w:type="dxa"/>
                  <w:noWrap w:val="0"/>
                  <w:vAlign w:val="center"/>
                </w:tcPr>
                <w:p>
                  <w:pPr>
                    <w:widowControl/>
                    <w:jc w:val="center"/>
                    <w:textAlignment w:val="center"/>
                    <w:rPr>
                      <w:rFonts w:hint="eastAsia"/>
                      <w:color w:val="auto"/>
                      <w:highlight w:val="none"/>
                    </w:rPr>
                  </w:pPr>
                  <w:r>
                    <w:rPr>
                      <w:rFonts w:hint="eastAsia"/>
                      <w:color w:val="auto"/>
                      <w:highlight w:val="none"/>
                    </w:rPr>
                    <w:t>0.30</w:t>
                  </w:r>
                </w:p>
              </w:tc>
              <w:tc>
                <w:tcPr>
                  <w:tcW w:w="779" w:type="dxa"/>
                  <w:noWrap w:val="0"/>
                  <w:vAlign w:val="center"/>
                </w:tcPr>
                <w:p>
                  <w:pPr>
                    <w:widowControl/>
                    <w:jc w:val="center"/>
                    <w:textAlignment w:val="center"/>
                    <w:rPr>
                      <w:rFonts w:hint="eastAsia"/>
                      <w:color w:val="auto"/>
                      <w:highlight w:val="none"/>
                    </w:rPr>
                  </w:pPr>
                  <w:r>
                    <w:rPr>
                      <w:rFonts w:hint="eastAsia"/>
                      <w:color w:val="auto"/>
                      <w:highlight w:val="none"/>
                    </w:rPr>
                    <w:t>0.088</w:t>
                  </w:r>
                </w:p>
              </w:tc>
              <w:tc>
                <w:tcPr>
                  <w:tcW w:w="742" w:type="dxa"/>
                  <w:noWrap w:val="0"/>
                  <w:vAlign w:val="center"/>
                </w:tcPr>
                <w:p>
                  <w:pPr>
                    <w:widowControl/>
                    <w:jc w:val="center"/>
                    <w:textAlignment w:val="center"/>
                    <w:rPr>
                      <w:rFonts w:hint="eastAsia"/>
                      <w:color w:val="auto"/>
                      <w:highlight w:val="none"/>
                    </w:rPr>
                  </w:pPr>
                  <w:r>
                    <w:rPr>
                      <w:rFonts w:hint="eastAsia"/>
                      <w:color w:val="auto"/>
                      <w:highlight w:val="none"/>
                    </w:rPr>
                    <w:t>0.00</w:t>
                  </w:r>
                </w:p>
              </w:tc>
              <w:tc>
                <w:tcPr>
                  <w:tcW w:w="841" w:type="dxa"/>
                  <w:noWrap w:val="0"/>
                  <w:vAlign w:val="center"/>
                </w:tcPr>
                <w:p>
                  <w:pPr>
                    <w:widowControl/>
                    <w:jc w:val="center"/>
                    <w:textAlignment w:val="center"/>
                    <w:rPr>
                      <w:rFonts w:hint="eastAsia"/>
                      <w:color w:val="auto"/>
                      <w:highlight w:val="none"/>
                    </w:rPr>
                  </w:pPr>
                  <w:r>
                    <w:rPr>
                      <w:rFonts w:hint="eastAsia"/>
                      <w:color w:val="auto"/>
                      <w:highlight w:val="none"/>
                    </w:rPr>
                    <w:t>0.00138</w:t>
                  </w:r>
                </w:p>
              </w:tc>
              <w:tc>
                <w:tcPr>
                  <w:tcW w:w="739" w:type="dxa"/>
                  <w:noWrap w:val="0"/>
                  <w:vAlign w:val="center"/>
                </w:tcPr>
                <w:p>
                  <w:pPr>
                    <w:widowControl/>
                    <w:jc w:val="center"/>
                    <w:textAlignment w:val="center"/>
                    <w:rPr>
                      <w:rFonts w:hint="eastAsia"/>
                      <w:color w:val="auto"/>
                      <w:highlight w:val="none"/>
                    </w:rPr>
                  </w:pPr>
                  <w:r>
                    <w:rPr>
                      <w:rFonts w:hint="eastAsia"/>
                      <w:color w:val="auto"/>
                      <w:highlight w:val="none"/>
                    </w:rPr>
                    <w:t>0.00</w:t>
                  </w:r>
                </w:p>
              </w:tc>
              <w:tc>
                <w:tcPr>
                  <w:tcW w:w="748" w:type="dxa"/>
                  <w:noWrap w:val="0"/>
                  <w:vAlign w:val="center"/>
                </w:tcPr>
                <w:p>
                  <w:pPr>
                    <w:widowControl/>
                    <w:jc w:val="center"/>
                    <w:textAlignment w:val="center"/>
                    <w:rPr>
                      <w:rFonts w:hint="eastAsia"/>
                      <w:color w:val="auto"/>
                      <w:highlight w:val="none"/>
                    </w:rPr>
                  </w:pPr>
                  <w:r>
                    <w:rPr>
                      <w:rFonts w:hint="eastAsia"/>
                      <w:color w:val="auto"/>
                      <w:highlight w:val="none"/>
                    </w:rPr>
                    <w:t>4.62986E-06</w:t>
                  </w:r>
                </w:p>
              </w:tc>
              <w:tc>
                <w:tcPr>
                  <w:tcW w:w="751" w:type="dxa"/>
                  <w:noWrap w:val="0"/>
                  <w:vAlign w:val="center"/>
                </w:tcPr>
                <w:p>
                  <w:pPr>
                    <w:widowControl/>
                    <w:jc w:val="center"/>
                    <w:textAlignment w:val="center"/>
                    <w:rPr>
                      <w:rFonts w:hint="eastAsia"/>
                      <w:color w:val="auto"/>
                      <w:highlight w:val="none"/>
                    </w:rPr>
                  </w:pPr>
                  <w:r>
                    <w:rPr>
                      <w:rFonts w:hint="eastAsia"/>
                      <w:color w:val="auto"/>
                      <w:highlight w:val="none"/>
                    </w:rPr>
                    <w:t>0.10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8" w:hRule="atLeast"/>
                <w:jc w:val="center"/>
              </w:trPr>
              <w:tc>
                <w:tcPr>
                  <w:tcW w:w="496" w:type="dxa"/>
                  <w:noWrap w:val="0"/>
                  <w:vAlign w:val="center"/>
                </w:tcPr>
                <w:p>
                  <w:pPr>
                    <w:tabs>
                      <w:tab w:val="left" w:pos="0"/>
                    </w:tabs>
                    <w:jc w:val="center"/>
                    <w:rPr>
                      <w:color w:val="auto"/>
                      <w:szCs w:val="21"/>
                      <w:highlight w:val="none"/>
                    </w:rPr>
                  </w:pPr>
                  <w:r>
                    <w:rPr>
                      <w:color w:val="auto"/>
                      <w:szCs w:val="21"/>
                      <w:highlight w:val="none"/>
                    </w:rPr>
                    <w:t>150</w:t>
                  </w:r>
                </w:p>
              </w:tc>
              <w:tc>
                <w:tcPr>
                  <w:tcW w:w="809" w:type="dxa"/>
                  <w:noWrap w:val="0"/>
                  <w:vAlign w:val="center"/>
                </w:tcPr>
                <w:p>
                  <w:pPr>
                    <w:widowControl/>
                    <w:jc w:val="center"/>
                    <w:textAlignment w:val="center"/>
                    <w:rPr>
                      <w:rFonts w:hint="eastAsia"/>
                      <w:color w:val="auto"/>
                      <w:highlight w:val="none"/>
                    </w:rPr>
                  </w:pPr>
                  <w:r>
                    <w:rPr>
                      <w:rFonts w:hint="eastAsia"/>
                      <w:color w:val="auto"/>
                      <w:highlight w:val="none"/>
                    </w:rPr>
                    <w:t>0.198</w:t>
                  </w:r>
                </w:p>
              </w:tc>
              <w:tc>
                <w:tcPr>
                  <w:tcW w:w="610" w:type="dxa"/>
                  <w:noWrap w:val="0"/>
                  <w:vAlign w:val="center"/>
                </w:tcPr>
                <w:p>
                  <w:pPr>
                    <w:widowControl/>
                    <w:jc w:val="center"/>
                    <w:textAlignment w:val="center"/>
                    <w:rPr>
                      <w:rFonts w:hint="eastAsia"/>
                      <w:color w:val="auto"/>
                      <w:highlight w:val="none"/>
                    </w:rPr>
                  </w:pPr>
                  <w:r>
                    <w:rPr>
                      <w:rFonts w:hint="eastAsia"/>
                      <w:color w:val="auto"/>
                      <w:highlight w:val="none"/>
                    </w:rPr>
                    <w:t>0.00</w:t>
                  </w:r>
                </w:p>
              </w:tc>
              <w:tc>
                <w:tcPr>
                  <w:tcW w:w="827" w:type="dxa"/>
                  <w:noWrap w:val="0"/>
                  <w:vAlign w:val="center"/>
                </w:tcPr>
                <w:p>
                  <w:pPr>
                    <w:widowControl/>
                    <w:jc w:val="center"/>
                    <w:textAlignment w:val="center"/>
                    <w:rPr>
                      <w:rFonts w:hint="eastAsia"/>
                      <w:color w:val="auto"/>
                      <w:highlight w:val="none"/>
                    </w:rPr>
                  </w:pPr>
                  <w:r>
                    <w:rPr>
                      <w:rFonts w:hint="eastAsia"/>
                      <w:color w:val="auto"/>
                      <w:highlight w:val="none"/>
                    </w:rPr>
                    <w:t>0.787</w:t>
                  </w:r>
                </w:p>
              </w:tc>
              <w:tc>
                <w:tcPr>
                  <w:tcW w:w="601" w:type="dxa"/>
                  <w:noWrap w:val="0"/>
                  <w:vAlign w:val="center"/>
                </w:tcPr>
                <w:p>
                  <w:pPr>
                    <w:widowControl/>
                    <w:jc w:val="center"/>
                    <w:textAlignment w:val="center"/>
                    <w:rPr>
                      <w:rFonts w:hint="eastAsia"/>
                      <w:color w:val="auto"/>
                      <w:highlight w:val="none"/>
                    </w:rPr>
                  </w:pPr>
                  <w:r>
                    <w:rPr>
                      <w:rFonts w:hint="eastAsia"/>
                      <w:color w:val="auto"/>
                      <w:highlight w:val="none"/>
                    </w:rPr>
                    <w:t>0.30</w:t>
                  </w:r>
                </w:p>
              </w:tc>
              <w:tc>
                <w:tcPr>
                  <w:tcW w:w="779" w:type="dxa"/>
                  <w:noWrap w:val="0"/>
                  <w:vAlign w:val="center"/>
                </w:tcPr>
                <w:p>
                  <w:pPr>
                    <w:widowControl/>
                    <w:jc w:val="center"/>
                    <w:textAlignment w:val="center"/>
                    <w:rPr>
                      <w:rFonts w:hint="eastAsia"/>
                      <w:color w:val="auto"/>
                      <w:highlight w:val="none"/>
                    </w:rPr>
                  </w:pPr>
                  <w:r>
                    <w:rPr>
                      <w:rFonts w:hint="eastAsia"/>
                      <w:color w:val="auto"/>
                      <w:highlight w:val="none"/>
                    </w:rPr>
                    <w:t>0.094</w:t>
                  </w:r>
                </w:p>
              </w:tc>
              <w:tc>
                <w:tcPr>
                  <w:tcW w:w="742" w:type="dxa"/>
                  <w:noWrap w:val="0"/>
                  <w:vAlign w:val="center"/>
                </w:tcPr>
                <w:p>
                  <w:pPr>
                    <w:widowControl/>
                    <w:jc w:val="center"/>
                    <w:textAlignment w:val="center"/>
                    <w:rPr>
                      <w:rFonts w:hint="eastAsia"/>
                      <w:color w:val="auto"/>
                      <w:highlight w:val="none"/>
                    </w:rPr>
                  </w:pPr>
                  <w:r>
                    <w:rPr>
                      <w:rFonts w:hint="eastAsia"/>
                      <w:color w:val="auto"/>
                      <w:highlight w:val="none"/>
                    </w:rPr>
                    <w:t>0.00</w:t>
                  </w:r>
                </w:p>
              </w:tc>
              <w:tc>
                <w:tcPr>
                  <w:tcW w:w="841" w:type="dxa"/>
                  <w:noWrap w:val="0"/>
                  <w:vAlign w:val="center"/>
                </w:tcPr>
                <w:p>
                  <w:pPr>
                    <w:widowControl/>
                    <w:jc w:val="center"/>
                    <w:textAlignment w:val="center"/>
                    <w:rPr>
                      <w:rFonts w:hint="eastAsia"/>
                      <w:color w:val="auto"/>
                      <w:highlight w:val="none"/>
                    </w:rPr>
                  </w:pPr>
                  <w:r>
                    <w:rPr>
                      <w:rFonts w:hint="eastAsia"/>
                      <w:color w:val="auto"/>
                      <w:highlight w:val="none"/>
                    </w:rPr>
                    <w:t>0.00149</w:t>
                  </w:r>
                </w:p>
              </w:tc>
              <w:tc>
                <w:tcPr>
                  <w:tcW w:w="739" w:type="dxa"/>
                  <w:noWrap w:val="0"/>
                  <w:vAlign w:val="center"/>
                </w:tcPr>
                <w:p>
                  <w:pPr>
                    <w:widowControl/>
                    <w:jc w:val="center"/>
                    <w:textAlignment w:val="center"/>
                    <w:rPr>
                      <w:rFonts w:hint="eastAsia"/>
                      <w:color w:val="auto"/>
                      <w:highlight w:val="none"/>
                    </w:rPr>
                  </w:pPr>
                  <w:r>
                    <w:rPr>
                      <w:rFonts w:hint="eastAsia"/>
                      <w:color w:val="auto"/>
                      <w:highlight w:val="none"/>
                    </w:rPr>
                    <w:t>0.00</w:t>
                  </w:r>
                </w:p>
              </w:tc>
              <w:tc>
                <w:tcPr>
                  <w:tcW w:w="748" w:type="dxa"/>
                  <w:noWrap w:val="0"/>
                  <w:vAlign w:val="center"/>
                </w:tcPr>
                <w:p>
                  <w:pPr>
                    <w:widowControl/>
                    <w:jc w:val="center"/>
                    <w:textAlignment w:val="center"/>
                    <w:rPr>
                      <w:rFonts w:hint="eastAsia"/>
                      <w:color w:val="auto"/>
                      <w:highlight w:val="none"/>
                    </w:rPr>
                  </w:pPr>
                  <w:r>
                    <w:rPr>
                      <w:rFonts w:hint="eastAsia"/>
                      <w:color w:val="auto"/>
                      <w:highlight w:val="none"/>
                    </w:rPr>
                    <w:t>4.98015E-06</w:t>
                  </w:r>
                </w:p>
              </w:tc>
              <w:tc>
                <w:tcPr>
                  <w:tcW w:w="751" w:type="dxa"/>
                  <w:noWrap w:val="0"/>
                  <w:vAlign w:val="center"/>
                </w:tcPr>
                <w:p>
                  <w:pPr>
                    <w:widowControl/>
                    <w:jc w:val="center"/>
                    <w:textAlignment w:val="center"/>
                    <w:rPr>
                      <w:rFonts w:hint="eastAsia"/>
                      <w:color w:val="auto"/>
                      <w:highlight w:val="none"/>
                    </w:rPr>
                  </w:pPr>
                  <w:r>
                    <w:rPr>
                      <w:rFonts w:hint="eastAsia"/>
                      <w:color w:val="auto"/>
                      <w:highlight w:val="none"/>
                    </w:rPr>
                    <w:t>0.10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8" w:hRule="atLeast"/>
                <w:jc w:val="center"/>
              </w:trPr>
              <w:tc>
                <w:tcPr>
                  <w:tcW w:w="496" w:type="dxa"/>
                  <w:noWrap w:val="0"/>
                  <w:vAlign w:val="center"/>
                </w:tcPr>
                <w:p>
                  <w:pPr>
                    <w:tabs>
                      <w:tab w:val="left" w:pos="0"/>
                    </w:tabs>
                    <w:jc w:val="center"/>
                    <w:rPr>
                      <w:color w:val="auto"/>
                      <w:szCs w:val="21"/>
                      <w:highlight w:val="none"/>
                    </w:rPr>
                  </w:pPr>
                  <w:r>
                    <w:rPr>
                      <w:color w:val="auto"/>
                      <w:szCs w:val="21"/>
                      <w:highlight w:val="none"/>
                    </w:rPr>
                    <w:t>175</w:t>
                  </w:r>
                </w:p>
              </w:tc>
              <w:tc>
                <w:tcPr>
                  <w:tcW w:w="809" w:type="dxa"/>
                  <w:noWrap w:val="0"/>
                  <w:vAlign w:val="center"/>
                </w:tcPr>
                <w:p>
                  <w:pPr>
                    <w:widowControl/>
                    <w:jc w:val="center"/>
                    <w:textAlignment w:val="center"/>
                    <w:rPr>
                      <w:rFonts w:hint="eastAsia"/>
                      <w:color w:val="auto"/>
                      <w:highlight w:val="none"/>
                    </w:rPr>
                  </w:pPr>
                  <w:r>
                    <w:rPr>
                      <w:rFonts w:hint="eastAsia"/>
                      <w:color w:val="auto"/>
                      <w:highlight w:val="none"/>
                    </w:rPr>
                    <w:t>0.190</w:t>
                  </w:r>
                </w:p>
              </w:tc>
              <w:tc>
                <w:tcPr>
                  <w:tcW w:w="610" w:type="dxa"/>
                  <w:noWrap w:val="0"/>
                  <w:vAlign w:val="center"/>
                </w:tcPr>
                <w:p>
                  <w:pPr>
                    <w:widowControl/>
                    <w:jc w:val="center"/>
                    <w:textAlignment w:val="center"/>
                    <w:rPr>
                      <w:rFonts w:hint="eastAsia"/>
                      <w:color w:val="auto"/>
                      <w:highlight w:val="none"/>
                    </w:rPr>
                  </w:pPr>
                  <w:r>
                    <w:rPr>
                      <w:rFonts w:hint="eastAsia"/>
                      <w:color w:val="auto"/>
                      <w:highlight w:val="none"/>
                    </w:rPr>
                    <w:t>0.00</w:t>
                  </w:r>
                </w:p>
              </w:tc>
              <w:tc>
                <w:tcPr>
                  <w:tcW w:w="827" w:type="dxa"/>
                  <w:noWrap w:val="0"/>
                  <w:vAlign w:val="center"/>
                </w:tcPr>
                <w:p>
                  <w:pPr>
                    <w:widowControl/>
                    <w:jc w:val="center"/>
                    <w:textAlignment w:val="center"/>
                    <w:rPr>
                      <w:rFonts w:hint="eastAsia"/>
                      <w:color w:val="auto"/>
                      <w:highlight w:val="none"/>
                    </w:rPr>
                  </w:pPr>
                  <w:r>
                    <w:rPr>
                      <w:rFonts w:hint="eastAsia"/>
                      <w:color w:val="auto"/>
                      <w:highlight w:val="none"/>
                    </w:rPr>
                    <w:t>0.756</w:t>
                  </w:r>
                </w:p>
              </w:tc>
              <w:tc>
                <w:tcPr>
                  <w:tcW w:w="601" w:type="dxa"/>
                  <w:noWrap w:val="0"/>
                  <w:vAlign w:val="center"/>
                </w:tcPr>
                <w:p>
                  <w:pPr>
                    <w:widowControl/>
                    <w:jc w:val="center"/>
                    <w:textAlignment w:val="center"/>
                    <w:rPr>
                      <w:rFonts w:hint="eastAsia"/>
                      <w:color w:val="auto"/>
                      <w:highlight w:val="none"/>
                    </w:rPr>
                  </w:pPr>
                  <w:r>
                    <w:rPr>
                      <w:rFonts w:hint="eastAsia"/>
                      <w:color w:val="auto"/>
                      <w:highlight w:val="none"/>
                    </w:rPr>
                    <w:t>0.30</w:t>
                  </w:r>
                </w:p>
              </w:tc>
              <w:tc>
                <w:tcPr>
                  <w:tcW w:w="779" w:type="dxa"/>
                  <w:noWrap w:val="0"/>
                  <w:vAlign w:val="center"/>
                </w:tcPr>
                <w:p>
                  <w:pPr>
                    <w:widowControl/>
                    <w:jc w:val="center"/>
                    <w:textAlignment w:val="center"/>
                    <w:rPr>
                      <w:rFonts w:hint="eastAsia"/>
                      <w:color w:val="auto"/>
                      <w:highlight w:val="none"/>
                    </w:rPr>
                  </w:pPr>
                  <w:r>
                    <w:rPr>
                      <w:rFonts w:hint="eastAsia"/>
                      <w:color w:val="auto"/>
                      <w:highlight w:val="none"/>
                    </w:rPr>
                    <w:t>0.091</w:t>
                  </w:r>
                </w:p>
              </w:tc>
              <w:tc>
                <w:tcPr>
                  <w:tcW w:w="742" w:type="dxa"/>
                  <w:noWrap w:val="0"/>
                  <w:vAlign w:val="center"/>
                </w:tcPr>
                <w:p>
                  <w:pPr>
                    <w:widowControl/>
                    <w:jc w:val="center"/>
                    <w:textAlignment w:val="center"/>
                    <w:rPr>
                      <w:rFonts w:hint="eastAsia"/>
                      <w:color w:val="auto"/>
                      <w:highlight w:val="none"/>
                    </w:rPr>
                  </w:pPr>
                  <w:r>
                    <w:rPr>
                      <w:rFonts w:hint="eastAsia"/>
                      <w:color w:val="auto"/>
                      <w:highlight w:val="none"/>
                    </w:rPr>
                    <w:t>0.00</w:t>
                  </w:r>
                </w:p>
              </w:tc>
              <w:tc>
                <w:tcPr>
                  <w:tcW w:w="841" w:type="dxa"/>
                  <w:noWrap w:val="0"/>
                  <w:vAlign w:val="center"/>
                </w:tcPr>
                <w:p>
                  <w:pPr>
                    <w:widowControl/>
                    <w:jc w:val="center"/>
                    <w:textAlignment w:val="center"/>
                    <w:rPr>
                      <w:rFonts w:hint="eastAsia"/>
                      <w:color w:val="auto"/>
                      <w:highlight w:val="none"/>
                    </w:rPr>
                  </w:pPr>
                  <w:r>
                    <w:rPr>
                      <w:rFonts w:hint="eastAsia"/>
                      <w:color w:val="auto"/>
                      <w:highlight w:val="none"/>
                    </w:rPr>
                    <w:t>0.00143</w:t>
                  </w:r>
                </w:p>
              </w:tc>
              <w:tc>
                <w:tcPr>
                  <w:tcW w:w="739" w:type="dxa"/>
                  <w:noWrap w:val="0"/>
                  <w:vAlign w:val="center"/>
                </w:tcPr>
                <w:p>
                  <w:pPr>
                    <w:widowControl/>
                    <w:jc w:val="center"/>
                    <w:textAlignment w:val="center"/>
                    <w:rPr>
                      <w:rFonts w:hint="eastAsia"/>
                      <w:color w:val="auto"/>
                      <w:highlight w:val="none"/>
                    </w:rPr>
                  </w:pPr>
                  <w:r>
                    <w:rPr>
                      <w:rFonts w:hint="eastAsia"/>
                      <w:color w:val="auto"/>
                      <w:highlight w:val="none"/>
                    </w:rPr>
                    <w:t>0.00</w:t>
                  </w:r>
                </w:p>
              </w:tc>
              <w:tc>
                <w:tcPr>
                  <w:tcW w:w="748" w:type="dxa"/>
                  <w:noWrap w:val="0"/>
                  <w:vAlign w:val="center"/>
                </w:tcPr>
                <w:p>
                  <w:pPr>
                    <w:widowControl/>
                    <w:jc w:val="center"/>
                    <w:textAlignment w:val="center"/>
                    <w:rPr>
                      <w:rFonts w:hint="eastAsia"/>
                      <w:color w:val="auto"/>
                      <w:highlight w:val="none"/>
                    </w:rPr>
                  </w:pPr>
                  <w:r>
                    <w:rPr>
                      <w:rFonts w:hint="eastAsia"/>
                      <w:color w:val="auto"/>
                      <w:highlight w:val="none"/>
                    </w:rPr>
                    <w:t>4.78214E-06</w:t>
                  </w:r>
                </w:p>
              </w:tc>
              <w:tc>
                <w:tcPr>
                  <w:tcW w:w="751" w:type="dxa"/>
                  <w:noWrap w:val="0"/>
                  <w:vAlign w:val="center"/>
                </w:tcPr>
                <w:p>
                  <w:pPr>
                    <w:widowControl/>
                    <w:jc w:val="center"/>
                    <w:textAlignment w:val="center"/>
                    <w:rPr>
                      <w:rFonts w:hint="eastAsia"/>
                      <w:color w:val="auto"/>
                      <w:highlight w:val="none"/>
                    </w:rPr>
                  </w:pPr>
                  <w:r>
                    <w:rPr>
                      <w:rFonts w:hint="eastAsia"/>
                      <w:color w:val="auto"/>
                      <w:highlight w:val="none"/>
                    </w:rPr>
                    <w:t>0.10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1" w:hRule="atLeast"/>
                <w:jc w:val="center"/>
              </w:trPr>
              <w:tc>
                <w:tcPr>
                  <w:tcW w:w="496" w:type="dxa"/>
                  <w:noWrap w:val="0"/>
                  <w:vAlign w:val="center"/>
                </w:tcPr>
                <w:p>
                  <w:pPr>
                    <w:tabs>
                      <w:tab w:val="left" w:pos="0"/>
                    </w:tabs>
                    <w:jc w:val="center"/>
                    <w:rPr>
                      <w:color w:val="auto"/>
                      <w:szCs w:val="21"/>
                      <w:highlight w:val="none"/>
                    </w:rPr>
                  </w:pPr>
                  <w:r>
                    <w:rPr>
                      <w:color w:val="auto"/>
                      <w:szCs w:val="21"/>
                      <w:highlight w:val="none"/>
                    </w:rPr>
                    <w:t>200</w:t>
                  </w:r>
                </w:p>
              </w:tc>
              <w:tc>
                <w:tcPr>
                  <w:tcW w:w="809" w:type="dxa"/>
                  <w:noWrap w:val="0"/>
                  <w:vAlign w:val="center"/>
                </w:tcPr>
                <w:p>
                  <w:pPr>
                    <w:widowControl/>
                    <w:jc w:val="center"/>
                    <w:textAlignment w:val="center"/>
                    <w:rPr>
                      <w:rFonts w:hint="eastAsia"/>
                      <w:color w:val="auto"/>
                      <w:highlight w:val="none"/>
                    </w:rPr>
                  </w:pPr>
                  <w:r>
                    <w:rPr>
                      <w:rFonts w:hint="eastAsia"/>
                      <w:color w:val="auto"/>
                      <w:highlight w:val="none"/>
                    </w:rPr>
                    <w:t>0.188</w:t>
                  </w:r>
                </w:p>
              </w:tc>
              <w:tc>
                <w:tcPr>
                  <w:tcW w:w="610" w:type="dxa"/>
                  <w:noWrap w:val="0"/>
                  <w:vAlign w:val="center"/>
                </w:tcPr>
                <w:p>
                  <w:pPr>
                    <w:widowControl/>
                    <w:jc w:val="center"/>
                    <w:textAlignment w:val="center"/>
                    <w:rPr>
                      <w:rFonts w:hint="eastAsia"/>
                      <w:color w:val="auto"/>
                      <w:highlight w:val="none"/>
                    </w:rPr>
                  </w:pPr>
                  <w:r>
                    <w:rPr>
                      <w:rFonts w:hint="eastAsia"/>
                      <w:color w:val="auto"/>
                      <w:highlight w:val="none"/>
                    </w:rPr>
                    <w:t>0.00</w:t>
                  </w:r>
                </w:p>
              </w:tc>
              <w:tc>
                <w:tcPr>
                  <w:tcW w:w="827" w:type="dxa"/>
                  <w:noWrap w:val="0"/>
                  <w:vAlign w:val="center"/>
                </w:tcPr>
                <w:p>
                  <w:pPr>
                    <w:widowControl/>
                    <w:jc w:val="center"/>
                    <w:textAlignment w:val="center"/>
                    <w:rPr>
                      <w:rFonts w:hint="eastAsia"/>
                      <w:color w:val="auto"/>
                      <w:highlight w:val="none"/>
                    </w:rPr>
                  </w:pPr>
                  <w:r>
                    <w:rPr>
                      <w:rFonts w:hint="eastAsia"/>
                      <w:color w:val="auto"/>
                      <w:highlight w:val="none"/>
                    </w:rPr>
                    <w:t>0.747</w:t>
                  </w:r>
                </w:p>
              </w:tc>
              <w:tc>
                <w:tcPr>
                  <w:tcW w:w="601" w:type="dxa"/>
                  <w:noWrap w:val="0"/>
                  <w:vAlign w:val="center"/>
                </w:tcPr>
                <w:p>
                  <w:pPr>
                    <w:widowControl/>
                    <w:jc w:val="center"/>
                    <w:textAlignment w:val="center"/>
                    <w:rPr>
                      <w:rFonts w:hint="eastAsia"/>
                      <w:color w:val="auto"/>
                      <w:highlight w:val="none"/>
                    </w:rPr>
                  </w:pPr>
                  <w:r>
                    <w:rPr>
                      <w:rFonts w:hint="eastAsia"/>
                      <w:color w:val="auto"/>
                      <w:highlight w:val="none"/>
                    </w:rPr>
                    <w:t>0.30</w:t>
                  </w:r>
                </w:p>
              </w:tc>
              <w:tc>
                <w:tcPr>
                  <w:tcW w:w="779" w:type="dxa"/>
                  <w:noWrap w:val="0"/>
                  <w:vAlign w:val="center"/>
                </w:tcPr>
                <w:p>
                  <w:pPr>
                    <w:widowControl/>
                    <w:jc w:val="center"/>
                    <w:textAlignment w:val="center"/>
                    <w:rPr>
                      <w:color w:val="auto"/>
                      <w:highlight w:val="none"/>
                    </w:rPr>
                  </w:pPr>
                  <w:r>
                    <w:rPr>
                      <w:rFonts w:hint="eastAsia"/>
                      <w:color w:val="auto"/>
                      <w:highlight w:val="none"/>
                    </w:rPr>
                    <w:t>0.090</w:t>
                  </w:r>
                </w:p>
              </w:tc>
              <w:tc>
                <w:tcPr>
                  <w:tcW w:w="742" w:type="dxa"/>
                  <w:noWrap w:val="0"/>
                  <w:vAlign w:val="center"/>
                </w:tcPr>
                <w:p>
                  <w:pPr>
                    <w:widowControl/>
                    <w:jc w:val="center"/>
                    <w:textAlignment w:val="center"/>
                    <w:rPr>
                      <w:rFonts w:hint="eastAsia"/>
                      <w:color w:val="auto"/>
                      <w:highlight w:val="none"/>
                    </w:rPr>
                  </w:pPr>
                  <w:r>
                    <w:rPr>
                      <w:rFonts w:hint="eastAsia"/>
                      <w:color w:val="auto"/>
                      <w:highlight w:val="none"/>
                    </w:rPr>
                    <w:t>0.00</w:t>
                  </w:r>
                </w:p>
              </w:tc>
              <w:tc>
                <w:tcPr>
                  <w:tcW w:w="841" w:type="dxa"/>
                  <w:noWrap w:val="0"/>
                  <w:vAlign w:val="center"/>
                </w:tcPr>
                <w:p>
                  <w:pPr>
                    <w:widowControl/>
                    <w:jc w:val="center"/>
                    <w:textAlignment w:val="center"/>
                    <w:rPr>
                      <w:rFonts w:hint="eastAsia"/>
                      <w:color w:val="auto"/>
                      <w:highlight w:val="none"/>
                    </w:rPr>
                  </w:pPr>
                  <w:r>
                    <w:rPr>
                      <w:rFonts w:hint="eastAsia"/>
                      <w:color w:val="auto"/>
                      <w:highlight w:val="none"/>
                    </w:rPr>
                    <w:t>0.00142</w:t>
                  </w:r>
                </w:p>
              </w:tc>
              <w:tc>
                <w:tcPr>
                  <w:tcW w:w="739" w:type="dxa"/>
                  <w:noWrap w:val="0"/>
                  <w:vAlign w:val="center"/>
                </w:tcPr>
                <w:p>
                  <w:pPr>
                    <w:widowControl/>
                    <w:jc w:val="center"/>
                    <w:textAlignment w:val="center"/>
                    <w:rPr>
                      <w:rFonts w:hint="eastAsia"/>
                      <w:color w:val="auto"/>
                      <w:highlight w:val="none"/>
                    </w:rPr>
                  </w:pPr>
                  <w:r>
                    <w:rPr>
                      <w:rFonts w:hint="eastAsia"/>
                      <w:color w:val="auto"/>
                      <w:highlight w:val="none"/>
                    </w:rPr>
                    <w:t>0.00</w:t>
                  </w:r>
                </w:p>
              </w:tc>
              <w:tc>
                <w:tcPr>
                  <w:tcW w:w="748" w:type="dxa"/>
                  <w:noWrap w:val="0"/>
                  <w:vAlign w:val="center"/>
                </w:tcPr>
                <w:p>
                  <w:pPr>
                    <w:widowControl/>
                    <w:jc w:val="center"/>
                    <w:textAlignment w:val="center"/>
                    <w:rPr>
                      <w:rFonts w:hint="eastAsia"/>
                      <w:color w:val="auto"/>
                      <w:highlight w:val="none"/>
                    </w:rPr>
                  </w:pPr>
                  <w:r>
                    <w:rPr>
                      <w:rFonts w:hint="eastAsia"/>
                      <w:color w:val="auto"/>
                      <w:highlight w:val="none"/>
                    </w:rPr>
                    <w:t>4.73038E-06</w:t>
                  </w:r>
                </w:p>
              </w:tc>
              <w:tc>
                <w:tcPr>
                  <w:tcW w:w="751" w:type="dxa"/>
                  <w:noWrap w:val="0"/>
                  <w:vAlign w:val="center"/>
                </w:tcPr>
                <w:p>
                  <w:pPr>
                    <w:widowControl/>
                    <w:jc w:val="center"/>
                    <w:textAlignment w:val="center"/>
                    <w:rPr>
                      <w:rFonts w:hint="eastAsia"/>
                      <w:color w:val="auto"/>
                      <w:highlight w:val="none"/>
                    </w:rPr>
                  </w:pPr>
                  <w:r>
                    <w:rPr>
                      <w:rFonts w:hint="eastAsia"/>
                      <w:color w:val="auto"/>
                      <w:highlight w:val="none"/>
                    </w:rPr>
                    <w:t>0.10</w:t>
                  </w:r>
                </w:p>
              </w:tc>
            </w:tr>
          </w:tbl>
          <w:p>
            <w:pPr>
              <w:tabs>
                <w:tab w:val="left" w:pos="0"/>
              </w:tabs>
              <w:adjustRightInd w:val="0"/>
              <w:snapToGrid w:val="0"/>
              <w:jc w:val="center"/>
              <w:rPr>
                <w:rFonts w:ascii="黑体" w:hAnsi="黑体" w:eastAsia="黑体" w:cs="黑体"/>
                <w:snapToGrid w:val="0"/>
                <w:color w:val="auto"/>
                <w:kern w:val="0"/>
                <w:szCs w:val="21"/>
                <w:highlight w:val="none"/>
              </w:rPr>
            </w:pPr>
            <w:r>
              <w:rPr>
                <w:rFonts w:hint="eastAsia" w:ascii="黑体" w:hAnsi="黑体" w:eastAsia="黑体" w:cs="黑体"/>
                <w:snapToGrid w:val="0"/>
                <w:color w:val="auto"/>
                <w:kern w:val="0"/>
                <w:szCs w:val="21"/>
                <w:highlight w:val="none"/>
              </w:rPr>
              <w:t>表4-</w:t>
            </w:r>
            <w:r>
              <w:rPr>
                <w:rFonts w:hint="eastAsia" w:ascii="黑体" w:hAnsi="黑体" w:eastAsia="黑体" w:cs="黑体"/>
                <w:snapToGrid w:val="0"/>
                <w:color w:val="auto"/>
                <w:kern w:val="0"/>
                <w:szCs w:val="21"/>
                <w:highlight w:val="none"/>
                <w:lang w:val="en-US" w:eastAsia="zh-CN"/>
              </w:rPr>
              <w:t>13</w:t>
            </w:r>
            <w:r>
              <w:rPr>
                <w:rFonts w:hint="eastAsia" w:ascii="黑体" w:hAnsi="黑体" w:eastAsia="黑体" w:cs="黑体"/>
                <w:snapToGrid w:val="0"/>
                <w:color w:val="auto"/>
                <w:kern w:val="0"/>
                <w:szCs w:val="21"/>
                <w:highlight w:val="none"/>
              </w:rPr>
              <w:t xml:space="preserve"> 导热油炉有组织</w:t>
            </w:r>
            <w:r>
              <w:rPr>
                <w:rFonts w:ascii="黑体" w:hAnsi="黑体" w:eastAsia="黑体" w:cs="黑体"/>
                <w:snapToGrid w:val="0"/>
                <w:color w:val="auto"/>
                <w:kern w:val="0"/>
                <w:szCs w:val="21"/>
                <w:highlight w:val="none"/>
              </w:rPr>
              <w:t>污染源估算模型计算结果</w:t>
            </w:r>
            <w:r>
              <w:rPr>
                <w:rFonts w:hint="eastAsia" w:ascii="黑体" w:hAnsi="黑体" w:eastAsia="黑体" w:cs="黑体"/>
                <w:snapToGrid w:val="0"/>
                <w:color w:val="auto"/>
                <w:kern w:val="0"/>
                <w:szCs w:val="21"/>
                <w:highlight w:val="none"/>
              </w:rPr>
              <w:t>表</w:t>
            </w:r>
          </w:p>
          <w:tbl>
            <w:tblPr>
              <w:tblStyle w:val="39"/>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59"/>
              <w:gridCol w:w="1399"/>
              <w:gridCol w:w="917"/>
              <w:gridCol w:w="1165"/>
              <w:gridCol w:w="851"/>
              <w:gridCol w:w="1217"/>
              <w:gridCol w:w="103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3" w:hRule="atLeast"/>
                <w:jc w:val="center"/>
              </w:trPr>
              <w:tc>
                <w:tcPr>
                  <w:tcW w:w="1159" w:type="dxa"/>
                  <w:vMerge w:val="restart"/>
                  <w:noWrap w:val="0"/>
                  <w:vAlign w:val="center"/>
                </w:tcPr>
                <w:p>
                  <w:pPr>
                    <w:tabs>
                      <w:tab w:val="left" w:pos="0"/>
                    </w:tabs>
                    <w:jc w:val="center"/>
                    <w:rPr>
                      <w:color w:val="auto"/>
                      <w:szCs w:val="21"/>
                      <w:highlight w:val="none"/>
                    </w:rPr>
                  </w:pPr>
                  <w:r>
                    <w:rPr>
                      <w:color w:val="auto"/>
                      <w:szCs w:val="21"/>
                      <w:highlight w:val="none"/>
                    </w:rPr>
                    <w:t>下风向距离m</w:t>
                  </w:r>
                </w:p>
              </w:tc>
              <w:tc>
                <w:tcPr>
                  <w:tcW w:w="2316" w:type="dxa"/>
                  <w:gridSpan w:val="2"/>
                  <w:noWrap w:val="0"/>
                  <w:vAlign w:val="center"/>
                </w:tcPr>
                <w:p>
                  <w:pPr>
                    <w:tabs>
                      <w:tab w:val="left" w:pos="0"/>
                    </w:tabs>
                    <w:jc w:val="center"/>
                    <w:rPr>
                      <w:color w:val="auto"/>
                      <w:szCs w:val="21"/>
                      <w:highlight w:val="none"/>
                    </w:rPr>
                  </w:pPr>
                  <w:r>
                    <w:rPr>
                      <w:color w:val="auto"/>
                      <w:kern w:val="0"/>
                      <w:szCs w:val="21"/>
                      <w:highlight w:val="none"/>
                    </w:rPr>
                    <w:t>SO2</w:t>
                  </w:r>
                </w:p>
              </w:tc>
              <w:tc>
                <w:tcPr>
                  <w:tcW w:w="2016" w:type="dxa"/>
                  <w:gridSpan w:val="2"/>
                  <w:noWrap w:val="0"/>
                  <w:vAlign w:val="center"/>
                </w:tcPr>
                <w:p>
                  <w:pPr>
                    <w:tabs>
                      <w:tab w:val="left" w:pos="0"/>
                    </w:tabs>
                    <w:jc w:val="center"/>
                    <w:rPr>
                      <w:color w:val="auto"/>
                      <w:szCs w:val="21"/>
                      <w:highlight w:val="none"/>
                    </w:rPr>
                  </w:pPr>
                  <w:r>
                    <w:rPr>
                      <w:color w:val="auto"/>
                      <w:szCs w:val="21"/>
                      <w:highlight w:val="none"/>
                    </w:rPr>
                    <w:t>NOx</w:t>
                  </w:r>
                </w:p>
              </w:tc>
              <w:tc>
                <w:tcPr>
                  <w:tcW w:w="2255" w:type="dxa"/>
                  <w:gridSpan w:val="2"/>
                  <w:noWrap w:val="0"/>
                  <w:vAlign w:val="center"/>
                </w:tcPr>
                <w:p>
                  <w:pPr>
                    <w:tabs>
                      <w:tab w:val="left" w:pos="0"/>
                    </w:tabs>
                    <w:jc w:val="center"/>
                    <w:rPr>
                      <w:color w:val="auto"/>
                      <w:szCs w:val="21"/>
                      <w:highlight w:val="none"/>
                    </w:rPr>
                  </w:pPr>
                  <w:r>
                    <w:rPr>
                      <w:color w:val="auto"/>
                      <w:szCs w:val="21"/>
                      <w:highlight w:val="none"/>
                    </w:rPr>
                    <w:t>PM10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8" w:hRule="atLeast"/>
                <w:jc w:val="center"/>
              </w:trPr>
              <w:tc>
                <w:tcPr>
                  <w:tcW w:w="1159" w:type="dxa"/>
                  <w:vMerge w:val="continue"/>
                  <w:noWrap w:val="0"/>
                  <w:vAlign w:val="center"/>
                </w:tcPr>
                <w:p>
                  <w:pPr>
                    <w:tabs>
                      <w:tab w:val="left" w:pos="0"/>
                    </w:tabs>
                    <w:jc w:val="center"/>
                    <w:rPr>
                      <w:color w:val="auto"/>
                      <w:kern w:val="0"/>
                      <w:szCs w:val="21"/>
                      <w:highlight w:val="none"/>
                    </w:rPr>
                  </w:pPr>
                </w:p>
              </w:tc>
              <w:tc>
                <w:tcPr>
                  <w:tcW w:w="1399" w:type="dxa"/>
                  <w:noWrap w:val="0"/>
                  <w:vAlign w:val="center"/>
                </w:tcPr>
                <w:p>
                  <w:pPr>
                    <w:tabs>
                      <w:tab w:val="left" w:pos="0"/>
                    </w:tabs>
                    <w:jc w:val="center"/>
                    <w:rPr>
                      <w:color w:val="auto"/>
                      <w:kern w:val="0"/>
                      <w:szCs w:val="21"/>
                      <w:highlight w:val="none"/>
                      <w:vertAlign w:val="superscript"/>
                    </w:rPr>
                  </w:pPr>
                  <w:r>
                    <w:rPr>
                      <w:color w:val="auto"/>
                      <w:kern w:val="0"/>
                      <w:szCs w:val="21"/>
                      <w:highlight w:val="none"/>
                    </w:rPr>
                    <w:t>预测质量浓度μg/m</w:t>
                  </w:r>
                  <w:r>
                    <w:rPr>
                      <w:color w:val="auto"/>
                      <w:kern w:val="0"/>
                      <w:szCs w:val="21"/>
                      <w:highlight w:val="none"/>
                      <w:vertAlign w:val="superscript"/>
                    </w:rPr>
                    <w:t>3</w:t>
                  </w:r>
                </w:p>
              </w:tc>
              <w:tc>
                <w:tcPr>
                  <w:tcW w:w="917" w:type="dxa"/>
                  <w:noWrap w:val="0"/>
                  <w:vAlign w:val="center"/>
                </w:tcPr>
                <w:p>
                  <w:pPr>
                    <w:tabs>
                      <w:tab w:val="left" w:pos="0"/>
                    </w:tabs>
                    <w:jc w:val="center"/>
                    <w:rPr>
                      <w:color w:val="auto"/>
                      <w:szCs w:val="21"/>
                      <w:highlight w:val="none"/>
                    </w:rPr>
                  </w:pPr>
                  <w:r>
                    <w:rPr>
                      <w:color w:val="auto"/>
                      <w:szCs w:val="21"/>
                      <w:highlight w:val="none"/>
                    </w:rPr>
                    <w:t>占标率%</w:t>
                  </w:r>
                </w:p>
              </w:tc>
              <w:tc>
                <w:tcPr>
                  <w:tcW w:w="1165" w:type="dxa"/>
                  <w:noWrap w:val="0"/>
                  <w:vAlign w:val="center"/>
                </w:tcPr>
                <w:p>
                  <w:pPr>
                    <w:tabs>
                      <w:tab w:val="left" w:pos="0"/>
                    </w:tabs>
                    <w:jc w:val="center"/>
                    <w:rPr>
                      <w:color w:val="auto"/>
                      <w:szCs w:val="21"/>
                      <w:highlight w:val="none"/>
                    </w:rPr>
                  </w:pPr>
                  <w:r>
                    <w:rPr>
                      <w:color w:val="auto"/>
                      <w:kern w:val="0"/>
                      <w:szCs w:val="21"/>
                      <w:highlight w:val="none"/>
                    </w:rPr>
                    <w:t>预测质量浓度μg/m</w:t>
                  </w:r>
                  <w:r>
                    <w:rPr>
                      <w:color w:val="auto"/>
                      <w:kern w:val="0"/>
                      <w:szCs w:val="21"/>
                      <w:highlight w:val="none"/>
                      <w:vertAlign w:val="superscript"/>
                    </w:rPr>
                    <w:t>3</w:t>
                  </w:r>
                </w:p>
              </w:tc>
              <w:tc>
                <w:tcPr>
                  <w:tcW w:w="851" w:type="dxa"/>
                  <w:noWrap w:val="0"/>
                  <w:vAlign w:val="center"/>
                </w:tcPr>
                <w:p>
                  <w:pPr>
                    <w:tabs>
                      <w:tab w:val="left" w:pos="0"/>
                    </w:tabs>
                    <w:jc w:val="center"/>
                    <w:rPr>
                      <w:color w:val="auto"/>
                      <w:szCs w:val="21"/>
                      <w:highlight w:val="none"/>
                    </w:rPr>
                  </w:pPr>
                  <w:r>
                    <w:rPr>
                      <w:color w:val="auto"/>
                      <w:szCs w:val="21"/>
                      <w:highlight w:val="none"/>
                    </w:rPr>
                    <w:t>占标率%</w:t>
                  </w:r>
                </w:p>
              </w:tc>
              <w:tc>
                <w:tcPr>
                  <w:tcW w:w="1217" w:type="dxa"/>
                  <w:noWrap w:val="0"/>
                  <w:vAlign w:val="center"/>
                </w:tcPr>
                <w:p>
                  <w:pPr>
                    <w:tabs>
                      <w:tab w:val="left" w:pos="0"/>
                    </w:tabs>
                    <w:jc w:val="center"/>
                    <w:rPr>
                      <w:color w:val="auto"/>
                      <w:szCs w:val="21"/>
                      <w:highlight w:val="none"/>
                    </w:rPr>
                  </w:pPr>
                  <w:r>
                    <w:rPr>
                      <w:color w:val="auto"/>
                      <w:kern w:val="0"/>
                      <w:szCs w:val="21"/>
                      <w:highlight w:val="none"/>
                    </w:rPr>
                    <w:t>预测质量浓度μg/m</w:t>
                  </w:r>
                  <w:r>
                    <w:rPr>
                      <w:color w:val="auto"/>
                      <w:kern w:val="0"/>
                      <w:szCs w:val="21"/>
                      <w:highlight w:val="none"/>
                      <w:vertAlign w:val="superscript"/>
                    </w:rPr>
                    <w:t>3</w:t>
                  </w:r>
                </w:p>
              </w:tc>
              <w:tc>
                <w:tcPr>
                  <w:tcW w:w="1038" w:type="dxa"/>
                  <w:noWrap w:val="0"/>
                  <w:vAlign w:val="center"/>
                </w:tcPr>
                <w:p>
                  <w:pPr>
                    <w:tabs>
                      <w:tab w:val="left" w:pos="0"/>
                    </w:tabs>
                    <w:jc w:val="center"/>
                    <w:rPr>
                      <w:color w:val="auto"/>
                      <w:szCs w:val="21"/>
                      <w:highlight w:val="none"/>
                    </w:rPr>
                  </w:pPr>
                  <w:r>
                    <w:rPr>
                      <w:color w:val="auto"/>
                      <w:szCs w:val="21"/>
                      <w:highlight w:val="none"/>
                    </w:rPr>
                    <w:t>占标率%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8" w:hRule="atLeast"/>
                <w:jc w:val="center"/>
              </w:trPr>
              <w:tc>
                <w:tcPr>
                  <w:tcW w:w="1159" w:type="dxa"/>
                  <w:noWrap w:val="0"/>
                  <w:vAlign w:val="center"/>
                </w:tcPr>
                <w:p>
                  <w:pPr>
                    <w:tabs>
                      <w:tab w:val="left" w:pos="0"/>
                    </w:tabs>
                    <w:jc w:val="center"/>
                    <w:rPr>
                      <w:color w:val="auto"/>
                      <w:szCs w:val="21"/>
                      <w:highlight w:val="none"/>
                    </w:rPr>
                  </w:pPr>
                  <w:r>
                    <w:rPr>
                      <w:color w:val="auto"/>
                      <w:szCs w:val="21"/>
                      <w:highlight w:val="none"/>
                    </w:rPr>
                    <w:t>10</w:t>
                  </w:r>
                </w:p>
              </w:tc>
              <w:tc>
                <w:tcPr>
                  <w:tcW w:w="1399" w:type="dxa"/>
                  <w:noWrap w:val="0"/>
                  <w:vAlign w:val="center"/>
                </w:tcPr>
                <w:p>
                  <w:pPr>
                    <w:widowControl/>
                    <w:jc w:val="center"/>
                    <w:textAlignment w:val="center"/>
                    <w:rPr>
                      <w:rFonts w:hint="eastAsia"/>
                      <w:color w:val="auto"/>
                      <w:highlight w:val="none"/>
                    </w:rPr>
                  </w:pPr>
                  <w:r>
                    <w:rPr>
                      <w:rFonts w:hint="eastAsia"/>
                      <w:color w:val="auto"/>
                      <w:highlight w:val="none"/>
                    </w:rPr>
                    <w:t xml:space="preserve">0.083 </w:t>
                  </w:r>
                </w:p>
              </w:tc>
              <w:tc>
                <w:tcPr>
                  <w:tcW w:w="917" w:type="dxa"/>
                  <w:noWrap w:val="0"/>
                  <w:vAlign w:val="center"/>
                </w:tcPr>
                <w:p>
                  <w:pPr>
                    <w:widowControl/>
                    <w:jc w:val="center"/>
                    <w:textAlignment w:val="center"/>
                    <w:rPr>
                      <w:rFonts w:hint="eastAsia"/>
                      <w:color w:val="auto"/>
                      <w:highlight w:val="none"/>
                    </w:rPr>
                  </w:pPr>
                  <w:r>
                    <w:rPr>
                      <w:rFonts w:hint="eastAsia"/>
                      <w:color w:val="auto"/>
                      <w:highlight w:val="none"/>
                    </w:rPr>
                    <w:t>0.00</w:t>
                  </w:r>
                </w:p>
              </w:tc>
              <w:tc>
                <w:tcPr>
                  <w:tcW w:w="1165" w:type="dxa"/>
                  <w:noWrap w:val="0"/>
                  <w:vAlign w:val="center"/>
                </w:tcPr>
                <w:p>
                  <w:pPr>
                    <w:widowControl/>
                    <w:jc w:val="center"/>
                    <w:textAlignment w:val="center"/>
                    <w:rPr>
                      <w:rFonts w:hint="eastAsia"/>
                      <w:color w:val="auto"/>
                      <w:highlight w:val="none"/>
                    </w:rPr>
                  </w:pPr>
                  <w:r>
                    <w:rPr>
                      <w:rFonts w:hint="eastAsia"/>
                      <w:color w:val="auto"/>
                      <w:highlight w:val="none"/>
                    </w:rPr>
                    <w:t xml:space="preserve">0.331 </w:t>
                  </w:r>
                </w:p>
              </w:tc>
              <w:tc>
                <w:tcPr>
                  <w:tcW w:w="851" w:type="dxa"/>
                  <w:noWrap w:val="0"/>
                  <w:vAlign w:val="center"/>
                </w:tcPr>
                <w:p>
                  <w:pPr>
                    <w:widowControl/>
                    <w:jc w:val="center"/>
                    <w:textAlignment w:val="center"/>
                    <w:rPr>
                      <w:rFonts w:hint="eastAsia"/>
                      <w:color w:val="auto"/>
                      <w:highlight w:val="none"/>
                    </w:rPr>
                  </w:pPr>
                  <w:r>
                    <w:rPr>
                      <w:rFonts w:hint="eastAsia"/>
                      <w:color w:val="auto"/>
                      <w:highlight w:val="none"/>
                    </w:rPr>
                    <w:t xml:space="preserve">0.10 </w:t>
                  </w:r>
                </w:p>
              </w:tc>
              <w:tc>
                <w:tcPr>
                  <w:tcW w:w="1217" w:type="dxa"/>
                  <w:noWrap w:val="0"/>
                  <w:vAlign w:val="center"/>
                </w:tcPr>
                <w:p>
                  <w:pPr>
                    <w:widowControl/>
                    <w:jc w:val="center"/>
                    <w:textAlignment w:val="center"/>
                    <w:rPr>
                      <w:rFonts w:hint="eastAsia"/>
                      <w:color w:val="auto"/>
                      <w:highlight w:val="none"/>
                    </w:rPr>
                  </w:pPr>
                  <w:r>
                    <w:rPr>
                      <w:rFonts w:hint="eastAsia"/>
                      <w:color w:val="auto"/>
                      <w:highlight w:val="none"/>
                    </w:rPr>
                    <w:t xml:space="preserve">0.030 </w:t>
                  </w:r>
                </w:p>
              </w:tc>
              <w:tc>
                <w:tcPr>
                  <w:tcW w:w="1038" w:type="dxa"/>
                  <w:noWrap w:val="0"/>
                  <w:vAlign w:val="center"/>
                </w:tcPr>
                <w:p>
                  <w:pPr>
                    <w:widowControl/>
                    <w:jc w:val="center"/>
                    <w:textAlignment w:val="center"/>
                    <w:rPr>
                      <w:rFonts w:hint="eastAsia"/>
                      <w:color w:val="auto"/>
                      <w:highlight w:val="none"/>
                    </w:rPr>
                  </w:pPr>
                  <w:r>
                    <w:rPr>
                      <w:rFonts w:hint="eastAsia"/>
                      <w:color w:val="auto"/>
                      <w:highlight w:val="none"/>
                    </w:rPr>
                    <w:t>0.00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8" w:hRule="atLeast"/>
                <w:jc w:val="center"/>
              </w:trPr>
              <w:tc>
                <w:tcPr>
                  <w:tcW w:w="1159" w:type="dxa"/>
                  <w:noWrap w:val="0"/>
                  <w:vAlign w:val="center"/>
                </w:tcPr>
                <w:p>
                  <w:pPr>
                    <w:tabs>
                      <w:tab w:val="left" w:pos="0"/>
                    </w:tabs>
                    <w:jc w:val="center"/>
                    <w:rPr>
                      <w:color w:val="auto"/>
                      <w:szCs w:val="21"/>
                      <w:highlight w:val="none"/>
                    </w:rPr>
                  </w:pPr>
                  <w:r>
                    <w:rPr>
                      <w:color w:val="auto"/>
                      <w:szCs w:val="21"/>
                      <w:highlight w:val="none"/>
                    </w:rPr>
                    <w:t>25</w:t>
                  </w:r>
                </w:p>
              </w:tc>
              <w:tc>
                <w:tcPr>
                  <w:tcW w:w="1399" w:type="dxa"/>
                  <w:noWrap w:val="0"/>
                  <w:vAlign w:val="center"/>
                </w:tcPr>
                <w:p>
                  <w:pPr>
                    <w:widowControl/>
                    <w:jc w:val="center"/>
                    <w:textAlignment w:val="center"/>
                    <w:rPr>
                      <w:rFonts w:hint="eastAsia"/>
                      <w:color w:val="auto"/>
                      <w:highlight w:val="none"/>
                    </w:rPr>
                  </w:pPr>
                  <w:r>
                    <w:rPr>
                      <w:rFonts w:hint="eastAsia"/>
                      <w:color w:val="auto"/>
                      <w:highlight w:val="none"/>
                    </w:rPr>
                    <w:t xml:space="preserve">1.311 </w:t>
                  </w:r>
                </w:p>
              </w:tc>
              <w:tc>
                <w:tcPr>
                  <w:tcW w:w="917" w:type="dxa"/>
                  <w:noWrap w:val="0"/>
                  <w:vAlign w:val="center"/>
                </w:tcPr>
                <w:p>
                  <w:pPr>
                    <w:widowControl/>
                    <w:jc w:val="center"/>
                    <w:textAlignment w:val="center"/>
                    <w:rPr>
                      <w:rFonts w:hint="eastAsia"/>
                      <w:color w:val="auto"/>
                      <w:highlight w:val="none"/>
                    </w:rPr>
                  </w:pPr>
                  <w:r>
                    <w:rPr>
                      <w:rFonts w:hint="eastAsia"/>
                      <w:color w:val="auto"/>
                      <w:highlight w:val="none"/>
                    </w:rPr>
                    <w:t>0.30</w:t>
                  </w:r>
                </w:p>
              </w:tc>
              <w:tc>
                <w:tcPr>
                  <w:tcW w:w="1165" w:type="dxa"/>
                  <w:noWrap w:val="0"/>
                  <w:vAlign w:val="center"/>
                </w:tcPr>
                <w:p>
                  <w:pPr>
                    <w:widowControl/>
                    <w:jc w:val="center"/>
                    <w:textAlignment w:val="center"/>
                    <w:rPr>
                      <w:rFonts w:hint="eastAsia"/>
                      <w:color w:val="auto"/>
                      <w:highlight w:val="none"/>
                    </w:rPr>
                  </w:pPr>
                  <w:r>
                    <w:rPr>
                      <w:rFonts w:hint="eastAsia"/>
                      <w:color w:val="auto"/>
                      <w:highlight w:val="none"/>
                    </w:rPr>
                    <w:t xml:space="preserve">5.243 </w:t>
                  </w:r>
                </w:p>
              </w:tc>
              <w:tc>
                <w:tcPr>
                  <w:tcW w:w="851" w:type="dxa"/>
                  <w:noWrap w:val="0"/>
                  <w:vAlign w:val="center"/>
                </w:tcPr>
                <w:p>
                  <w:pPr>
                    <w:widowControl/>
                    <w:jc w:val="center"/>
                    <w:textAlignment w:val="center"/>
                    <w:rPr>
                      <w:rFonts w:hint="eastAsia"/>
                      <w:color w:val="auto"/>
                      <w:highlight w:val="none"/>
                    </w:rPr>
                  </w:pPr>
                  <w:r>
                    <w:rPr>
                      <w:rFonts w:hint="eastAsia"/>
                      <w:color w:val="auto"/>
                      <w:highlight w:val="none"/>
                    </w:rPr>
                    <w:t xml:space="preserve">2.10 </w:t>
                  </w:r>
                </w:p>
              </w:tc>
              <w:tc>
                <w:tcPr>
                  <w:tcW w:w="1217" w:type="dxa"/>
                  <w:noWrap w:val="0"/>
                  <w:vAlign w:val="center"/>
                </w:tcPr>
                <w:p>
                  <w:pPr>
                    <w:widowControl/>
                    <w:jc w:val="center"/>
                    <w:textAlignment w:val="center"/>
                    <w:rPr>
                      <w:rFonts w:hint="eastAsia"/>
                      <w:color w:val="auto"/>
                      <w:highlight w:val="none"/>
                    </w:rPr>
                  </w:pPr>
                  <w:r>
                    <w:rPr>
                      <w:rFonts w:hint="eastAsia"/>
                      <w:color w:val="auto"/>
                      <w:highlight w:val="none"/>
                    </w:rPr>
                    <w:t xml:space="preserve">0.472 </w:t>
                  </w:r>
                </w:p>
              </w:tc>
              <w:tc>
                <w:tcPr>
                  <w:tcW w:w="1038" w:type="dxa"/>
                  <w:noWrap w:val="0"/>
                  <w:vAlign w:val="center"/>
                </w:tcPr>
                <w:p>
                  <w:pPr>
                    <w:widowControl/>
                    <w:jc w:val="center"/>
                    <w:textAlignment w:val="center"/>
                    <w:rPr>
                      <w:rFonts w:hint="eastAsia"/>
                      <w:color w:val="auto"/>
                      <w:highlight w:val="none"/>
                    </w:rPr>
                  </w:pPr>
                  <w:r>
                    <w:rPr>
                      <w:rFonts w:hint="eastAsia"/>
                      <w:color w:val="auto"/>
                      <w:highlight w:val="none"/>
                    </w:rPr>
                    <w:t>0.10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8" w:hRule="atLeast"/>
                <w:jc w:val="center"/>
              </w:trPr>
              <w:tc>
                <w:tcPr>
                  <w:tcW w:w="1159" w:type="dxa"/>
                  <w:noWrap w:val="0"/>
                  <w:vAlign w:val="center"/>
                </w:tcPr>
                <w:p>
                  <w:pPr>
                    <w:tabs>
                      <w:tab w:val="left" w:pos="0"/>
                    </w:tabs>
                    <w:jc w:val="center"/>
                    <w:rPr>
                      <w:color w:val="auto"/>
                      <w:szCs w:val="21"/>
                      <w:highlight w:val="none"/>
                    </w:rPr>
                  </w:pPr>
                  <w:r>
                    <w:rPr>
                      <w:color w:val="auto"/>
                      <w:szCs w:val="21"/>
                      <w:highlight w:val="none"/>
                    </w:rPr>
                    <w:t>50</w:t>
                  </w:r>
                </w:p>
              </w:tc>
              <w:tc>
                <w:tcPr>
                  <w:tcW w:w="1399" w:type="dxa"/>
                  <w:noWrap w:val="0"/>
                  <w:vAlign w:val="center"/>
                </w:tcPr>
                <w:p>
                  <w:pPr>
                    <w:widowControl/>
                    <w:jc w:val="center"/>
                    <w:textAlignment w:val="center"/>
                    <w:rPr>
                      <w:rFonts w:hint="eastAsia"/>
                      <w:color w:val="auto"/>
                      <w:highlight w:val="none"/>
                    </w:rPr>
                  </w:pPr>
                  <w:r>
                    <w:rPr>
                      <w:rFonts w:hint="eastAsia"/>
                      <w:color w:val="auto"/>
                      <w:highlight w:val="none"/>
                    </w:rPr>
                    <w:t xml:space="preserve">1.369 </w:t>
                  </w:r>
                </w:p>
              </w:tc>
              <w:tc>
                <w:tcPr>
                  <w:tcW w:w="917" w:type="dxa"/>
                  <w:noWrap w:val="0"/>
                  <w:vAlign w:val="center"/>
                </w:tcPr>
                <w:p>
                  <w:pPr>
                    <w:widowControl/>
                    <w:jc w:val="center"/>
                    <w:textAlignment w:val="center"/>
                    <w:rPr>
                      <w:rFonts w:hint="eastAsia"/>
                      <w:color w:val="auto"/>
                      <w:highlight w:val="none"/>
                    </w:rPr>
                  </w:pPr>
                  <w:r>
                    <w:rPr>
                      <w:rFonts w:hint="eastAsia"/>
                      <w:color w:val="auto"/>
                      <w:highlight w:val="none"/>
                    </w:rPr>
                    <w:t>0.30</w:t>
                  </w:r>
                </w:p>
              </w:tc>
              <w:tc>
                <w:tcPr>
                  <w:tcW w:w="1165" w:type="dxa"/>
                  <w:noWrap w:val="0"/>
                  <w:vAlign w:val="center"/>
                </w:tcPr>
                <w:p>
                  <w:pPr>
                    <w:widowControl/>
                    <w:jc w:val="center"/>
                    <w:textAlignment w:val="center"/>
                    <w:rPr>
                      <w:rFonts w:hint="eastAsia"/>
                      <w:color w:val="auto"/>
                      <w:highlight w:val="none"/>
                    </w:rPr>
                  </w:pPr>
                  <w:r>
                    <w:rPr>
                      <w:rFonts w:hint="eastAsia"/>
                      <w:color w:val="auto"/>
                      <w:highlight w:val="none"/>
                    </w:rPr>
                    <w:t xml:space="preserve">5.477 </w:t>
                  </w:r>
                </w:p>
              </w:tc>
              <w:tc>
                <w:tcPr>
                  <w:tcW w:w="851" w:type="dxa"/>
                  <w:noWrap w:val="0"/>
                  <w:vAlign w:val="center"/>
                </w:tcPr>
                <w:p>
                  <w:pPr>
                    <w:widowControl/>
                    <w:jc w:val="center"/>
                    <w:textAlignment w:val="center"/>
                    <w:rPr>
                      <w:rFonts w:hint="eastAsia"/>
                      <w:color w:val="auto"/>
                      <w:highlight w:val="none"/>
                    </w:rPr>
                  </w:pPr>
                  <w:r>
                    <w:rPr>
                      <w:rFonts w:hint="eastAsia"/>
                      <w:color w:val="auto"/>
                      <w:highlight w:val="none"/>
                    </w:rPr>
                    <w:t xml:space="preserve">2.20 </w:t>
                  </w:r>
                </w:p>
              </w:tc>
              <w:tc>
                <w:tcPr>
                  <w:tcW w:w="1217" w:type="dxa"/>
                  <w:noWrap w:val="0"/>
                  <w:vAlign w:val="center"/>
                </w:tcPr>
                <w:p>
                  <w:pPr>
                    <w:widowControl/>
                    <w:jc w:val="center"/>
                    <w:textAlignment w:val="center"/>
                    <w:rPr>
                      <w:rFonts w:hint="eastAsia"/>
                      <w:color w:val="auto"/>
                      <w:highlight w:val="none"/>
                    </w:rPr>
                  </w:pPr>
                  <w:r>
                    <w:rPr>
                      <w:rFonts w:hint="eastAsia"/>
                      <w:color w:val="auto"/>
                      <w:highlight w:val="none"/>
                    </w:rPr>
                    <w:t xml:space="preserve">0.493 </w:t>
                  </w:r>
                </w:p>
              </w:tc>
              <w:tc>
                <w:tcPr>
                  <w:tcW w:w="1038" w:type="dxa"/>
                  <w:noWrap w:val="0"/>
                  <w:vAlign w:val="center"/>
                </w:tcPr>
                <w:p>
                  <w:pPr>
                    <w:widowControl/>
                    <w:jc w:val="center"/>
                    <w:textAlignment w:val="center"/>
                    <w:rPr>
                      <w:rFonts w:hint="eastAsia"/>
                      <w:color w:val="auto"/>
                      <w:highlight w:val="none"/>
                    </w:rPr>
                  </w:pPr>
                  <w:r>
                    <w:rPr>
                      <w:rFonts w:hint="eastAsia"/>
                      <w:color w:val="auto"/>
                      <w:highlight w:val="none"/>
                    </w:rPr>
                    <w:t>0.10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8" w:hRule="atLeast"/>
                <w:jc w:val="center"/>
              </w:trPr>
              <w:tc>
                <w:tcPr>
                  <w:tcW w:w="1159" w:type="dxa"/>
                  <w:noWrap w:val="0"/>
                  <w:vAlign w:val="center"/>
                </w:tcPr>
                <w:p>
                  <w:pPr>
                    <w:tabs>
                      <w:tab w:val="left" w:pos="0"/>
                    </w:tabs>
                    <w:jc w:val="center"/>
                    <w:rPr>
                      <w:color w:val="auto"/>
                      <w:szCs w:val="21"/>
                      <w:highlight w:val="none"/>
                    </w:rPr>
                  </w:pPr>
                  <w:r>
                    <w:rPr>
                      <w:color w:val="auto"/>
                      <w:szCs w:val="21"/>
                      <w:highlight w:val="none"/>
                    </w:rPr>
                    <w:t>75</w:t>
                  </w:r>
                </w:p>
              </w:tc>
              <w:tc>
                <w:tcPr>
                  <w:tcW w:w="1399" w:type="dxa"/>
                  <w:noWrap w:val="0"/>
                  <w:vAlign w:val="center"/>
                </w:tcPr>
                <w:p>
                  <w:pPr>
                    <w:widowControl/>
                    <w:jc w:val="center"/>
                    <w:textAlignment w:val="center"/>
                    <w:rPr>
                      <w:rFonts w:hint="eastAsia"/>
                      <w:color w:val="auto"/>
                      <w:highlight w:val="none"/>
                    </w:rPr>
                  </w:pPr>
                  <w:r>
                    <w:rPr>
                      <w:rFonts w:hint="eastAsia"/>
                      <w:color w:val="auto"/>
                      <w:highlight w:val="none"/>
                    </w:rPr>
                    <w:t xml:space="preserve">1.478 </w:t>
                  </w:r>
                </w:p>
              </w:tc>
              <w:tc>
                <w:tcPr>
                  <w:tcW w:w="917" w:type="dxa"/>
                  <w:noWrap w:val="0"/>
                  <w:vAlign w:val="center"/>
                </w:tcPr>
                <w:p>
                  <w:pPr>
                    <w:widowControl/>
                    <w:jc w:val="center"/>
                    <w:textAlignment w:val="center"/>
                    <w:rPr>
                      <w:rFonts w:hint="eastAsia"/>
                      <w:color w:val="auto"/>
                      <w:highlight w:val="none"/>
                    </w:rPr>
                  </w:pPr>
                  <w:r>
                    <w:rPr>
                      <w:rFonts w:hint="eastAsia"/>
                      <w:color w:val="auto"/>
                      <w:highlight w:val="none"/>
                    </w:rPr>
                    <w:t>0.30</w:t>
                  </w:r>
                </w:p>
              </w:tc>
              <w:tc>
                <w:tcPr>
                  <w:tcW w:w="1165" w:type="dxa"/>
                  <w:noWrap w:val="0"/>
                  <w:vAlign w:val="center"/>
                </w:tcPr>
                <w:p>
                  <w:pPr>
                    <w:widowControl/>
                    <w:jc w:val="center"/>
                    <w:textAlignment w:val="center"/>
                    <w:rPr>
                      <w:rFonts w:hint="eastAsia"/>
                      <w:color w:val="auto"/>
                      <w:highlight w:val="none"/>
                    </w:rPr>
                  </w:pPr>
                  <w:r>
                    <w:rPr>
                      <w:rFonts w:hint="eastAsia"/>
                      <w:color w:val="auto"/>
                      <w:highlight w:val="none"/>
                    </w:rPr>
                    <w:t xml:space="preserve">5.912 </w:t>
                  </w:r>
                </w:p>
              </w:tc>
              <w:tc>
                <w:tcPr>
                  <w:tcW w:w="851" w:type="dxa"/>
                  <w:noWrap w:val="0"/>
                  <w:vAlign w:val="center"/>
                </w:tcPr>
                <w:p>
                  <w:pPr>
                    <w:widowControl/>
                    <w:jc w:val="center"/>
                    <w:textAlignment w:val="center"/>
                    <w:rPr>
                      <w:rFonts w:hint="eastAsia"/>
                      <w:color w:val="auto"/>
                      <w:highlight w:val="none"/>
                    </w:rPr>
                  </w:pPr>
                  <w:r>
                    <w:rPr>
                      <w:rFonts w:hint="eastAsia"/>
                      <w:color w:val="auto"/>
                      <w:highlight w:val="none"/>
                    </w:rPr>
                    <w:t xml:space="preserve">2.40 </w:t>
                  </w:r>
                </w:p>
              </w:tc>
              <w:tc>
                <w:tcPr>
                  <w:tcW w:w="1217" w:type="dxa"/>
                  <w:noWrap w:val="0"/>
                  <w:vAlign w:val="center"/>
                </w:tcPr>
                <w:p>
                  <w:pPr>
                    <w:widowControl/>
                    <w:jc w:val="center"/>
                    <w:textAlignment w:val="center"/>
                    <w:rPr>
                      <w:rFonts w:hint="eastAsia"/>
                      <w:color w:val="auto"/>
                      <w:highlight w:val="none"/>
                    </w:rPr>
                  </w:pPr>
                  <w:r>
                    <w:rPr>
                      <w:rFonts w:hint="eastAsia"/>
                      <w:color w:val="auto"/>
                      <w:highlight w:val="none"/>
                    </w:rPr>
                    <w:t xml:space="preserve">0.532 </w:t>
                  </w:r>
                </w:p>
              </w:tc>
              <w:tc>
                <w:tcPr>
                  <w:tcW w:w="1038" w:type="dxa"/>
                  <w:noWrap w:val="0"/>
                  <w:vAlign w:val="center"/>
                </w:tcPr>
                <w:p>
                  <w:pPr>
                    <w:widowControl/>
                    <w:jc w:val="center"/>
                    <w:textAlignment w:val="center"/>
                    <w:rPr>
                      <w:rFonts w:hint="eastAsia"/>
                      <w:color w:val="auto"/>
                      <w:highlight w:val="none"/>
                    </w:rPr>
                  </w:pPr>
                  <w:r>
                    <w:rPr>
                      <w:rFonts w:hint="eastAsia"/>
                      <w:color w:val="auto"/>
                      <w:highlight w:val="none"/>
                    </w:rPr>
                    <w:t>0.10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8" w:hRule="atLeast"/>
                <w:jc w:val="center"/>
              </w:trPr>
              <w:tc>
                <w:tcPr>
                  <w:tcW w:w="1159" w:type="dxa"/>
                  <w:noWrap w:val="0"/>
                  <w:vAlign w:val="center"/>
                </w:tcPr>
                <w:p>
                  <w:pPr>
                    <w:tabs>
                      <w:tab w:val="left" w:pos="0"/>
                    </w:tabs>
                    <w:jc w:val="center"/>
                    <w:rPr>
                      <w:color w:val="auto"/>
                      <w:szCs w:val="21"/>
                      <w:highlight w:val="none"/>
                    </w:rPr>
                  </w:pPr>
                  <w:r>
                    <w:rPr>
                      <w:color w:val="auto"/>
                      <w:szCs w:val="21"/>
                      <w:highlight w:val="none"/>
                    </w:rPr>
                    <w:t>100</w:t>
                  </w:r>
                </w:p>
              </w:tc>
              <w:tc>
                <w:tcPr>
                  <w:tcW w:w="1399" w:type="dxa"/>
                  <w:noWrap w:val="0"/>
                  <w:vAlign w:val="center"/>
                </w:tcPr>
                <w:p>
                  <w:pPr>
                    <w:widowControl/>
                    <w:jc w:val="center"/>
                    <w:textAlignment w:val="center"/>
                    <w:rPr>
                      <w:rFonts w:hint="eastAsia"/>
                      <w:color w:val="auto"/>
                      <w:highlight w:val="none"/>
                    </w:rPr>
                  </w:pPr>
                  <w:r>
                    <w:rPr>
                      <w:rFonts w:hint="eastAsia"/>
                      <w:color w:val="auto"/>
                      <w:highlight w:val="none"/>
                    </w:rPr>
                    <w:t xml:space="preserve">1.440 </w:t>
                  </w:r>
                </w:p>
              </w:tc>
              <w:tc>
                <w:tcPr>
                  <w:tcW w:w="917" w:type="dxa"/>
                  <w:noWrap w:val="0"/>
                  <w:vAlign w:val="center"/>
                </w:tcPr>
                <w:p>
                  <w:pPr>
                    <w:widowControl/>
                    <w:jc w:val="center"/>
                    <w:textAlignment w:val="center"/>
                    <w:rPr>
                      <w:rFonts w:hint="eastAsia"/>
                      <w:color w:val="auto"/>
                      <w:highlight w:val="none"/>
                    </w:rPr>
                  </w:pPr>
                  <w:r>
                    <w:rPr>
                      <w:rFonts w:hint="eastAsia"/>
                      <w:color w:val="auto"/>
                      <w:highlight w:val="none"/>
                    </w:rPr>
                    <w:t>0.30</w:t>
                  </w:r>
                </w:p>
              </w:tc>
              <w:tc>
                <w:tcPr>
                  <w:tcW w:w="1165" w:type="dxa"/>
                  <w:noWrap w:val="0"/>
                  <w:vAlign w:val="center"/>
                </w:tcPr>
                <w:p>
                  <w:pPr>
                    <w:widowControl/>
                    <w:jc w:val="center"/>
                    <w:textAlignment w:val="center"/>
                    <w:rPr>
                      <w:rFonts w:hint="eastAsia"/>
                      <w:color w:val="auto"/>
                      <w:highlight w:val="none"/>
                    </w:rPr>
                  </w:pPr>
                  <w:r>
                    <w:rPr>
                      <w:rFonts w:hint="eastAsia"/>
                      <w:color w:val="auto"/>
                      <w:highlight w:val="none"/>
                    </w:rPr>
                    <w:t xml:space="preserve">5.758 </w:t>
                  </w:r>
                </w:p>
              </w:tc>
              <w:tc>
                <w:tcPr>
                  <w:tcW w:w="851" w:type="dxa"/>
                  <w:noWrap w:val="0"/>
                  <w:vAlign w:val="center"/>
                </w:tcPr>
                <w:p>
                  <w:pPr>
                    <w:widowControl/>
                    <w:jc w:val="center"/>
                    <w:textAlignment w:val="center"/>
                    <w:rPr>
                      <w:rFonts w:hint="eastAsia"/>
                      <w:color w:val="auto"/>
                      <w:highlight w:val="none"/>
                    </w:rPr>
                  </w:pPr>
                  <w:r>
                    <w:rPr>
                      <w:rFonts w:hint="eastAsia"/>
                      <w:color w:val="auto"/>
                      <w:highlight w:val="none"/>
                    </w:rPr>
                    <w:t xml:space="preserve">2.30 </w:t>
                  </w:r>
                </w:p>
              </w:tc>
              <w:tc>
                <w:tcPr>
                  <w:tcW w:w="1217" w:type="dxa"/>
                  <w:noWrap w:val="0"/>
                  <w:vAlign w:val="center"/>
                </w:tcPr>
                <w:p>
                  <w:pPr>
                    <w:widowControl/>
                    <w:jc w:val="center"/>
                    <w:textAlignment w:val="center"/>
                    <w:rPr>
                      <w:rFonts w:hint="eastAsia"/>
                      <w:color w:val="auto"/>
                      <w:highlight w:val="none"/>
                    </w:rPr>
                  </w:pPr>
                  <w:r>
                    <w:rPr>
                      <w:rFonts w:hint="eastAsia"/>
                      <w:color w:val="auto"/>
                      <w:highlight w:val="none"/>
                    </w:rPr>
                    <w:t xml:space="preserve">0.518 </w:t>
                  </w:r>
                </w:p>
              </w:tc>
              <w:tc>
                <w:tcPr>
                  <w:tcW w:w="1038" w:type="dxa"/>
                  <w:noWrap w:val="0"/>
                  <w:vAlign w:val="center"/>
                </w:tcPr>
                <w:p>
                  <w:pPr>
                    <w:widowControl/>
                    <w:jc w:val="center"/>
                    <w:textAlignment w:val="center"/>
                    <w:rPr>
                      <w:rFonts w:hint="eastAsia"/>
                      <w:color w:val="auto"/>
                      <w:highlight w:val="none"/>
                    </w:rPr>
                  </w:pPr>
                  <w:r>
                    <w:rPr>
                      <w:rFonts w:hint="eastAsia"/>
                      <w:color w:val="auto"/>
                      <w:highlight w:val="none"/>
                    </w:rPr>
                    <w:t>0.10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8" w:hRule="atLeast"/>
                <w:jc w:val="center"/>
              </w:trPr>
              <w:tc>
                <w:tcPr>
                  <w:tcW w:w="1159" w:type="dxa"/>
                  <w:noWrap w:val="0"/>
                  <w:vAlign w:val="center"/>
                </w:tcPr>
                <w:p>
                  <w:pPr>
                    <w:tabs>
                      <w:tab w:val="left" w:pos="0"/>
                    </w:tabs>
                    <w:jc w:val="center"/>
                    <w:rPr>
                      <w:color w:val="auto"/>
                      <w:szCs w:val="21"/>
                      <w:highlight w:val="none"/>
                    </w:rPr>
                  </w:pPr>
                  <w:r>
                    <w:rPr>
                      <w:color w:val="auto"/>
                      <w:szCs w:val="21"/>
                      <w:highlight w:val="none"/>
                    </w:rPr>
                    <w:t>125</w:t>
                  </w:r>
                </w:p>
              </w:tc>
              <w:tc>
                <w:tcPr>
                  <w:tcW w:w="1399" w:type="dxa"/>
                  <w:noWrap w:val="0"/>
                  <w:vAlign w:val="center"/>
                </w:tcPr>
                <w:p>
                  <w:pPr>
                    <w:widowControl/>
                    <w:jc w:val="center"/>
                    <w:textAlignment w:val="center"/>
                    <w:rPr>
                      <w:rFonts w:hint="eastAsia"/>
                      <w:color w:val="auto"/>
                      <w:highlight w:val="none"/>
                    </w:rPr>
                  </w:pPr>
                  <w:r>
                    <w:rPr>
                      <w:rFonts w:hint="eastAsia"/>
                      <w:color w:val="auto"/>
                      <w:highlight w:val="none"/>
                    </w:rPr>
                    <w:t xml:space="preserve">1.348 </w:t>
                  </w:r>
                </w:p>
              </w:tc>
              <w:tc>
                <w:tcPr>
                  <w:tcW w:w="917" w:type="dxa"/>
                  <w:noWrap w:val="0"/>
                  <w:vAlign w:val="center"/>
                </w:tcPr>
                <w:p>
                  <w:pPr>
                    <w:widowControl/>
                    <w:jc w:val="center"/>
                    <w:textAlignment w:val="center"/>
                    <w:rPr>
                      <w:rFonts w:hint="eastAsia"/>
                      <w:color w:val="auto"/>
                      <w:highlight w:val="none"/>
                    </w:rPr>
                  </w:pPr>
                  <w:r>
                    <w:rPr>
                      <w:rFonts w:hint="eastAsia"/>
                      <w:color w:val="auto"/>
                      <w:highlight w:val="none"/>
                    </w:rPr>
                    <w:t>0.30</w:t>
                  </w:r>
                </w:p>
              </w:tc>
              <w:tc>
                <w:tcPr>
                  <w:tcW w:w="1165" w:type="dxa"/>
                  <w:noWrap w:val="0"/>
                  <w:vAlign w:val="center"/>
                </w:tcPr>
                <w:p>
                  <w:pPr>
                    <w:widowControl/>
                    <w:jc w:val="center"/>
                    <w:textAlignment w:val="center"/>
                    <w:rPr>
                      <w:rFonts w:hint="eastAsia"/>
                      <w:color w:val="auto"/>
                      <w:highlight w:val="none"/>
                    </w:rPr>
                  </w:pPr>
                  <w:r>
                    <w:rPr>
                      <w:rFonts w:hint="eastAsia"/>
                      <w:color w:val="auto"/>
                      <w:highlight w:val="none"/>
                    </w:rPr>
                    <w:t xml:space="preserve">5.392 </w:t>
                  </w:r>
                </w:p>
              </w:tc>
              <w:tc>
                <w:tcPr>
                  <w:tcW w:w="851" w:type="dxa"/>
                  <w:noWrap w:val="0"/>
                  <w:vAlign w:val="center"/>
                </w:tcPr>
                <w:p>
                  <w:pPr>
                    <w:widowControl/>
                    <w:jc w:val="center"/>
                    <w:textAlignment w:val="center"/>
                    <w:rPr>
                      <w:rFonts w:hint="eastAsia"/>
                      <w:color w:val="auto"/>
                      <w:highlight w:val="none"/>
                    </w:rPr>
                  </w:pPr>
                  <w:r>
                    <w:rPr>
                      <w:rFonts w:hint="eastAsia"/>
                      <w:color w:val="auto"/>
                      <w:highlight w:val="none"/>
                    </w:rPr>
                    <w:t xml:space="preserve">2.20 </w:t>
                  </w:r>
                </w:p>
              </w:tc>
              <w:tc>
                <w:tcPr>
                  <w:tcW w:w="1217" w:type="dxa"/>
                  <w:noWrap w:val="0"/>
                  <w:vAlign w:val="center"/>
                </w:tcPr>
                <w:p>
                  <w:pPr>
                    <w:widowControl/>
                    <w:jc w:val="center"/>
                    <w:textAlignment w:val="center"/>
                    <w:rPr>
                      <w:rFonts w:hint="eastAsia"/>
                      <w:color w:val="auto"/>
                      <w:highlight w:val="none"/>
                    </w:rPr>
                  </w:pPr>
                  <w:r>
                    <w:rPr>
                      <w:rFonts w:hint="eastAsia"/>
                      <w:color w:val="auto"/>
                      <w:highlight w:val="none"/>
                    </w:rPr>
                    <w:t xml:space="preserve">0.485 </w:t>
                  </w:r>
                </w:p>
              </w:tc>
              <w:tc>
                <w:tcPr>
                  <w:tcW w:w="1038" w:type="dxa"/>
                  <w:noWrap w:val="0"/>
                  <w:vAlign w:val="center"/>
                </w:tcPr>
                <w:p>
                  <w:pPr>
                    <w:widowControl/>
                    <w:jc w:val="center"/>
                    <w:textAlignment w:val="center"/>
                    <w:rPr>
                      <w:rFonts w:hint="eastAsia"/>
                      <w:color w:val="auto"/>
                      <w:highlight w:val="none"/>
                    </w:rPr>
                  </w:pPr>
                  <w:r>
                    <w:rPr>
                      <w:rFonts w:hint="eastAsia"/>
                      <w:color w:val="auto"/>
                      <w:highlight w:val="none"/>
                    </w:rPr>
                    <w:t>0.10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8" w:hRule="atLeast"/>
                <w:jc w:val="center"/>
              </w:trPr>
              <w:tc>
                <w:tcPr>
                  <w:tcW w:w="1159" w:type="dxa"/>
                  <w:noWrap w:val="0"/>
                  <w:vAlign w:val="center"/>
                </w:tcPr>
                <w:p>
                  <w:pPr>
                    <w:tabs>
                      <w:tab w:val="left" w:pos="0"/>
                    </w:tabs>
                    <w:jc w:val="center"/>
                    <w:rPr>
                      <w:color w:val="auto"/>
                      <w:szCs w:val="21"/>
                      <w:highlight w:val="none"/>
                    </w:rPr>
                  </w:pPr>
                  <w:r>
                    <w:rPr>
                      <w:color w:val="auto"/>
                      <w:szCs w:val="21"/>
                      <w:highlight w:val="none"/>
                    </w:rPr>
                    <w:t>150</w:t>
                  </w:r>
                </w:p>
              </w:tc>
              <w:tc>
                <w:tcPr>
                  <w:tcW w:w="1399" w:type="dxa"/>
                  <w:noWrap w:val="0"/>
                  <w:vAlign w:val="center"/>
                </w:tcPr>
                <w:p>
                  <w:pPr>
                    <w:widowControl/>
                    <w:jc w:val="center"/>
                    <w:textAlignment w:val="center"/>
                    <w:rPr>
                      <w:rFonts w:hint="eastAsia"/>
                      <w:color w:val="auto"/>
                      <w:highlight w:val="none"/>
                    </w:rPr>
                  </w:pPr>
                  <w:r>
                    <w:rPr>
                      <w:rFonts w:hint="eastAsia"/>
                      <w:color w:val="auto"/>
                      <w:highlight w:val="none"/>
                    </w:rPr>
                    <w:t xml:space="preserve">1.235 </w:t>
                  </w:r>
                </w:p>
              </w:tc>
              <w:tc>
                <w:tcPr>
                  <w:tcW w:w="917" w:type="dxa"/>
                  <w:noWrap w:val="0"/>
                  <w:vAlign w:val="center"/>
                </w:tcPr>
                <w:p>
                  <w:pPr>
                    <w:widowControl/>
                    <w:jc w:val="center"/>
                    <w:textAlignment w:val="center"/>
                    <w:rPr>
                      <w:rFonts w:hint="eastAsia"/>
                      <w:color w:val="auto"/>
                      <w:highlight w:val="none"/>
                    </w:rPr>
                  </w:pPr>
                  <w:r>
                    <w:rPr>
                      <w:rFonts w:hint="eastAsia"/>
                      <w:color w:val="auto"/>
                      <w:highlight w:val="none"/>
                    </w:rPr>
                    <w:t>0.20</w:t>
                  </w:r>
                </w:p>
              </w:tc>
              <w:tc>
                <w:tcPr>
                  <w:tcW w:w="1165" w:type="dxa"/>
                  <w:noWrap w:val="0"/>
                  <w:vAlign w:val="center"/>
                </w:tcPr>
                <w:p>
                  <w:pPr>
                    <w:widowControl/>
                    <w:jc w:val="center"/>
                    <w:textAlignment w:val="center"/>
                    <w:rPr>
                      <w:rFonts w:hint="eastAsia"/>
                      <w:color w:val="auto"/>
                      <w:highlight w:val="none"/>
                    </w:rPr>
                  </w:pPr>
                  <w:r>
                    <w:rPr>
                      <w:rFonts w:hint="eastAsia"/>
                      <w:color w:val="auto"/>
                      <w:highlight w:val="none"/>
                    </w:rPr>
                    <w:t xml:space="preserve">4.938 </w:t>
                  </w:r>
                </w:p>
              </w:tc>
              <w:tc>
                <w:tcPr>
                  <w:tcW w:w="851" w:type="dxa"/>
                  <w:noWrap w:val="0"/>
                  <w:vAlign w:val="center"/>
                </w:tcPr>
                <w:p>
                  <w:pPr>
                    <w:widowControl/>
                    <w:jc w:val="center"/>
                    <w:textAlignment w:val="center"/>
                    <w:rPr>
                      <w:rFonts w:hint="eastAsia"/>
                      <w:color w:val="auto"/>
                      <w:highlight w:val="none"/>
                    </w:rPr>
                  </w:pPr>
                  <w:r>
                    <w:rPr>
                      <w:rFonts w:hint="eastAsia"/>
                      <w:color w:val="auto"/>
                      <w:highlight w:val="none"/>
                    </w:rPr>
                    <w:t xml:space="preserve">2.00 </w:t>
                  </w:r>
                </w:p>
              </w:tc>
              <w:tc>
                <w:tcPr>
                  <w:tcW w:w="1217" w:type="dxa"/>
                  <w:noWrap w:val="0"/>
                  <w:vAlign w:val="center"/>
                </w:tcPr>
                <w:p>
                  <w:pPr>
                    <w:widowControl/>
                    <w:jc w:val="center"/>
                    <w:textAlignment w:val="center"/>
                    <w:rPr>
                      <w:rFonts w:hint="eastAsia"/>
                      <w:color w:val="auto"/>
                      <w:highlight w:val="none"/>
                    </w:rPr>
                  </w:pPr>
                  <w:r>
                    <w:rPr>
                      <w:rFonts w:hint="eastAsia"/>
                      <w:color w:val="auto"/>
                      <w:highlight w:val="none"/>
                    </w:rPr>
                    <w:t xml:space="preserve">0.444 </w:t>
                  </w:r>
                </w:p>
              </w:tc>
              <w:tc>
                <w:tcPr>
                  <w:tcW w:w="1038" w:type="dxa"/>
                  <w:noWrap w:val="0"/>
                  <w:vAlign w:val="center"/>
                </w:tcPr>
                <w:p>
                  <w:pPr>
                    <w:widowControl/>
                    <w:jc w:val="center"/>
                    <w:textAlignment w:val="center"/>
                    <w:rPr>
                      <w:rFonts w:hint="eastAsia"/>
                      <w:color w:val="auto"/>
                      <w:highlight w:val="none"/>
                    </w:rPr>
                  </w:pPr>
                  <w:r>
                    <w:rPr>
                      <w:rFonts w:hint="eastAsia"/>
                      <w:color w:val="auto"/>
                      <w:highlight w:val="none"/>
                    </w:rPr>
                    <w:t>0.10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8" w:hRule="atLeast"/>
                <w:jc w:val="center"/>
              </w:trPr>
              <w:tc>
                <w:tcPr>
                  <w:tcW w:w="1159" w:type="dxa"/>
                  <w:noWrap w:val="0"/>
                  <w:vAlign w:val="center"/>
                </w:tcPr>
                <w:p>
                  <w:pPr>
                    <w:tabs>
                      <w:tab w:val="left" w:pos="0"/>
                    </w:tabs>
                    <w:jc w:val="center"/>
                    <w:rPr>
                      <w:color w:val="auto"/>
                      <w:szCs w:val="21"/>
                      <w:highlight w:val="none"/>
                    </w:rPr>
                  </w:pPr>
                  <w:r>
                    <w:rPr>
                      <w:color w:val="auto"/>
                      <w:szCs w:val="21"/>
                      <w:highlight w:val="none"/>
                    </w:rPr>
                    <w:t>175</w:t>
                  </w:r>
                </w:p>
              </w:tc>
              <w:tc>
                <w:tcPr>
                  <w:tcW w:w="1399" w:type="dxa"/>
                  <w:noWrap w:val="0"/>
                  <w:vAlign w:val="center"/>
                </w:tcPr>
                <w:p>
                  <w:pPr>
                    <w:widowControl/>
                    <w:jc w:val="center"/>
                    <w:textAlignment w:val="center"/>
                    <w:rPr>
                      <w:rFonts w:hint="eastAsia"/>
                      <w:color w:val="auto"/>
                      <w:highlight w:val="none"/>
                    </w:rPr>
                  </w:pPr>
                  <w:r>
                    <w:rPr>
                      <w:rFonts w:hint="eastAsia"/>
                      <w:color w:val="auto"/>
                      <w:highlight w:val="none"/>
                    </w:rPr>
                    <w:t xml:space="preserve">1.189 </w:t>
                  </w:r>
                </w:p>
              </w:tc>
              <w:tc>
                <w:tcPr>
                  <w:tcW w:w="917" w:type="dxa"/>
                  <w:noWrap w:val="0"/>
                  <w:vAlign w:val="center"/>
                </w:tcPr>
                <w:p>
                  <w:pPr>
                    <w:widowControl/>
                    <w:jc w:val="center"/>
                    <w:textAlignment w:val="center"/>
                    <w:rPr>
                      <w:rFonts w:hint="eastAsia"/>
                      <w:color w:val="auto"/>
                      <w:highlight w:val="none"/>
                    </w:rPr>
                  </w:pPr>
                  <w:r>
                    <w:rPr>
                      <w:rFonts w:hint="eastAsia"/>
                      <w:color w:val="auto"/>
                      <w:highlight w:val="none"/>
                    </w:rPr>
                    <w:t>0.20</w:t>
                  </w:r>
                </w:p>
              </w:tc>
              <w:tc>
                <w:tcPr>
                  <w:tcW w:w="1165" w:type="dxa"/>
                  <w:noWrap w:val="0"/>
                  <w:vAlign w:val="center"/>
                </w:tcPr>
                <w:p>
                  <w:pPr>
                    <w:widowControl/>
                    <w:jc w:val="center"/>
                    <w:textAlignment w:val="center"/>
                    <w:rPr>
                      <w:rFonts w:hint="eastAsia"/>
                      <w:color w:val="auto"/>
                      <w:highlight w:val="none"/>
                    </w:rPr>
                  </w:pPr>
                  <w:r>
                    <w:rPr>
                      <w:rFonts w:hint="eastAsia"/>
                      <w:color w:val="auto"/>
                      <w:highlight w:val="none"/>
                    </w:rPr>
                    <w:t xml:space="preserve">4.758 </w:t>
                  </w:r>
                </w:p>
              </w:tc>
              <w:tc>
                <w:tcPr>
                  <w:tcW w:w="851" w:type="dxa"/>
                  <w:noWrap w:val="0"/>
                  <w:vAlign w:val="center"/>
                </w:tcPr>
                <w:p>
                  <w:pPr>
                    <w:widowControl/>
                    <w:jc w:val="center"/>
                    <w:textAlignment w:val="center"/>
                    <w:rPr>
                      <w:rFonts w:hint="eastAsia"/>
                      <w:color w:val="auto"/>
                      <w:highlight w:val="none"/>
                    </w:rPr>
                  </w:pPr>
                  <w:r>
                    <w:rPr>
                      <w:rFonts w:hint="eastAsia"/>
                      <w:color w:val="auto"/>
                      <w:highlight w:val="none"/>
                    </w:rPr>
                    <w:t xml:space="preserve">1.90 </w:t>
                  </w:r>
                </w:p>
              </w:tc>
              <w:tc>
                <w:tcPr>
                  <w:tcW w:w="1217" w:type="dxa"/>
                  <w:noWrap w:val="0"/>
                  <w:vAlign w:val="center"/>
                </w:tcPr>
                <w:p>
                  <w:pPr>
                    <w:widowControl/>
                    <w:jc w:val="center"/>
                    <w:textAlignment w:val="center"/>
                    <w:rPr>
                      <w:rFonts w:hint="eastAsia"/>
                      <w:color w:val="auto"/>
                      <w:highlight w:val="none"/>
                    </w:rPr>
                  </w:pPr>
                  <w:r>
                    <w:rPr>
                      <w:rFonts w:hint="eastAsia"/>
                      <w:color w:val="auto"/>
                      <w:highlight w:val="none"/>
                    </w:rPr>
                    <w:t xml:space="preserve">0.428 </w:t>
                  </w:r>
                </w:p>
              </w:tc>
              <w:tc>
                <w:tcPr>
                  <w:tcW w:w="1038" w:type="dxa"/>
                  <w:noWrap w:val="0"/>
                  <w:vAlign w:val="center"/>
                </w:tcPr>
                <w:p>
                  <w:pPr>
                    <w:widowControl/>
                    <w:jc w:val="center"/>
                    <w:textAlignment w:val="center"/>
                    <w:rPr>
                      <w:rFonts w:hint="eastAsia"/>
                      <w:color w:val="auto"/>
                      <w:highlight w:val="none"/>
                    </w:rPr>
                  </w:pPr>
                  <w:r>
                    <w:rPr>
                      <w:rFonts w:hint="eastAsia"/>
                      <w:color w:val="auto"/>
                      <w:highlight w:val="none"/>
                    </w:rPr>
                    <w:t>0.10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1" w:hRule="atLeast"/>
                <w:jc w:val="center"/>
              </w:trPr>
              <w:tc>
                <w:tcPr>
                  <w:tcW w:w="1159" w:type="dxa"/>
                  <w:noWrap w:val="0"/>
                  <w:vAlign w:val="center"/>
                </w:tcPr>
                <w:p>
                  <w:pPr>
                    <w:tabs>
                      <w:tab w:val="left" w:pos="0"/>
                    </w:tabs>
                    <w:jc w:val="center"/>
                    <w:rPr>
                      <w:color w:val="auto"/>
                      <w:szCs w:val="21"/>
                      <w:highlight w:val="none"/>
                    </w:rPr>
                  </w:pPr>
                  <w:r>
                    <w:rPr>
                      <w:color w:val="auto"/>
                      <w:szCs w:val="21"/>
                      <w:highlight w:val="none"/>
                    </w:rPr>
                    <w:t>200</w:t>
                  </w:r>
                </w:p>
              </w:tc>
              <w:tc>
                <w:tcPr>
                  <w:tcW w:w="1399" w:type="dxa"/>
                  <w:noWrap w:val="0"/>
                  <w:vAlign w:val="center"/>
                </w:tcPr>
                <w:p>
                  <w:pPr>
                    <w:widowControl/>
                    <w:jc w:val="center"/>
                    <w:textAlignment w:val="center"/>
                    <w:rPr>
                      <w:rFonts w:hint="eastAsia"/>
                      <w:color w:val="auto"/>
                      <w:highlight w:val="none"/>
                    </w:rPr>
                  </w:pPr>
                  <w:r>
                    <w:rPr>
                      <w:rFonts w:hint="eastAsia"/>
                      <w:color w:val="auto"/>
                      <w:highlight w:val="none"/>
                    </w:rPr>
                    <w:t xml:space="preserve">1.213 </w:t>
                  </w:r>
                </w:p>
              </w:tc>
              <w:tc>
                <w:tcPr>
                  <w:tcW w:w="917" w:type="dxa"/>
                  <w:noWrap w:val="0"/>
                  <w:vAlign w:val="center"/>
                </w:tcPr>
                <w:p>
                  <w:pPr>
                    <w:widowControl/>
                    <w:jc w:val="center"/>
                    <w:textAlignment w:val="center"/>
                    <w:rPr>
                      <w:rFonts w:hint="eastAsia"/>
                      <w:color w:val="auto"/>
                      <w:highlight w:val="none"/>
                    </w:rPr>
                  </w:pPr>
                  <w:r>
                    <w:rPr>
                      <w:rFonts w:hint="eastAsia"/>
                      <w:color w:val="auto"/>
                      <w:highlight w:val="none"/>
                    </w:rPr>
                    <w:t>0.20</w:t>
                  </w:r>
                </w:p>
              </w:tc>
              <w:tc>
                <w:tcPr>
                  <w:tcW w:w="1165" w:type="dxa"/>
                  <w:noWrap w:val="0"/>
                  <w:vAlign w:val="center"/>
                </w:tcPr>
                <w:p>
                  <w:pPr>
                    <w:widowControl/>
                    <w:jc w:val="center"/>
                    <w:textAlignment w:val="center"/>
                    <w:rPr>
                      <w:rFonts w:hint="eastAsia"/>
                      <w:color w:val="auto"/>
                      <w:highlight w:val="none"/>
                    </w:rPr>
                  </w:pPr>
                  <w:r>
                    <w:rPr>
                      <w:rFonts w:hint="eastAsia"/>
                      <w:color w:val="auto"/>
                      <w:highlight w:val="none"/>
                    </w:rPr>
                    <w:t xml:space="preserve">4.851 </w:t>
                  </w:r>
                </w:p>
              </w:tc>
              <w:tc>
                <w:tcPr>
                  <w:tcW w:w="851" w:type="dxa"/>
                  <w:noWrap w:val="0"/>
                  <w:vAlign w:val="center"/>
                </w:tcPr>
                <w:p>
                  <w:pPr>
                    <w:widowControl/>
                    <w:jc w:val="center"/>
                    <w:textAlignment w:val="center"/>
                    <w:rPr>
                      <w:rFonts w:hint="eastAsia"/>
                      <w:color w:val="auto"/>
                      <w:highlight w:val="none"/>
                    </w:rPr>
                  </w:pPr>
                  <w:r>
                    <w:rPr>
                      <w:rFonts w:hint="eastAsia"/>
                      <w:color w:val="auto"/>
                      <w:highlight w:val="none"/>
                    </w:rPr>
                    <w:t xml:space="preserve">1.90 </w:t>
                  </w:r>
                </w:p>
              </w:tc>
              <w:tc>
                <w:tcPr>
                  <w:tcW w:w="1217" w:type="dxa"/>
                  <w:noWrap w:val="0"/>
                  <w:vAlign w:val="center"/>
                </w:tcPr>
                <w:p>
                  <w:pPr>
                    <w:widowControl/>
                    <w:jc w:val="center"/>
                    <w:textAlignment w:val="center"/>
                    <w:rPr>
                      <w:rFonts w:hint="eastAsia"/>
                      <w:color w:val="auto"/>
                      <w:highlight w:val="none"/>
                    </w:rPr>
                  </w:pPr>
                  <w:r>
                    <w:rPr>
                      <w:rFonts w:hint="eastAsia"/>
                      <w:color w:val="auto"/>
                      <w:highlight w:val="none"/>
                    </w:rPr>
                    <w:t xml:space="preserve">0.437 </w:t>
                  </w:r>
                </w:p>
              </w:tc>
              <w:tc>
                <w:tcPr>
                  <w:tcW w:w="1038" w:type="dxa"/>
                  <w:noWrap w:val="0"/>
                  <w:vAlign w:val="center"/>
                </w:tcPr>
                <w:p>
                  <w:pPr>
                    <w:widowControl/>
                    <w:jc w:val="center"/>
                    <w:textAlignment w:val="center"/>
                    <w:rPr>
                      <w:rFonts w:hint="eastAsia"/>
                      <w:color w:val="auto"/>
                      <w:highlight w:val="none"/>
                    </w:rPr>
                  </w:pPr>
                  <w:r>
                    <w:rPr>
                      <w:rFonts w:hint="eastAsia"/>
                      <w:color w:val="auto"/>
                      <w:highlight w:val="none"/>
                    </w:rPr>
                    <w:t>0.10</w:t>
                  </w:r>
                </w:p>
              </w:tc>
            </w:tr>
          </w:tbl>
          <w:p>
            <w:pPr>
              <w:adjustRightInd w:val="0"/>
              <w:snapToGrid w:val="0"/>
              <w:spacing w:line="360" w:lineRule="auto"/>
              <w:jc w:val="center"/>
              <w:rPr>
                <w:color w:val="auto"/>
                <w:highlight w:val="none"/>
              </w:rPr>
            </w:pPr>
          </w:p>
          <w:p>
            <w:pPr>
              <w:adjustRightInd w:val="0"/>
              <w:snapToGrid w:val="0"/>
              <w:spacing w:line="360" w:lineRule="auto"/>
              <w:jc w:val="center"/>
              <w:rPr>
                <w:rFonts w:hint="eastAsia"/>
                <w:snapToGrid w:val="0"/>
                <w:color w:val="auto"/>
                <w:kern w:val="0"/>
                <w:sz w:val="24"/>
                <w:highlight w:val="none"/>
              </w:rPr>
            </w:pPr>
            <w:r>
              <w:rPr>
                <w:color w:val="auto"/>
                <w:highlight w:val="none"/>
              </w:rPr>
              <w:drawing>
                <wp:inline distT="0" distB="0" distL="114300" distR="114300">
                  <wp:extent cx="5285105" cy="1133475"/>
                  <wp:effectExtent l="0" t="0" r="10795" b="9525"/>
                  <wp:docPr id="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5"/>
                          <pic:cNvPicPr>
                            <a:picLocks noChangeAspect="1"/>
                          </pic:cNvPicPr>
                        </pic:nvPicPr>
                        <pic:blipFill>
                          <a:blip r:embed="rId16"/>
                          <a:stretch>
                            <a:fillRect/>
                          </a:stretch>
                        </pic:blipFill>
                        <pic:spPr>
                          <a:xfrm>
                            <a:off x="0" y="0"/>
                            <a:ext cx="5285105" cy="1133475"/>
                          </a:xfrm>
                          <a:prstGeom prst="rect">
                            <a:avLst/>
                          </a:prstGeom>
                          <a:noFill/>
                          <a:ln>
                            <a:noFill/>
                          </a:ln>
                        </pic:spPr>
                      </pic:pic>
                    </a:graphicData>
                  </a:graphic>
                </wp:inline>
              </w:drawing>
            </w:r>
          </w:p>
          <w:p>
            <w:pPr>
              <w:pStyle w:val="27"/>
              <w:tabs>
                <w:tab w:val="left" w:pos="0"/>
              </w:tabs>
              <w:jc w:val="center"/>
              <w:rPr>
                <w:rFonts w:hint="eastAsia"/>
                <w:color w:val="auto"/>
                <w:highlight w:val="none"/>
              </w:rPr>
            </w:pPr>
            <w:r>
              <w:rPr>
                <w:rFonts w:hint="eastAsia" w:ascii="黑体" w:hAnsi="黑体" w:eastAsia="黑体" w:cs="黑体"/>
                <w:color w:val="auto"/>
                <w:highlight w:val="none"/>
              </w:rPr>
              <w:t>图4-2 主要污染源估算模型计算结果图</w:t>
            </w:r>
          </w:p>
          <w:p>
            <w:pPr>
              <w:pStyle w:val="27"/>
              <w:rPr>
                <w:rFonts w:hint="eastAsia"/>
                <w:color w:val="auto"/>
                <w:highlight w:val="none"/>
              </w:rPr>
            </w:pPr>
          </w:p>
          <w:p>
            <w:pPr>
              <w:spacing w:line="360" w:lineRule="auto"/>
              <w:ind w:firstLine="480" w:firstLineChars="200"/>
              <w:jc w:val="left"/>
              <w:rPr>
                <w:rFonts w:hint="eastAsia"/>
                <w:color w:val="auto"/>
                <w:sz w:val="24"/>
                <w:highlight w:val="none"/>
              </w:rPr>
            </w:pPr>
            <w:r>
              <w:rPr>
                <w:rFonts w:hint="eastAsia"/>
                <w:color w:val="auto"/>
                <w:sz w:val="24"/>
                <w:highlight w:val="none"/>
              </w:rPr>
              <w:t>由以上结果可知，评价因子中导热油炉尾气NOx占标率最大，为2.36%，其最大落地浓度为5.91</w:t>
            </w:r>
            <w:r>
              <w:rPr>
                <w:rFonts w:hint="eastAsia"/>
                <w:color w:val="auto"/>
                <w:sz w:val="24"/>
                <w:highlight w:val="none"/>
                <w:lang w:val="en-US" w:eastAsia="zh-CN"/>
              </w:rPr>
              <w:t>1</w:t>
            </w:r>
            <w:r>
              <w:rPr>
                <w:color w:val="auto"/>
                <w:sz w:val="24"/>
                <w:highlight w:val="none"/>
              </w:rPr>
              <w:t>μg/m</w:t>
            </w:r>
            <w:r>
              <w:rPr>
                <w:color w:val="auto"/>
                <w:sz w:val="24"/>
                <w:highlight w:val="none"/>
                <w:vertAlign w:val="superscript"/>
              </w:rPr>
              <w:t>3</w:t>
            </w:r>
            <w:r>
              <w:rPr>
                <w:rFonts w:hint="eastAsia"/>
                <w:color w:val="auto"/>
                <w:sz w:val="24"/>
                <w:highlight w:val="none"/>
              </w:rPr>
              <w:t>。</w:t>
            </w:r>
          </w:p>
          <w:p>
            <w:pPr>
              <w:adjustRightInd w:val="0"/>
              <w:snapToGrid w:val="0"/>
              <w:spacing w:line="360" w:lineRule="auto"/>
              <w:ind w:firstLine="480" w:firstLineChars="200"/>
              <w:rPr>
                <w:snapToGrid w:val="0"/>
                <w:color w:val="auto"/>
                <w:kern w:val="0"/>
                <w:sz w:val="24"/>
                <w:highlight w:val="none"/>
              </w:rPr>
            </w:pPr>
            <w:r>
              <w:rPr>
                <w:rFonts w:hint="eastAsia"/>
                <w:snapToGrid w:val="0"/>
                <w:color w:val="auto"/>
                <w:kern w:val="0"/>
                <w:sz w:val="24"/>
                <w:highlight w:val="none"/>
              </w:rPr>
              <w:t>由上文说明，本项目营运期</w:t>
            </w:r>
            <w:r>
              <w:rPr>
                <w:snapToGrid w:val="0"/>
                <w:color w:val="auto"/>
                <w:kern w:val="0"/>
                <w:sz w:val="24"/>
                <w:highlight w:val="none"/>
              </w:rPr>
              <w:t>有组织废气</w:t>
            </w:r>
            <w:r>
              <w:rPr>
                <w:rFonts w:hint="eastAsia"/>
                <w:snapToGrid w:val="0"/>
                <w:color w:val="auto"/>
                <w:kern w:val="0"/>
                <w:sz w:val="24"/>
                <w:highlight w:val="none"/>
              </w:rPr>
              <w:t>经采取治理措施后，均能实现达标排放。</w:t>
            </w:r>
          </w:p>
          <w:p>
            <w:pPr>
              <w:spacing w:line="360" w:lineRule="auto"/>
              <w:ind w:firstLine="480" w:firstLineChars="200"/>
              <w:jc w:val="left"/>
              <w:rPr>
                <w:color w:val="auto"/>
                <w:sz w:val="24"/>
                <w:highlight w:val="none"/>
              </w:rPr>
            </w:pPr>
            <w:r>
              <w:rPr>
                <w:rFonts w:hint="eastAsia"/>
                <w:snapToGrid w:val="0"/>
                <w:color w:val="auto"/>
                <w:kern w:val="0"/>
                <w:sz w:val="24"/>
                <w:highlight w:val="none"/>
              </w:rPr>
              <w:t>根据</w:t>
            </w:r>
            <w:r>
              <w:rPr>
                <w:rFonts w:hint="eastAsia"/>
                <w:color w:val="auto"/>
                <w:sz w:val="24"/>
                <w:highlight w:val="none"/>
              </w:rPr>
              <w:t>估算模型计算，本项目主要无组织污染源估算模型计算结果详见下表所示。</w:t>
            </w:r>
          </w:p>
          <w:p>
            <w:pPr>
              <w:pStyle w:val="11"/>
              <w:spacing w:before="120" w:beforeLines="50"/>
              <w:rPr>
                <w:color w:val="auto"/>
                <w:highlight w:val="none"/>
              </w:rPr>
            </w:pPr>
            <w:r>
              <w:rPr>
                <w:color w:val="auto"/>
                <w:highlight w:val="none"/>
              </w:rPr>
              <w:t>表</w:t>
            </w:r>
            <w:r>
              <w:rPr>
                <w:rFonts w:hint="eastAsia"/>
                <w:color w:val="auto"/>
                <w:highlight w:val="none"/>
              </w:rPr>
              <w:t>4-1</w:t>
            </w:r>
            <w:r>
              <w:rPr>
                <w:rFonts w:hint="eastAsia"/>
                <w:color w:val="auto"/>
                <w:highlight w:val="none"/>
                <w:lang w:val="en-US" w:eastAsia="zh-CN"/>
              </w:rPr>
              <w:t>4</w:t>
            </w:r>
            <w:r>
              <w:rPr>
                <w:rFonts w:hint="eastAsia"/>
                <w:color w:val="auto"/>
                <w:highlight w:val="none"/>
              </w:rPr>
              <w:t xml:space="preserve"> </w:t>
            </w:r>
            <w:r>
              <w:rPr>
                <w:color w:val="auto"/>
                <w:szCs w:val="21"/>
                <w:highlight w:val="none"/>
              </w:rPr>
              <w:t>本项目无组织</w:t>
            </w:r>
            <w:r>
              <w:rPr>
                <w:rFonts w:hint="eastAsia"/>
                <w:color w:val="auto"/>
                <w:szCs w:val="21"/>
                <w:highlight w:val="none"/>
              </w:rPr>
              <w:t>废气</w:t>
            </w:r>
            <w:r>
              <w:rPr>
                <w:color w:val="auto"/>
                <w:highlight w:val="none"/>
              </w:rPr>
              <w:t>的估算结果一览表 ug/m</w:t>
            </w:r>
            <w:r>
              <w:rPr>
                <w:color w:val="auto"/>
                <w:highlight w:val="none"/>
                <w:vertAlign w:val="superscript"/>
              </w:rPr>
              <w:t>3</w:t>
            </w:r>
          </w:p>
          <w:tbl>
            <w:tblPr>
              <w:tblStyle w:val="39"/>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84"/>
              <w:gridCol w:w="914"/>
              <w:gridCol w:w="751"/>
              <w:gridCol w:w="1048"/>
              <w:gridCol w:w="751"/>
              <w:gridCol w:w="961"/>
              <w:gridCol w:w="838"/>
              <w:gridCol w:w="1048"/>
              <w:gridCol w:w="75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60" w:hRule="atLeast"/>
              </w:trPr>
              <w:tc>
                <w:tcPr>
                  <w:tcW w:w="884" w:type="dxa"/>
                  <w:vMerge w:val="restart"/>
                  <w:noWrap w:val="0"/>
                  <w:vAlign w:val="center"/>
                </w:tcPr>
                <w:p>
                  <w:pPr>
                    <w:jc w:val="center"/>
                    <w:rPr>
                      <w:b/>
                      <w:bCs/>
                      <w:color w:val="auto"/>
                      <w:szCs w:val="21"/>
                      <w:highlight w:val="none"/>
                    </w:rPr>
                  </w:pPr>
                  <w:r>
                    <w:rPr>
                      <w:b/>
                      <w:bCs/>
                      <w:color w:val="auto"/>
                      <w:szCs w:val="21"/>
                      <w:highlight w:val="none"/>
                    </w:rPr>
                    <w:t>距离中心下风向距离D（m）</w:t>
                  </w:r>
                </w:p>
              </w:tc>
              <w:tc>
                <w:tcPr>
                  <w:tcW w:w="1665" w:type="dxa"/>
                  <w:gridSpan w:val="2"/>
                  <w:noWrap w:val="0"/>
                  <w:vAlign w:val="center"/>
                </w:tcPr>
                <w:p>
                  <w:pPr>
                    <w:jc w:val="center"/>
                    <w:rPr>
                      <w:rFonts w:hint="eastAsia"/>
                      <w:b/>
                      <w:bCs/>
                      <w:color w:val="auto"/>
                      <w:szCs w:val="21"/>
                      <w:highlight w:val="none"/>
                    </w:rPr>
                  </w:pPr>
                  <w:r>
                    <w:rPr>
                      <w:b/>
                      <w:bCs/>
                      <w:color w:val="auto"/>
                      <w:szCs w:val="21"/>
                      <w:highlight w:val="none"/>
                    </w:rPr>
                    <w:t>TSP</w:t>
                  </w:r>
                  <w:r>
                    <w:rPr>
                      <w:rFonts w:hint="eastAsia"/>
                      <w:b/>
                      <w:bCs/>
                      <w:color w:val="auto"/>
                      <w:szCs w:val="21"/>
                      <w:highlight w:val="none"/>
                    </w:rPr>
                    <w:t>（</w:t>
                  </w:r>
                  <w:r>
                    <w:rPr>
                      <w:rFonts w:hint="eastAsia"/>
                      <w:color w:val="auto"/>
                      <w:szCs w:val="21"/>
                      <w:highlight w:val="none"/>
                    </w:rPr>
                    <w:t>原料堆场1）</w:t>
                  </w:r>
                </w:p>
              </w:tc>
              <w:tc>
                <w:tcPr>
                  <w:tcW w:w="1799" w:type="dxa"/>
                  <w:gridSpan w:val="2"/>
                  <w:noWrap w:val="0"/>
                  <w:vAlign w:val="center"/>
                </w:tcPr>
                <w:p>
                  <w:pPr>
                    <w:jc w:val="center"/>
                    <w:rPr>
                      <w:rFonts w:hint="eastAsia"/>
                      <w:b/>
                      <w:bCs/>
                      <w:color w:val="auto"/>
                      <w:szCs w:val="21"/>
                      <w:highlight w:val="none"/>
                    </w:rPr>
                  </w:pPr>
                  <w:r>
                    <w:rPr>
                      <w:rFonts w:hint="eastAsia"/>
                      <w:b/>
                      <w:bCs/>
                      <w:color w:val="auto"/>
                      <w:szCs w:val="21"/>
                      <w:highlight w:val="none"/>
                    </w:rPr>
                    <w:t>TSP（</w:t>
                  </w:r>
                  <w:r>
                    <w:rPr>
                      <w:rFonts w:hint="eastAsia"/>
                      <w:color w:val="auto"/>
                      <w:szCs w:val="21"/>
                      <w:highlight w:val="none"/>
                    </w:rPr>
                    <w:t>原料堆场2）</w:t>
                  </w:r>
                </w:p>
              </w:tc>
              <w:tc>
                <w:tcPr>
                  <w:tcW w:w="1799" w:type="dxa"/>
                  <w:gridSpan w:val="2"/>
                  <w:noWrap w:val="0"/>
                  <w:vAlign w:val="center"/>
                </w:tcPr>
                <w:p>
                  <w:pPr>
                    <w:jc w:val="center"/>
                    <w:rPr>
                      <w:rFonts w:hint="default" w:eastAsia="宋体"/>
                      <w:b/>
                      <w:bCs/>
                      <w:color w:val="auto"/>
                      <w:szCs w:val="21"/>
                      <w:highlight w:val="none"/>
                      <w:lang w:val="en-US" w:eastAsia="zh-CN"/>
                    </w:rPr>
                  </w:pPr>
                  <w:r>
                    <w:rPr>
                      <w:rFonts w:hint="eastAsia"/>
                      <w:b/>
                      <w:bCs/>
                      <w:color w:val="auto"/>
                      <w:szCs w:val="21"/>
                      <w:highlight w:val="none"/>
                      <w:lang w:val="en-US" w:eastAsia="zh-CN"/>
                    </w:rPr>
                    <w:t>非甲烷总烃</w:t>
                  </w:r>
                </w:p>
              </w:tc>
              <w:tc>
                <w:tcPr>
                  <w:tcW w:w="1799" w:type="dxa"/>
                  <w:gridSpan w:val="2"/>
                  <w:noWrap w:val="0"/>
                  <w:vAlign w:val="center"/>
                </w:tcPr>
                <w:p>
                  <w:pPr>
                    <w:jc w:val="center"/>
                    <w:rPr>
                      <w:rFonts w:hint="eastAsia"/>
                      <w:b/>
                      <w:bCs/>
                      <w:color w:val="auto"/>
                      <w:szCs w:val="21"/>
                      <w:highlight w:val="none"/>
                    </w:rPr>
                  </w:pPr>
                  <w:r>
                    <w:rPr>
                      <w:rFonts w:hint="eastAsia"/>
                      <w:b/>
                      <w:bCs/>
                      <w:color w:val="auto"/>
                      <w:szCs w:val="21"/>
                      <w:highlight w:val="none"/>
                    </w:rPr>
                    <w:t>BaP</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884" w:type="dxa"/>
                  <w:vMerge w:val="continue"/>
                  <w:noWrap w:val="0"/>
                  <w:vAlign w:val="center"/>
                </w:tcPr>
                <w:p>
                  <w:pPr>
                    <w:jc w:val="center"/>
                    <w:rPr>
                      <w:color w:val="auto"/>
                      <w:szCs w:val="21"/>
                      <w:highlight w:val="none"/>
                    </w:rPr>
                  </w:pPr>
                </w:p>
              </w:tc>
              <w:tc>
                <w:tcPr>
                  <w:tcW w:w="914" w:type="dxa"/>
                  <w:noWrap w:val="0"/>
                  <w:vAlign w:val="center"/>
                </w:tcPr>
                <w:p>
                  <w:pPr>
                    <w:jc w:val="center"/>
                    <w:rPr>
                      <w:color w:val="auto"/>
                      <w:szCs w:val="21"/>
                      <w:highlight w:val="none"/>
                    </w:rPr>
                  </w:pPr>
                  <w:r>
                    <w:rPr>
                      <w:color w:val="auto"/>
                      <w:szCs w:val="21"/>
                      <w:highlight w:val="none"/>
                    </w:rPr>
                    <w:t>下风向预测浓度Ci（ug/m</w:t>
                  </w:r>
                  <w:r>
                    <w:rPr>
                      <w:color w:val="auto"/>
                      <w:szCs w:val="21"/>
                      <w:highlight w:val="none"/>
                      <w:vertAlign w:val="superscript"/>
                    </w:rPr>
                    <w:t>3</w:t>
                  </w:r>
                  <w:r>
                    <w:rPr>
                      <w:color w:val="auto"/>
                      <w:szCs w:val="21"/>
                      <w:highlight w:val="none"/>
                    </w:rPr>
                    <w:t>）</w:t>
                  </w:r>
                </w:p>
              </w:tc>
              <w:tc>
                <w:tcPr>
                  <w:tcW w:w="751" w:type="dxa"/>
                  <w:noWrap w:val="0"/>
                  <w:vAlign w:val="center"/>
                </w:tcPr>
                <w:p>
                  <w:pPr>
                    <w:jc w:val="center"/>
                    <w:rPr>
                      <w:color w:val="auto"/>
                      <w:szCs w:val="21"/>
                      <w:highlight w:val="none"/>
                    </w:rPr>
                  </w:pPr>
                  <w:r>
                    <w:rPr>
                      <w:color w:val="auto"/>
                      <w:szCs w:val="21"/>
                      <w:highlight w:val="none"/>
                    </w:rPr>
                    <w:t>浓度占标率Pi（%）</w:t>
                  </w:r>
                </w:p>
              </w:tc>
              <w:tc>
                <w:tcPr>
                  <w:tcW w:w="1048" w:type="dxa"/>
                  <w:noWrap w:val="0"/>
                  <w:vAlign w:val="center"/>
                </w:tcPr>
                <w:p>
                  <w:pPr>
                    <w:jc w:val="center"/>
                    <w:rPr>
                      <w:color w:val="auto"/>
                      <w:szCs w:val="21"/>
                      <w:highlight w:val="none"/>
                    </w:rPr>
                  </w:pPr>
                  <w:r>
                    <w:rPr>
                      <w:color w:val="auto"/>
                      <w:szCs w:val="21"/>
                      <w:highlight w:val="none"/>
                    </w:rPr>
                    <w:t>下风向预测浓度Ci（ug/m</w:t>
                  </w:r>
                  <w:r>
                    <w:rPr>
                      <w:color w:val="auto"/>
                      <w:szCs w:val="21"/>
                      <w:highlight w:val="none"/>
                      <w:vertAlign w:val="superscript"/>
                    </w:rPr>
                    <w:t>3</w:t>
                  </w:r>
                  <w:r>
                    <w:rPr>
                      <w:color w:val="auto"/>
                      <w:szCs w:val="21"/>
                      <w:highlight w:val="none"/>
                    </w:rPr>
                    <w:t>）</w:t>
                  </w:r>
                </w:p>
              </w:tc>
              <w:tc>
                <w:tcPr>
                  <w:tcW w:w="751" w:type="dxa"/>
                  <w:noWrap w:val="0"/>
                  <w:vAlign w:val="center"/>
                </w:tcPr>
                <w:p>
                  <w:pPr>
                    <w:jc w:val="center"/>
                    <w:rPr>
                      <w:color w:val="auto"/>
                      <w:szCs w:val="21"/>
                      <w:highlight w:val="none"/>
                    </w:rPr>
                  </w:pPr>
                  <w:r>
                    <w:rPr>
                      <w:color w:val="auto"/>
                      <w:szCs w:val="21"/>
                      <w:highlight w:val="none"/>
                    </w:rPr>
                    <w:t>浓度占标率Pi（%）</w:t>
                  </w:r>
                </w:p>
              </w:tc>
              <w:tc>
                <w:tcPr>
                  <w:tcW w:w="961" w:type="dxa"/>
                  <w:noWrap w:val="0"/>
                  <w:vAlign w:val="center"/>
                </w:tcPr>
                <w:p>
                  <w:pPr>
                    <w:jc w:val="center"/>
                    <w:rPr>
                      <w:color w:val="auto"/>
                      <w:szCs w:val="21"/>
                      <w:highlight w:val="none"/>
                    </w:rPr>
                  </w:pPr>
                  <w:r>
                    <w:rPr>
                      <w:color w:val="auto"/>
                      <w:szCs w:val="21"/>
                      <w:highlight w:val="none"/>
                    </w:rPr>
                    <w:t>下风向预测浓度Ci（ug/m</w:t>
                  </w:r>
                  <w:r>
                    <w:rPr>
                      <w:color w:val="auto"/>
                      <w:szCs w:val="21"/>
                      <w:highlight w:val="none"/>
                      <w:vertAlign w:val="superscript"/>
                    </w:rPr>
                    <w:t>3</w:t>
                  </w:r>
                  <w:r>
                    <w:rPr>
                      <w:color w:val="auto"/>
                      <w:szCs w:val="21"/>
                      <w:highlight w:val="none"/>
                    </w:rPr>
                    <w:t>）</w:t>
                  </w:r>
                </w:p>
              </w:tc>
              <w:tc>
                <w:tcPr>
                  <w:tcW w:w="838" w:type="dxa"/>
                  <w:noWrap w:val="0"/>
                  <w:vAlign w:val="center"/>
                </w:tcPr>
                <w:p>
                  <w:pPr>
                    <w:jc w:val="center"/>
                    <w:rPr>
                      <w:color w:val="auto"/>
                      <w:szCs w:val="21"/>
                      <w:highlight w:val="none"/>
                    </w:rPr>
                  </w:pPr>
                  <w:r>
                    <w:rPr>
                      <w:color w:val="auto"/>
                      <w:szCs w:val="21"/>
                      <w:highlight w:val="none"/>
                    </w:rPr>
                    <w:t>浓度占标率Pi（%）</w:t>
                  </w:r>
                </w:p>
              </w:tc>
              <w:tc>
                <w:tcPr>
                  <w:tcW w:w="1048" w:type="dxa"/>
                  <w:noWrap w:val="0"/>
                  <w:vAlign w:val="center"/>
                </w:tcPr>
                <w:p>
                  <w:pPr>
                    <w:jc w:val="center"/>
                    <w:rPr>
                      <w:color w:val="auto"/>
                      <w:szCs w:val="21"/>
                      <w:highlight w:val="none"/>
                    </w:rPr>
                  </w:pPr>
                  <w:r>
                    <w:rPr>
                      <w:color w:val="auto"/>
                      <w:szCs w:val="21"/>
                      <w:highlight w:val="none"/>
                    </w:rPr>
                    <w:t>下风向预测浓度Ci（ug/m</w:t>
                  </w:r>
                  <w:r>
                    <w:rPr>
                      <w:color w:val="auto"/>
                      <w:szCs w:val="21"/>
                      <w:highlight w:val="none"/>
                      <w:vertAlign w:val="superscript"/>
                    </w:rPr>
                    <w:t>3</w:t>
                  </w:r>
                  <w:r>
                    <w:rPr>
                      <w:color w:val="auto"/>
                      <w:szCs w:val="21"/>
                      <w:highlight w:val="none"/>
                    </w:rPr>
                    <w:t>）</w:t>
                  </w:r>
                </w:p>
              </w:tc>
              <w:tc>
                <w:tcPr>
                  <w:tcW w:w="751" w:type="dxa"/>
                  <w:noWrap w:val="0"/>
                  <w:vAlign w:val="center"/>
                </w:tcPr>
                <w:p>
                  <w:pPr>
                    <w:jc w:val="center"/>
                    <w:rPr>
                      <w:color w:val="auto"/>
                      <w:szCs w:val="21"/>
                      <w:highlight w:val="none"/>
                    </w:rPr>
                  </w:pPr>
                  <w:r>
                    <w:rPr>
                      <w:color w:val="auto"/>
                      <w:szCs w:val="21"/>
                      <w:highlight w:val="none"/>
                    </w:rPr>
                    <w:t>浓度占标率Pi（%）</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884" w:type="dxa"/>
                  <w:noWrap w:val="0"/>
                  <w:vAlign w:val="center"/>
                </w:tcPr>
                <w:p>
                  <w:pPr>
                    <w:widowControl/>
                    <w:jc w:val="center"/>
                    <w:textAlignment w:val="center"/>
                    <w:rPr>
                      <w:color w:val="auto"/>
                      <w:szCs w:val="21"/>
                      <w:highlight w:val="none"/>
                    </w:rPr>
                  </w:pPr>
                  <w:r>
                    <w:rPr>
                      <w:color w:val="auto"/>
                      <w:kern w:val="0"/>
                      <w:szCs w:val="21"/>
                      <w:highlight w:val="none"/>
                      <w:lang w:bidi="ar"/>
                    </w:rPr>
                    <w:t>10</w:t>
                  </w:r>
                </w:p>
              </w:tc>
              <w:tc>
                <w:tcPr>
                  <w:tcW w:w="914" w:type="dxa"/>
                  <w:noWrap w:val="0"/>
                  <w:vAlign w:val="center"/>
                </w:tcPr>
                <w:p>
                  <w:pPr>
                    <w:widowControl/>
                    <w:jc w:val="center"/>
                    <w:textAlignment w:val="center"/>
                    <w:rPr>
                      <w:color w:val="auto"/>
                      <w:szCs w:val="21"/>
                      <w:highlight w:val="none"/>
                    </w:rPr>
                  </w:pPr>
                  <w:r>
                    <w:rPr>
                      <w:rFonts w:hint="eastAsia"/>
                      <w:color w:val="auto"/>
                      <w:highlight w:val="none"/>
                    </w:rPr>
                    <w:t xml:space="preserve"> 53.754</w:t>
                  </w:r>
                </w:p>
              </w:tc>
              <w:tc>
                <w:tcPr>
                  <w:tcW w:w="751" w:type="dxa"/>
                  <w:noWrap w:val="0"/>
                  <w:vAlign w:val="center"/>
                </w:tcPr>
                <w:p>
                  <w:pPr>
                    <w:widowControl/>
                    <w:jc w:val="center"/>
                    <w:textAlignment w:val="center"/>
                    <w:rPr>
                      <w:color w:val="auto"/>
                      <w:szCs w:val="21"/>
                      <w:highlight w:val="none"/>
                    </w:rPr>
                  </w:pPr>
                  <w:r>
                    <w:rPr>
                      <w:rFonts w:hint="eastAsia"/>
                      <w:color w:val="auto"/>
                      <w:highlight w:val="none"/>
                    </w:rPr>
                    <w:t>6.00</w:t>
                  </w:r>
                </w:p>
              </w:tc>
              <w:tc>
                <w:tcPr>
                  <w:tcW w:w="1048" w:type="dxa"/>
                  <w:noWrap w:val="0"/>
                  <w:vAlign w:val="center"/>
                </w:tcPr>
                <w:p>
                  <w:pPr>
                    <w:widowControl/>
                    <w:jc w:val="center"/>
                    <w:textAlignment w:val="center"/>
                    <w:rPr>
                      <w:color w:val="auto"/>
                      <w:szCs w:val="21"/>
                      <w:highlight w:val="none"/>
                    </w:rPr>
                  </w:pPr>
                  <w:r>
                    <w:rPr>
                      <w:rFonts w:hint="eastAsia"/>
                      <w:color w:val="auto"/>
                      <w:highlight w:val="none"/>
                    </w:rPr>
                    <w:t xml:space="preserve"> 53.754</w:t>
                  </w:r>
                </w:p>
              </w:tc>
              <w:tc>
                <w:tcPr>
                  <w:tcW w:w="751" w:type="dxa"/>
                  <w:noWrap w:val="0"/>
                  <w:vAlign w:val="center"/>
                </w:tcPr>
                <w:p>
                  <w:pPr>
                    <w:widowControl/>
                    <w:jc w:val="center"/>
                    <w:textAlignment w:val="center"/>
                    <w:rPr>
                      <w:color w:val="auto"/>
                      <w:szCs w:val="21"/>
                      <w:highlight w:val="none"/>
                    </w:rPr>
                  </w:pPr>
                  <w:r>
                    <w:rPr>
                      <w:rFonts w:hint="eastAsia"/>
                      <w:color w:val="auto"/>
                      <w:highlight w:val="none"/>
                    </w:rPr>
                    <w:t>6.00</w:t>
                  </w:r>
                </w:p>
              </w:tc>
              <w:tc>
                <w:tcPr>
                  <w:tcW w:w="961" w:type="dxa"/>
                  <w:noWrap w:val="0"/>
                  <w:vAlign w:val="center"/>
                </w:tcPr>
                <w:p>
                  <w:pPr>
                    <w:widowControl/>
                    <w:jc w:val="center"/>
                    <w:textAlignment w:val="center"/>
                    <w:rPr>
                      <w:color w:val="auto"/>
                      <w:kern w:val="0"/>
                      <w:szCs w:val="21"/>
                      <w:highlight w:val="none"/>
                      <w:lang w:bidi="ar"/>
                    </w:rPr>
                  </w:pPr>
                  <w:r>
                    <w:rPr>
                      <w:rFonts w:hint="eastAsia"/>
                      <w:color w:val="auto"/>
                      <w:highlight w:val="none"/>
                    </w:rPr>
                    <w:t>0.146</w:t>
                  </w:r>
                </w:p>
              </w:tc>
              <w:tc>
                <w:tcPr>
                  <w:tcW w:w="838" w:type="dxa"/>
                  <w:noWrap w:val="0"/>
                  <w:vAlign w:val="center"/>
                </w:tcPr>
                <w:p>
                  <w:pPr>
                    <w:widowControl/>
                    <w:jc w:val="center"/>
                    <w:textAlignment w:val="center"/>
                    <w:rPr>
                      <w:color w:val="auto"/>
                      <w:kern w:val="0"/>
                      <w:szCs w:val="21"/>
                      <w:highlight w:val="none"/>
                      <w:lang w:bidi="ar"/>
                    </w:rPr>
                  </w:pPr>
                  <w:r>
                    <w:rPr>
                      <w:rFonts w:hint="eastAsia"/>
                      <w:color w:val="auto"/>
                      <w:highlight w:val="none"/>
                    </w:rPr>
                    <w:t>0.00</w:t>
                  </w:r>
                </w:p>
              </w:tc>
              <w:tc>
                <w:tcPr>
                  <w:tcW w:w="1048" w:type="dxa"/>
                  <w:noWrap w:val="0"/>
                  <w:vAlign w:val="center"/>
                </w:tcPr>
                <w:p>
                  <w:pPr>
                    <w:widowControl/>
                    <w:jc w:val="center"/>
                    <w:textAlignment w:val="center"/>
                    <w:rPr>
                      <w:color w:val="auto"/>
                      <w:kern w:val="0"/>
                      <w:szCs w:val="21"/>
                      <w:highlight w:val="none"/>
                      <w:lang w:bidi="ar"/>
                    </w:rPr>
                  </w:pPr>
                  <w:r>
                    <w:rPr>
                      <w:rFonts w:hint="eastAsia"/>
                      <w:color w:val="auto"/>
                      <w:highlight w:val="none"/>
                    </w:rPr>
                    <w:t xml:space="preserve"> 0.000491083</w:t>
                  </w:r>
                </w:p>
              </w:tc>
              <w:tc>
                <w:tcPr>
                  <w:tcW w:w="751" w:type="dxa"/>
                  <w:noWrap w:val="0"/>
                  <w:vAlign w:val="center"/>
                </w:tcPr>
                <w:p>
                  <w:pPr>
                    <w:widowControl/>
                    <w:jc w:val="center"/>
                    <w:textAlignment w:val="center"/>
                    <w:rPr>
                      <w:color w:val="auto"/>
                      <w:kern w:val="0"/>
                      <w:szCs w:val="21"/>
                      <w:highlight w:val="none"/>
                      <w:lang w:bidi="ar"/>
                    </w:rPr>
                  </w:pPr>
                  <w:r>
                    <w:rPr>
                      <w:rFonts w:hint="eastAsia"/>
                      <w:color w:val="auto"/>
                      <w:highlight w:val="none"/>
                    </w:rPr>
                    <w:t>6.50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84" w:type="dxa"/>
                  <w:noWrap w:val="0"/>
                  <w:vAlign w:val="center"/>
                </w:tcPr>
                <w:p>
                  <w:pPr>
                    <w:widowControl/>
                    <w:jc w:val="center"/>
                    <w:textAlignment w:val="center"/>
                    <w:rPr>
                      <w:color w:val="auto"/>
                      <w:szCs w:val="21"/>
                      <w:highlight w:val="none"/>
                    </w:rPr>
                  </w:pPr>
                  <w:r>
                    <w:rPr>
                      <w:color w:val="auto"/>
                      <w:kern w:val="0"/>
                      <w:szCs w:val="21"/>
                      <w:highlight w:val="none"/>
                      <w:lang w:bidi="ar"/>
                    </w:rPr>
                    <w:t>25</w:t>
                  </w:r>
                </w:p>
              </w:tc>
              <w:tc>
                <w:tcPr>
                  <w:tcW w:w="914" w:type="dxa"/>
                  <w:noWrap w:val="0"/>
                  <w:vAlign w:val="center"/>
                </w:tcPr>
                <w:p>
                  <w:pPr>
                    <w:widowControl/>
                    <w:jc w:val="center"/>
                    <w:textAlignment w:val="center"/>
                    <w:rPr>
                      <w:color w:val="auto"/>
                      <w:szCs w:val="21"/>
                      <w:highlight w:val="none"/>
                    </w:rPr>
                  </w:pPr>
                  <w:r>
                    <w:rPr>
                      <w:rFonts w:hint="eastAsia"/>
                      <w:color w:val="auto"/>
                      <w:highlight w:val="none"/>
                    </w:rPr>
                    <w:t>73.829</w:t>
                  </w:r>
                </w:p>
              </w:tc>
              <w:tc>
                <w:tcPr>
                  <w:tcW w:w="751" w:type="dxa"/>
                  <w:noWrap w:val="0"/>
                  <w:vAlign w:val="center"/>
                </w:tcPr>
                <w:p>
                  <w:pPr>
                    <w:widowControl/>
                    <w:jc w:val="center"/>
                    <w:textAlignment w:val="center"/>
                    <w:rPr>
                      <w:color w:val="auto"/>
                      <w:szCs w:val="21"/>
                      <w:highlight w:val="none"/>
                    </w:rPr>
                  </w:pPr>
                  <w:r>
                    <w:rPr>
                      <w:rFonts w:hint="eastAsia"/>
                      <w:color w:val="auto"/>
                      <w:highlight w:val="none"/>
                    </w:rPr>
                    <w:t>8.20</w:t>
                  </w:r>
                </w:p>
              </w:tc>
              <w:tc>
                <w:tcPr>
                  <w:tcW w:w="1048" w:type="dxa"/>
                  <w:noWrap w:val="0"/>
                  <w:vAlign w:val="center"/>
                </w:tcPr>
                <w:p>
                  <w:pPr>
                    <w:widowControl/>
                    <w:jc w:val="center"/>
                    <w:textAlignment w:val="center"/>
                    <w:rPr>
                      <w:color w:val="auto"/>
                      <w:szCs w:val="21"/>
                      <w:highlight w:val="none"/>
                    </w:rPr>
                  </w:pPr>
                  <w:r>
                    <w:rPr>
                      <w:rFonts w:hint="eastAsia"/>
                      <w:color w:val="auto"/>
                      <w:highlight w:val="none"/>
                    </w:rPr>
                    <w:t>73.829</w:t>
                  </w:r>
                </w:p>
              </w:tc>
              <w:tc>
                <w:tcPr>
                  <w:tcW w:w="751" w:type="dxa"/>
                  <w:noWrap w:val="0"/>
                  <w:vAlign w:val="center"/>
                </w:tcPr>
                <w:p>
                  <w:pPr>
                    <w:widowControl/>
                    <w:jc w:val="center"/>
                    <w:textAlignment w:val="center"/>
                    <w:rPr>
                      <w:color w:val="auto"/>
                      <w:szCs w:val="21"/>
                      <w:highlight w:val="none"/>
                    </w:rPr>
                  </w:pPr>
                  <w:r>
                    <w:rPr>
                      <w:rFonts w:hint="eastAsia"/>
                      <w:color w:val="auto"/>
                      <w:highlight w:val="none"/>
                    </w:rPr>
                    <w:t>8.20</w:t>
                  </w:r>
                </w:p>
              </w:tc>
              <w:tc>
                <w:tcPr>
                  <w:tcW w:w="961" w:type="dxa"/>
                  <w:noWrap w:val="0"/>
                  <w:vAlign w:val="center"/>
                </w:tcPr>
                <w:p>
                  <w:pPr>
                    <w:widowControl/>
                    <w:jc w:val="center"/>
                    <w:textAlignment w:val="center"/>
                    <w:rPr>
                      <w:rFonts w:hint="eastAsia" w:eastAsia="宋体"/>
                      <w:color w:val="auto"/>
                      <w:kern w:val="0"/>
                      <w:szCs w:val="21"/>
                      <w:highlight w:val="none"/>
                      <w:lang w:eastAsia="zh-CN" w:bidi="ar"/>
                    </w:rPr>
                  </w:pPr>
                  <w:r>
                    <w:rPr>
                      <w:rFonts w:hint="eastAsia"/>
                      <w:color w:val="auto"/>
                      <w:highlight w:val="none"/>
                    </w:rPr>
                    <w:t>0.19</w:t>
                  </w:r>
                  <w:r>
                    <w:rPr>
                      <w:rFonts w:hint="eastAsia"/>
                      <w:color w:val="auto"/>
                      <w:highlight w:val="none"/>
                      <w:lang w:val="en-US" w:eastAsia="zh-CN"/>
                    </w:rPr>
                    <w:t>8</w:t>
                  </w:r>
                </w:p>
              </w:tc>
              <w:tc>
                <w:tcPr>
                  <w:tcW w:w="838" w:type="dxa"/>
                  <w:noWrap w:val="0"/>
                  <w:vAlign w:val="center"/>
                </w:tcPr>
                <w:p>
                  <w:pPr>
                    <w:widowControl/>
                    <w:jc w:val="center"/>
                    <w:textAlignment w:val="center"/>
                    <w:rPr>
                      <w:rFonts w:hint="eastAsia"/>
                      <w:color w:val="auto"/>
                      <w:kern w:val="0"/>
                      <w:szCs w:val="21"/>
                      <w:highlight w:val="none"/>
                      <w:lang w:bidi="ar"/>
                    </w:rPr>
                  </w:pPr>
                  <w:r>
                    <w:rPr>
                      <w:rFonts w:hint="eastAsia"/>
                      <w:color w:val="auto"/>
                      <w:highlight w:val="none"/>
                    </w:rPr>
                    <w:t>0.00</w:t>
                  </w:r>
                </w:p>
              </w:tc>
              <w:tc>
                <w:tcPr>
                  <w:tcW w:w="1048" w:type="dxa"/>
                  <w:noWrap w:val="0"/>
                  <w:vAlign w:val="center"/>
                </w:tcPr>
                <w:p>
                  <w:pPr>
                    <w:widowControl/>
                    <w:jc w:val="center"/>
                    <w:textAlignment w:val="center"/>
                    <w:rPr>
                      <w:color w:val="auto"/>
                      <w:kern w:val="0"/>
                      <w:szCs w:val="21"/>
                      <w:highlight w:val="none"/>
                      <w:lang w:bidi="ar"/>
                    </w:rPr>
                  </w:pPr>
                  <w:r>
                    <w:rPr>
                      <w:rFonts w:hint="eastAsia"/>
                      <w:color w:val="auto"/>
                      <w:highlight w:val="none"/>
                    </w:rPr>
                    <w:t>0.000663906</w:t>
                  </w:r>
                </w:p>
              </w:tc>
              <w:tc>
                <w:tcPr>
                  <w:tcW w:w="751" w:type="dxa"/>
                  <w:noWrap w:val="0"/>
                  <w:vAlign w:val="center"/>
                </w:tcPr>
                <w:p>
                  <w:pPr>
                    <w:widowControl/>
                    <w:jc w:val="center"/>
                    <w:textAlignment w:val="center"/>
                    <w:rPr>
                      <w:color w:val="auto"/>
                      <w:kern w:val="0"/>
                      <w:szCs w:val="21"/>
                      <w:highlight w:val="none"/>
                      <w:lang w:bidi="ar"/>
                    </w:rPr>
                  </w:pPr>
                  <w:r>
                    <w:rPr>
                      <w:rFonts w:hint="eastAsia"/>
                      <w:color w:val="auto"/>
                      <w:highlight w:val="none"/>
                    </w:rPr>
                    <w:t>8.90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71" w:hRule="atLeast"/>
              </w:trPr>
              <w:tc>
                <w:tcPr>
                  <w:tcW w:w="884" w:type="dxa"/>
                  <w:noWrap w:val="0"/>
                  <w:vAlign w:val="center"/>
                </w:tcPr>
                <w:p>
                  <w:pPr>
                    <w:widowControl/>
                    <w:jc w:val="center"/>
                    <w:textAlignment w:val="center"/>
                    <w:rPr>
                      <w:color w:val="auto"/>
                      <w:szCs w:val="21"/>
                      <w:highlight w:val="none"/>
                    </w:rPr>
                  </w:pPr>
                  <w:r>
                    <w:rPr>
                      <w:color w:val="auto"/>
                      <w:kern w:val="0"/>
                      <w:szCs w:val="21"/>
                      <w:highlight w:val="none"/>
                      <w:lang w:bidi="ar"/>
                    </w:rPr>
                    <w:t>50</w:t>
                  </w:r>
                </w:p>
              </w:tc>
              <w:tc>
                <w:tcPr>
                  <w:tcW w:w="914" w:type="dxa"/>
                  <w:noWrap w:val="0"/>
                  <w:vAlign w:val="center"/>
                </w:tcPr>
                <w:p>
                  <w:pPr>
                    <w:widowControl/>
                    <w:jc w:val="center"/>
                    <w:textAlignment w:val="center"/>
                    <w:rPr>
                      <w:color w:val="auto"/>
                      <w:szCs w:val="21"/>
                      <w:highlight w:val="none"/>
                    </w:rPr>
                  </w:pPr>
                  <w:r>
                    <w:rPr>
                      <w:rFonts w:hint="eastAsia"/>
                      <w:color w:val="auto"/>
                      <w:highlight w:val="none"/>
                    </w:rPr>
                    <w:t>80.825</w:t>
                  </w:r>
                </w:p>
              </w:tc>
              <w:tc>
                <w:tcPr>
                  <w:tcW w:w="751" w:type="dxa"/>
                  <w:noWrap w:val="0"/>
                  <w:vAlign w:val="center"/>
                </w:tcPr>
                <w:p>
                  <w:pPr>
                    <w:widowControl/>
                    <w:jc w:val="center"/>
                    <w:textAlignment w:val="center"/>
                    <w:rPr>
                      <w:color w:val="auto"/>
                      <w:szCs w:val="21"/>
                      <w:highlight w:val="none"/>
                    </w:rPr>
                  </w:pPr>
                  <w:r>
                    <w:rPr>
                      <w:rFonts w:hint="eastAsia"/>
                      <w:color w:val="auto"/>
                      <w:highlight w:val="none"/>
                    </w:rPr>
                    <w:t>9.00</w:t>
                  </w:r>
                </w:p>
              </w:tc>
              <w:tc>
                <w:tcPr>
                  <w:tcW w:w="1048" w:type="dxa"/>
                  <w:noWrap w:val="0"/>
                  <w:vAlign w:val="center"/>
                </w:tcPr>
                <w:p>
                  <w:pPr>
                    <w:widowControl/>
                    <w:jc w:val="center"/>
                    <w:textAlignment w:val="center"/>
                    <w:rPr>
                      <w:color w:val="auto"/>
                      <w:szCs w:val="21"/>
                      <w:highlight w:val="none"/>
                    </w:rPr>
                  </w:pPr>
                  <w:r>
                    <w:rPr>
                      <w:rFonts w:hint="eastAsia"/>
                      <w:color w:val="auto"/>
                      <w:highlight w:val="none"/>
                    </w:rPr>
                    <w:t>80.825</w:t>
                  </w:r>
                </w:p>
              </w:tc>
              <w:tc>
                <w:tcPr>
                  <w:tcW w:w="751" w:type="dxa"/>
                  <w:noWrap w:val="0"/>
                  <w:vAlign w:val="center"/>
                </w:tcPr>
                <w:p>
                  <w:pPr>
                    <w:widowControl/>
                    <w:jc w:val="center"/>
                    <w:textAlignment w:val="center"/>
                    <w:rPr>
                      <w:color w:val="auto"/>
                      <w:szCs w:val="21"/>
                      <w:highlight w:val="none"/>
                    </w:rPr>
                  </w:pPr>
                  <w:r>
                    <w:rPr>
                      <w:rFonts w:hint="eastAsia"/>
                      <w:color w:val="auto"/>
                      <w:highlight w:val="none"/>
                    </w:rPr>
                    <w:t>9.00</w:t>
                  </w:r>
                </w:p>
              </w:tc>
              <w:tc>
                <w:tcPr>
                  <w:tcW w:w="961" w:type="dxa"/>
                  <w:noWrap w:val="0"/>
                  <w:vAlign w:val="center"/>
                </w:tcPr>
                <w:p>
                  <w:pPr>
                    <w:widowControl/>
                    <w:jc w:val="center"/>
                    <w:textAlignment w:val="center"/>
                    <w:rPr>
                      <w:rFonts w:hint="eastAsia" w:eastAsia="宋体"/>
                      <w:color w:val="auto"/>
                      <w:kern w:val="0"/>
                      <w:szCs w:val="21"/>
                      <w:highlight w:val="none"/>
                      <w:lang w:eastAsia="zh-CN" w:bidi="ar"/>
                    </w:rPr>
                  </w:pPr>
                  <w:r>
                    <w:rPr>
                      <w:rFonts w:hint="eastAsia"/>
                      <w:color w:val="auto"/>
                      <w:highlight w:val="none"/>
                    </w:rPr>
                    <w:t>0.21</w:t>
                  </w:r>
                  <w:r>
                    <w:rPr>
                      <w:rFonts w:hint="eastAsia"/>
                      <w:color w:val="auto"/>
                      <w:highlight w:val="none"/>
                      <w:lang w:val="en-US" w:eastAsia="zh-CN"/>
                    </w:rPr>
                    <w:t>4</w:t>
                  </w:r>
                </w:p>
              </w:tc>
              <w:tc>
                <w:tcPr>
                  <w:tcW w:w="838" w:type="dxa"/>
                  <w:noWrap w:val="0"/>
                  <w:vAlign w:val="center"/>
                </w:tcPr>
                <w:p>
                  <w:pPr>
                    <w:widowControl/>
                    <w:jc w:val="center"/>
                    <w:textAlignment w:val="center"/>
                    <w:rPr>
                      <w:rFonts w:hint="eastAsia" w:eastAsia="宋体"/>
                      <w:color w:val="auto"/>
                      <w:kern w:val="0"/>
                      <w:szCs w:val="21"/>
                      <w:highlight w:val="none"/>
                      <w:lang w:eastAsia="zh-CN" w:bidi="ar"/>
                    </w:rPr>
                  </w:pPr>
                  <w:r>
                    <w:rPr>
                      <w:rFonts w:hint="eastAsia"/>
                      <w:color w:val="auto"/>
                      <w:highlight w:val="none"/>
                    </w:rPr>
                    <w:t>0.0</w:t>
                  </w:r>
                  <w:r>
                    <w:rPr>
                      <w:rFonts w:hint="eastAsia"/>
                      <w:color w:val="auto"/>
                      <w:highlight w:val="none"/>
                      <w:lang w:val="en-US" w:eastAsia="zh-CN"/>
                    </w:rPr>
                    <w:t>1</w:t>
                  </w:r>
                </w:p>
              </w:tc>
              <w:tc>
                <w:tcPr>
                  <w:tcW w:w="1048" w:type="dxa"/>
                  <w:noWrap w:val="0"/>
                  <w:vAlign w:val="center"/>
                </w:tcPr>
                <w:p>
                  <w:pPr>
                    <w:widowControl/>
                    <w:jc w:val="center"/>
                    <w:textAlignment w:val="center"/>
                    <w:rPr>
                      <w:rFonts w:hint="eastAsia"/>
                      <w:color w:val="auto"/>
                      <w:kern w:val="0"/>
                      <w:szCs w:val="21"/>
                      <w:highlight w:val="none"/>
                      <w:lang w:bidi="ar"/>
                    </w:rPr>
                  </w:pPr>
                  <w:r>
                    <w:rPr>
                      <w:rFonts w:hint="eastAsia"/>
                      <w:color w:val="auto"/>
                      <w:highlight w:val="none"/>
                    </w:rPr>
                    <w:t>0.000717128</w:t>
                  </w:r>
                </w:p>
              </w:tc>
              <w:tc>
                <w:tcPr>
                  <w:tcW w:w="751" w:type="dxa"/>
                  <w:noWrap w:val="0"/>
                  <w:vAlign w:val="center"/>
                </w:tcPr>
                <w:p>
                  <w:pPr>
                    <w:widowControl/>
                    <w:jc w:val="center"/>
                    <w:textAlignment w:val="center"/>
                    <w:rPr>
                      <w:color w:val="auto"/>
                      <w:kern w:val="0"/>
                      <w:szCs w:val="21"/>
                      <w:highlight w:val="none"/>
                      <w:lang w:bidi="ar"/>
                    </w:rPr>
                  </w:pPr>
                  <w:r>
                    <w:rPr>
                      <w:rFonts w:hint="eastAsia"/>
                      <w:color w:val="auto"/>
                      <w:highlight w:val="none"/>
                    </w:rPr>
                    <w:t>9.60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884" w:type="dxa"/>
                  <w:noWrap w:val="0"/>
                  <w:vAlign w:val="center"/>
                </w:tcPr>
                <w:p>
                  <w:pPr>
                    <w:widowControl/>
                    <w:jc w:val="center"/>
                    <w:textAlignment w:val="center"/>
                    <w:rPr>
                      <w:color w:val="auto"/>
                      <w:szCs w:val="21"/>
                      <w:highlight w:val="none"/>
                    </w:rPr>
                  </w:pPr>
                  <w:r>
                    <w:rPr>
                      <w:color w:val="auto"/>
                      <w:kern w:val="0"/>
                      <w:szCs w:val="21"/>
                      <w:highlight w:val="none"/>
                      <w:lang w:bidi="ar"/>
                    </w:rPr>
                    <w:t>75</w:t>
                  </w:r>
                </w:p>
              </w:tc>
              <w:tc>
                <w:tcPr>
                  <w:tcW w:w="914" w:type="dxa"/>
                  <w:noWrap w:val="0"/>
                  <w:vAlign w:val="center"/>
                </w:tcPr>
                <w:p>
                  <w:pPr>
                    <w:widowControl/>
                    <w:jc w:val="center"/>
                    <w:textAlignment w:val="center"/>
                    <w:rPr>
                      <w:color w:val="auto"/>
                      <w:szCs w:val="21"/>
                      <w:highlight w:val="none"/>
                    </w:rPr>
                  </w:pPr>
                  <w:r>
                    <w:rPr>
                      <w:rFonts w:hint="eastAsia"/>
                      <w:color w:val="auto"/>
                      <w:highlight w:val="none"/>
                    </w:rPr>
                    <w:t>81.675</w:t>
                  </w:r>
                </w:p>
              </w:tc>
              <w:tc>
                <w:tcPr>
                  <w:tcW w:w="751" w:type="dxa"/>
                  <w:noWrap w:val="0"/>
                  <w:vAlign w:val="center"/>
                </w:tcPr>
                <w:p>
                  <w:pPr>
                    <w:widowControl/>
                    <w:jc w:val="center"/>
                    <w:textAlignment w:val="center"/>
                    <w:rPr>
                      <w:color w:val="auto"/>
                      <w:szCs w:val="21"/>
                      <w:highlight w:val="none"/>
                    </w:rPr>
                  </w:pPr>
                  <w:r>
                    <w:rPr>
                      <w:rFonts w:hint="eastAsia"/>
                      <w:color w:val="auto"/>
                      <w:highlight w:val="none"/>
                    </w:rPr>
                    <w:t>9.08</w:t>
                  </w:r>
                </w:p>
              </w:tc>
              <w:tc>
                <w:tcPr>
                  <w:tcW w:w="1048" w:type="dxa"/>
                  <w:noWrap w:val="0"/>
                  <w:vAlign w:val="center"/>
                </w:tcPr>
                <w:p>
                  <w:pPr>
                    <w:widowControl/>
                    <w:jc w:val="center"/>
                    <w:textAlignment w:val="center"/>
                    <w:rPr>
                      <w:color w:val="auto"/>
                      <w:szCs w:val="21"/>
                      <w:highlight w:val="none"/>
                    </w:rPr>
                  </w:pPr>
                  <w:r>
                    <w:rPr>
                      <w:rFonts w:hint="eastAsia"/>
                      <w:color w:val="auto"/>
                      <w:highlight w:val="none"/>
                    </w:rPr>
                    <w:t>81.675</w:t>
                  </w:r>
                </w:p>
              </w:tc>
              <w:tc>
                <w:tcPr>
                  <w:tcW w:w="751" w:type="dxa"/>
                  <w:noWrap w:val="0"/>
                  <w:vAlign w:val="center"/>
                </w:tcPr>
                <w:p>
                  <w:pPr>
                    <w:widowControl/>
                    <w:jc w:val="center"/>
                    <w:textAlignment w:val="center"/>
                    <w:rPr>
                      <w:color w:val="auto"/>
                      <w:szCs w:val="21"/>
                      <w:highlight w:val="none"/>
                    </w:rPr>
                  </w:pPr>
                  <w:r>
                    <w:rPr>
                      <w:rFonts w:hint="eastAsia"/>
                      <w:color w:val="auto"/>
                      <w:highlight w:val="none"/>
                    </w:rPr>
                    <w:t>9.10</w:t>
                  </w:r>
                </w:p>
              </w:tc>
              <w:tc>
                <w:tcPr>
                  <w:tcW w:w="961" w:type="dxa"/>
                  <w:noWrap w:val="0"/>
                  <w:vAlign w:val="center"/>
                </w:tcPr>
                <w:p>
                  <w:pPr>
                    <w:widowControl/>
                    <w:jc w:val="center"/>
                    <w:textAlignment w:val="center"/>
                    <w:rPr>
                      <w:color w:val="auto"/>
                      <w:kern w:val="0"/>
                      <w:szCs w:val="21"/>
                      <w:highlight w:val="none"/>
                      <w:lang w:bidi="ar"/>
                    </w:rPr>
                  </w:pPr>
                  <w:r>
                    <w:rPr>
                      <w:rFonts w:hint="eastAsia"/>
                      <w:color w:val="auto"/>
                      <w:highlight w:val="none"/>
                    </w:rPr>
                    <w:t>0.211</w:t>
                  </w:r>
                </w:p>
              </w:tc>
              <w:tc>
                <w:tcPr>
                  <w:tcW w:w="838" w:type="dxa"/>
                  <w:noWrap w:val="0"/>
                  <w:vAlign w:val="center"/>
                </w:tcPr>
                <w:p>
                  <w:pPr>
                    <w:widowControl/>
                    <w:jc w:val="center"/>
                    <w:textAlignment w:val="center"/>
                    <w:rPr>
                      <w:rFonts w:hint="eastAsia" w:eastAsia="宋体"/>
                      <w:color w:val="auto"/>
                      <w:kern w:val="0"/>
                      <w:szCs w:val="21"/>
                      <w:highlight w:val="none"/>
                      <w:lang w:eastAsia="zh-CN" w:bidi="ar"/>
                    </w:rPr>
                  </w:pPr>
                  <w:r>
                    <w:rPr>
                      <w:rFonts w:hint="eastAsia"/>
                      <w:color w:val="auto"/>
                      <w:highlight w:val="none"/>
                    </w:rPr>
                    <w:t>0.0</w:t>
                  </w:r>
                  <w:r>
                    <w:rPr>
                      <w:rFonts w:hint="eastAsia"/>
                      <w:color w:val="auto"/>
                      <w:highlight w:val="none"/>
                      <w:lang w:val="en-US" w:eastAsia="zh-CN"/>
                    </w:rPr>
                    <w:t>1</w:t>
                  </w:r>
                </w:p>
              </w:tc>
              <w:tc>
                <w:tcPr>
                  <w:tcW w:w="1048" w:type="dxa"/>
                  <w:noWrap w:val="0"/>
                  <w:vAlign w:val="center"/>
                </w:tcPr>
                <w:p>
                  <w:pPr>
                    <w:widowControl/>
                    <w:jc w:val="center"/>
                    <w:textAlignment w:val="center"/>
                    <w:rPr>
                      <w:rFonts w:hint="eastAsia"/>
                      <w:color w:val="auto"/>
                      <w:kern w:val="0"/>
                      <w:szCs w:val="21"/>
                      <w:highlight w:val="none"/>
                      <w:lang w:bidi="ar"/>
                    </w:rPr>
                  </w:pPr>
                  <w:r>
                    <w:rPr>
                      <w:rFonts w:hint="eastAsia"/>
                      <w:color w:val="auto"/>
                      <w:highlight w:val="none"/>
                    </w:rPr>
                    <w:t>0.000709309</w:t>
                  </w:r>
                </w:p>
              </w:tc>
              <w:tc>
                <w:tcPr>
                  <w:tcW w:w="751" w:type="dxa"/>
                  <w:noWrap w:val="0"/>
                  <w:vAlign w:val="center"/>
                </w:tcPr>
                <w:p>
                  <w:pPr>
                    <w:widowControl/>
                    <w:jc w:val="center"/>
                    <w:textAlignment w:val="center"/>
                    <w:rPr>
                      <w:color w:val="auto"/>
                      <w:kern w:val="0"/>
                      <w:szCs w:val="21"/>
                      <w:highlight w:val="none"/>
                      <w:lang w:bidi="ar"/>
                    </w:rPr>
                  </w:pPr>
                  <w:r>
                    <w:rPr>
                      <w:rFonts w:hint="eastAsia"/>
                      <w:color w:val="auto"/>
                      <w:highlight w:val="none"/>
                    </w:rPr>
                    <w:t>9.50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84" w:type="dxa"/>
                  <w:noWrap w:val="0"/>
                  <w:vAlign w:val="center"/>
                </w:tcPr>
                <w:p>
                  <w:pPr>
                    <w:widowControl/>
                    <w:jc w:val="center"/>
                    <w:textAlignment w:val="center"/>
                    <w:rPr>
                      <w:color w:val="auto"/>
                      <w:szCs w:val="21"/>
                      <w:highlight w:val="none"/>
                    </w:rPr>
                  </w:pPr>
                  <w:r>
                    <w:rPr>
                      <w:color w:val="auto"/>
                      <w:kern w:val="0"/>
                      <w:szCs w:val="21"/>
                      <w:highlight w:val="none"/>
                      <w:lang w:bidi="ar"/>
                    </w:rPr>
                    <w:t>100</w:t>
                  </w:r>
                </w:p>
              </w:tc>
              <w:tc>
                <w:tcPr>
                  <w:tcW w:w="914" w:type="dxa"/>
                  <w:noWrap w:val="0"/>
                  <w:vAlign w:val="center"/>
                </w:tcPr>
                <w:p>
                  <w:pPr>
                    <w:widowControl/>
                    <w:jc w:val="center"/>
                    <w:textAlignment w:val="center"/>
                    <w:rPr>
                      <w:color w:val="auto"/>
                      <w:szCs w:val="21"/>
                      <w:highlight w:val="none"/>
                    </w:rPr>
                  </w:pPr>
                  <w:r>
                    <w:rPr>
                      <w:rFonts w:hint="eastAsia"/>
                      <w:color w:val="auto"/>
                      <w:highlight w:val="none"/>
                    </w:rPr>
                    <w:t>69.479</w:t>
                  </w:r>
                </w:p>
              </w:tc>
              <w:tc>
                <w:tcPr>
                  <w:tcW w:w="751" w:type="dxa"/>
                  <w:noWrap w:val="0"/>
                  <w:vAlign w:val="center"/>
                </w:tcPr>
                <w:p>
                  <w:pPr>
                    <w:widowControl/>
                    <w:jc w:val="center"/>
                    <w:textAlignment w:val="center"/>
                    <w:rPr>
                      <w:color w:val="auto"/>
                      <w:szCs w:val="21"/>
                      <w:highlight w:val="none"/>
                    </w:rPr>
                  </w:pPr>
                  <w:r>
                    <w:rPr>
                      <w:rFonts w:hint="eastAsia"/>
                      <w:color w:val="auto"/>
                      <w:highlight w:val="none"/>
                    </w:rPr>
                    <w:t>7.70</w:t>
                  </w:r>
                </w:p>
              </w:tc>
              <w:tc>
                <w:tcPr>
                  <w:tcW w:w="1048" w:type="dxa"/>
                  <w:noWrap w:val="0"/>
                  <w:vAlign w:val="center"/>
                </w:tcPr>
                <w:p>
                  <w:pPr>
                    <w:widowControl/>
                    <w:jc w:val="center"/>
                    <w:textAlignment w:val="center"/>
                    <w:rPr>
                      <w:color w:val="auto"/>
                      <w:szCs w:val="21"/>
                      <w:highlight w:val="none"/>
                    </w:rPr>
                  </w:pPr>
                  <w:r>
                    <w:rPr>
                      <w:rFonts w:hint="eastAsia"/>
                      <w:color w:val="auto"/>
                      <w:highlight w:val="none"/>
                    </w:rPr>
                    <w:t>69.479</w:t>
                  </w:r>
                </w:p>
              </w:tc>
              <w:tc>
                <w:tcPr>
                  <w:tcW w:w="751" w:type="dxa"/>
                  <w:noWrap w:val="0"/>
                  <w:vAlign w:val="center"/>
                </w:tcPr>
                <w:p>
                  <w:pPr>
                    <w:widowControl/>
                    <w:jc w:val="center"/>
                    <w:textAlignment w:val="center"/>
                    <w:rPr>
                      <w:color w:val="auto"/>
                      <w:szCs w:val="21"/>
                      <w:highlight w:val="none"/>
                    </w:rPr>
                  </w:pPr>
                  <w:r>
                    <w:rPr>
                      <w:rFonts w:hint="eastAsia"/>
                      <w:color w:val="auto"/>
                      <w:highlight w:val="none"/>
                    </w:rPr>
                    <w:t>7.70</w:t>
                  </w:r>
                </w:p>
              </w:tc>
              <w:tc>
                <w:tcPr>
                  <w:tcW w:w="961" w:type="dxa"/>
                  <w:noWrap w:val="0"/>
                  <w:vAlign w:val="center"/>
                </w:tcPr>
                <w:p>
                  <w:pPr>
                    <w:widowControl/>
                    <w:jc w:val="center"/>
                    <w:textAlignment w:val="center"/>
                    <w:rPr>
                      <w:color w:val="auto"/>
                      <w:kern w:val="0"/>
                      <w:szCs w:val="21"/>
                      <w:highlight w:val="none"/>
                      <w:lang w:bidi="ar"/>
                    </w:rPr>
                  </w:pPr>
                  <w:r>
                    <w:rPr>
                      <w:rFonts w:hint="eastAsia"/>
                      <w:color w:val="auto"/>
                      <w:highlight w:val="none"/>
                    </w:rPr>
                    <w:t>0.176</w:t>
                  </w:r>
                </w:p>
              </w:tc>
              <w:tc>
                <w:tcPr>
                  <w:tcW w:w="838" w:type="dxa"/>
                  <w:noWrap w:val="0"/>
                  <w:vAlign w:val="center"/>
                </w:tcPr>
                <w:p>
                  <w:pPr>
                    <w:widowControl/>
                    <w:jc w:val="center"/>
                    <w:textAlignment w:val="center"/>
                    <w:rPr>
                      <w:color w:val="auto"/>
                      <w:kern w:val="0"/>
                      <w:szCs w:val="21"/>
                      <w:highlight w:val="none"/>
                      <w:lang w:bidi="ar"/>
                    </w:rPr>
                  </w:pPr>
                  <w:r>
                    <w:rPr>
                      <w:rFonts w:hint="eastAsia"/>
                      <w:color w:val="auto"/>
                      <w:highlight w:val="none"/>
                    </w:rPr>
                    <w:t>0.00</w:t>
                  </w:r>
                </w:p>
              </w:tc>
              <w:tc>
                <w:tcPr>
                  <w:tcW w:w="1048" w:type="dxa"/>
                  <w:noWrap w:val="0"/>
                  <w:vAlign w:val="center"/>
                </w:tcPr>
                <w:p>
                  <w:pPr>
                    <w:widowControl/>
                    <w:jc w:val="center"/>
                    <w:textAlignment w:val="center"/>
                    <w:rPr>
                      <w:color w:val="auto"/>
                      <w:kern w:val="0"/>
                      <w:szCs w:val="21"/>
                      <w:highlight w:val="none"/>
                      <w:lang w:bidi="ar"/>
                    </w:rPr>
                  </w:pPr>
                  <w:r>
                    <w:rPr>
                      <w:rFonts w:hint="eastAsia"/>
                      <w:color w:val="auto"/>
                      <w:highlight w:val="none"/>
                    </w:rPr>
                    <w:t>0.000591924</w:t>
                  </w:r>
                </w:p>
              </w:tc>
              <w:tc>
                <w:tcPr>
                  <w:tcW w:w="751" w:type="dxa"/>
                  <w:noWrap w:val="0"/>
                  <w:vAlign w:val="center"/>
                </w:tcPr>
                <w:p>
                  <w:pPr>
                    <w:widowControl/>
                    <w:jc w:val="center"/>
                    <w:textAlignment w:val="center"/>
                    <w:rPr>
                      <w:color w:val="auto"/>
                      <w:kern w:val="0"/>
                      <w:szCs w:val="21"/>
                      <w:highlight w:val="none"/>
                      <w:lang w:bidi="ar"/>
                    </w:rPr>
                  </w:pPr>
                  <w:r>
                    <w:rPr>
                      <w:rFonts w:hint="eastAsia"/>
                      <w:color w:val="auto"/>
                      <w:highlight w:val="none"/>
                    </w:rPr>
                    <w:t>7.90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84" w:type="dxa"/>
                  <w:noWrap w:val="0"/>
                  <w:vAlign w:val="center"/>
                </w:tcPr>
                <w:p>
                  <w:pPr>
                    <w:widowControl/>
                    <w:jc w:val="center"/>
                    <w:textAlignment w:val="center"/>
                    <w:rPr>
                      <w:color w:val="auto"/>
                      <w:szCs w:val="21"/>
                      <w:highlight w:val="none"/>
                    </w:rPr>
                  </w:pPr>
                  <w:r>
                    <w:rPr>
                      <w:color w:val="auto"/>
                      <w:kern w:val="0"/>
                      <w:szCs w:val="21"/>
                      <w:highlight w:val="none"/>
                      <w:lang w:bidi="ar"/>
                    </w:rPr>
                    <w:t>125</w:t>
                  </w:r>
                </w:p>
              </w:tc>
              <w:tc>
                <w:tcPr>
                  <w:tcW w:w="914" w:type="dxa"/>
                  <w:noWrap w:val="0"/>
                  <w:vAlign w:val="center"/>
                </w:tcPr>
                <w:p>
                  <w:pPr>
                    <w:widowControl/>
                    <w:jc w:val="center"/>
                    <w:textAlignment w:val="center"/>
                    <w:rPr>
                      <w:color w:val="auto"/>
                      <w:szCs w:val="21"/>
                      <w:highlight w:val="none"/>
                    </w:rPr>
                  </w:pPr>
                  <w:r>
                    <w:rPr>
                      <w:rFonts w:hint="eastAsia"/>
                      <w:color w:val="auto"/>
                      <w:highlight w:val="none"/>
                    </w:rPr>
                    <w:t>53.481</w:t>
                  </w:r>
                </w:p>
              </w:tc>
              <w:tc>
                <w:tcPr>
                  <w:tcW w:w="751" w:type="dxa"/>
                  <w:noWrap w:val="0"/>
                  <w:vAlign w:val="center"/>
                </w:tcPr>
                <w:p>
                  <w:pPr>
                    <w:widowControl/>
                    <w:jc w:val="center"/>
                    <w:textAlignment w:val="center"/>
                    <w:rPr>
                      <w:color w:val="auto"/>
                      <w:szCs w:val="21"/>
                      <w:highlight w:val="none"/>
                    </w:rPr>
                  </w:pPr>
                  <w:r>
                    <w:rPr>
                      <w:rFonts w:hint="eastAsia"/>
                      <w:color w:val="auto"/>
                      <w:highlight w:val="none"/>
                    </w:rPr>
                    <w:t>5.90</w:t>
                  </w:r>
                </w:p>
              </w:tc>
              <w:tc>
                <w:tcPr>
                  <w:tcW w:w="1048" w:type="dxa"/>
                  <w:noWrap w:val="0"/>
                  <w:vAlign w:val="center"/>
                </w:tcPr>
                <w:p>
                  <w:pPr>
                    <w:widowControl/>
                    <w:jc w:val="center"/>
                    <w:textAlignment w:val="center"/>
                    <w:rPr>
                      <w:color w:val="auto"/>
                      <w:szCs w:val="21"/>
                      <w:highlight w:val="none"/>
                    </w:rPr>
                  </w:pPr>
                  <w:r>
                    <w:rPr>
                      <w:rFonts w:hint="eastAsia"/>
                      <w:color w:val="auto"/>
                      <w:highlight w:val="none"/>
                    </w:rPr>
                    <w:t>53.481</w:t>
                  </w:r>
                </w:p>
              </w:tc>
              <w:tc>
                <w:tcPr>
                  <w:tcW w:w="751" w:type="dxa"/>
                  <w:noWrap w:val="0"/>
                  <w:vAlign w:val="center"/>
                </w:tcPr>
                <w:p>
                  <w:pPr>
                    <w:widowControl/>
                    <w:jc w:val="center"/>
                    <w:textAlignment w:val="center"/>
                    <w:rPr>
                      <w:color w:val="auto"/>
                      <w:szCs w:val="21"/>
                      <w:highlight w:val="none"/>
                    </w:rPr>
                  </w:pPr>
                  <w:r>
                    <w:rPr>
                      <w:rFonts w:hint="eastAsia"/>
                      <w:color w:val="auto"/>
                      <w:highlight w:val="none"/>
                    </w:rPr>
                    <w:t>5.90</w:t>
                  </w:r>
                </w:p>
              </w:tc>
              <w:tc>
                <w:tcPr>
                  <w:tcW w:w="961" w:type="dxa"/>
                  <w:noWrap w:val="0"/>
                  <w:vAlign w:val="center"/>
                </w:tcPr>
                <w:p>
                  <w:pPr>
                    <w:widowControl/>
                    <w:jc w:val="center"/>
                    <w:textAlignment w:val="center"/>
                    <w:rPr>
                      <w:rFonts w:hint="eastAsia" w:eastAsia="宋体"/>
                      <w:color w:val="auto"/>
                      <w:kern w:val="0"/>
                      <w:szCs w:val="21"/>
                      <w:highlight w:val="none"/>
                      <w:lang w:eastAsia="zh-CN" w:bidi="ar"/>
                    </w:rPr>
                  </w:pPr>
                  <w:r>
                    <w:rPr>
                      <w:rFonts w:hint="eastAsia"/>
                      <w:color w:val="auto"/>
                      <w:highlight w:val="none"/>
                    </w:rPr>
                    <w:t>0.13</w:t>
                  </w:r>
                  <w:r>
                    <w:rPr>
                      <w:rFonts w:hint="eastAsia"/>
                      <w:color w:val="auto"/>
                      <w:highlight w:val="none"/>
                      <w:lang w:val="en-US" w:eastAsia="zh-CN"/>
                    </w:rPr>
                    <w:t>4</w:t>
                  </w:r>
                </w:p>
              </w:tc>
              <w:tc>
                <w:tcPr>
                  <w:tcW w:w="838" w:type="dxa"/>
                  <w:noWrap w:val="0"/>
                  <w:vAlign w:val="center"/>
                </w:tcPr>
                <w:p>
                  <w:pPr>
                    <w:widowControl/>
                    <w:jc w:val="center"/>
                    <w:textAlignment w:val="center"/>
                    <w:rPr>
                      <w:color w:val="auto"/>
                      <w:kern w:val="0"/>
                      <w:szCs w:val="21"/>
                      <w:highlight w:val="none"/>
                      <w:lang w:bidi="ar"/>
                    </w:rPr>
                  </w:pPr>
                  <w:r>
                    <w:rPr>
                      <w:rFonts w:hint="eastAsia"/>
                      <w:color w:val="auto"/>
                      <w:highlight w:val="none"/>
                    </w:rPr>
                    <w:t>0.00</w:t>
                  </w:r>
                </w:p>
              </w:tc>
              <w:tc>
                <w:tcPr>
                  <w:tcW w:w="1048" w:type="dxa"/>
                  <w:noWrap w:val="0"/>
                  <w:vAlign w:val="center"/>
                </w:tcPr>
                <w:p>
                  <w:pPr>
                    <w:widowControl/>
                    <w:jc w:val="center"/>
                    <w:textAlignment w:val="center"/>
                    <w:rPr>
                      <w:color w:val="auto"/>
                      <w:kern w:val="0"/>
                      <w:szCs w:val="21"/>
                      <w:highlight w:val="none"/>
                      <w:lang w:bidi="ar"/>
                    </w:rPr>
                  </w:pPr>
                  <w:r>
                    <w:rPr>
                      <w:rFonts w:hint="eastAsia"/>
                      <w:color w:val="auto"/>
                      <w:highlight w:val="none"/>
                    </w:rPr>
                    <w:t>0.000449371</w:t>
                  </w:r>
                </w:p>
              </w:tc>
              <w:tc>
                <w:tcPr>
                  <w:tcW w:w="751" w:type="dxa"/>
                  <w:noWrap w:val="0"/>
                  <w:vAlign w:val="center"/>
                </w:tcPr>
                <w:p>
                  <w:pPr>
                    <w:widowControl/>
                    <w:jc w:val="center"/>
                    <w:textAlignment w:val="center"/>
                    <w:rPr>
                      <w:color w:val="auto"/>
                      <w:kern w:val="0"/>
                      <w:szCs w:val="21"/>
                      <w:highlight w:val="none"/>
                      <w:lang w:bidi="ar"/>
                    </w:rPr>
                  </w:pPr>
                  <w:r>
                    <w:rPr>
                      <w:rFonts w:hint="eastAsia"/>
                      <w:color w:val="auto"/>
                      <w:highlight w:val="none"/>
                    </w:rPr>
                    <w:t>6.00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84" w:type="dxa"/>
                  <w:noWrap w:val="0"/>
                  <w:vAlign w:val="center"/>
                </w:tcPr>
                <w:p>
                  <w:pPr>
                    <w:widowControl/>
                    <w:jc w:val="center"/>
                    <w:textAlignment w:val="center"/>
                    <w:rPr>
                      <w:color w:val="auto"/>
                      <w:szCs w:val="21"/>
                      <w:highlight w:val="none"/>
                    </w:rPr>
                  </w:pPr>
                  <w:r>
                    <w:rPr>
                      <w:color w:val="auto"/>
                      <w:kern w:val="0"/>
                      <w:szCs w:val="21"/>
                      <w:highlight w:val="none"/>
                      <w:lang w:bidi="ar"/>
                    </w:rPr>
                    <w:t>150</w:t>
                  </w:r>
                </w:p>
              </w:tc>
              <w:tc>
                <w:tcPr>
                  <w:tcW w:w="914" w:type="dxa"/>
                  <w:noWrap w:val="0"/>
                  <w:vAlign w:val="center"/>
                </w:tcPr>
                <w:p>
                  <w:pPr>
                    <w:widowControl/>
                    <w:jc w:val="center"/>
                    <w:textAlignment w:val="center"/>
                    <w:rPr>
                      <w:color w:val="auto"/>
                      <w:szCs w:val="21"/>
                      <w:highlight w:val="none"/>
                    </w:rPr>
                  </w:pPr>
                  <w:r>
                    <w:rPr>
                      <w:rFonts w:hint="eastAsia"/>
                      <w:color w:val="auto"/>
                      <w:highlight w:val="none"/>
                    </w:rPr>
                    <w:t>43.352</w:t>
                  </w:r>
                </w:p>
              </w:tc>
              <w:tc>
                <w:tcPr>
                  <w:tcW w:w="751" w:type="dxa"/>
                  <w:noWrap w:val="0"/>
                  <w:vAlign w:val="center"/>
                </w:tcPr>
                <w:p>
                  <w:pPr>
                    <w:widowControl/>
                    <w:jc w:val="center"/>
                    <w:textAlignment w:val="center"/>
                    <w:rPr>
                      <w:color w:val="auto"/>
                      <w:szCs w:val="21"/>
                      <w:highlight w:val="none"/>
                    </w:rPr>
                  </w:pPr>
                  <w:r>
                    <w:rPr>
                      <w:rFonts w:hint="eastAsia"/>
                      <w:color w:val="auto"/>
                      <w:highlight w:val="none"/>
                    </w:rPr>
                    <w:t>4.80</w:t>
                  </w:r>
                </w:p>
              </w:tc>
              <w:tc>
                <w:tcPr>
                  <w:tcW w:w="1048" w:type="dxa"/>
                  <w:noWrap w:val="0"/>
                  <w:vAlign w:val="center"/>
                </w:tcPr>
                <w:p>
                  <w:pPr>
                    <w:widowControl/>
                    <w:jc w:val="center"/>
                    <w:textAlignment w:val="center"/>
                    <w:rPr>
                      <w:color w:val="auto"/>
                      <w:szCs w:val="21"/>
                      <w:highlight w:val="none"/>
                    </w:rPr>
                  </w:pPr>
                  <w:r>
                    <w:rPr>
                      <w:rFonts w:hint="eastAsia"/>
                      <w:color w:val="auto"/>
                      <w:highlight w:val="none"/>
                    </w:rPr>
                    <w:t>43.352</w:t>
                  </w:r>
                </w:p>
              </w:tc>
              <w:tc>
                <w:tcPr>
                  <w:tcW w:w="751" w:type="dxa"/>
                  <w:noWrap w:val="0"/>
                  <w:vAlign w:val="center"/>
                </w:tcPr>
                <w:p>
                  <w:pPr>
                    <w:widowControl/>
                    <w:jc w:val="center"/>
                    <w:textAlignment w:val="center"/>
                    <w:rPr>
                      <w:color w:val="auto"/>
                      <w:szCs w:val="21"/>
                      <w:highlight w:val="none"/>
                    </w:rPr>
                  </w:pPr>
                  <w:r>
                    <w:rPr>
                      <w:rFonts w:hint="eastAsia"/>
                      <w:color w:val="auto"/>
                      <w:highlight w:val="none"/>
                    </w:rPr>
                    <w:t>4.80</w:t>
                  </w:r>
                </w:p>
              </w:tc>
              <w:tc>
                <w:tcPr>
                  <w:tcW w:w="961" w:type="dxa"/>
                  <w:noWrap w:val="0"/>
                  <w:vAlign w:val="center"/>
                </w:tcPr>
                <w:p>
                  <w:pPr>
                    <w:widowControl/>
                    <w:jc w:val="center"/>
                    <w:textAlignment w:val="center"/>
                    <w:rPr>
                      <w:rFonts w:hint="eastAsia" w:eastAsia="宋体"/>
                      <w:color w:val="auto"/>
                      <w:kern w:val="0"/>
                      <w:szCs w:val="21"/>
                      <w:highlight w:val="none"/>
                      <w:lang w:eastAsia="zh-CN" w:bidi="ar"/>
                    </w:rPr>
                  </w:pPr>
                  <w:r>
                    <w:rPr>
                      <w:rFonts w:hint="eastAsia"/>
                      <w:color w:val="auto"/>
                      <w:highlight w:val="none"/>
                    </w:rPr>
                    <w:t>0.10</w:t>
                  </w:r>
                  <w:r>
                    <w:rPr>
                      <w:rFonts w:hint="eastAsia"/>
                      <w:color w:val="auto"/>
                      <w:highlight w:val="none"/>
                      <w:lang w:val="en-US" w:eastAsia="zh-CN"/>
                    </w:rPr>
                    <w:t>8</w:t>
                  </w:r>
                </w:p>
              </w:tc>
              <w:tc>
                <w:tcPr>
                  <w:tcW w:w="838" w:type="dxa"/>
                  <w:noWrap w:val="0"/>
                  <w:vAlign w:val="center"/>
                </w:tcPr>
                <w:p>
                  <w:pPr>
                    <w:widowControl/>
                    <w:jc w:val="center"/>
                    <w:textAlignment w:val="center"/>
                    <w:rPr>
                      <w:color w:val="auto"/>
                      <w:kern w:val="0"/>
                      <w:szCs w:val="21"/>
                      <w:highlight w:val="none"/>
                      <w:lang w:bidi="ar"/>
                    </w:rPr>
                  </w:pPr>
                  <w:r>
                    <w:rPr>
                      <w:rFonts w:hint="eastAsia"/>
                      <w:color w:val="auto"/>
                      <w:highlight w:val="none"/>
                    </w:rPr>
                    <w:t>0.00</w:t>
                  </w:r>
                </w:p>
              </w:tc>
              <w:tc>
                <w:tcPr>
                  <w:tcW w:w="1048" w:type="dxa"/>
                  <w:noWrap w:val="0"/>
                  <w:vAlign w:val="center"/>
                </w:tcPr>
                <w:p>
                  <w:pPr>
                    <w:widowControl/>
                    <w:jc w:val="center"/>
                    <w:textAlignment w:val="center"/>
                    <w:rPr>
                      <w:color w:val="auto"/>
                      <w:kern w:val="0"/>
                      <w:szCs w:val="21"/>
                      <w:highlight w:val="none"/>
                      <w:lang w:bidi="ar"/>
                    </w:rPr>
                  </w:pPr>
                  <w:r>
                    <w:rPr>
                      <w:rFonts w:hint="eastAsia"/>
                      <w:color w:val="auto"/>
                      <w:highlight w:val="none"/>
                    </w:rPr>
                    <w:t>0.000361819</w:t>
                  </w:r>
                </w:p>
              </w:tc>
              <w:tc>
                <w:tcPr>
                  <w:tcW w:w="751" w:type="dxa"/>
                  <w:noWrap w:val="0"/>
                  <w:vAlign w:val="center"/>
                </w:tcPr>
                <w:p>
                  <w:pPr>
                    <w:widowControl/>
                    <w:jc w:val="center"/>
                    <w:textAlignment w:val="center"/>
                    <w:rPr>
                      <w:color w:val="auto"/>
                      <w:kern w:val="0"/>
                      <w:szCs w:val="21"/>
                      <w:highlight w:val="none"/>
                      <w:lang w:bidi="ar"/>
                    </w:rPr>
                  </w:pPr>
                  <w:r>
                    <w:rPr>
                      <w:rFonts w:hint="eastAsia"/>
                      <w:color w:val="auto"/>
                      <w:highlight w:val="none"/>
                    </w:rPr>
                    <w:t>4.80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884" w:type="dxa"/>
                  <w:noWrap w:val="0"/>
                  <w:vAlign w:val="center"/>
                </w:tcPr>
                <w:p>
                  <w:pPr>
                    <w:widowControl/>
                    <w:jc w:val="center"/>
                    <w:textAlignment w:val="center"/>
                    <w:rPr>
                      <w:color w:val="auto"/>
                      <w:szCs w:val="21"/>
                      <w:highlight w:val="none"/>
                    </w:rPr>
                  </w:pPr>
                  <w:r>
                    <w:rPr>
                      <w:color w:val="auto"/>
                      <w:kern w:val="0"/>
                      <w:szCs w:val="21"/>
                      <w:highlight w:val="none"/>
                      <w:lang w:bidi="ar"/>
                    </w:rPr>
                    <w:t>175</w:t>
                  </w:r>
                </w:p>
              </w:tc>
              <w:tc>
                <w:tcPr>
                  <w:tcW w:w="914" w:type="dxa"/>
                  <w:noWrap w:val="0"/>
                  <w:vAlign w:val="center"/>
                </w:tcPr>
                <w:p>
                  <w:pPr>
                    <w:widowControl/>
                    <w:jc w:val="center"/>
                    <w:textAlignment w:val="center"/>
                    <w:rPr>
                      <w:color w:val="auto"/>
                      <w:szCs w:val="21"/>
                      <w:highlight w:val="none"/>
                    </w:rPr>
                  </w:pPr>
                  <w:r>
                    <w:rPr>
                      <w:rFonts w:hint="eastAsia"/>
                      <w:color w:val="auto"/>
                      <w:highlight w:val="none"/>
                    </w:rPr>
                    <w:t>37.236</w:t>
                  </w:r>
                </w:p>
              </w:tc>
              <w:tc>
                <w:tcPr>
                  <w:tcW w:w="751" w:type="dxa"/>
                  <w:noWrap w:val="0"/>
                  <w:vAlign w:val="center"/>
                </w:tcPr>
                <w:p>
                  <w:pPr>
                    <w:widowControl/>
                    <w:jc w:val="center"/>
                    <w:textAlignment w:val="center"/>
                    <w:rPr>
                      <w:color w:val="auto"/>
                      <w:szCs w:val="21"/>
                      <w:highlight w:val="none"/>
                    </w:rPr>
                  </w:pPr>
                  <w:r>
                    <w:rPr>
                      <w:rFonts w:hint="eastAsia"/>
                      <w:color w:val="auto"/>
                      <w:highlight w:val="none"/>
                    </w:rPr>
                    <w:t>4.10</w:t>
                  </w:r>
                </w:p>
              </w:tc>
              <w:tc>
                <w:tcPr>
                  <w:tcW w:w="1048" w:type="dxa"/>
                  <w:noWrap w:val="0"/>
                  <w:vAlign w:val="center"/>
                </w:tcPr>
                <w:p>
                  <w:pPr>
                    <w:widowControl/>
                    <w:jc w:val="center"/>
                    <w:textAlignment w:val="center"/>
                    <w:rPr>
                      <w:color w:val="auto"/>
                      <w:szCs w:val="21"/>
                      <w:highlight w:val="none"/>
                    </w:rPr>
                  </w:pPr>
                  <w:r>
                    <w:rPr>
                      <w:rFonts w:hint="eastAsia"/>
                      <w:color w:val="auto"/>
                      <w:highlight w:val="none"/>
                    </w:rPr>
                    <w:t>37.236</w:t>
                  </w:r>
                </w:p>
              </w:tc>
              <w:tc>
                <w:tcPr>
                  <w:tcW w:w="751" w:type="dxa"/>
                  <w:noWrap w:val="0"/>
                  <w:vAlign w:val="center"/>
                </w:tcPr>
                <w:p>
                  <w:pPr>
                    <w:widowControl/>
                    <w:jc w:val="center"/>
                    <w:textAlignment w:val="center"/>
                    <w:rPr>
                      <w:color w:val="auto"/>
                      <w:szCs w:val="21"/>
                      <w:highlight w:val="none"/>
                    </w:rPr>
                  </w:pPr>
                  <w:r>
                    <w:rPr>
                      <w:rFonts w:hint="eastAsia"/>
                      <w:color w:val="auto"/>
                      <w:highlight w:val="none"/>
                    </w:rPr>
                    <w:t>4.10</w:t>
                  </w:r>
                </w:p>
              </w:tc>
              <w:tc>
                <w:tcPr>
                  <w:tcW w:w="961" w:type="dxa"/>
                  <w:noWrap w:val="0"/>
                  <w:vAlign w:val="center"/>
                </w:tcPr>
                <w:p>
                  <w:pPr>
                    <w:widowControl/>
                    <w:jc w:val="center"/>
                    <w:textAlignment w:val="center"/>
                    <w:rPr>
                      <w:rFonts w:hint="eastAsia" w:eastAsia="宋体"/>
                      <w:color w:val="auto"/>
                      <w:kern w:val="0"/>
                      <w:szCs w:val="21"/>
                      <w:highlight w:val="none"/>
                      <w:lang w:eastAsia="zh-CN" w:bidi="ar"/>
                    </w:rPr>
                  </w:pPr>
                  <w:r>
                    <w:rPr>
                      <w:rFonts w:hint="eastAsia"/>
                      <w:color w:val="auto"/>
                      <w:highlight w:val="none"/>
                    </w:rPr>
                    <w:t>0.092</w:t>
                  </w:r>
                  <w:r>
                    <w:rPr>
                      <w:rFonts w:hint="eastAsia"/>
                      <w:color w:val="auto"/>
                      <w:highlight w:val="none"/>
                      <w:lang w:val="en-US" w:eastAsia="zh-CN"/>
                    </w:rPr>
                    <w:t>2</w:t>
                  </w:r>
                </w:p>
              </w:tc>
              <w:tc>
                <w:tcPr>
                  <w:tcW w:w="838" w:type="dxa"/>
                  <w:noWrap w:val="0"/>
                  <w:vAlign w:val="center"/>
                </w:tcPr>
                <w:p>
                  <w:pPr>
                    <w:widowControl/>
                    <w:jc w:val="center"/>
                    <w:textAlignment w:val="center"/>
                    <w:rPr>
                      <w:color w:val="auto"/>
                      <w:kern w:val="0"/>
                      <w:szCs w:val="21"/>
                      <w:highlight w:val="none"/>
                      <w:lang w:bidi="ar"/>
                    </w:rPr>
                  </w:pPr>
                  <w:r>
                    <w:rPr>
                      <w:rFonts w:hint="eastAsia"/>
                      <w:color w:val="auto"/>
                      <w:highlight w:val="none"/>
                    </w:rPr>
                    <w:t>0.00</w:t>
                  </w:r>
                </w:p>
              </w:tc>
              <w:tc>
                <w:tcPr>
                  <w:tcW w:w="1048" w:type="dxa"/>
                  <w:noWrap w:val="0"/>
                  <w:vAlign w:val="center"/>
                </w:tcPr>
                <w:p>
                  <w:pPr>
                    <w:widowControl/>
                    <w:jc w:val="center"/>
                    <w:textAlignment w:val="center"/>
                    <w:rPr>
                      <w:color w:val="auto"/>
                      <w:kern w:val="0"/>
                      <w:szCs w:val="21"/>
                      <w:highlight w:val="none"/>
                      <w:lang w:bidi="ar"/>
                    </w:rPr>
                  </w:pPr>
                  <w:r>
                    <w:rPr>
                      <w:rFonts w:hint="eastAsia"/>
                      <w:color w:val="auto"/>
                      <w:highlight w:val="none"/>
                    </w:rPr>
                    <w:t>0.000309375</w:t>
                  </w:r>
                </w:p>
              </w:tc>
              <w:tc>
                <w:tcPr>
                  <w:tcW w:w="751" w:type="dxa"/>
                  <w:noWrap w:val="0"/>
                  <w:vAlign w:val="center"/>
                </w:tcPr>
                <w:p>
                  <w:pPr>
                    <w:widowControl/>
                    <w:jc w:val="center"/>
                    <w:textAlignment w:val="center"/>
                    <w:rPr>
                      <w:color w:val="auto"/>
                      <w:kern w:val="0"/>
                      <w:szCs w:val="21"/>
                      <w:highlight w:val="none"/>
                      <w:lang w:bidi="ar"/>
                    </w:rPr>
                  </w:pPr>
                  <w:r>
                    <w:rPr>
                      <w:rFonts w:hint="eastAsia"/>
                      <w:color w:val="auto"/>
                      <w:highlight w:val="none"/>
                    </w:rPr>
                    <w:t>4.10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84" w:type="dxa"/>
                  <w:noWrap w:val="0"/>
                  <w:vAlign w:val="center"/>
                </w:tcPr>
                <w:p>
                  <w:pPr>
                    <w:widowControl/>
                    <w:jc w:val="center"/>
                    <w:textAlignment w:val="center"/>
                    <w:rPr>
                      <w:color w:val="auto"/>
                      <w:szCs w:val="21"/>
                      <w:highlight w:val="none"/>
                    </w:rPr>
                  </w:pPr>
                  <w:r>
                    <w:rPr>
                      <w:color w:val="auto"/>
                      <w:szCs w:val="21"/>
                      <w:highlight w:val="none"/>
                    </w:rPr>
                    <w:t>200</w:t>
                  </w:r>
                </w:p>
              </w:tc>
              <w:tc>
                <w:tcPr>
                  <w:tcW w:w="914" w:type="dxa"/>
                  <w:noWrap w:val="0"/>
                  <w:vAlign w:val="center"/>
                </w:tcPr>
                <w:p>
                  <w:pPr>
                    <w:widowControl/>
                    <w:jc w:val="center"/>
                    <w:textAlignment w:val="center"/>
                    <w:rPr>
                      <w:color w:val="auto"/>
                      <w:szCs w:val="21"/>
                      <w:highlight w:val="none"/>
                    </w:rPr>
                  </w:pPr>
                  <w:r>
                    <w:rPr>
                      <w:rFonts w:hint="eastAsia"/>
                      <w:color w:val="auto"/>
                      <w:highlight w:val="none"/>
                    </w:rPr>
                    <w:t>33.243</w:t>
                  </w:r>
                </w:p>
              </w:tc>
              <w:tc>
                <w:tcPr>
                  <w:tcW w:w="751" w:type="dxa"/>
                  <w:noWrap w:val="0"/>
                  <w:vAlign w:val="center"/>
                </w:tcPr>
                <w:p>
                  <w:pPr>
                    <w:widowControl/>
                    <w:jc w:val="center"/>
                    <w:textAlignment w:val="center"/>
                    <w:rPr>
                      <w:color w:val="auto"/>
                      <w:szCs w:val="21"/>
                      <w:highlight w:val="none"/>
                    </w:rPr>
                  </w:pPr>
                  <w:r>
                    <w:rPr>
                      <w:rFonts w:hint="eastAsia"/>
                      <w:color w:val="auto"/>
                      <w:highlight w:val="none"/>
                    </w:rPr>
                    <w:t>3.70</w:t>
                  </w:r>
                </w:p>
              </w:tc>
              <w:tc>
                <w:tcPr>
                  <w:tcW w:w="1048" w:type="dxa"/>
                  <w:noWrap w:val="0"/>
                  <w:vAlign w:val="center"/>
                </w:tcPr>
                <w:p>
                  <w:pPr>
                    <w:widowControl/>
                    <w:jc w:val="center"/>
                    <w:textAlignment w:val="center"/>
                    <w:rPr>
                      <w:color w:val="auto"/>
                      <w:szCs w:val="21"/>
                      <w:highlight w:val="none"/>
                    </w:rPr>
                  </w:pPr>
                  <w:r>
                    <w:rPr>
                      <w:rFonts w:hint="eastAsia"/>
                      <w:color w:val="auto"/>
                      <w:highlight w:val="none"/>
                    </w:rPr>
                    <w:t>33.243</w:t>
                  </w:r>
                </w:p>
              </w:tc>
              <w:tc>
                <w:tcPr>
                  <w:tcW w:w="751" w:type="dxa"/>
                  <w:noWrap w:val="0"/>
                  <w:vAlign w:val="center"/>
                </w:tcPr>
                <w:p>
                  <w:pPr>
                    <w:widowControl/>
                    <w:jc w:val="center"/>
                    <w:textAlignment w:val="center"/>
                    <w:rPr>
                      <w:color w:val="auto"/>
                      <w:szCs w:val="21"/>
                      <w:highlight w:val="none"/>
                    </w:rPr>
                  </w:pPr>
                  <w:r>
                    <w:rPr>
                      <w:rFonts w:hint="eastAsia"/>
                      <w:color w:val="auto"/>
                      <w:highlight w:val="none"/>
                    </w:rPr>
                    <w:t>3.70</w:t>
                  </w:r>
                </w:p>
              </w:tc>
              <w:tc>
                <w:tcPr>
                  <w:tcW w:w="961" w:type="dxa"/>
                  <w:noWrap w:val="0"/>
                  <w:vAlign w:val="center"/>
                </w:tcPr>
                <w:p>
                  <w:pPr>
                    <w:widowControl/>
                    <w:jc w:val="center"/>
                    <w:textAlignment w:val="center"/>
                    <w:rPr>
                      <w:rFonts w:hint="eastAsia" w:eastAsia="宋体"/>
                      <w:color w:val="auto"/>
                      <w:kern w:val="0"/>
                      <w:szCs w:val="21"/>
                      <w:highlight w:val="none"/>
                      <w:lang w:eastAsia="zh-CN" w:bidi="ar"/>
                    </w:rPr>
                  </w:pPr>
                  <w:r>
                    <w:rPr>
                      <w:rFonts w:hint="eastAsia"/>
                      <w:color w:val="auto"/>
                      <w:highlight w:val="none"/>
                    </w:rPr>
                    <w:t>0.083</w:t>
                  </w:r>
                  <w:r>
                    <w:rPr>
                      <w:rFonts w:hint="eastAsia"/>
                      <w:color w:val="auto"/>
                      <w:highlight w:val="none"/>
                      <w:lang w:val="en-US" w:eastAsia="zh-CN"/>
                    </w:rPr>
                    <w:t>9</w:t>
                  </w:r>
                </w:p>
              </w:tc>
              <w:tc>
                <w:tcPr>
                  <w:tcW w:w="838" w:type="dxa"/>
                  <w:noWrap w:val="0"/>
                  <w:vAlign w:val="center"/>
                </w:tcPr>
                <w:p>
                  <w:pPr>
                    <w:widowControl/>
                    <w:jc w:val="center"/>
                    <w:textAlignment w:val="center"/>
                    <w:rPr>
                      <w:color w:val="auto"/>
                      <w:kern w:val="0"/>
                      <w:szCs w:val="21"/>
                      <w:highlight w:val="none"/>
                      <w:lang w:bidi="ar"/>
                    </w:rPr>
                  </w:pPr>
                  <w:r>
                    <w:rPr>
                      <w:rFonts w:hint="eastAsia"/>
                      <w:color w:val="auto"/>
                      <w:highlight w:val="none"/>
                    </w:rPr>
                    <w:t>0.00</w:t>
                  </w:r>
                </w:p>
              </w:tc>
              <w:tc>
                <w:tcPr>
                  <w:tcW w:w="1048" w:type="dxa"/>
                  <w:noWrap w:val="0"/>
                  <w:vAlign w:val="center"/>
                </w:tcPr>
                <w:p>
                  <w:pPr>
                    <w:widowControl/>
                    <w:jc w:val="center"/>
                    <w:textAlignment w:val="center"/>
                    <w:rPr>
                      <w:color w:val="auto"/>
                      <w:kern w:val="0"/>
                      <w:szCs w:val="21"/>
                      <w:highlight w:val="none"/>
                      <w:lang w:bidi="ar"/>
                    </w:rPr>
                  </w:pPr>
                  <w:r>
                    <w:rPr>
                      <w:rFonts w:hint="eastAsia"/>
                      <w:color w:val="auto"/>
                      <w:highlight w:val="none"/>
                    </w:rPr>
                    <w:t>0.000281482</w:t>
                  </w:r>
                </w:p>
              </w:tc>
              <w:tc>
                <w:tcPr>
                  <w:tcW w:w="751" w:type="dxa"/>
                  <w:noWrap w:val="0"/>
                  <w:vAlign w:val="center"/>
                </w:tcPr>
                <w:p>
                  <w:pPr>
                    <w:widowControl/>
                    <w:jc w:val="center"/>
                    <w:textAlignment w:val="center"/>
                    <w:rPr>
                      <w:color w:val="auto"/>
                      <w:kern w:val="0"/>
                      <w:szCs w:val="21"/>
                      <w:highlight w:val="none"/>
                      <w:lang w:bidi="ar"/>
                    </w:rPr>
                  </w:pPr>
                  <w:r>
                    <w:rPr>
                      <w:rFonts w:hint="eastAsia"/>
                      <w:color w:val="auto"/>
                      <w:highlight w:val="none"/>
                    </w:rPr>
                    <w:t>3.80</w:t>
                  </w:r>
                </w:p>
              </w:tc>
            </w:tr>
          </w:tbl>
          <w:p>
            <w:pPr>
              <w:adjustRightInd w:val="0"/>
              <w:snapToGrid w:val="0"/>
              <w:spacing w:line="360" w:lineRule="auto"/>
              <w:rPr>
                <w:rFonts w:hint="eastAsia"/>
                <w:snapToGrid w:val="0"/>
                <w:color w:val="auto"/>
                <w:kern w:val="0"/>
                <w:sz w:val="24"/>
                <w:highlight w:val="none"/>
              </w:rPr>
            </w:pPr>
            <w:r>
              <w:rPr>
                <w:color w:val="auto"/>
                <w:highlight w:val="none"/>
              </w:rPr>
              <w:drawing>
                <wp:inline distT="0" distB="0" distL="114300" distR="114300">
                  <wp:extent cx="5282565" cy="739140"/>
                  <wp:effectExtent l="0" t="0" r="13335" b="3810"/>
                  <wp:docPr id="5"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6"/>
                          <pic:cNvPicPr>
                            <a:picLocks noChangeAspect="1"/>
                          </pic:cNvPicPr>
                        </pic:nvPicPr>
                        <pic:blipFill>
                          <a:blip r:embed="rId17"/>
                          <a:stretch>
                            <a:fillRect/>
                          </a:stretch>
                        </pic:blipFill>
                        <pic:spPr>
                          <a:xfrm>
                            <a:off x="0" y="0"/>
                            <a:ext cx="5282565" cy="739140"/>
                          </a:xfrm>
                          <a:prstGeom prst="rect">
                            <a:avLst/>
                          </a:prstGeom>
                          <a:noFill/>
                          <a:ln>
                            <a:noFill/>
                          </a:ln>
                        </pic:spPr>
                      </pic:pic>
                    </a:graphicData>
                  </a:graphic>
                </wp:inline>
              </w:drawing>
            </w:r>
          </w:p>
          <w:p>
            <w:pPr>
              <w:pStyle w:val="27"/>
              <w:tabs>
                <w:tab w:val="left" w:pos="0"/>
              </w:tabs>
              <w:jc w:val="center"/>
              <w:rPr>
                <w:rFonts w:hint="eastAsia"/>
                <w:color w:val="auto"/>
                <w:highlight w:val="none"/>
              </w:rPr>
            </w:pPr>
            <w:r>
              <w:rPr>
                <w:rFonts w:hint="eastAsia" w:ascii="黑体" w:hAnsi="黑体" w:eastAsia="黑体" w:cs="黑体"/>
                <w:color w:val="auto"/>
                <w:highlight w:val="none"/>
              </w:rPr>
              <w:t>图4-3 主要无组织污染源估算模型计算结果图</w:t>
            </w:r>
          </w:p>
          <w:p>
            <w:pPr>
              <w:spacing w:line="360" w:lineRule="auto"/>
              <w:ind w:firstLine="480" w:firstLineChars="200"/>
              <w:jc w:val="left"/>
              <w:rPr>
                <w:snapToGrid w:val="0"/>
                <w:color w:val="auto"/>
                <w:kern w:val="0"/>
                <w:sz w:val="24"/>
                <w:highlight w:val="none"/>
              </w:rPr>
            </w:pPr>
            <w:r>
              <w:rPr>
                <w:rFonts w:hint="eastAsia"/>
                <w:color w:val="auto"/>
                <w:sz w:val="24"/>
                <w:highlight w:val="none"/>
              </w:rPr>
              <w:t>由以上结果可知，原料堆场无组织排放最大浓度落地点为54m，占标率为9.08%，最大落地浓度为81.675ug/m</w:t>
            </w:r>
            <w:r>
              <w:rPr>
                <w:rFonts w:hint="eastAsia"/>
                <w:color w:val="auto"/>
                <w:sz w:val="24"/>
                <w:highlight w:val="none"/>
                <w:vertAlign w:val="superscript"/>
              </w:rPr>
              <w:t>3</w:t>
            </w:r>
            <w:r>
              <w:rPr>
                <w:rFonts w:hint="eastAsia"/>
                <w:color w:val="auto"/>
                <w:sz w:val="24"/>
                <w:highlight w:val="none"/>
              </w:rPr>
              <w:t>；搅拌楼无组织排放最大浓度落地点为36m，占标率非甲烷总烃为0.0</w:t>
            </w:r>
            <w:r>
              <w:rPr>
                <w:rFonts w:hint="eastAsia"/>
                <w:color w:val="auto"/>
                <w:sz w:val="24"/>
                <w:highlight w:val="none"/>
                <w:lang w:val="en-US" w:eastAsia="zh-CN"/>
              </w:rPr>
              <w:t>1</w:t>
            </w:r>
            <w:r>
              <w:rPr>
                <w:rFonts w:hint="eastAsia"/>
                <w:color w:val="auto"/>
                <w:sz w:val="24"/>
                <w:highlight w:val="none"/>
              </w:rPr>
              <w:t>%，最大落地浓度为0.214ug/m</w:t>
            </w:r>
            <w:r>
              <w:rPr>
                <w:rFonts w:hint="eastAsia"/>
                <w:color w:val="auto"/>
                <w:sz w:val="24"/>
                <w:highlight w:val="none"/>
                <w:vertAlign w:val="superscript"/>
              </w:rPr>
              <w:t>3</w:t>
            </w:r>
            <w:r>
              <w:rPr>
                <w:rFonts w:hint="eastAsia"/>
                <w:color w:val="auto"/>
                <w:sz w:val="24"/>
                <w:highlight w:val="none"/>
              </w:rPr>
              <w:t>，占标率苯并芘为9.56%，最大落地浓度为0.000717ug/m</w:t>
            </w:r>
            <w:r>
              <w:rPr>
                <w:rFonts w:hint="eastAsia"/>
                <w:color w:val="auto"/>
                <w:sz w:val="24"/>
                <w:highlight w:val="none"/>
                <w:vertAlign w:val="superscript"/>
              </w:rPr>
              <w:t>3</w:t>
            </w:r>
            <w:r>
              <w:rPr>
                <w:rFonts w:hint="eastAsia"/>
                <w:color w:val="auto"/>
                <w:sz w:val="24"/>
                <w:highlight w:val="none"/>
              </w:rPr>
              <w:t>；</w:t>
            </w:r>
            <w:r>
              <w:rPr>
                <w:rFonts w:hint="eastAsia"/>
                <w:snapToGrid w:val="0"/>
                <w:color w:val="auto"/>
                <w:kern w:val="0"/>
                <w:sz w:val="24"/>
                <w:highlight w:val="none"/>
              </w:rPr>
              <w:t>项目大气环境影响评价范围及其中的各敏感点的TSP的小时浓度贡献值均可达《环境空气质量标准》（GB3095-2012）（2018年修改）中的二级标准限值要求，各敏感点的苯并芘[a]的小时浓度贡献值均可达《环境空气质量标准》（GB3095-2012）（2018年修改）中的二级标准限值要求，TVOC可达《环境影响评价技术导则 大气环境》（HJ2.2-2018）中的标准限值要求。由上文说明，本项目营运期无组织</w:t>
            </w:r>
            <w:r>
              <w:rPr>
                <w:snapToGrid w:val="0"/>
                <w:color w:val="auto"/>
                <w:kern w:val="0"/>
                <w:sz w:val="24"/>
                <w:highlight w:val="none"/>
              </w:rPr>
              <w:t>废气</w:t>
            </w:r>
            <w:r>
              <w:rPr>
                <w:rFonts w:hint="eastAsia"/>
                <w:snapToGrid w:val="0"/>
                <w:color w:val="auto"/>
                <w:kern w:val="0"/>
                <w:sz w:val="24"/>
                <w:highlight w:val="none"/>
              </w:rPr>
              <w:t>经采取治理措施后，均能实现达标排放。</w:t>
            </w:r>
          </w:p>
          <w:p>
            <w:pPr>
              <w:adjustRightInd w:val="0"/>
              <w:snapToGrid w:val="0"/>
              <w:spacing w:line="360" w:lineRule="auto"/>
              <w:ind w:firstLine="480" w:firstLineChars="200"/>
              <w:rPr>
                <w:rFonts w:hint="eastAsia"/>
                <w:snapToGrid w:val="0"/>
                <w:color w:val="auto"/>
                <w:kern w:val="0"/>
                <w:sz w:val="24"/>
                <w:highlight w:val="none"/>
              </w:rPr>
            </w:pPr>
            <w:r>
              <w:rPr>
                <w:rFonts w:hint="eastAsia"/>
                <w:snapToGrid w:val="0"/>
                <w:color w:val="auto"/>
                <w:kern w:val="0"/>
                <w:sz w:val="24"/>
                <w:highlight w:val="none"/>
              </w:rPr>
              <w:t>综上，本项目有组织及无组织排放的污染物无超标点，即本项目的厂界有组织、无组织监控点浓度及附近区域环境质量均能达到相应评价标准，无需设置大气环境防护距离。</w:t>
            </w:r>
          </w:p>
          <w:p>
            <w:pPr>
              <w:adjustRightInd w:val="0"/>
              <w:snapToGrid w:val="0"/>
              <w:spacing w:line="360" w:lineRule="auto"/>
              <w:ind w:firstLine="480" w:firstLineChars="200"/>
              <w:rPr>
                <w:snapToGrid w:val="0"/>
                <w:color w:val="auto"/>
                <w:kern w:val="0"/>
                <w:sz w:val="24"/>
                <w:highlight w:val="none"/>
              </w:rPr>
            </w:pPr>
            <w:r>
              <w:rPr>
                <w:rFonts w:hint="eastAsia"/>
                <w:snapToGrid w:val="0"/>
                <w:color w:val="auto"/>
                <w:kern w:val="0"/>
                <w:sz w:val="24"/>
                <w:highlight w:val="none"/>
              </w:rPr>
              <w:t>5</w:t>
            </w:r>
            <w:r>
              <w:rPr>
                <w:snapToGrid w:val="0"/>
                <w:color w:val="auto"/>
                <w:kern w:val="0"/>
                <w:sz w:val="24"/>
                <w:highlight w:val="none"/>
              </w:rPr>
              <w:t>、卫生防护距离</w:t>
            </w:r>
          </w:p>
          <w:p>
            <w:pPr>
              <w:pStyle w:val="50"/>
              <w:snapToGrid w:val="0"/>
              <w:rPr>
                <w:rFonts w:ascii="Times New Roman" w:hAnsi="Times New Roman"/>
                <w:color w:val="auto"/>
                <w:szCs w:val="24"/>
                <w:highlight w:val="none"/>
              </w:rPr>
            </w:pPr>
            <w:r>
              <w:rPr>
                <w:rFonts w:ascii="Times New Roman" w:hAnsi="Times New Roman"/>
                <w:color w:val="auto"/>
                <w:szCs w:val="24"/>
                <w:highlight w:val="none"/>
              </w:rPr>
              <w:t>根据《大气有害物质无组织排放卫生防护距离推导技术导则》（GB/T39499-2020）中有害气体无组织排放控制与工业企业卫生防护距离标准的制定方法，工业企业卫生防护距离按下式计算：</w:t>
            </w:r>
          </w:p>
          <w:p>
            <w:pPr>
              <w:spacing w:line="360" w:lineRule="auto"/>
              <w:ind w:firstLine="480"/>
              <w:jc w:val="center"/>
              <w:rPr>
                <w:color w:val="auto"/>
                <w:sz w:val="24"/>
                <w:highlight w:val="none"/>
              </w:rPr>
            </w:pPr>
            <w:r>
              <w:rPr>
                <w:color w:val="auto"/>
                <w:position w:val="-30"/>
                <w:sz w:val="24"/>
                <w:highlight w:val="none"/>
              </w:rPr>
              <w:object>
                <v:shape id="_x0000_i1041" o:spt="75" type="#_x0000_t75" style="height:34.1pt;width:138.3pt;" o:ole="t" filled="f" o:preferrelative="t" stroked="f" coordsize="21600,21600">
                  <v:path/>
                  <v:fill on="f" focussize="0,0"/>
                  <v:stroke on="f"/>
                  <v:imagedata r:id="rId19" o:title=""/>
                  <o:lock v:ext="edit" aspectratio="t"/>
                  <w10:wrap type="none"/>
                  <w10:anchorlock/>
                </v:shape>
                <o:OLEObject Type="Embed" ProgID="Equation.KSEE3" ShapeID="_x0000_i1041" DrawAspect="Content" ObjectID="_1468075728" r:id="rId18">
                  <o:LockedField>false</o:LockedField>
                </o:OLEObject>
              </w:object>
            </w:r>
          </w:p>
          <w:p>
            <w:pPr>
              <w:pStyle w:val="50"/>
              <w:snapToGrid w:val="0"/>
              <w:rPr>
                <w:rFonts w:ascii="Times New Roman" w:hAnsi="Times New Roman"/>
                <w:color w:val="auto"/>
                <w:szCs w:val="24"/>
                <w:highlight w:val="none"/>
              </w:rPr>
            </w:pPr>
            <w:r>
              <w:rPr>
                <w:rFonts w:ascii="Times New Roman" w:hAnsi="Times New Roman"/>
                <w:color w:val="auto"/>
                <w:szCs w:val="24"/>
                <w:highlight w:val="none"/>
              </w:rPr>
              <w:t>式中：C</w:t>
            </w:r>
            <w:r>
              <w:rPr>
                <w:rFonts w:ascii="Times New Roman" w:hAnsi="Times New Roman"/>
                <w:color w:val="auto"/>
                <w:szCs w:val="24"/>
                <w:highlight w:val="none"/>
                <w:vertAlign w:val="subscript"/>
              </w:rPr>
              <w:t>m</w:t>
            </w:r>
            <w:r>
              <w:rPr>
                <w:rFonts w:ascii="Times New Roman" w:hAnsi="Times New Roman"/>
                <w:color w:val="auto"/>
                <w:szCs w:val="24"/>
                <w:highlight w:val="none"/>
              </w:rPr>
              <w:t>——大气有害物质环境空气质量的标准限值，mg/m</w:t>
            </w:r>
            <w:r>
              <w:rPr>
                <w:rFonts w:ascii="Times New Roman" w:hAnsi="Times New Roman"/>
                <w:color w:val="auto"/>
                <w:szCs w:val="24"/>
                <w:highlight w:val="none"/>
                <w:vertAlign w:val="superscript"/>
              </w:rPr>
              <w:t>3</w:t>
            </w:r>
            <w:r>
              <w:rPr>
                <w:rFonts w:ascii="Times New Roman" w:hAnsi="Times New Roman"/>
                <w:color w:val="auto"/>
                <w:szCs w:val="24"/>
                <w:highlight w:val="none"/>
              </w:rPr>
              <w:t>；</w:t>
            </w:r>
          </w:p>
          <w:p>
            <w:pPr>
              <w:pStyle w:val="50"/>
              <w:snapToGrid w:val="0"/>
              <w:rPr>
                <w:rFonts w:ascii="Times New Roman" w:hAnsi="Times New Roman"/>
                <w:color w:val="auto"/>
                <w:szCs w:val="24"/>
                <w:highlight w:val="none"/>
              </w:rPr>
            </w:pPr>
            <w:r>
              <w:rPr>
                <w:rFonts w:ascii="Times New Roman" w:hAnsi="Times New Roman"/>
                <w:color w:val="auto"/>
                <w:szCs w:val="24"/>
                <w:highlight w:val="none"/>
              </w:rPr>
              <w:t>L ——大气有害物质卫生防护距离初值，m；</w:t>
            </w:r>
          </w:p>
          <w:p>
            <w:pPr>
              <w:pStyle w:val="50"/>
              <w:snapToGrid w:val="0"/>
              <w:rPr>
                <w:rFonts w:ascii="Times New Roman" w:hAnsi="Times New Roman"/>
                <w:color w:val="auto"/>
                <w:szCs w:val="24"/>
                <w:highlight w:val="none"/>
              </w:rPr>
            </w:pPr>
            <w:r>
              <w:rPr>
                <w:rFonts w:ascii="Times New Roman" w:hAnsi="Times New Roman"/>
                <w:color w:val="auto"/>
                <w:szCs w:val="24"/>
                <w:highlight w:val="none"/>
              </w:rPr>
              <w:t>r ——有害气体无组织排放源所在生产单元的等效半径，m；</w:t>
            </w:r>
          </w:p>
          <w:p>
            <w:pPr>
              <w:pStyle w:val="50"/>
              <w:snapToGrid w:val="0"/>
              <w:rPr>
                <w:rFonts w:ascii="Times New Roman" w:hAnsi="Times New Roman"/>
                <w:color w:val="auto"/>
                <w:szCs w:val="24"/>
                <w:highlight w:val="none"/>
              </w:rPr>
            </w:pPr>
            <w:r>
              <w:rPr>
                <w:rFonts w:ascii="Times New Roman" w:hAnsi="Times New Roman"/>
                <w:color w:val="auto"/>
                <w:szCs w:val="24"/>
                <w:highlight w:val="none"/>
              </w:rPr>
              <w:t>A、B、C、D ——卫生防护距离计算参数；</w:t>
            </w:r>
          </w:p>
          <w:p>
            <w:pPr>
              <w:pStyle w:val="50"/>
              <w:snapToGrid w:val="0"/>
              <w:rPr>
                <w:rFonts w:ascii="Times New Roman" w:hAnsi="Times New Roman"/>
                <w:color w:val="auto"/>
                <w:szCs w:val="24"/>
                <w:highlight w:val="none"/>
              </w:rPr>
            </w:pPr>
            <w:r>
              <w:rPr>
                <w:rFonts w:ascii="Times New Roman" w:hAnsi="Times New Roman"/>
                <w:color w:val="auto"/>
                <w:szCs w:val="24"/>
                <w:highlight w:val="none"/>
              </w:rPr>
              <w:t>Qc ——大气有害物质的无组织排放量，kg/h。</w:t>
            </w:r>
          </w:p>
          <w:p>
            <w:pPr>
              <w:pStyle w:val="50"/>
              <w:snapToGrid w:val="0"/>
              <w:rPr>
                <w:rFonts w:hint="eastAsia" w:ascii="Times New Roman" w:hAnsi="Times New Roman"/>
                <w:color w:val="auto"/>
                <w:szCs w:val="24"/>
                <w:highlight w:val="none"/>
              </w:rPr>
            </w:pPr>
            <w:r>
              <w:rPr>
                <w:rFonts w:ascii="Times New Roman" w:hAnsi="Times New Roman"/>
                <w:color w:val="auto"/>
                <w:szCs w:val="24"/>
                <w:highlight w:val="none"/>
              </w:rPr>
              <w:t>项目</w:t>
            </w:r>
            <w:r>
              <w:rPr>
                <w:rFonts w:hint="eastAsia" w:ascii="Times New Roman" w:hAnsi="Times New Roman"/>
                <w:color w:val="auto"/>
                <w:szCs w:val="24"/>
                <w:highlight w:val="none"/>
              </w:rPr>
              <w:t>改建后</w:t>
            </w:r>
            <w:r>
              <w:rPr>
                <w:rFonts w:ascii="Times New Roman" w:hAnsi="Times New Roman"/>
                <w:color w:val="auto"/>
                <w:szCs w:val="24"/>
                <w:highlight w:val="none"/>
              </w:rPr>
              <w:t>卫生防护距离计算</w:t>
            </w:r>
            <w:r>
              <w:rPr>
                <w:rFonts w:hint="eastAsia" w:ascii="Times New Roman" w:hAnsi="Times New Roman"/>
                <w:color w:val="auto"/>
                <w:szCs w:val="24"/>
                <w:highlight w:val="none"/>
              </w:rPr>
              <w:t>：</w:t>
            </w:r>
          </w:p>
          <w:p>
            <w:pPr>
              <w:pStyle w:val="50"/>
              <w:snapToGrid w:val="0"/>
              <w:rPr>
                <w:rFonts w:ascii="Times New Roman" w:hAnsi="Times New Roman"/>
                <w:color w:val="auto"/>
                <w:szCs w:val="24"/>
                <w:highlight w:val="none"/>
              </w:rPr>
            </w:pPr>
            <w:r>
              <w:rPr>
                <w:rFonts w:ascii="Times New Roman" w:hAnsi="Times New Roman"/>
                <w:color w:val="auto"/>
                <w:szCs w:val="24"/>
                <w:highlight w:val="none"/>
              </w:rPr>
              <w:t>项目</w:t>
            </w:r>
            <w:r>
              <w:rPr>
                <w:rFonts w:hint="eastAsia" w:ascii="Times New Roman" w:hAnsi="Times New Roman"/>
                <w:color w:val="auto"/>
                <w:szCs w:val="24"/>
                <w:highlight w:val="none"/>
              </w:rPr>
              <w:t>改建</w:t>
            </w:r>
            <w:r>
              <w:rPr>
                <w:rFonts w:ascii="Times New Roman" w:hAnsi="Times New Roman"/>
                <w:color w:val="auto"/>
                <w:szCs w:val="24"/>
                <w:highlight w:val="none"/>
              </w:rPr>
              <w:t>后，由于沥青混凝土拌和楼所有产污环节均采用有组织排放方式，无组织排放量减少，</w:t>
            </w:r>
            <w:r>
              <w:rPr>
                <w:rFonts w:hint="eastAsia" w:ascii="Times New Roman" w:hAnsi="Times New Roman"/>
                <w:color w:val="auto"/>
                <w:szCs w:val="24"/>
                <w:highlight w:val="none"/>
              </w:rPr>
              <w:t>改建</w:t>
            </w:r>
            <w:r>
              <w:rPr>
                <w:rFonts w:ascii="Times New Roman" w:hAnsi="Times New Roman"/>
                <w:color w:val="auto"/>
                <w:szCs w:val="24"/>
                <w:highlight w:val="none"/>
              </w:rPr>
              <w:t>后卫生防护距离计算结果见表</w:t>
            </w:r>
            <w:r>
              <w:rPr>
                <w:rFonts w:hint="eastAsia" w:ascii="Times New Roman" w:hAnsi="Times New Roman"/>
                <w:color w:val="auto"/>
                <w:szCs w:val="24"/>
                <w:highlight w:val="none"/>
              </w:rPr>
              <w:t>4-15</w:t>
            </w:r>
            <w:r>
              <w:rPr>
                <w:rFonts w:ascii="Times New Roman" w:hAnsi="Times New Roman"/>
                <w:color w:val="auto"/>
                <w:szCs w:val="24"/>
                <w:highlight w:val="none"/>
              </w:rPr>
              <w:t>。</w:t>
            </w:r>
          </w:p>
          <w:p>
            <w:pPr>
              <w:spacing w:before="120" w:beforeLines="50"/>
              <w:ind w:firstLine="482"/>
              <w:jc w:val="center"/>
              <w:rPr>
                <w:b/>
                <w:bCs/>
                <w:color w:val="auto"/>
                <w:sz w:val="24"/>
                <w:highlight w:val="none"/>
              </w:rPr>
            </w:pPr>
            <w:r>
              <w:rPr>
                <w:b/>
                <w:bCs/>
                <w:color w:val="auto"/>
                <w:sz w:val="24"/>
                <w:highlight w:val="none"/>
              </w:rPr>
              <w:t>表</w:t>
            </w:r>
            <w:r>
              <w:rPr>
                <w:rFonts w:hint="eastAsia"/>
                <w:b/>
                <w:bCs/>
                <w:color w:val="auto"/>
                <w:sz w:val="24"/>
                <w:highlight w:val="none"/>
              </w:rPr>
              <w:t>4-15 项目改建后</w:t>
            </w:r>
            <w:r>
              <w:rPr>
                <w:b/>
                <w:bCs/>
                <w:color w:val="auto"/>
                <w:sz w:val="24"/>
                <w:highlight w:val="none"/>
              </w:rPr>
              <w:t>卫生防护距离计算结果一览表</w:t>
            </w:r>
          </w:p>
          <w:tbl>
            <w:tblPr>
              <w:tblStyle w:val="39"/>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1216"/>
              <w:gridCol w:w="725"/>
              <w:gridCol w:w="1364"/>
              <w:gridCol w:w="1054"/>
              <w:gridCol w:w="989"/>
              <w:gridCol w:w="869"/>
              <w:gridCol w:w="172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12" w:hRule="atLeast"/>
                <w:jc w:val="center"/>
              </w:trPr>
              <w:tc>
                <w:tcPr>
                  <w:tcW w:w="1216" w:type="dxa"/>
                  <w:vMerge w:val="restart"/>
                  <w:noWrap w:val="0"/>
                  <w:vAlign w:val="center"/>
                </w:tcPr>
                <w:p>
                  <w:pPr>
                    <w:adjustRightInd w:val="0"/>
                    <w:snapToGrid w:val="0"/>
                    <w:jc w:val="center"/>
                    <w:rPr>
                      <w:b/>
                      <w:color w:val="auto"/>
                      <w:szCs w:val="21"/>
                      <w:highlight w:val="none"/>
                    </w:rPr>
                  </w:pPr>
                  <w:r>
                    <w:rPr>
                      <w:b/>
                      <w:bCs/>
                      <w:color w:val="auto"/>
                      <w:szCs w:val="21"/>
                      <w:highlight w:val="none"/>
                    </w:rPr>
                    <w:t>污染源</w:t>
                  </w:r>
                </w:p>
              </w:tc>
              <w:tc>
                <w:tcPr>
                  <w:tcW w:w="725" w:type="dxa"/>
                  <w:vMerge w:val="restart"/>
                  <w:noWrap w:val="0"/>
                  <w:vAlign w:val="center"/>
                </w:tcPr>
                <w:p>
                  <w:pPr>
                    <w:adjustRightInd w:val="0"/>
                    <w:snapToGrid w:val="0"/>
                    <w:jc w:val="center"/>
                    <w:rPr>
                      <w:b/>
                      <w:color w:val="auto"/>
                      <w:szCs w:val="21"/>
                      <w:highlight w:val="none"/>
                    </w:rPr>
                  </w:pPr>
                  <w:r>
                    <w:rPr>
                      <w:b/>
                      <w:color w:val="auto"/>
                      <w:szCs w:val="21"/>
                      <w:highlight w:val="none"/>
                    </w:rPr>
                    <w:t>污染物</w:t>
                  </w:r>
                </w:p>
              </w:tc>
              <w:tc>
                <w:tcPr>
                  <w:tcW w:w="1364" w:type="dxa"/>
                  <w:vMerge w:val="restart"/>
                  <w:noWrap w:val="0"/>
                  <w:vAlign w:val="center"/>
                </w:tcPr>
                <w:p>
                  <w:pPr>
                    <w:adjustRightInd w:val="0"/>
                    <w:snapToGrid w:val="0"/>
                    <w:jc w:val="center"/>
                    <w:rPr>
                      <w:b/>
                      <w:color w:val="auto"/>
                      <w:szCs w:val="21"/>
                      <w:highlight w:val="none"/>
                    </w:rPr>
                  </w:pPr>
                  <w:r>
                    <w:rPr>
                      <w:b/>
                      <w:bCs/>
                      <w:color w:val="auto"/>
                      <w:szCs w:val="21"/>
                      <w:highlight w:val="none"/>
                    </w:rPr>
                    <w:t>源强(kg/h)</w:t>
                  </w:r>
                </w:p>
              </w:tc>
              <w:tc>
                <w:tcPr>
                  <w:tcW w:w="1054" w:type="dxa"/>
                  <w:vMerge w:val="restart"/>
                  <w:noWrap w:val="0"/>
                  <w:vAlign w:val="center"/>
                </w:tcPr>
                <w:p>
                  <w:pPr>
                    <w:adjustRightInd w:val="0"/>
                    <w:snapToGrid w:val="0"/>
                    <w:jc w:val="center"/>
                    <w:rPr>
                      <w:b/>
                      <w:color w:val="auto"/>
                      <w:szCs w:val="21"/>
                      <w:highlight w:val="none"/>
                    </w:rPr>
                  </w:pPr>
                  <w:r>
                    <w:rPr>
                      <w:b/>
                      <w:color w:val="auto"/>
                      <w:szCs w:val="21"/>
                      <w:highlight w:val="none"/>
                    </w:rPr>
                    <w:t>单元尺寸</w:t>
                  </w:r>
                </w:p>
                <w:p>
                  <w:pPr>
                    <w:adjustRightInd w:val="0"/>
                    <w:snapToGrid w:val="0"/>
                    <w:jc w:val="center"/>
                    <w:rPr>
                      <w:b/>
                      <w:color w:val="auto"/>
                      <w:szCs w:val="21"/>
                      <w:highlight w:val="none"/>
                    </w:rPr>
                  </w:pPr>
                  <w:r>
                    <w:rPr>
                      <w:b/>
                      <w:color w:val="auto"/>
                      <w:szCs w:val="21"/>
                      <w:highlight w:val="none"/>
                    </w:rPr>
                    <w:t>（m×m）</w:t>
                  </w:r>
                </w:p>
              </w:tc>
              <w:tc>
                <w:tcPr>
                  <w:tcW w:w="989" w:type="dxa"/>
                  <w:vMerge w:val="restart"/>
                  <w:noWrap w:val="0"/>
                  <w:vAlign w:val="center"/>
                </w:tcPr>
                <w:p>
                  <w:pPr>
                    <w:adjustRightInd w:val="0"/>
                    <w:snapToGrid w:val="0"/>
                    <w:jc w:val="center"/>
                    <w:rPr>
                      <w:b/>
                      <w:color w:val="auto"/>
                      <w:szCs w:val="21"/>
                      <w:highlight w:val="none"/>
                    </w:rPr>
                  </w:pPr>
                  <w:r>
                    <w:rPr>
                      <w:b/>
                      <w:color w:val="auto"/>
                      <w:szCs w:val="21"/>
                      <w:highlight w:val="none"/>
                    </w:rPr>
                    <w:t>平均风速</w:t>
                  </w:r>
                </w:p>
                <w:p>
                  <w:pPr>
                    <w:adjustRightInd w:val="0"/>
                    <w:snapToGrid w:val="0"/>
                    <w:jc w:val="center"/>
                    <w:rPr>
                      <w:b/>
                      <w:bCs/>
                      <w:color w:val="auto"/>
                      <w:szCs w:val="21"/>
                      <w:highlight w:val="none"/>
                    </w:rPr>
                  </w:pPr>
                  <w:r>
                    <w:rPr>
                      <w:b/>
                      <w:color w:val="auto"/>
                      <w:szCs w:val="21"/>
                      <w:highlight w:val="none"/>
                    </w:rPr>
                    <w:t>（m/s）</w:t>
                  </w:r>
                </w:p>
              </w:tc>
              <w:tc>
                <w:tcPr>
                  <w:tcW w:w="869" w:type="dxa"/>
                  <w:vMerge w:val="restart"/>
                  <w:noWrap w:val="0"/>
                  <w:vAlign w:val="center"/>
                </w:tcPr>
                <w:p>
                  <w:pPr>
                    <w:adjustRightInd w:val="0"/>
                    <w:snapToGrid w:val="0"/>
                    <w:jc w:val="center"/>
                    <w:rPr>
                      <w:b/>
                      <w:color w:val="auto"/>
                      <w:szCs w:val="21"/>
                      <w:highlight w:val="none"/>
                    </w:rPr>
                  </w:pPr>
                  <w:r>
                    <w:rPr>
                      <w:b/>
                      <w:color w:val="auto"/>
                      <w:szCs w:val="21"/>
                      <w:highlight w:val="none"/>
                    </w:rPr>
                    <w:t>L（m）</w:t>
                  </w:r>
                </w:p>
              </w:tc>
              <w:tc>
                <w:tcPr>
                  <w:tcW w:w="1729" w:type="dxa"/>
                  <w:vMerge w:val="restart"/>
                  <w:noWrap w:val="0"/>
                  <w:vAlign w:val="center"/>
                </w:tcPr>
                <w:p>
                  <w:pPr>
                    <w:adjustRightInd w:val="0"/>
                    <w:snapToGrid w:val="0"/>
                    <w:jc w:val="center"/>
                    <w:rPr>
                      <w:b/>
                      <w:color w:val="auto"/>
                      <w:szCs w:val="21"/>
                      <w:highlight w:val="none"/>
                    </w:rPr>
                  </w:pPr>
                  <w:r>
                    <w:rPr>
                      <w:b/>
                      <w:color w:val="auto"/>
                      <w:kern w:val="0"/>
                      <w:szCs w:val="21"/>
                      <w:highlight w:val="none"/>
                    </w:rPr>
                    <w:t>卫生防护距离</w:t>
                  </w:r>
                  <w:r>
                    <w:rPr>
                      <w:b/>
                      <w:color w:val="auto"/>
                      <w:szCs w:val="21"/>
                      <w:highlight w:val="none"/>
                    </w:rPr>
                    <w:t>（m）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32" w:hRule="atLeast"/>
                <w:jc w:val="center"/>
              </w:trPr>
              <w:tc>
                <w:tcPr>
                  <w:tcW w:w="1216" w:type="dxa"/>
                  <w:vMerge w:val="continue"/>
                  <w:noWrap w:val="0"/>
                  <w:vAlign w:val="center"/>
                </w:tcPr>
                <w:p>
                  <w:pPr>
                    <w:jc w:val="left"/>
                    <w:rPr>
                      <w:b/>
                      <w:color w:val="auto"/>
                      <w:szCs w:val="21"/>
                      <w:highlight w:val="none"/>
                    </w:rPr>
                  </w:pPr>
                </w:p>
              </w:tc>
              <w:tc>
                <w:tcPr>
                  <w:tcW w:w="725" w:type="dxa"/>
                  <w:vMerge w:val="continue"/>
                  <w:noWrap w:val="0"/>
                  <w:vAlign w:val="center"/>
                </w:tcPr>
                <w:p>
                  <w:pPr>
                    <w:jc w:val="left"/>
                    <w:rPr>
                      <w:b/>
                      <w:color w:val="auto"/>
                      <w:szCs w:val="21"/>
                      <w:highlight w:val="none"/>
                    </w:rPr>
                  </w:pPr>
                </w:p>
              </w:tc>
              <w:tc>
                <w:tcPr>
                  <w:tcW w:w="1364" w:type="dxa"/>
                  <w:vMerge w:val="continue"/>
                  <w:noWrap w:val="0"/>
                  <w:vAlign w:val="center"/>
                </w:tcPr>
                <w:p>
                  <w:pPr>
                    <w:jc w:val="left"/>
                    <w:rPr>
                      <w:b/>
                      <w:color w:val="auto"/>
                      <w:szCs w:val="21"/>
                      <w:highlight w:val="none"/>
                    </w:rPr>
                  </w:pPr>
                </w:p>
              </w:tc>
              <w:tc>
                <w:tcPr>
                  <w:tcW w:w="1054" w:type="dxa"/>
                  <w:vMerge w:val="continue"/>
                  <w:noWrap w:val="0"/>
                  <w:vAlign w:val="center"/>
                </w:tcPr>
                <w:p>
                  <w:pPr>
                    <w:jc w:val="left"/>
                    <w:rPr>
                      <w:b/>
                      <w:color w:val="auto"/>
                      <w:szCs w:val="21"/>
                      <w:highlight w:val="none"/>
                    </w:rPr>
                  </w:pPr>
                </w:p>
              </w:tc>
              <w:tc>
                <w:tcPr>
                  <w:tcW w:w="989" w:type="dxa"/>
                  <w:vMerge w:val="continue"/>
                  <w:noWrap w:val="0"/>
                  <w:vAlign w:val="center"/>
                </w:tcPr>
                <w:p>
                  <w:pPr>
                    <w:jc w:val="left"/>
                    <w:rPr>
                      <w:b/>
                      <w:bCs/>
                      <w:color w:val="auto"/>
                      <w:szCs w:val="21"/>
                      <w:highlight w:val="none"/>
                    </w:rPr>
                  </w:pPr>
                </w:p>
              </w:tc>
              <w:tc>
                <w:tcPr>
                  <w:tcW w:w="869" w:type="dxa"/>
                  <w:vMerge w:val="continue"/>
                  <w:noWrap w:val="0"/>
                  <w:vAlign w:val="center"/>
                </w:tcPr>
                <w:p>
                  <w:pPr>
                    <w:jc w:val="left"/>
                    <w:rPr>
                      <w:b/>
                      <w:color w:val="auto"/>
                      <w:szCs w:val="21"/>
                      <w:highlight w:val="none"/>
                    </w:rPr>
                  </w:pPr>
                </w:p>
              </w:tc>
              <w:tc>
                <w:tcPr>
                  <w:tcW w:w="1729" w:type="dxa"/>
                  <w:vMerge w:val="continue"/>
                  <w:noWrap w:val="0"/>
                  <w:vAlign w:val="center"/>
                </w:tcPr>
                <w:p>
                  <w:pPr>
                    <w:jc w:val="left"/>
                    <w:rPr>
                      <w:b/>
                      <w:color w:val="auto"/>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617" w:hRule="atLeast"/>
                <w:jc w:val="center"/>
              </w:trPr>
              <w:tc>
                <w:tcPr>
                  <w:tcW w:w="1216" w:type="dxa"/>
                  <w:noWrap w:val="0"/>
                  <w:vAlign w:val="center"/>
                </w:tcPr>
                <w:p>
                  <w:pPr>
                    <w:jc w:val="center"/>
                    <w:rPr>
                      <w:color w:val="auto"/>
                      <w:kern w:val="0"/>
                      <w:szCs w:val="21"/>
                      <w:highlight w:val="none"/>
                    </w:rPr>
                  </w:pPr>
                  <w:r>
                    <w:rPr>
                      <w:rFonts w:hint="eastAsia"/>
                      <w:color w:val="auto"/>
                      <w:szCs w:val="21"/>
                      <w:highlight w:val="none"/>
                    </w:rPr>
                    <w:t>原料堆场1</w:t>
                  </w:r>
                </w:p>
              </w:tc>
              <w:tc>
                <w:tcPr>
                  <w:tcW w:w="725" w:type="dxa"/>
                  <w:noWrap w:val="0"/>
                  <w:vAlign w:val="center"/>
                </w:tcPr>
                <w:p>
                  <w:pPr>
                    <w:adjustRightInd w:val="0"/>
                    <w:snapToGrid w:val="0"/>
                    <w:jc w:val="center"/>
                    <w:rPr>
                      <w:color w:val="auto"/>
                      <w:kern w:val="0"/>
                      <w:szCs w:val="21"/>
                      <w:highlight w:val="none"/>
                    </w:rPr>
                  </w:pPr>
                  <w:r>
                    <w:rPr>
                      <w:color w:val="auto"/>
                      <w:kern w:val="0"/>
                      <w:szCs w:val="21"/>
                      <w:highlight w:val="none"/>
                    </w:rPr>
                    <w:t>粉尘</w:t>
                  </w:r>
                </w:p>
              </w:tc>
              <w:tc>
                <w:tcPr>
                  <w:tcW w:w="1364" w:type="dxa"/>
                  <w:noWrap w:val="0"/>
                  <w:vAlign w:val="center"/>
                </w:tcPr>
                <w:p>
                  <w:pPr>
                    <w:adjustRightInd w:val="0"/>
                    <w:snapToGrid w:val="0"/>
                    <w:jc w:val="center"/>
                    <w:rPr>
                      <w:color w:val="auto"/>
                      <w:kern w:val="0"/>
                      <w:szCs w:val="21"/>
                      <w:highlight w:val="none"/>
                    </w:rPr>
                  </w:pPr>
                  <w:r>
                    <w:rPr>
                      <w:rFonts w:hint="eastAsia"/>
                      <w:snapToGrid w:val="0"/>
                      <w:color w:val="auto"/>
                      <w:kern w:val="0"/>
                      <w:szCs w:val="21"/>
                      <w:highlight w:val="none"/>
                    </w:rPr>
                    <w:t>0.0852</w:t>
                  </w:r>
                </w:p>
              </w:tc>
              <w:tc>
                <w:tcPr>
                  <w:tcW w:w="1054" w:type="dxa"/>
                  <w:noWrap w:val="0"/>
                  <w:vAlign w:val="center"/>
                </w:tcPr>
                <w:p>
                  <w:pPr>
                    <w:jc w:val="center"/>
                    <w:rPr>
                      <w:color w:val="auto"/>
                      <w:kern w:val="0"/>
                      <w:szCs w:val="21"/>
                      <w:highlight w:val="none"/>
                    </w:rPr>
                  </w:pPr>
                  <w:r>
                    <w:rPr>
                      <w:rFonts w:hint="eastAsia"/>
                      <w:color w:val="auto"/>
                      <w:kern w:val="0"/>
                      <w:szCs w:val="21"/>
                      <w:highlight w:val="none"/>
                    </w:rPr>
                    <w:t>50*30</w:t>
                  </w:r>
                </w:p>
              </w:tc>
              <w:tc>
                <w:tcPr>
                  <w:tcW w:w="989" w:type="dxa"/>
                  <w:noWrap w:val="0"/>
                  <w:vAlign w:val="center"/>
                </w:tcPr>
                <w:p>
                  <w:pPr>
                    <w:jc w:val="center"/>
                    <w:rPr>
                      <w:color w:val="auto"/>
                      <w:szCs w:val="21"/>
                      <w:highlight w:val="none"/>
                    </w:rPr>
                  </w:pPr>
                  <w:r>
                    <w:rPr>
                      <w:color w:val="auto"/>
                      <w:szCs w:val="21"/>
                      <w:highlight w:val="none"/>
                    </w:rPr>
                    <w:t>1.5</w:t>
                  </w:r>
                </w:p>
              </w:tc>
              <w:tc>
                <w:tcPr>
                  <w:tcW w:w="869" w:type="dxa"/>
                  <w:noWrap w:val="0"/>
                  <w:vAlign w:val="center"/>
                </w:tcPr>
                <w:p>
                  <w:pPr>
                    <w:adjustRightInd w:val="0"/>
                    <w:snapToGrid w:val="0"/>
                    <w:jc w:val="center"/>
                    <w:rPr>
                      <w:color w:val="auto"/>
                      <w:szCs w:val="21"/>
                      <w:highlight w:val="none"/>
                    </w:rPr>
                  </w:pPr>
                  <w:r>
                    <w:rPr>
                      <w:rFonts w:hint="eastAsia"/>
                      <w:snapToGrid w:val="0"/>
                      <w:color w:val="auto"/>
                      <w:kern w:val="0"/>
                      <w:szCs w:val="21"/>
                      <w:highlight w:val="none"/>
                    </w:rPr>
                    <w:t>4.916</w:t>
                  </w:r>
                </w:p>
              </w:tc>
              <w:tc>
                <w:tcPr>
                  <w:tcW w:w="1729" w:type="dxa"/>
                  <w:noWrap w:val="0"/>
                  <w:vAlign w:val="center"/>
                </w:tcPr>
                <w:p>
                  <w:pPr>
                    <w:adjustRightInd w:val="0"/>
                    <w:snapToGrid w:val="0"/>
                    <w:jc w:val="center"/>
                    <w:rPr>
                      <w:color w:val="auto"/>
                      <w:szCs w:val="21"/>
                      <w:highlight w:val="none"/>
                    </w:rPr>
                  </w:pPr>
                  <w:r>
                    <w:rPr>
                      <w:rFonts w:hint="eastAsia"/>
                      <w:color w:val="auto"/>
                      <w:szCs w:val="21"/>
                      <w:highlight w:val="none"/>
                    </w:rPr>
                    <w:t>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617" w:hRule="atLeast"/>
                <w:jc w:val="center"/>
              </w:trPr>
              <w:tc>
                <w:tcPr>
                  <w:tcW w:w="1216" w:type="dxa"/>
                  <w:noWrap w:val="0"/>
                  <w:vAlign w:val="center"/>
                </w:tcPr>
                <w:p>
                  <w:pPr>
                    <w:jc w:val="center"/>
                    <w:rPr>
                      <w:color w:val="auto"/>
                      <w:kern w:val="0"/>
                      <w:szCs w:val="21"/>
                      <w:highlight w:val="none"/>
                    </w:rPr>
                  </w:pPr>
                  <w:r>
                    <w:rPr>
                      <w:rFonts w:hint="eastAsia"/>
                      <w:color w:val="auto"/>
                      <w:szCs w:val="21"/>
                      <w:highlight w:val="none"/>
                    </w:rPr>
                    <w:t>整改后原料堆场2</w:t>
                  </w:r>
                </w:p>
              </w:tc>
              <w:tc>
                <w:tcPr>
                  <w:tcW w:w="725" w:type="dxa"/>
                  <w:noWrap w:val="0"/>
                  <w:vAlign w:val="center"/>
                </w:tcPr>
                <w:p>
                  <w:pPr>
                    <w:adjustRightInd w:val="0"/>
                    <w:snapToGrid w:val="0"/>
                    <w:jc w:val="center"/>
                    <w:rPr>
                      <w:rFonts w:hint="eastAsia"/>
                      <w:bCs/>
                      <w:color w:val="auto"/>
                      <w:kern w:val="0"/>
                      <w:szCs w:val="21"/>
                      <w:highlight w:val="none"/>
                    </w:rPr>
                  </w:pPr>
                  <w:r>
                    <w:rPr>
                      <w:rFonts w:hint="eastAsia"/>
                      <w:color w:val="auto"/>
                      <w:kern w:val="0"/>
                      <w:szCs w:val="21"/>
                      <w:highlight w:val="none"/>
                    </w:rPr>
                    <w:t>粉尘</w:t>
                  </w:r>
                </w:p>
              </w:tc>
              <w:tc>
                <w:tcPr>
                  <w:tcW w:w="1364" w:type="dxa"/>
                  <w:noWrap w:val="0"/>
                  <w:vAlign w:val="center"/>
                </w:tcPr>
                <w:p>
                  <w:pPr>
                    <w:adjustRightInd w:val="0"/>
                    <w:snapToGrid w:val="0"/>
                    <w:jc w:val="center"/>
                    <w:rPr>
                      <w:color w:val="auto"/>
                      <w:kern w:val="0"/>
                      <w:szCs w:val="21"/>
                      <w:highlight w:val="none"/>
                    </w:rPr>
                  </w:pPr>
                  <w:r>
                    <w:rPr>
                      <w:rFonts w:hint="eastAsia"/>
                      <w:snapToGrid w:val="0"/>
                      <w:color w:val="auto"/>
                      <w:kern w:val="0"/>
                      <w:szCs w:val="21"/>
                      <w:highlight w:val="none"/>
                    </w:rPr>
                    <w:t>0.0852</w:t>
                  </w:r>
                </w:p>
              </w:tc>
              <w:tc>
                <w:tcPr>
                  <w:tcW w:w="1054" w:type="dxa"/>
                  <w:noWrap w:val="0"/>
                  <w:vAlign w:val="center"/>
                </w:tcPr>
                <w:p>
                  <w:pPr>
                    <w:jc w:val="center"/>
                    <w:rPr>
                      <w:color w:val="auto"/>
                      <w:kern w:val="0"/>
                      <w:szCs w:val="21"/>
                      <w:highlight w:val="none"/>
                    </w:rPr>
                  </w:pPr>
                  <w:r>
                    <w:rPr>
                      <w:rFonts w:hint="eastAsia"/>
                      <w:color w:val="auto"/>
                      <w:kern w:val="0"/>
                      <w:szCs w:val="21"/>
                      <w:highlight w:val="none"/>
                    </w:rPr>
                    <w:t>50*30</w:t>
                  </w:r>
                </w:p>
              </w:tc>
              <w:tc>
                <w:tcPr>
                  <w:tcW w:w="989" w:type="dxa"/>
                  <w:noWrap w:val="0"/>
                  <w:vAlign w:val="center"/>
                </w:tcPr>
                <w:p>
                  <w:pPr>
                    <w:jc w:val="center"/>
                    <w:rPr>
                      <w:color w:val="auto"/>
                      <w:szCs w:val="21"/>
                      <w:highlight w:val="none"/>
                    </w:rPr>
                  </w:pPr>
                  <w:r>
                    <w:rPr>
                      <w:color w:val="auto"/>
                      <w:szCs w:val="21"/>
                      <w:highlight w:val="none"/>
                    </w:rPr>
                    <w:t>1.5</w:t>
                  </w:r>
                </w:p>
              </w:tc>
              <w:tc>
                <w:tcPr>
                  <w:tcW w:w="869" w:type="dxa"/>
                  <w:noWrap w:val="0"/>
                  <w:vAlign w:val="center"/>
                </w:tcPr>
                <w:p>
                  <w:pPr>
                    <w:adjustRightInd w:val="0"/>
                    <w:snapToGrid w:val="0"/>
                    <w:jc w:val="center"/>
                    <w:rPr>
                      <w:color w:val="auto"/>
                      <w:szCs w:val="21"/>
                      <w:highlight w:val="none"/>
                    </w:rPr>
                  </w:pPr>
                  <w:r>
                    <w:rPr>
                      <w:rFonts w:hint="eastAsia"/>
                      <w:snapToGrid w:val="0"/>
                      <w:color w:val="auto"/>
                      <w:kern w:val="0"/>
                      <w:szCs w:val="21"/>
                      <w:highlight w:val="none"/>
                    </w:rPr>
                    <w:t>4.916</w:t>
                  </w:r>
                </w:p>
              </w:tc>
              <w:tc>
                <w:tcPr>
                  <w:tcW w:w="1729" w:type="dxa"/>
                  <w:noWrap w:val="0"/>
                  <w:vAlign w:val="center"/>
                </w:tcPr>
                <w:p>
                  <w:pPr>
                    <w:adjustRightInd w:val="0"/>
                    <w:snapToGrid w:val="0"/>
                    <w:jc w:val="center"/>
                    <w:rPr>
                      <w:color w:val="auto"/>
                      <w:szCs w:val="21"/>
                      <w:highlight w:val="none"/>
                    </w:rPr>
                  </w:pPr>
                  <w:r>
                    <w:rPr>
                      <w:color w:val="auto"/>
                      <w:szCs w:val="21"/>
                      <w:highlight w:val="none"/>
                    </w:rPr>
                    <w:t>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08" w:hRule="atLeast"/>
                <w:jc w:val="center"/>
              </w:trPr>
              <w:tc>
                <w:tcPr>
                  <w:tcW w:w="1216" w:type="dxa"/>
                  <w:vMerge w:val="restart"/>
                  <w:noWrap w:val="0"/>
                  <w:vAlign w:val="center"/>
                </w:tcPr>
                <w:p>
                  <w:pPr>
                    <w:jc w:val="center"/>
                    <w:rPr>
                      <w:rFonts w:hint="eastAsia"/>
                      <w:color w:val="auto"/>
                      <w:szCs w:val="21"/>
                      <w:highlight w:val="none"/>
                    </w:rPr>
                  </w:pPr>
                  <w:r>
                    <w:rPr>
                      <w:rFonts w:hint="eastAsia"/>
                      <w:color w:val="auto"/>
                      <w:szCs w:val="21"/>
                      <w:highlight w:val="none"/>
                    </w:rPr>
                    <w:t>沥青拌和楼</w:t>
                  </w:r>
                </w:p>
              </w:tc>
              <w:tc>
                <w:tcPr>
                  <w:tcW w:w="725" w:type="dxa"/>
                  <w:noWrap w:val="0"/>
                  <w:vAlign w:val="center"/>
                </w:tcPr>
                <w:p>
                  <w:pPr>
                    <w:adjustRightInd w:val="0"/>
                    <w:snapToGrid w:val="0"/>
                    <w:jc w:val="center"/>
                    <w:rPr>
                      <w:rFonts w:hint="eastAsia"/>
                      <w:color w:val="auto"/>
                      <w:kern w:val="0"/>
                      <w:szCs w:val="21"/>
                      <w:highlight w:val="none"/>
                    </w:rPr>
                  </w:pPr>
                  <w:r>
                    <w:rPr>
                      <w:rFonts w:hint="eastAsia"/>
                      <w:color w:val="auto"/>
                      <w:kern w:val="0"/>
                      <w:szCs w:val="21"/>
                      <w:highlight w:val="none"/>
                    </w:rPr>
                    <w:t>非甲烷总烃</w:t>
                  </w:r>
                </w:p>
              </w:tc>
              <w:tc>
                <w:tcPr>
                  <w:tcW w:w="1364" w:type="dxa"/>
                  <w:noWrap w:val="0"/>
                  <w:vAlign w:val="center"/>
                </w:tcPr>
                <w:p>
                  <w:pPr>
                    <w:adjustRightInd w:val="0"/>
                    <w:snapToGrid w:val="0"/>
                    <w:jc w:val="center"/>
                    <w:rPr>
                      <w:rFonts w:hint="eastAsia"/>
                      <w:snapToGrid w:val="0"/>
                      <w:color w:val="auto"/>
                      <w:kern w:val="0"/>
                      <w:szCs w:val="21"/>
                      <w:highlight w:val="none"/>
                    </w:rPr>
                  </w:pPr>
                  <w:r>
                    <w:rPr>
                      <w:rFonts w:hint="eastAsia"/>
                      <w:color w:val="auto"/>
                      <w:szCs w:val="21"/>
                      <w:highlight w:val="none"/>
                    </w:rPr>
                    <w:t>0.000208</w:t>
                  </w:r>
                </w:p>
              </w:tc>
              <w:tc>
                <w:tcPr>
                  <w:tcW w:w="1054" w:type="dxa"/>
                  <w:noWrap w:val="0"/>
                  <w:vAlign w:val="center"/>
                </w:tcPr>
                <w:p>
                  <w:pPr>
                    <w:jc w:val="center"/>
                    <w:rPr>
                      <w:color w:val="auto"/>
                      <w:kern w:val="0"/>
                      <w:szCs w:val="21"/>
                      <w:highlight w:val="none"/>
                    </w:rPr>
                  </w:pPr>
                  <w:r>
                    <w:rPr>
                      <w:rFonts w:hint="eastAsia"/>
                      <w:color w:val="auto"/>
                      <w:kern w:val="0"/>
                      <w:szCs w:val="21"/>
                      <w:highlight w:val="none"/>
                    </w:rPr>
                    <w:t>5*10</w:t>
                  </w:r>
                </w:p>
              </w:tc>
              <w:tc>
                <w:tcPr>
                  <w:tcW w:w="989" w:type="dxa"/>
                  <w:noWrap w:val="0"/>
                  <w:vAlign w:val="center"/>
                </w:tcPr>
                <w:p>
                  <w:pPr>
                    <w:jc w:val="center"/>
                    <w:rPr>
                      <w:color w:val="auto"/>
                      <w:szCs w:val="21"/>
                      <w:highlight w:val="none"/>
                    </w:rPr>
                  </w:pPr>
                  <w:r>
                    <w:rPr>
                      <w:rFonts w:hint="eastAsia"/>
                      <w:color w:val="auto"/>
                      <w:szCs w:val="21"/>
                      <w:highlight w:val="none"/>
                    </w:rPr>
                    <w:t>1.5</w:t>
                  </w:r>
                </w:p>
              </w:tc>
              <w:tc>
                <w:tcPr>
                  <w:tcW w:w="869" w:type="dxa"/>
                  <w:noWrap w:val="0"/>
                  <w:vAlign w:val="center"/>
                </w:tcPr>
                <w:p>
                  <w:pPr>
                    <w:adjustRightInd w:val="0"/>
                    <w:snapToGrid w:val="0"/>
                    <w:jc w:val="center"/>
                    <w:rPr>
                      <w:snapToGrid w:val="0"/>
                      <w:color w:val="auto"/>
                      <w:kern w:val="0"/>
                      <w:szCs w:val="21"/>
                      <w:highlight w:val="none"/>
                    </w:rPr>
                  </w:pPr>
                  <w:r>
                    <w:rPr>
                      <w:rFonts w:hint="eastAsia"/>
                      <w:snapToGrid w:val="0"/>
                      <w:color w:val="auto"/>
                      <w:kern w:val="0"/>
                      <w:szCs w:val="21"/>
                      <w:highlight w:val="none"/>
                    </w:rPr>
                    <w:t>0.0016</w:t>
                  </w:r>
                </w:p>
              </w:tc>
              <w:tc>
                <w:tcPr>
                  <w:tcW w:w="1729" w:type="dxa"/>
                  <w:noWrap w:val="0"/>
                  <w:vAlign w:val="center"/>
                </w:tcPr>
                <w:p>
                  <w:pPr>
                    <w:adjustRightInd w:val="0"/>
                    <w:snapToGrid w:val="0"/>
                    <w:jc w:val="center"/>
                    <w:rPr>
                      <w:color w:val="auto"/>
                      <w:szCs w:val="21"/>
                      <w:highlight w:val="none"/>
                    </w:rPr>
                  </w:pPr>
                  <w:r>
                    <w:rPr>
                      <w:rFonts w:hint="eastAsia"/>
                      <w:color w:val="auto"/>
                      <w:szCs w:val="21"/>
                      <w:highlight w:val="none"/>
                    </w:rPr>
                    <w:t>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08" w:hRule="atLeast"/>
                <w:jc w:val="center"/>
              </w:trPr>
              <w:tc>
                <w:tcPr>
                  <w:tcW w:w="1216" w:type="dxa"/>
                  <w:vMerge w:val="continue"/>
                  <w:noWrap w:val="0"/>
                  <w:vAlign w:val="center"/>
                </w:tcPr>
                <w:p>
                  <w:pPr>
                    <w:adjustRightInd w:val="0"/>
                    <w:snapToGrid w:val="0"/>
                    <w:jc w:val="center"/>
                    <w:rPr>
                      <w:color w:val="auto"/>
                      <w:highlight w:val="none"/>
                    </w:rPr>
                  </w:pPr>
                </w:p>
              </w:tc>
              <w:tc>
                <w:tcPr>
                  <w:tcW w:w="725" w:type="dxa"/>
                  <w:noWrap w:val="0"/>
                  <w:vAlign w:val="center"/>
                </w:tcPr>
                <w:p>
                  <w:pPr>
                    <w:adjustRightInd w:val="0"/>
                    <w:snapToGrid w:val="0"/>
                    <w:jc w:val="center"/>
                    <w:rPr>
                      <w:rFonts w:hint="eastAsia"/>
                      <w:color w:val="auto"/>
                      <w:kern w:val="0"/>
                      <w:szCs w:val="21"/>
                      <w:highlight w:val="none"/>
                    </w:rPr>
                  </w:pPr>
                  <w:r>
                    <w:rPr>
                      <w:rFonts w:hint="eastAsia"/>
                      <w:color w:val="auto"/>
                      <w:kern w:val="0"/>
                      <w:szCs w:val="21"/>
                      <w:highlight w:val="none"/>
                    </w:rPr>
                    <w:t>苯并[a]芘</w:t>
                  </w:r>
                </w:p>
              </w:tc>
              <w:tc>
                <w:tcPr>
                  <w:tcW w:w="1364" w:type="dxa"/>
                  <w:noWrap w:val="0"/>
                  <w:vAlign w:val="center"/>
                </w:tcPr>
                <w:p>
                  <w:pPr>
                    <w:adjustRightInd w:val="0"/>
                    <w:snapToGrid w:val="0"/>
                    <w:jc w:val="center"/>
                    <w:rPr>
                      <w:rFonts w:hint="eastAsia"/>
                      <w:color w:val="auto"/>
                      <w:kern w:val="0"/>
                      <w:szCs w:val="21"/>
                      <w:highlight w:val="none"/>
                    </w:rPr>
                  </w:pPr>
                  <w:r>
                    <w:rPr>
                      <w:rFonts w:hint="eastAsia"/>
                      <w:color w:val="auto"/>
                      <w:szCs w:val="21"/>
                      <w:highlight w:val="none"/>
                    </w:rPr>
                    <w:t>0.000000105</w:t>
                  </w:r>
                </w:p>
              </w:tc>
              <w:tc>
                <w:tcPr>
                  <w:tcW w:w="1054" w:type="dxa"/>
                  <w:noWrap w:val="0"/>
                  <w:vAlign w:val="center"/>
                </w:tcPr>
                <w:p>
                  <w:pPr>
                    <w:adjustRightInd w:val="0"/>
                    <w:snapToGrid w:val="0"/>
                    <w:jc w:val="center"/>
                    <w:rPr>
                      <w:rFonts w:hint="eastAsia"/>
                      <w:color w:val="auto"/>
                      <w:kern w:val="0"/>
                      <w:szCs w:val="21"/>
                      <w:highlight w:val="none"/>
                    </w:rPr>
                  </w:pPr>
                  <w:r>
                    <w:rPr>
                      <w:rFonts w:hint="eastAsia"/>
                      <w:color w:val="auto"/>
                      <w:kern w:val="0"/>
                      <w:szCs w:val="21"/>
                      <w:highlight w:val="none"/>
                    </w:rPr>
                    <w:t>5*10</w:t>
                  </w:r>
                </w:p>
              </w:tc>
              <w:tc>
                <w:tcPr>
                  <w:tcW w:w="989" w:type="dxa"/>
                  <w:noWrap w:val="0"/>
                  <w:vAlign w:val="center"/>
                </w:tcPr>
                <w:p>
                  <w:pPr>
                    <w:adjustRightInd w:val="0"/>
                    <w:snapToGrid w:val="0"/>
                    <w:jc w:val="center"/>
                    <w:rPr>
                      <w:color w:val="auto"/>
                      <w:kern w:val="0"/>
                      <w:szCs w:val="21"/>
                      <w:highlight w:val="none"/>
                    </w:rPr>
                  </w:pPr>
                  <w:r>
                    <w:rPr>
                      <w:rFonts w:hint="eastAsia"/>
                      <w:color w:val="auto"/>
                      <w:kern w:val="0"/>
                      <w:szCs w:val="21"/>
                      <w:highlight w:val="none"/>
                    </w:rPr>
                    <w:t>1.5</w:t>
                  </w:r>
                </w:p>
              </w:tc>
              <w:tc>
                <w:tcPr>
                  <w:tcW w:w="869" w:type="dxa"/>
                  <w:noWrap w:val="0"/>
                  <w:vAlign w:val="center"/>
                </w:tcPr>
                <w:p>
                  <w:pPr>
                    <w:adjustRightInd w:val="0"/>
                    <w:snapToGrid w:val="0"/>
                    <w:jc w:val="center"/>
                    <w:rPr>
                      <w:rFonts w:hint="eastAsia"/>
                      <w:color w:val="auto"/>
                      <w:kern w:val="0"/>
                      <w:szCs w:val="21"/>
                      <w:highlight w:val="none"/>
                    </w:rPr>
                  </w:pPr>
                  <w:r>
                    <w:rPr>
                      <w:rFonts w:hint="eastAsia"/>
                      <w:color w:val="auto"/>
                      <w:kern w:val="0"/>
                      <w:szCs w:val="21"/>
                      <w:highlight w:val="none"/>
                    </w:rPr>
                    <w:t>16.003</w:t>
                  </w:r>
                </w:p>
              </w:tc>
              <w:tc>
                <w:tcPr>
                  <w:tcW w:w="1729" w:type="dxa"/>
                  <w:noWrap w:val="0"/>
                  <w:vAlign w:val="center"/>
                </w:tcPr>
                <w:p>
                  <w:pPr>
                    <w:adjustRightInd w:val="0"/>
                    <w:snapToGrid w:val="0"/>
                    <w:jc w:val="center"/>
                    <w:rPr>
                      <w:color w:val="auto"/>
                      <w:kern w:val="0"/>
                      <w:szCs w:val="21"/>
                      <w:highlight w:val="none"/>
                    </w:rPr>
                  </w:pPr>
                  <w:r>
                    <w:rPr>
                      <w:rFonts w:hint="eastAsia"/>
                      <w:color w:val="auto"/>
                      <w:kern w:val="0"/>
                      <w:szCs w:val="21"/>
                      <w:highlight w:val="none"/>
                    </w:rPr>
                    <w:t>50</w:t>
                  </w:r>
                </w:p>
              </w:tc>
            </w:tr>
          </w:tbl>
          <w:p>
            <w:pPr>
              <w:spacing w:line="360" w:lineRule="auto"/>
              <w:ind w:firstLine="480" w:firstLineChars="200"/>
              <w:rPr>
                <w:snapToGrid w:val="0"/>
                <w:color w:val="auto"/>
                <w:kern w:val="0"/>
                <w:sz w:val="24"/>
                <w:highlight w:val="none"/>
              </w:rPr>
            </w:pPr>
            <w:r>
              <w:rPr>
                <w:snapToGrid w:val="0"/>
                <w:color w:val="auto"/>
                <w:kern w:val="0"/>
                <w:sz w:val="24"/>
                <w:highlight w:val="none"/>
              </w:rPr>
              <w:t>根据《大气有害物质无组织排放卫生防护距离推导技术导则》（GB/T39499-2020）中的规定最终确定本项目无组织排放单元的卫生防护距离分别为：以本项目骨料堆场1为边界为污染物无组织排放源起点，向外延伸50m；以本项目骨料堆场2为边界为污染物无组织排放源起点，向外延伸50m。</w:t>
            </w:r>
          </w:p>
          <w:p>
            <w:pPr>
              <w:spacing w:line="360" w:lineRule="auto"/>
              <w:ind w:firstLine="480" w:firstLineChars="200"/>
              <w:rPr>
                <w:snapToGrid w:val="0"/>
                <w:color w:val="auto"/>
                <w:kern w:val="0"/>
                <w:sz w:val="24"/>
                <w:highlight w:val="none"/>
              </w:rPr>
            </w:pPr>
            <w:r>
              <w:rPr>
                <w:snapToGrid w:val="0"/>
                <w:color w:val="auto"/>
                <w:kern w:val="0"/>
                <w:sz w:val="24"/>
                <w:highlight w:val="none"/>
              </w:rPr>
              <w:t>根据导则当企业某生产单元的无组织排放存在多种特征大气有害物质时,如果分别推导出的卫生防护距离初值在同一级别时,则该企业的卫生防护距离终值应提高一级;卫生防护距离初值不在同一级别的,以卫生防护距离终值较大者为准。因此原项目沥青混凝土拌和楼由于涉及到两种以上污染物排放，卫生防护距离初值在同一级别，提级后其卫生防护距离应以沥青混凝土拌和楼边界向外延申100m。</w:t>
            </w:r>
          </w:p>
          <w:p>
            <w:pPr>
              <w:spacing w:line="360" w:lineRule="auto"/>
              <w:ind w:firstLine="480" w:firstLineChars="200"/>
              <w:rPr>
                <w:b/>
                <w:bCs/>
                <w:color w:val="auto"/>
                <w:sz w:val="24"/>
                <w:highlight w:val="none"/>
              </w:rPr>
            </w:pPr>
            <w:r>
              <w:rPr>
                <w:snapToGrid w:val="0"/>
                <w:color w:val="auto"/>
                <w:kern w:val="0"/>
                <w:sz w:val="24"/>
                <w:highlight w:val="none"/>
              </w:rPr>
              <w:t>根据卫生防护包络线图（见附图</w:t>
            </w:r>
            <w:r>
              <w:rPr>
                <w:rFonts w:hint="eastAsia"/>
                <w:snapToGrid w:val="0"/>
                <w:color w:val="auto"/>
                <w:kern w:val="0"/>
                <w:sz w:val="24"/>
                <w:highlight w:val="none"/>
                <w:lang w:val="en-US" w:eastAsia="zh-CN"/>
              </w:rPr>
              <w:t>8</w:t>
            </w:r>
            <w:r>
              <w:rPr>
                <w:snapToGrid w:val="0"/>
                <w:color w:val="auto"/>
                <w:kern w:val="0"/>
                <w:sz w:val="24"/>
                <w:highlight w:val="none"/>
              </w:rPr>
              <w:t>）</w:t>
            </w:r>
            <w:r>
              <w:rPr>
                <w:rFonts w:hint="eastAsia"/>
                <w:snapToGrid w:val="0"/>
                <w:color w:val="auto"/>
                <w:kern w:val="0"/>
                <w:sz w:val="24"/>
                <w:highlight w:val="none"/>
                <w:lang w:val="en-US" w:eastAsia="zh-CN"/>
              </w:rPr>
              <w:t>及乐山市大川建设有限公司出具的“关于沥青混凝土拌合站厂区新建沥青混凝土搅拌楼与最近居民点距离核实的情况说明”</w:t>
            </w:r>
            <w:r>
              <w:rPr>
                <w:snapToGrid w:val="0"/>
                <w:color w:val="auto"/>
                <w:kern w:val="0"/>
                <w:sz w:val="24"/>
                <w:highlight w:val="none"/>
              </w:rPr>
              <w:t>，</w:t>
            </w:r>
            <w:r>
              <w:rPr>
                <w:rFonts w:hint="eastAsia"/>
                <w:snapToGrid w:val="0"/>
                <w:color w:val="auto"/>
                <w:kern w:val="0"/>
                <w:sz w:val="24"/>
                <w:highlight w:val="none"/>
                <w:lang w:val="en-US" w:eastAsia="zh-CN"/>
              </w:rPr>
              <w:t>项目厂区新建沥青混凝土搅拌楼与最近居民点距离为121m，项目厂区与农户最近的骨料堆场与农户的距离为92m，因此</w:t>
            </w:r>
            <w:r>
              <w:rPr>
                <w:snapToGrid w:val="0"/>
                <w:color w:val="auto"/>
                <w:kern w:val="0"/>
                <w:sz w:val="24"/>
                <w:highlight w:val="none"/>
              </w:rPr>
              <w:t>改</w:t>
            </w:r>
            <w:r>
              <w:rPr>
                <w:rFonts w:hint="eastAsia"/>
                <w:snapToGrid w:val="0"/>
                <w:color w:val="auto"/>
                <w:kern w:val="0"/>
                <w:sz w:val="24"/>
                <w:highlight w:val="none"/>
              </w:rPr>
              <w:t>建</w:t>
            </w:r>
            <w:r>
              <w:rPr>
                <w:snapToGrid w:val="0"/>
                <w:color w:val="auto"/>
                <w:kern w:val="0"/>
                <w:sz w:val="24"/>
                <w:highlight w:val="none"/>
              </w:rPr>
              <w:t>后项目卫生防护距离内无居民敏感保护目标。</w:t>
            </w:r>
            <w:r>
              <w:rPr>
                <w:b/>
                <w:bCs/>
                <w:color w:val="auto"/>
                <w:sz w:val="24"/>
                <w:highlight w:val="none"/>
              </w:rPr>
              <w:t>项目</w:t>
            </w:r>
            <w:r>
              <w:rPr>
                <w:rFonts w:hint="eastAsia"/>
                <w:b/>
                <w:bCs/>
                <w:color w:val="auto"/>
                <w:sz w:val="24"/>
                <w:highlight w:val="none"/>
              </w:rPr>
              <w:t>改建后</w:t>
            </w:r>
            <w:r>
              <w:rPr>
                <w:b/>
                <w:bCs/>
                <w:color w:val="auto"/>
                <w:sz w:val="24"/>
                <w:highlight w:val="none"/>
              </w:rPr>
              <w:t>不涉及新增敏感点，</w:t>
            </w:r>
            <w:r>
              <w:rPr>
                <w:rFonts w:hint="eastAsia"/>
                <w:b/>
                <w:bCs/>
                <w:color w:val="auto"/>
                <w:sz w:val="24"/>
                <w:highlight w:val="none"/>
              </w:rPr>
              <w:t>改建</w:t>
            </w:r>
            <w:r>
              <w:rPr>
                <w:b/>
                <w:bCs/>
                <w:color w:val="auto"/>
                <w:sz w:val="24"/>
                <w:highlight w:val="none"/>
              </w:rPr>
              <w:t>后卫生防护距离内无敏感点。</w:t>
            </w:r>
          </w:p>
          <w:p>
            <w:pPr>
              <w:adjustRightInd w:val="0"/>
              <w:snapToGrid w:val="0"/>
              <w:spacing w:line="360" w:lineRule="auto"/>
              <w:ind w:firstLine="480" w:firstLineChars="200"/>
              <w:rPr>
                <w:snapToGrid w:val="0"/>
                <w:color w:val="auto"/>
                <w:kern w:val="0"/>
                <w:sz w:val="24"/>
                <w:highlight w:val="none"/>
              </w:rPr>
            </w:pPr>
            <w:r>
              <w:rPr>
                <w:rFonts w:hint="eastAsia"/>
                <w:snapToGrid w:val="0"/>
                <w:color w:val="auto"/>
                <w:kern w:val="0"/>
                <w:sz w:val="24"/>
                <w:highlight w:val="none"/>
              </w:rPr>
              <w:t>6、监测要求</w:t>
            </w:r>
          </w:p>
          <w:p>
            <w:pPr>
              <w:adjustRightInd w:val="0"/>
              <w:snapToGrid w:val="0"/>
              <w:spacing w:line="360" w:lineRule="auto"/>
              <w:ind w:firstLine="480" w:firstLineChars="200"/>
              <w:rPr>
                <w:rFonts w:hint="eastAsia"/>
                <w:snapToGrid w:val="0"/>
                <w:color w:val="auto"/>
                <w:kern w:val="0"/>
                <w:sz w:val="24"/>
                <w:highlight w:val="none"/>
              </w:rPr>
            </w:pPr>
            <w:r>
              <w:rPr>
                <w:rFonts w:hint="eastAsia"/>
                <w:snapToGrid w:val="0"/>
                <w:color w:val="auto"/>
                <w:kern w:val="0"/>
                <w:sz w:val="24"/>
                <w:highlight w:val="none"/>
              </w:rPr>
              <w:t>本项目排污单位废气的监测点位、监测指标和监测频次如下表所示：</w:t>
            </w:r>
          </w:p>
          <w:p>
            <w:pPr>
              <w:spacing w:before="120" w:beforeLines="50"/>
              <w:ind w:firstLine="482"/>
              <w:jc w:val="center"/>
              <w:rPr>
                <w:b/>
                <w:bCs/>
                <w:color w:val="auto"/>
                <w:sz w:val="24"/>
                <w:highlight w:val="none"/>
              </w:rPr>
            </w:pPr>
            <w:r>
              <w:rPr>
                <w:rFonts w:hint="eastAsia"/>
                <w:b/>
                <w:bCs/>
                <w:color w:val="auto"/>
                <w:sz w:val="24"/>
                <w:highlight w:val="none"/>
              </w:rPr>
              <w:t>表4-1</w:t>
            </w:r>
            <w:r>
              <w:rPr>
                <w:rFonts w:hint="eastAsia"/>
                <w:b/>
                <w:bCs/>
                <w:color w:val="auto"/>
                <w:sz w:val="24"/>
                <w:highlight w:val="none"/>
                <w:lang w:val="en-US" w:eastAsia="zh-CN"/>
              </w:rPr>
              <w:t>6</w:t>
            </w:r>
            <w:r>
              <w:rPr>
                <w:rFonts w:hint="eastAsia"/>
                <w:b/>
                <w:bCs/>
                <w:color w:val="auto"/>
                <w:sz w:val="24"/>
                <w:highlight w:val="none"/>
              </w:rPr>
              <w:t xml:space="preserve"> 废气自行监测点位、监测指标和监测频次表</w:t>
            </w:r>
          </w:p>
          <w:tbl>
            <w:tblPr>
              <w:tblStyle w:val="39"/>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08"/>
              <w:gridCol w:w="2974"/>
              <w:gridCol w:w="2736"/>
              <w:gridCol w:w="108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08" w:type="dxa"/>
                  <w:noWrap w:val="0"/>
                  <w:vAlign w:val="center"/>
                </w:tcPr>
                <w:p>
                  <w:pPr>
                    <w:tabs>
                      <w:tab w:val="left" w:pos="0"/>
                    </w:tabs>
                    <w:adjustRightInd w:val="0"/>
                    <w:snapToGrid w:val="0"/>
                    <w:jc w:val="center"/>
                    <w:rPr>
                      <w:b/>
                      <w:bCs/>
                      <w:snapToGrid w:val="0"/>
                      <w:color w:val="auto"/>
                      <w:kern w:val="0"/>
                      <w:szCs w:val="21"/>
                      <w:highlight w:val="none"/>
                    </w:rPr>
                  </w:pPr>
                  <w:r>
                    <w:rPr>
                      <w:b/>
                      <w:bCs/>
                      <w:snapToGrid w:val="0"/>
                      <w:color w:val="auto"/>
                      <w:kern w:val="0"/>
                      <w:szCs w:val="21"/>
                      <w:highlight w:val="none"/>
                    </w:rPr>
                    <w:t>排放形式</w:t>
                  </w:r>
                </w:p>
              </w:tc>
              <w:tc>
                <w:tcPr>
                  <w:tcW w:w="2974" w:type="dxa"/>
                  <w:noWrap w:val="0"/>
                  <w:vAlign w:val="center"/>
                </w:tcPr>
                <w:p>
                  <w:pPr>
                    <w:tabs>
                      <w:tab w:val="left" w:pos="0"/>
                    </w:tabs>
                    <w:adjustRightInd w:val="0"/>
                    <w:snapToGrid w:val="0"/>
                    <w:jc w:val="center"/>
                    <w:rPr>
                      <w:b/>
                      <w:bCs/>
                      <w:snapToGrid w:val="0"/>
                      <w:color w:val="auto"/>
                      <w:kern w:val="0"/>
                      <w:szCs w:val="21"/>
                      <w:highlight w:val="none"/>
                    </w:rPr>
                  </w:pPr>
                  <w:r>
                    <w:rPr>
                      <w:b/>
                      <w:bCs/>
                      <w:snapToGrid w:val="0"/>
                      <w:color w:val="auto"/>
                      <w:kern w:val="0"/>
                      <w:szCs w:val="21"/>
                      <w:highlight w:val="none"/>
                    </w:rPr>
                    <w:t>监测点位</w:t>
                  </w:r>
                </w:p>
              </w:tc>
              <w:tc>
                <w:tcPr>
                  <w:tcW w:w="2736" w:type="dxa"/>
                  <w:noWrap w:val="0"/>
                  <w:vAlign w:val="center"/>
                </w:tcPr>
                <w:p>
                  <w:pPr>
                    <w:tabs>
                      <w:tab w:val="left" w:pos="0"/>
                    </w:tabs>
                    <w:adjustRightInd w:val="0"/>
                    <w:snapToGrid w:val="0"/>
                    <w:jc w:val="center"/>
                    <w:rPr>
                      <w:b/>
                      <w:bCs/>
                      <w:snapToGrid w:val="0"/>
                      <w:color w:val="auto"/>
                      <w:kern w:val="0"/>
                      <w:szCs w:val="21"/>
                      <w:highlight w:val="none"/>
                    </w:rPr>
                  </w:pPr>
                  <w:r>
                    <w:rPr>
                      <w:b/>
                      <w:bCs/>
                      <w:snapToGrid w:val="0"/>
                      <w:color w:val="auto"/>
                      <w:kern w:val="0"/>
                      <w:szCs w:val="21"/>
                      <w:highlight w:val="none"/>
                    </w:rPr>
                    <w:t>监测指标</w:t>
                  </w:r>
                </w:p>
              </w:tc>
              <w:tc>
                <w:tcPr>
                  <w:tcW w:w="1080" w:type="dxa"/>
                  <w:noWrap w:val="0"/>
                  <w:vAlign w:val="center"/>
                </w:tcPr>
                <w:p>
                  <w:pPr>
                    <w:tabs>
                      <w:tab w:val="left" w:pos="0"/>
                    </w:tabs>
                    <w:adjustRightInd w:val="0"/>
                    <w:snapToGrid w:val="0"/>
                    <w:jc w:val="center"/>
                    <w:rPr>
                      <w:b/>
                      <w:bCs/>
                      <w:snapToGrid w:val="0"/>
                      <w:color w:val="auto"/>
                      <w:kern w:val="0"/>
                      <w:szCs w:val="21"/>
                      <w:highlight w:val="none"/>
                    </w:rPr>
                  </w:pPr>
                  <w:r>
                    <w:rPr>
                      <w:b/>
                      <w:bCs/>
                      <w:snapToGrid w:val="0"/>
                      <w:color w:val="auto"/>
                      <w:kern w:val="0"/>
                      <w:szCs w:val="21"/>
                      <w:highlight w:val="none"/>
                    </w:rPr>
                    <w:t>监测频次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7" w:hRule="atLeast"/>
                <w:jc w:val="center"/>
              </w:trPr>
              <w:tc>
                <w:tcPr>
                  <w:tcW w:w="1308" w:type="dxa"/>
                  <w:vMerge w:val="restart"/>
                  <w:noWrap w:val="0"/>
                  <w:vAlign w:val="center"/>
                </w:tcPr>
                <w:p>
                  <w:pPr>
                    <w:tabs>
                      <w:tab w:val="left" w:pos="0"/>
                    </w:tabs>
                    <w:adjustRightInd w:val="0"/>
                    <w:snapToGrid w:val="0"/>
                    <w:jc w:val="center"/>
                    <w:rPr>
                      <w:snapToGrid w:val="0"/>
                      <w:color w:val="auto"/>
                      <w:kern w:val="0"/>
                      <w:szCs w:val="21"/>
                      <w:highlight w:val="none"/>
                    </w:rPr>
                  </w:pPr>
                  <w:r>
                    <w:rPr>
                      <w:snapToGrid w:val="0"/>
                      <w:color w:val="auto"/>
                      <w:kern w:val="0"/>
                      <w:szCs w:val="21"/>
                      <w:highlight w:val="none"/>
                    </w:rPr>
                    <w:t>有组织</w:t>
                  </w:r>
                </w:p>
              </w:tc>
              <w:tc>
                <w:tcPr>
                  <w:tcW w:w="2974" w:type="dxa"/>
                  <w:noWrap w:val="0"/>
                  <w:vAlign w:val="center"/>
                </w:tcPr>
                <w:p>
                  <w:pPr>
                    <w:tabs>
                      <w:tab w:val="left" w:pos="0"/>
                    </w:tabs>
                    <w:adjustRightInd w:val="0"/>
                    <w:snapToGrid w:val="0"/>
                    <w:jc w:val="center"/>
                    <w:rPr>
                      <w:snapToGrid w:val="0"/>
                      <w:color w:val="auto"/>
                      <w:kern w:val="0"/>
                      <w:szCs w:val="21"/>
                      <w:highlight w:val="none"/>
                    </w:rPr>
                  </w:pPr>
                  <w:r>
                    <w:rPr>
                      <w:snapToGrid w:val="0"/>
                      <w:color w:val="auto"/>
                      <w:kern w:val="0"/>
                      <w:szCs w:val="21"/>
                      <w:highlight w:val="none"/>
                    </w:rPr>
                    <w:t>G1废气排放口</w:t>
                  </w:r>
                </w:p>
              </w:tc>
              <w:tc>
                <w:tcPr>
                  <w:tcW w:w="2736" w:type="dxa"/>
                  <w:noWrap w:val="0"/>
                  <w:vAlign w:val="center"/>
                </w:tcPr>
                <w:p>
                  <w:pPr>
                    <w:tabs>
                      <w:tab w:val="left" w:pos="0"/>
                    </w:tabs>
                    <w:adjustRightInd w:val="0"/>
                    <w:snapToGrid w:val="0"/>
                    <w:jc w:val="center"/>
                    <w:rPr>
                      <w:snapToGrid w:val="0"/>
                      <w:color w:val="auto"/>
                      <w:kern w:val="0"/>
                      <w:szCs w:val="21"/>
                      <w:highlight w:val="none"/>
                      <w:vertAlign w:val="subscript"/>
                    </w:rPr>
                  </w:pPr>
                  <w:r>
                    <w:rPr>
                      <w:snapToGrid w:val="0"/>
                      <w:color w:val="auto"/>
                      <w:kern w:val="0"/>
                      <w:szCs w:val="21"/>
                      <w:highlight w:val="none"/>
                    </w:rPr>
                    <w:t>SO</w:t>
                  </w:r>
                  <w:r>
                    <w:rPr>
                      <w:snapToGrid w:val="0"/>
                      <w:color w:val="auto"/>
                      <w:kern w:val="0"/>
                      <w:szCs w:val="21"/>
                      <w:highlight w:val="none"/>
                      <w:vertAlign w:val="subscript"/>
                    </w:rPr>
                    <w:t>2</w:t>
                  </w:r>
                  <w:r>
                    <w:rPr>
                      <w:snapToGrid w:val="0"/>
                      <w:color w:val="auto"/>
                      <w:kern w:val="0"/>
                      <w:szCs w:val="21"/>
                      <w:highlight w:val="none"/>
                    </w:rPr>
                    <w:t>、NOx、颗粒物、沥青烟气、苯并芘、非甲烷总烃</w:t>
                  </w:r>
                </w:p>
              </w:tc>
              <w:tc>
                <w:tcPr>
                  <w:tcW w:w="1080" w:type="dxa"/>
                  <w:vMerge w:val="restart"/>
                  <w:noWrap w:val="0"/>
                  <w:vAlign w:val="center"/>
                </w:tcPr>
                <w:p>
                  <w:pPr>
                    <w:tabs>
                      <w:tab w:val="left" w:pos="0"/>
                    </w:tabs>
                    <w:adjustRightInd w:val="0"/>
                    <w:snapToGrid w:val="0"/>
                    <w:jc w:val="center"/>
                    <w:rPr>
                      <w:snapToGrid w:val="0"/>
                      <w:color w:val="auto"/>
                      <w:kern w:val="0"/>
                      <w:szCs w:val="21"/>
                      <w:highlight w:val="none"/>
                    </w:rPr>
                  </w:pPr>
                  <w:r>
                    <w:rPr>
                      <w:snapToGrid w:val="0"/>
                      <w:color w:val="auto"/>
                      <w:kern w:val="0"/>
                      <w:szCs w:val="21"/>
                      <w:highlight w:val="none"/>
                    </w:rPr>
                    <w:t>半年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1308" w:type="dxa"/>
                  <w:vMerge w:val="continue"/>
                  <w:noWrap w:val="0"/>
                  <w:vAlign w:val="center"/>
                </w:tcPr>
                <w:p>
                  <w:pPr>
                    <w:tabs>
                      <w:tab w:val="left" w:pos="0"/>
                    </w:tabs>
                    <w:adjustRightInd w:val="0"/>
                    <w:snapToGrid w:val="0"/>
                    <w:jc w:val="center"/>
                    <w:rPr>
                      <w:snapToGrid w:val="0"/>
                      <w:color w:val="auto"/>
                      <w:kern w:val="0"/>
                      <w:szCs w:val="21"/>
                      <w:highlight w:val="none"/>
                    </w:rPr>
                  </w:pPr>
                </w:p>
              </w:tc>
              <w:tc>
                <w:tcPr>
                  <w:tcW w:w="2974" w:type="dxa"/>
                  <w:noWrap w:val="0"/>
                  <w:vAlign w:val="center"/>
                </w:tcPr>
                <w:p>
                  <w:pPr>
                    <w:tabs>
                      <w:tab w:val="left" w:pos="0"/>
                    </w:tabs>
                    <w:adjustRightInd w:val="0"/>
                    <w:snapToGrid w:val="0"/>
                    <w:jc w:val="center"/>
                    <w:rPr>
                      <w:snapToGrid w:val="0"/>
                      <w:color w:val="auto"/>
                      <w:kern w:val="0"/>
                      <w:szCs w:val="21"/>
                      <w:highlight w:val="none"/>
                    </w:rPr>
                  </w:pPr>
                  <w:r>
                    <w:rPr>
                      <w:snapToGrid w:val="0"/>
                      <w:color w:val="auto"/>
                      <w:kern w:val="0"/>
                      <w:szCs w:val="21"/>
                      <w:highlight w:val="none"/>
                    </w:rPr>
                    <w:t>G2废气排放口</w:t>
                  </w:r>
                </w:p>
              </w:tc>
              <w:tc>
                <w:tcPr>
                  <w:tcW w:w="2736" w:type="dxa"/>
                  <w:noWrap w:val="0"/>
                  <w:vAlign w:val="center"/>
                </w:tcPr>
                <w:p>
                  <w:pPr>
                    <w:tabs>
                      <w:tab w:val="left" w:pos="0"/>
                    </w:tabs>
                    <w:adjustRightInd w:val="0"/>
                    <w:snapToGrid w:val="0"/>
                    <w:jc w:val="center"/>
                    <w:rPr>
                      <w:snapToGrid w:val="0"/>
                      <w:color w:val="auto"/>
                      <w:kern w:val="0"/>
                      <w:szCs w:val="21"/>
                      <w:highlight w:val="none"/>
                    </w:rPr>
                  </w:pPr>
                  <w:r>
                    <w:rPr>
                      <w:snapToGrid w:val="0"/>
                      <w:color w:val="auto"/>
                      <w:kern w:val="0"/>
                      <w:szCs w:val="21"/>
                      <w:highlight w:val="none"/>
                    </w:rPr>
                    <w:t>SO</w:t>
                  </w:r>
                  <w:r>
                    <w:rPr>
                      <w:snapToGrid w:val="0"/>
                      <w:color w:val="auto"/>
                      <w:kern w:val="0"/>
                      <w:szCs w:val="21"/>
                      <w:highlight w:val="none"/>
                      <w:vertAlign w:val="subscript"/>
                    </w:rPr>
                    <w:t>2</w:t>
                  </w:r>
                  <w:r>
                    <w:rPr>
                      <w:snapToGrid w:val="0"/>
                      <w:color w:val="auto"/>
                      <w:kern w:val="0"/>
                      <w:szCs w:val="21"/>
                      <w:highlight w:val="none"/>
                    </w:rPr>
                    <w:t>、NOx、颗粒物</w:t>
                  </w:r>
                </w:p>
              </w:tc>
              <w:tc>
                <w:tcPr>
                  <w:tcW w:w="1080" w:type="dxa"/>
                  <w:vMerge w:val="continue"/>
                  <w:noWrap w:val="0"/>
                  <w:vAlign w:val="center"/>
                </w:tcPr>
                <w:p>
                  <w:pPr>
                    <w:tabs>
                      <w:tab w:val="left" w:pos="0"/>
                    </w:tabs>
                    <w:adjustRightInd w:val="0"/>
                    <w:snapToGrid w:val="0"/>
                    <w:jc w:val="center"/>
                    <w:rPr>
                      <w:snapToGrid w:val="0"/>
                      <w:color w:val="auto"/>
                      <w:kern w:val="0"/>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08" w:type="dxa"/>
                  <w:vMerge w:val="restart"/>
                  <w:noWrap w:val="0"/>
                  <w:vAlign w:val="center"/>
                </w:tcPr>
                <w:p>
                  <w:pPr>
                    <w:tabs>
                      <w:tab w:val="left" w:pos="0"/>
                    </w:tabs>
                    <w:adjustRightInd w:val="0"/>
                    <w:snapToGrid w:val="0"/>
                    <w:jc w:val="center"/>
                    <w:rPr>
                      <w:snapToGrid w:val="0"/>
                      <w:color w:val="auto"/>
                      <w:kern w:val="0"/>
                      <w:szCs w:val="21"/>
                      <w:highlight w:val="none"/>
                    </w:rPr>
                  </w:pPr>
                  <w:r>
                    <w:rPr>
                      <w:snapToGrid w:val="0"/>
                      <w:color w:val="auto"/>
                      <w:kern w:val="0"/>
                      <w:szCs w:val="21"/>
                      <w:highlight w:val="none"/>
                    </w:rPr>
                    <w:t>无组织</w:t>
                  </w:r>
                </w:p>
              </w:tc>
              <w:tc>
                <w:tcPr>
                  <w:tcW w:w="2974" w:type="dxa"/>
                  <w:noWrap w:val="0"/>
                  <w:vAlign w:val="center"/>
                </w:tcPr>
                <w:p>
                  <w:pPr>
                    <w:tabs>
                      <w:tab w:val="left" w:pos="0"/>
                    </w:tabs>
                    <w:adjustRightInd w:val="0"/>
                    <w:snapToGrid w:val="0"/>
                    <w:jc w:val="center"/>
                    <w:rPr>
                      <w:snapToGrid w:val="0"/>
                      <w:color w:val="auto"/>
                      <w:kern w:val="0"/>
                      <w:szCs w:val="21"/>
                      <w:highlight w:val="none"/>
                    </w:rPr>
                  </w:pPr>
                  <w:r>
                    <w:rPr>
                      <w:snapToGrid w:val="0"/>
                      <w:color w:val="auto"/>
                      <w:kern w:val="0"/>
                      <w:szCs w:val="21"/>
                      <w:highlight w:val="none"/>
                    </w:rPr>
                    <w:t>厂界</w:t>
                  </w:r>
                  <w:r>
                    <w:rPr>
                      <w:rFonts w:hint="eastAsia"/>
                      <w:snapToGrid w:val="0"/>
                      <w:color w:val="auto"/>
                      <w:kern w:val="0"/>
                      <w:szCs w:val="21"/>
                      <w:highlight w:val="none"/>
                    </w:rPr>
                    <w:t>（4个）</w:t>
                  </w:r>
                </w:p>
              </w:tc>
              <w:tc>
                <w:tcPr>
                  <w:tcW w:w="2736" w:type="dxa"/>
                  <w:noWrap w:val="0"/>
                  <w:vAlign w:val="center"/>
                </w:tcPr>
                <w:p>
                  <w:pPr>
                    <w:tabs>
                      <w:tab w:val="left" w:pos="0"/>
                    </w:tabs>
                    <w:adjustRightInd w:val="0"/>
                    <w:snapToGrid w:val="0"/>
                    <w:jc w:val="center"/>
                    <w:rPr>
                      <w:snapToGrid w:val="0"/>
                      <w:color w:val="auto"/>
                      <w:kern w:val="0"/>
                      <w:szCs w:val="21"/>
                      <w:highlight w:val="none"/>
                    </w:rPr>
                  </w:pPr>
                  <w:r>
                    <w:rPr>
                      <w:snapToGrid w:val="0"/>
                      <w:color w:val="auto"/>
                      <w:kern w:val="0"/>
                      <w:szCs w:val="21"/>
                      <w:highlight w:val="none"/>
                    </w:rPr>
                    <w:t>颗粒物、苯并芘、非甲烷总烃</w:t>
                  </w:r>
                </w:p>
              </w:tc>
              <w:tc>
                <w:tcPr>
                  <w:tcW w:w="1080" w:type="dxa"/>
                  <w:vMerge w:val="continue"/>
                  <w:noWrap w:val="0"/>
                  <w:vAlign w:val="center"/>
                </w:tcPr>
                <w:p>
                  <w:pPr>
                    <w:tabs>
                      <w:tab w:val="left" w:pos="0"/>
                    </w:tabs>
                    <w:adjustRightInd w:val="0"/>
                    <w:snapToGrid w:val="0"/>
                    <w:jc w:val="center"/>
                    <w:rPr>
                      <w:snapToGrid w:val="0"/>
                      <w:color w:val="auto"/>
                      <w:kern w:val="0"/>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08" w:type="dxa"/>
                  <w:vMerge w:val="continue"/>
                  <w:noWrap w:val="0"/>
                  <w:vAlign w:val="center"/>
                </w:tcPr>
                <w:p>
                  <w:pPr>
                    <w:tabs>
                      <w:tab w:val="left" w:pos="0"/>
                    </w:tabs>
                    <w:adjustRightInd w:val="0"/>
                    <w:snapToGrid w:val="0"/>
                    <w:jc w:val="center"/>
                    <w:rPr>
                      <w:snapToGrid w:val="0"/>
                      <w:color w:val="auto"/>
                      <w:kern w:val="0"/>
                      <w:szCs w:val="21"/>
                      <w:highlight w:val="none"/>
                    </w:rPr>
                  </w:pPr>
                </w:p>
              </w:tc>
              <w:tc>
                <w:tcPr>
                  <w:tcW w:w="2974" w:type="dxa"/>
                  <w:noWrap w:val="0"/>
                  <w:vAlign w:val="center"/>
                </w:tcPr>
                <w:p>
                  <w:pPr>
                    <w:tabs>
                      <w:tab w:val="left" w:pos="0"/>
                    </w:tabs>
                    <w:adjustRightInd w:val="0"/>
                    <w:snapToGrid w:val="0"/>
                    <w:jc w:val="center"/>
                    <w:rPr>
                      <w:snapToGrid w:val="0"/>
                      <w:color w:val="auto"/>
                      <w:kern w:val="0"/>
                      <w:szCs w:val="21"/>
                      <w:highlight w:val="none"/>
                    </w:rPr>
                  </w:pPr>
                  <w:r>
                    <w:rPr>
                      <w:rFonts w:hint="eastAsia"/>
                      <w:snapToGrid w:val="0"/>
                      <w:color w:val="auto"/>
                      <w:kern w:val="0"/>
                      <w:szCs w:val="21"/>
                      <w:highlight w:val="none"/>
                    </w:rPr>
                    <w:t>沥青混凝土拌合楼</w:t>
                  </w:r>
                </w:p>
              </w:tc>
              <w:tc>
                <w:tcPr>
                  <w:tcW w:w="2736" w:type="dxa"/>
                  <w:noWrap w:val="0"/>
                  <w:vAlign w:val="center"/>
                </w:tcPr>
                <w:p>
                  <w:pPr>
                    <w:tabs>
                      <w:tab w:val="left" w:pos="0"/>
                    </w:tabs>
                    <w:adjustRightInd w:val="0"/>
                    <w:snapToGrid w:val="0"/>
                    <w:jc w:val="center"/>
                    <w:rPr>
                      <w:snapToGrid w:val="0"/>
                      <w:color w:val="auto"/>
                      <w:kern w:val="0"/>
                      <w:szCs w:val="21"/>
                      <w:highlight w:val="none"/>
                    </w:rPr>
                  </w:pPr>
                  <w:r>
                    <w:rPr>
                      <w:rFonts w:hint="eastAsia"/>
                      <w:snapToGrid w:val="0"/>
                      <w:color w:val="auto"/>
                      <w:kern w:val="0"/>
                      <w:szCs w:val="21"/>
                      <w:highlight w:val="none"/>
                    </w:rPr>
                    <w:t>非甲烷总烃</w:t>
                  </w:r>
                </w:p>
              </w:tc>
              <w:tc>
                <w:tcPr>
                  <w:tcW w:w="1080" w:type="dxa"/>
                  <w:vMerge w:val="continue"/>
                  <w:noWrap w:val="0"/>
                  <w:vAlign w:val="center"/>
                </w:tcPr>
                <w:p>
                  <w:pPr>
                    <w:tabs>
                      <w:tab w:val="left" w:pos="0"/>
                    </w:tabs>
                    <w:adjustRightInd w:val="0"/>
                    <w:snapToGrid w:val="0"/>
                    <w:jc w:val="center"/>
                    <w:rPr>
                      <w:snapToGrid w:val="0"/>
                      <w:color w:val="auto"/>
                      <w:kern w:val="0"/>
                      <w:szCs w:val="21"/>
                      <w:highlight w:val="none"/>
                    </w:rPr>
                  </w:pPr>
                </w:p>
              </w:tc>
            </w:tr>
          </w:tbl>
          <w:p>
            <w:pPr>
              <w:adjustRightInd w:val="0"/>
              <w:snapToGrid w:val="0"/>
              <w:spacing w:line="360" w:lineRule="auto"/>
              <w:rPr>
                <w:b/>
                <w:bCs/>
                <w:snapToGrid w:val="0"/>
                <w:color w:val="auto"/>
                <w:kern w:val="0"/>
                <w:sz w:val="24"/>
                <w:highlight w:val="none"/>
              </w:rPr>
            </w:pPr>
            <w:r>
              <w:rPr>
                <w:rFonts w:hint="eastAsia"/>
                <w:b/>
                <w:bCs/>
                <w:snapToGrid w:val="0"/>
                <w:color w:val="auto"/>
                <w:kern w:val="0"/>
                <w:sz w:val="24"/>
                <w:highlight w:val="none"/>
              </w:rPr>
              <w:t>二、废水</w:t>
            </w:r>
          </w:p>
          <w:p>
            <w:pPr>
              <w:pStyle w:val="50"/>
              <w:rPr>
                <w:rFonts w:hint="eastAsia"/>
                <w:color w:val="auto"/>
                <w:szCs w:val="24"/>
                <w:highlight w:val="none"/>
              </w:rPr>
            </w:pPr>
            <w:r>
              <w:rPr>
                <w:rFonts w:hint="eastAsia"/>
                <w:color w:val="auto"/>
                <w:szCs w:val="24"/>
                <w:highlight w:val="none"/>
              </w:rPr>
              <w:t>项目不涉及生产废水，主要为办公生活污水、食堂废水、厂区地面清洗水等，均由厂区隔油池、化粪池处理后外排。</w:t>
            </w:r>
            <w:r>
              <w:rPr>
                <w:color w:val="auto"/>
                <w:szCs w:val="24"/>
                <w:highlight w:val="none"/>
              </w:rPr>
              <w:t>废水产生</w:t>
            </w:r>
            <w:r>
              <w:rPr>
                <w:rFonts w:hint="eastAsia"/>
                <w:color w:val="auto"/>
                <w:szCs w:val="24"/>
                <w:highlight w:val="none"/>
              </w:rPr>
              <w:t>、</w:t>
            </w:r>
            <w:r>
              <w:rPr>
                <w:color w:val="auto"/>
                <w:szCs w:val="24"/>
                <w:highlight w:val="none"/>
              </w:rPr>
              <w:t>治理和排放情况见表</w:t>
            </w:r>
            <w:r>
              <w:rPr>
                <w:rFonts w:hint="eastAsia"/>
                <w:color w:val="auto"/>
                <w:szCs w:val="24"/>
                <w:highlight w:val="none"/>
              </w:rPr>
              <w:t>2-6。</w:t>
            </w:r>
          </w:p>
          <w:p>
            <w:pPr>
              <w:pStyle w:val="50"/>
              <w:rPr>
                <w:color w:val="auto"/>
                <w:szCs w:val="24"/>
                <w:highlight w:val="none"/>
              </w:rPr>
            </w:pPr>
            <w:r>
              <w:rPr>
                <w:rFonts w:hint="eastAsia"/>
                <w:color w:val="auto"/>
                <w:szCs w:val="24"/>
                <w:highlight w:val="none"/>
              </w:rPr>
              <w:t>（1）办公生活用水</w:t>
            </w:r>
          </w:p>
          <w:p>
            <w:pPr>
              <w:pStyle w:val="50"/>
              <w:rPr>
                <w:color w:val="auto"/>
                <w:szCs w:val="24"/>
                <w:highlight w:val="none"/>
              </w:rPr>
            </w:pPr>
            <w:r>
              <w:rPr>
                <w:rFonts w:hint="eastAsia"/>
                <w:color w:val="auto"/>
                <w:szCs w:val="24"/>
                <w:highlight w:val="none"/>
              </w:rPr>
              <w:t>项目厂区现有职工人员共计10人，每人每日用水量按120L/d，则项目日用水量为1.2m</w:t>
            </w:r>
            <w:r>
              <w:rPr>
                <w:rFonts w:hint="eastAsia"/>
                <w:color w:val="auto"/>
                <w:szCs w:val="24"/>
                <w:highlight w:val="none"/>
                <w:vertAlign w:val="superscript"/>
              </w:rPr>
              <w:t>3</w:t>
            </w:r>
            <w:r>
              <w:rPr>
                <w:rFonts w:hint="eastAsia"/>
                <w:color w:val="auto"/>
                <w:szCs w:val="24"/>
                <w:highlight w:val="none"/>
              </w:rPr>
              <w:t>/d，产生的生活污水按用水量的80%计，则项目产生生活污水的量为0.96m</w:t>
            </w:r>
            <w:r>
              <w:rPr>
                <w:rFonts w:hint="eastAsia"/>
                <w:color w:val="auto"/>
                <w:szCs w:val="24"/>
                <w:highlight w:val="none"/>
                <w:vertAlign w:val="superscript"/>
              </w:rPr>
              <w:t>3</w:t>
            </w:r>
            <w:r>
              <w:rPr>
                <w:rFonts w:hint="eastAsia"/>
                <w:color w:val="auto"/>
                <w:szCs w:val="24"/>
                <w:highlight w:val="none"/>
              </w:rPr>
              <w:t>/d。</w:t>
            </w:r>
          </w:p>
          <w:p>
            <w:pPr>
              <w:pStyle w:val="50"/>
              <w:rPr>
                <w:color w:val="auto"/>
                <w:szCs w:val="24"/>
                <w:highlight w:val="none"/>
              </w:rPr>
            </w:pPr>
            <w:r>
              <w:rPr>
                <w:rFonts w:hint="eastAsia"/>
                <w:color w:val="auto"/>
                <w:szCs w:val="24"/>
                <w:highlight w:val="none"/>
              </w:rPr>
              <w:t>（2）食堂废水</w:t>
            </w:r>
          </w:p>
          <w:p>
            <w:pPr>
              <w:spacing w:line="360" w:lineRule="auto"/>
              <w:ind w:firstLine="480"/>
              <w:rPr>
                <w:rFonts w:hint="eastAsia"/>
                <w:color w:val="auto"/>
                <w:sz w:val="24"/>
                <w:highlight w:val="none"/>
              </w:rPr>
            </w:pPr>
            <w:r>
              <w:rPr>
                <w:color w:val="auto"/>
                <w:sz w:val="24"/>
                <w:highlight w:val="none"/>
              </w:rPr>
              <w:t>项目运营期为员工提供食宿，项目总员工为</w:t>
            </w:r>
            <w:r>
              <w:rPr>
                <w:rFonts w:hint="eastAsia"/>
                <w:color w:val="auto"/>
                <w:sz w:val="24"/>
                <w:highlight w:val="none"/>
              </w:rPr>
              <w:t>10</w:t>
            </w:r>
            <w:r>
              <w:rPr>
                <w:color w:val="auto"/>
                <w:sz w:val="24"/>
                <w:highlight w:val="none"/>
              </w:rPr>
              <w:t>人，均在食堂就餐，按照每人每天三餐用水量30L计，食堂用水量为</w:t>
            </w:r>
            <w:r>
              <w:rPr>
                <w:rFonts w:hint="eastAsia"/>
                <w:color w:val="auto"/>
                <w:sz w:val="24"/>
                <w:highlight w:val="none"/>
              </w:rPr>
              <w:t>0.3</w:t>
            </w:r>
            <w:r>
              <w:rPr>
                <w:color w:val="auto"/>
                <w:sz w:val="24"/>
                <w:highlight w:val="none"/>
              </w:rPr>
              <w:t>m</w:t>
            </w:r>
            <w:r>
              <w:rPr>
                <w:color w:val="auto"/>
                <w:sz w:val="24"/>
                <w:highlight w:val="none"/>
                <w:vertAlign w:val="superscript"/>
              </w:rPr>
              <w:t>3</w:t>
            </w:r>
            <w:r>
              <w:rPr>
                <w:color w:val="auto"/>
                <w:sz w:val="24"/>
                <w:highlight w:val="none"/>
              </w:rPr>
              <w:t>/d。排水量按用水量的80%计算，则食堂排水量为</w:t>
            </w:r>
            <w:r>
              <w:rPr>
                <w:rFonts w:hint="eastAsia"/>
                <w:color w:val="auto"/>
                <w:sz w:val="24"/>
                <w:highlight w:val="none"/>
              </w:rPr>
              <w:t>0.24</w:t>
            </w:r>
            <w:r>
              <w:rPr>
                <w:color w:val="auto"/>
                <w:sz w:val="24"/>
                <w:highlight w:val="none"/>
              </w:rPr>
              <w:t>m</w:t>
            </w:r>
            <w:r>
              <w:rPr>
                <w:color w:val="auto"/>
                <w:sz w:val="24"/>
                <w:highlight w:val="none"/>
                <w:vertAlign w:val="superscript"/>
              </w:rPr>
              <w:t>3</w:t>
            </w:r>
            <w:r>
              <w:rPr>
                <w:color w:val="auto"/>
                <w:sz w:val="24"/>
                <w:highlight w:val="none"/>
              </w:rPr>
              <w:t>/d。餐饮废水经过隔油隔渣池处理后和生活污水经过化粪池预处理后，定期运至农户农田施肥</w:t>
            </w:r>
            <w:r>
              <w:rPr>
                <w:rFonts w:hint="eastAsia"/>
                <w:color w:val="auto"/>
                <w:sz w:val="24"/>
                <w:highlight w:val="none"/>
              </w:rPr>
              <w:t>。</w:t>
            </w:r>
          </w:p>
          <w:p>
            <w:pPr>
              <w:pStyle w:val="50"/>
              <w:rPr>
                <w:rFonts w:hint="eastAsia" w:eastAsia="宋体" w:cs="Times New Roman"/>
                <w:color w:val="auto"/>
                <w:szCs w:val="24"/>
                <w:highlight w:val="none"/>
                <w:lang w:val="en-US" w:eastAsia="zh-CN"/>
              </w:rPr>
            </w:pPr>
            <w:r>
              <w:rPr>
                <w:rFonts w:hint="eastAsia" w:eastAsia="宋体" w:cs="Times New Roman"/>
                <w:color w:val="auto"/>
                <w:szCs w:val="24"/>
                <w:highlight w:val="none"/>
                <w:lang w:val="en-US" w:eastAsia="zh-CN"/>
              </w:rPr>
              <w:t>（3）厂区地面清洗废水</w:t>
            </w:r>
          </w:p>
          <w:p>
            <w:pPr>
              <w:spacing w:line="360" w:lineRule="auto"/>
              <w:ind w:firstLine="48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运营期项目地面冲洗量约为2m3/d，年地面冲洗水量600t/a；排污系数按0.85计，则车间地面冲洗废水1.7m3/d，年车间地面冲洗废水量510t/a；项目地面冲洗水经沉淀池（6m</w:t>
            </w:r>
            <w:r>
              <w:rPr>
                <w:rFonts w:hint="eastAsia" w:ascii="Times New Roman" w:hAnsi="Times New Roman" w:eastAsia="宋体" w:cs="Times New Roman"/>
                <w:color w:val="auto"/>
                <w:sz w:val="24"/>
                <w:highlight w:val="none"/>
                <w:vertAlign w:val="superscript"/>
                <w:lang w:val="en-US" w:eastAsia="zh-CN"/>
              </w:rPr>
              <w:t>3</w:t>
            </w:r>
            <w:r>
              <w:rPr>
                <w:rFonts w:hint="eastAsia" w:ascii="Times New Roman" w:hAnsi="Times New Roman" w:eastAsia="宋体" w:cs="Times New Roman"/>
                <w:color w:val="auto"/>
                <w:sz w:val="24"/>
                <w:highlight w:val="none"/>
                <w:lang w:val="en-US" w:eastAsia="zh-CN"/>
              </w:rPr>
              <w:t>）预处理后，回用于厂区地面冲洗水或洒水降尘用水，不外排。</w:t>
            </w:r>
          </w:p>
          <w:p>
            <w:pPr>
              <w:spacing w:line="360" w:lineRule="auto"/>
              <w:jc w:val="center"/>
              <w:rPr>
                <w:rFonts w:eastAsia="黑体"/>
                <w:color w:val="auto"/>
                <w:sz w:val="24"/>
                <w:highlight w:val="none"/>
              </w:rPr>
            </w:pPr>
            <w:r>
              <w:rPr>
                <w:rFonts w:hint="eastAsia" w:eastAsia="黑体"/>
                <w:color w:val="auto"/>
                <w:sz w:val="24"/>
                <w:highlight w:val="none"/>
              </w:rPr>
              <w:t>表</w:t>
            </w:r>
            <w:r>
              <w:rPr>
                <w:rFonts w:hint="eastAsia" w:eastAsia="黑体"/>
                <w:color w:val="auto"/>
                <w:sz w:val="24"/>
                <w:highlight w:val="none"/>
                <w:lang w:val="en-US" w:eastAsia="zh-CN"/>
              </w:rPr>
              <w:t>4-17</w:t>
            </w:r>
            <w:r>
              <w:rPr>
                <w:rFonts w:eastAsia="黑体"/>
                <w:color w:val="auto"/>
                <w:sz w:val="24"/>
                <w:highlight w:val="none"/>
              </w:rPr>
              <w:t xml:space="preserve"> </w:t>
            </w:r>
            <w:r>
              <w:rPr>
                <w:rFonts w:hint="eastAsia" w:eastAsia="黑体"/>
                <w:color w:val="auto"/>
                <w:sz w:val="24"/>
                <w:highlight w:val="none"/>
              </w:rPr>
              <w:t>项目废水产生、治理及排放情况</w:t>
            </w:r>
          </w:p>
          <w:tbl>
            <w:tblPr>
              <w:tblStyle w:val="39"/>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42" w:type="dxa"/>
                <w:bottom w:w="0" w:type="dxa"/>
                <w:right w:w="142" w:type="dxa"/>
              </w:tblCellMar>
            </w:tblPr>
            <w:tblGrid>
              <w:gridCol w:w="483"/>
              <w:gridCol w:w="1009"/>
              <w:gridCol w:w="1724"/>
              <w:gridCol w:w="1655"/>
              <w:gridCol w:w="1504"/>
              <w:gridCol w:w="456"/>
              <w:gridCol w:w="744"/>
              <w:gridCol w:w="74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42" w:type="dxa"/>
                  <w:bottom w:w="0" w:type="dxa"/>
                  <w:right w:w="142" w:type="dxa"/>
                </w:tblCellMar>
              </w:tblPrEx>
              <w:trPr>
                <w:cantSplit/>
                <w:trHeight w:val="23" w:hRule="atLeast"/>
                <w:jc w:val="center"/>
              </w:trPr>
              <w:tc>
                <w:tcPr>
                  <w:tcW w:w="290" w:type="pct"/>
                  <w:noWrap w:val="0"/>
                  <w:vAlign w:val="center"/>
                </w:tcPr>
                <w:p>
                  <w:pPr>
                    <w:snapToGrid w:val="0"/>
                    <w:spacing w:line="248" w:lineRule="exact"/>
                    <w:ind w:left="-120" w:leftChars="-50" w:right="-120" w:rightChars="-50"/>
                    <w:jc w:val="center"/>
                    <w:rPr>
                      <w:b/>
                      <w:color w:val="auto"/>
                      <w:szCs w:val="21"/>
                      <w:highlight w:val="none"/>
                    </w:rPr>
                  </w:pPr>
                  <w:r>
                    <w:rPr>
                      <w:rFonts w:hint="eastAsia"/>
                      <w:b/>
                      <w:color w:val="auto"/>
                      <w:szCs w:val="21"/>
                      <w:highlight w:val="none"/>
                    </w:rPr>
                    <w:t>编号</w:t>
                  </w:r>
                </w:p>
              </w:tc>
              <w:tc>
                <w:tcPr>
                  <w:tcW w:w="606" w:type="pct"/>
                  <w:noWrap w:val="0"/>
                  <w:vAlign w:val="center"/>
                </w:tcPr>
                <w:p>
                  <w:pPr>
                    <w:snapToGrid w:val="0"/>
                    <w:spacing w:line="248" w:lineRule="exact"/>
                    <w:ind w:left="-120" w:leftChars="-50" w:right="-120" w:rightChars="-50"/>
                    <w:jc w:val="center"/>
                    <w:rPr>
                      <w:b/>
                      <w:color w:val="auto"/>
                      <w:szCs w:val="21"/>
                      <w:highlight w:val="none"/>
                    </w:rPr>
                  </w:pPr>
                  <w:r>
                    <w:rPr>
                      <w:rFonts w:hint="eastAsia"/>
                      <w:b/>
                      <w:color w:val="auto"/>
                      <w:szCs w:val="21"/>
                      <w:highlight w:val="none"/>
                    </w:rPr>
                    <w:t>废水来源</w:t>
                  </w:r>
                </w:p>
                <w:p>
                  <w:pPr>
                    <w:snapToGrid w:val="0"/>
                    <w:spacing w:line="248" w:lineRule="exact"/>
                    <w:ind w:left="-120" w:leftChars="-50" w:right="-120" w:rightChars="-50"/>
                    <w:jc w:val="center"/>
                    <w:rPr>
                      <w:b/>
                      <w:color w:val="auto"/>
                      <w:szCs w:val="21"/>
                      <w:highlight w:val="none"/>
                    </w:rPr>
                  </w:pPr>
                  <w:r>
                    <w:rPr>
                      <w:rFonts w:hint="eastAsia"/>
                      <w:b/>
                      <w:color w:val="auto"/>
                      <w:szCs w:val="21"/>
                      <w:highlight w:val="none"/>
                    </w:rPr>
                    <w:t>及名称</w:t>
                  </w:r>
                </w:p>
              </w:tc>
              <w:tc>
                <w:tcPr>
                  <w:tcW w:w="1035" w:type="pct"/>
                  <w:noWrap w:val="0"/>
                  <w:vAlign w:val="center"/>
                </w:tcPr>
                <w:p>
                  <w:pPr>
                    <w:snapToGrid w:val="0"/>
                    <w:spacing w:line="248" w:lineRule="exact"/>
                    <w:ind w:left="-120" w:leftChars="-50" w:right="-120" w:rightChars="-50"/>
                    <w:jc w:val="center"/>
                    <w:rPr>
                      <w:b/>
                      <w:color w:val="auto"/>
                      <w:szCs w:val="21"/>
                      <w:highlight w:val="none"/>
                    </w:rPr>
                  </w:pPr>
                  <w:r>
                    <w:rPr>
                      <w:rFonts w:hint="eastAsia"/>
                      <w:b/>
                      <w:color w:val="auto"/>
                      <w:szCs w:val="21"/>
                      <w:highlight w:val="none"/>
                    </w:rPr>
                    <w:t>处理前废水量</w:t>
                  </w:r>
                </w:p>
                <w:p>
                  <w:pPr>
                    <w:snapToGrid w:val="0"/>
                    <w:spacing w:line="248" w:lineRule="exact"/>
                    <w:ind w:left="-120" w:leftChars="-50" w:right="-120" w:rightChars="-50"/>
                    <w:jc w:val="center"/>
                    <w:rPr>
                      <w:b/>
                      <w:color w:val="auto"/>
                      <w:szCs w:val="21"/>
                      <w:highlight w:val="none"/>
                    </w:rPr>
                  </w:pPr>
                  <w:r>
                    <w:rPr>
                      <w:rFonts w:hint="eastAsia"/>
                      <w:b/>
                      <w:color w:val="auto"/>
                      <w:szCs w:val="21"/>
                      <w:highlight w:val="none"/>
                    </w:rPr>
                    <w:t>及污染物组成</w:t>
                  </w:r>
                </w:p>
              </w:tc>
              <w:tc>
                <w:tcPr>
                  <w:tcW w:w="994" w:type="pct"/>
                  <w:noWrap w:val="0"/>
                  <w:vAlign w:val="center"/>
                </w:tcPr>
                <w:p>
                  <w:pPr>
                    <w:snapToGrid w:val="0"/>
                    <w:spacing w:line="248" w:lineRule="exact"/>
                    <w:ind w:left="-120" w:leftChars="-50" w:right="-120" w:rightChars="-50"/>
                    <w:jc w:val="center"/>
                    <w:rPr>
                      <w:b/>
                      <w:color w:val="auto"/>
                      <w:szCs w:val="21"/>
                      <w:highlight w:val="none"/>
                    </w:rPr>
                  </w:pPr>
                  <w:r>
                    <w:rPr>
                      <w:rFonts w:hint="eastAsia"/>
                      <w:b/>
                      <w:color w:val="auto"/>
                      <w:szCs w:val="21"/>
                      <w:highlight w:val="none"/>
                    </w:rPr>
                    <w:t>废水处理方法及</w:t>
                  </w:r>
                </w:p>
                <w:p>
                  <w:pPr>
                    <w:snapToGrid w:val="0"/>
                    <w:spacing w:line="248" w:lineRule="exact"/>
                    <w:ind w:left="-120" w:leftChars="-50" w:right="-120" w:rightChars="-50"/>
                    <w:jc w:val="center"/>
                    <w:rPr>
                      <w:b/>
                      <w:color w:val="auto"/>
                      <w:szCs w:val="21"/>
                      <w:highlight w:val="none"/>
                    </w:rPr>
                  </w:pPr>
                  <w:r>
                    <w:rPr>
                      <w:rFonts w:hint="eastAsia"/>
                      <w:b/>
                      <w:color w:val="auto"/>
                      <w:szCs w:val="21"/>
                      <w:highlight w:val="none"/>
                    </w:rPr>
                    <w:t>排放去向</w:t>
                  </w:r>
                </w:p>
              </w:tc>
              <w:tc>
                <w:tcPr>
                  <w:tcW w:w="903" w:type="pct"/>
                  <w:noWrap w:val="0"/>
                  <w:vAlign w:val="center"/>
                </w:tcPr>
                <w:p>
                  <w:pPr>
                    <w:snapToGrid w:val="0"/>
                    <w:spacing w:line="248" w:lineRule="exact"/>
                    <w:ind w:left="-120" w:leftChars="-50" w:right="-120" w:rightChars="-50"/>
                    <w:jc w:val="center"/>
                    <w:rPr>
                      <w:rFonts w:hint="default" w:eastAsia="宋体"/>
                      <w:b/>
                      <w:color w:val="auto"/>
                      <w:szCs w:val="21"/>
                      <w:highlight w:val="none"/>
                      <w:lang w:val="en-US" w:eastAsia="zh-CN"/>
                    </w:rPr>
                  </w:pPr>
                  <w:r>
                    <w:rPr>
                      <w:rFonts w:hint="eastAsia"/>
                      <w:b/>
                      <w:color w:val="auto"/>
                      <w:szCs w:val="21"/>
                      <w:highlight w:val="none"/>
                      <w:lang w:val="en-US" w:eastAsia="zh-CN"/>
                    </w:rPr>
                    <w:t>处理后废水量及污染物浓度</w:t>
                  </w:r>
                </w:p>
              </w:tc>
              <w:tc>
                <w:tcPr>
                  <w:tcW w:w="274" w:type="pct"/>
                  <w:noWrap w:val="0"/>
                  <w:vAlign w:val="center"/>
                </w:tcPr>
                <w:p>
                  <w:pPr>
                    <w:snapToGrid w:val="0"/>
                    <w:spacing w:line="248" w:lineRule="exact"/>
                    <w:ind w:left="-120" w:leftChars="-50" w:right="-120" w:rightChars="-50"/>
                    <w:jc w:val="center"/>
                    <w:rPr>
                      <w:b/>
                      <w:color w:val="auto"/>
                      <w:szCs w:val="21"/>
                      <w:highlight w:val="none"/>
                    </w:rPr>
                  </w:pPr>
                  <w:r>
                    <w:rPr>
                      <w:rFonts w:hint="eastAsia"/>
                      <w:b/>
                      <w:color w:val="auto"/>
                      <w:szCs w:val="21"/>
                      <w:highlight w:val="none"/>
                    </w:rPr>
                    <w:t>排放</w:t>
                  </w:r>
                </w:p>
                <w:p>
                  <w:pPr>
                    <w:snapToGrid w:val="0"/>
                    <w:spacing w:line="248" w:lineRule="exact"/>
                    <w:ind w:left="-120" w:leftChars="-50" w:right="-120" w:rightChars="-50"/>
                    <w:jc w:val="center"/>
                    <w:rPr>
                      <w:b/>
                      <w:color w:val="auto"/>
                      <w:szCs w:val="21"/>
                      <w:highlight w:val="none"/>
                    </w:rPr>
                  </w:pPr>
                  <w:r>
                    <w:rPr>
                      <w:rFonts w:hint="eastAsia"/>
                      <w:b/>
                      <w:color w:val="auto"/>
                      <w:szCs w:val="21"/>
                      <w:highlight w:val="none"/>
                    </w:rPr>
                    <w:t>规律</w:t>
                  </w:r>
                </w:p>
              </w:tc>
              <w:tc>
                <w:tcPr>
                  <w:tcW w:w="447" w:type="pct"/>
                  <w:noWrap w:val="0"/>
                  <w:vAlign w:val="center"/>
                </w:tcPr>
                <w:p>
                  <w:pPr>
                    <w:snapToGrid w:val="0"/>
                    <w:spacing w:line="248" w:lineRule="exact"/>
                    <w:ind w:left="-120" w:leftChars="-50" w:right="-120" w:rightChars="-50"/>
                    <w:jc w:val="center"/>
                    <w:rPr>
                      <w:b/>
                      <w:color w:val="auto"/>
                      <w:szCs w:val="21"/>
                      <w:highlight w:val="none"/>
                    </w:rPr>
                  </w:pPr>
                  <w:r>
                    <w:rPr>
                      <w:rFonts w:hint="eastAsia"/>
                      <w:b/>
                      <w:color w:val="auto"/>
                      <w:szCs w:val="21"/>
                      <w:highlight w:val="none"/>
                    </w:rPr>
                    <w:t>源强核算方法</w:t>
                  </w:r>
                </w:p>
              </w:tc>
              <w:tc>
                <w:tcPr>
                  <w:tcW w:w="447" w:type="pct"/>
                  <w:noWrap w:val="0"/>
                  <w:vAlign w:val="center"/>
                </w:tcPr>
                <w:p>
                  <w:pPr>
                    <w:snapToGrid w:val="0"/>
                    <w:spacing w:line="248" w:lineRule="exact"/>
                    <w:ind w:left="-120" w:leftChars="-50" w:right="-120" w:rightChars="-50"/>
                    <w:jc w:val="center"/>
                    <w:rPr>
                      <w:rFonts w:hint="default" w:eastAsia="宋体"/>
                      <w:b/>
                      <w:color w:val="auto"/>
                      <w:szCs w:val="21"/>
                      <w:highlight w:val="none"/>
                      <w:lang w:val="en-US" w:eastAsia="zh-CN"/>
                    </w:rPr>
                  </w:pPr>
                  <w:r>
                    <w:rPr>
                      <w:rFonts w:hint="eastAsia"/>
                      <w:b/>
                      <w:color w:val="auto"/>
                      <w:szCs w:val="21"/>
                      <w:highlight w:val="none"/>
                      <w:lang w:val="en-US" w:eastAsia="zh-CN"/>
                    </w:rPr>
                    <w:t>是否为可行技术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42" w:type="dxa"/>
                  <w:bottom w:w="0" w:type="dxa"/>
                  <w:right w:w="142" w:type="dxa"/>
                </w:tblCellMar>
              </w:tblPrEx>
              <w:trPr>
                <w:cantSplit/>
                <w:trHeight w:val="23" w:hRule="atLeast"/>
                <w:jc w:val="center"/>
              </w:trPr>
              <w:tc>
                <w:tcPr>
                  <w:tcW w:w="290" w:type="pct"/>
                  <w:noWrap w:val="0"/>
                  <w:vAlign w:val="center"/>
                </w:tcPr>
                <w:p>
                  <w:pPr>
                    <w:snapToGrid w:val="0"/>
                    <w:spacing w:line="248" w:lineRule="exact"/>
                    <w:ind w:left="-120" w:leftChars="-50" w:right="-120" w:rightChars="-50"/>
                    <w:jc w:val="center"/>
                    <w:rPr>
                      <w:color w:val="auto"/>
                      <w:szCs w:val="21"/>
                      <w:highlight w:val="none"/>
                    </w:rPr>
                  </w:pPr>
                  <w:r>
                    <w:rPr>
                      <w:rFonts w:hint="eastAsia"/>
                      <w:color w:val="auto"/>
                      <w:szCs w:val="21"/>
                      <w:highlight w:val="none"/>
                    </w:rPr>
                    <w:t>W1</w:t>
                  </w:r>
                </w:p>
              </w:tc>
              <w:tc>
                <w:tcPr>
                  <w:tcW w:w="606" w:type="pct"/>
                  <w:noWrap w:val="0"/>
                  <w:vAlign w:val="center"/>
                </w:tcPr>
                <w:p>
                  <w:pPr>
                    <w:snapToGrid w:val="0"/>
                    <w:spacing w:line="248" w:lineRule="exact"/>
                    <w:ind w:left="-120" w:leftChars="-50" w:right="-120" w:rightChars="-50"/>
                    <w:jc w:val="center"/>
                    <w:rPr>
                      <w:color w:val="auto"/>
                      <w:szCs w:val="21"/>
                      <w:highlight w:val="none"/>
                    </w:rPr>
                  </w:pPr>
                  <w:r>
                    <w:rPr>
                      <w:rFonts w:hint="eastAsia"/>
                      <w:color w:val="auto"/>
                      <w:szCs w:val="21"/>
                      <w:highlight w:val="none"/>
                    </w:rPr>
                    <w:t>生活污水</w:t>
                  </w:r>
                </w:p>
              </w:tc>
              <w:tc>
                <w:tcPr>
                  <w:tcW w:w="1035" w:type="pct"/>
                  <w:noWrap w:val="0"/>
                  <w:vAlign w:val="center"/>
                </w:tcPr>
                <w:p>
                  <w:pPr>
                    <w:snapToGrid w:val="0"/>
                    <w:spacing w:line="248" w:lineRule="exact"/>
                    <w:ind w:left="-120" w:leftChars="-50" w:right="-120" w:rightChars="-50"/>
                    <w:jc w:val="left"/>
                    <w:rPr>
                      <w:color w:val="auto"/>
                      <w:szCs w:val="21"/>
                      <w:highlight w:val="none"/>
                    </w:rPr>
                  </w:pPr>
                  <w:r>
                    <w:rPr>
                      <w:rFonts w:hint="eastAsia"/>
                      <w:color w:val="auto"/>
                      <w:szCs w:val="21"/>
                      <w:highlight w:val="none"/>
                    </w:rPr>
                    <w:t>废水量：0.96m</w:t>
                  </w:r>
                  <w:r>
                    <w:rPr>
                      <w:rFonts w:hint="eastAsia"/>
                      <w:color w:val="auto"/>
                      <w:szCs w:val="21"/>
                      <w:highlight w:val="none"/>
                      <w:vertAlign w:val="superscript"/>
                    </w:rPr>
                    <w:t>3</w:t>
                  </w:r>
                  <w:r>
                    <w:rPr>
                      <w:rFonts w:hint="eastAsia"/>
                      <w:color w:val="auto"/>
                      <w:szCs w:val="21"/>
                      <w:highlight w:val="none"/>
                    </w:rPr>
                    <w:t>/d；</w:t>
                  </w:r>
                </w:p>
                <w:p>
                  <w:pPr>
                    <w:snapToGrid w:val="0"/>
                    <w:spacing w:line="248" w:lineRule="exact"/>
                    <w:ind w:left="-120" w:leftChars="-50" w:right="-120" w:rightChars="-50"/>
                    <w:jc w:val="left"/>
                    <w:rPr>
                      <w:color w:val="auto"/>
                      <w:szCs w:val="21"/>
                      <w:highlight w:val="none"/>
                    </w:rPr>
                  </w:pPr>
                  <w:r>
                    <w:rPr>
                      <w:rFonts w:hint="eastAsia"/>
                      <w:color w:val="auto"/>
                      <w:szCs w:val="21"/>
                      <w:highlight w:val="none"/>
                    </w:rPr>
                    <w:t>COD：400mg/L；</w:t>
                  </w:r>
                </w:p>
                <w:p>
                  <w:pPr>
                    <w:snapToGrid w:val="0"/>
                    <w:spacing w:line="248" w:lineRule="exact"/>
                    <w:ind w:left="-120" w:leftChars="-50" w:right="-120" w:rightChars="-50"/>
                    <w:jc w:val="left"/>
                    <w:rPr>
                      <w:color w:val="auto"/>
                      <w:szCs w:val="21"/>
                      <w:highlight w:val="none"/>
                    </w:rPr>
                  </w:pPr>
                  <w:r>
                    <w:rPr>
                      <w:rFonts w:hint="eastAsia"/>
                      <w:color w:val="auto"/>
                      <w:szCs w:val="21"/>
                      <w:highlight w:val="none"/>
                    </w:rPr>
                    <w:t>BOD</w:t>
                  </w:r>
                  <w:r>
                    <w:rPr>
                      <w:rFonts w:hint="eastAsia"/>
                      <w:color w:val="auto"/>
                      <w:szCs w:val="21"/>
                      <w:highlight w:val="none"/>
                      <w:vertAlign w:val="subscript"/>
                    </w:rPr>
                    <w:t>5</w:t>
                  </w:r>
                  <w:r>
                    <w:rPr>
                      <w:rFonts w:hint="eastAsia"/>
                      <w:color w:val="auto"/>
                      <w:szCs w:val="21"/>
                      <w:highlight w:val="none"/>
                    </w:rPr>
                    <w:t>：200mg/L；</w:t>
                  </w:r>
                </w:p>
                <w:p>
                  <w:pPr>
                    <w:snapToGrid w:val="0"/>
                    <w:spacing w:line="248" w:lineRule="exact"/>
                    <w:ind w:left="-120" w:leftChars="-50" w:right="-120" w:rightChars="-50"/>
                    <w:jc w:val="left"/>
                    <w:rPr>
                      <w:color w:val="auto"/>
                      <w:szCs w:val="21"/>
                      <w:highlight w:val="none"/>
                    </w:rPr>
                  </w:pPr>
                  <w:r>
                    <w:rPr>
                      <w:rFonts w:hint="eastAsia"/>
                      <w:color w:val="auto"/>
                      <w:szCs w:val="21"/>
                      <w:highlight w:val="none"/>
                    </w:rPr>
                    <w:t>SS：300mg/L；</w:t>
                  </w:r>
                </w:p>
                <w:p>
                  <w:pPr>
                    <w:snapToGrid w:val="0"/>
                    <w:spacing w:line="248" w:lineRule="exact"/>
                    <w:ind w:left="-120" w:leftChars="-50" w:right="-120" w:rightChars="-50"/>
                    <w:jc w:val="left"/>
                    <w:rPr>
                      <w:color w:val="auto"/>
                      <w:szCs w:val="21"/>
                      <w:highlight w:val="none"/>
                    </w:rPr>
                  </w:pPr>
                  <w:r>
                    <w:rPr>
                      <w:rFonts w:hint="eastAsia"/>
                      <w:color w:val="auto"/>
                      <w:szCs w:val="21"/>
                      <w:highlight w:val="none"/>
                    </w:rPr>
                    <w:t>氨氮：25mg/L。</w:t>
                  </w:r>
                </w:p>
              </w:tc>
              <w:tc>
                <w:tcPr>
                  <w:tcW w:w="994" w:type="pct"/>
                  <w:noWrap w:val="0"/>
                  <w:vAlign w:val="center"/>
                </w:tcPr>
                <w:p>
                  <w:pPr>
                    <w:snapToGrid w:val="0"/>
                    <w:spacing w:line="248" w:lineRule="exact"/>
                    <w:ind w:left="-120" w:leftChars="-50" w:right="-120" w:rightChars="-50"/>
                    <w:jc w:val="center"/>
                    <w:rPr>
                      <w:rFonts w:hint="eastAsia" w:eastAsia="宋体"/>
                      <w:color w:val="auto"/>
                      <w:szCs w:val="21"/>
                      <w:highlight w:val="none"/>
                      <w:lang w:eastAsia="zh-CN"/>
                    </w:rPr>
                  </w:pPr>
                  <w:r>
                    <w:rPr>
                      <w:rFonts w:hint="eastAsia"/>
                      <w:color w:val="auto"/>
                      <w:szCs w:val="21"/>
                      <w:highlight w:val="none"/>
                    </w:rPr>
                    <w:t>厂区内设置12m</w:t>
                  </w:r>
                  <w:r>
                    <w:rPr>
                      <w:rFonts w:hint="eastAsia"/>
                      <w:color w:val="auto"/>
                      <w:szCs w:val="21"/>
                      <w:highlight w:val="none"/>
                      <w:vertAlign w:val="superscript"/>
                    </w:rPr>
                    <w:t>3</w:t>
                  </w:r>
                  <w:r>
                    <w:rPr>
                      <w:rFonts w:hint="eastAsia"/>
                      <w:color w:val="auto"/>
                      <w:szCs w:val="21"/>
                      <w:highlight w:val="none"/>
                    </w:rPr>
                    <w:t>化粪池处理后，定期运至农户农田施肥</w:t>
                  </w:r>
                  <w:r>
                    <w:rPr>
                      <w:rFonts w:hint="eastAsia"/>
                      <w:color w:val="auto"/>
                      <w:szCs w:val="21"/>
                      <w:highlight w:val="none"/>
                      <w:lang w:eastAsia="zh-CN"/>
                    </w:rPr>
                    <w:t>；化粪池水污染物去除率如下:COD15% 、BOD</w:t>
                  </w:r>
                  <w:r>
                    <w:rPr>
                      <w:rFonts w:hint="eastAsia"/>
                      <w:color w:val="auto"/>
                      <w:szCs w:val="21"/>
                      <w:highlight w:val="none"/>
                      <w:vertAlign w:val="subscript"/>
                      <w:lang w:eastAsia="zh-CN"/>
                    </w:rPr>
                    <w:t>5</w:t>
                  </w:r>
                  <w:r>
                    <w:rPr>
                      <w:rFonts w:hint="eastAsia"/>
                      <w:color w:val="auto"/>
                      <w:szCs w:val="21"/>
                      <w:highlight w:val="none"/>
                      <w:lang w:eastAsia="zh-CN"/>
                    </w:rPr>
                    <w:t>9%、SS30%、氨氮3%</w:t>
                  </w:r>
                </w:p>
              </w:tc>
              <w:tc>
                <w:tcPr>
                  <w:tcW w:w="903" w:type="pct"/>
                  <w:noWrap w:val="0"/>
                  <w:vAlign w:val="center"/>
                </w:tcPr>
                <w:p>
                  <w:pPr>
                    <w:snapToGrid w:val="0"/>
                    <w:spacing w:line="248" w:lineRule="exact"/>
                    <w:ind w:left="-120" w:leftChars="-50" w:right="-120" w:rightChars="-50"/>
                    <w:jc w:val="left"/>
                    <w:rPr>
                      <w:color w:val="auto"/>
                      <w:szCs w:val="21"/>
                      <w:highlight w:val="none"/>
                    </w:rPr>
                  </w:pPr>
                  <w:r>
                    <w:rPr>
                      <w:rFonts w:hint="eastAsia"/>
                      <w:color w:val="auto"/>
                      <w:szCs w:val="21"/>
                      <w:highlight w:val="none"/>
                    </w:rPr>
                    <w:t>废水量：0.96m</w:t>
                  </w:r>
                  <w:r>
                    <w:rPr>
                      <w:rFonts w:hint="eastAsia"/>
                      <w:color w:val="auto"/>
                      <w:szCs w:val="21"/>
                      <w:highlight w:val="none"/>
                      <w:vertAlign w:val="superscript"/>
                    </w:rPr>
                    <w:t>3</w:t>
                  </w:r>
                  <w:r>
                    <w:rPr>
                      <w:rFonts w:hint="eastAsia"/>
                      <w:color w:val="auto"/>
                      <w:szCs w:val="21"/>
                      <w:highlight w:val="none"/>
                    </w:rPr>
                    <w:t>/d；</w:t>
                  </w:r>
                </w:p>
                <w:p>
                  <w:pPr>
                    <w:snapToGrid w:val="0"/>
                    <w:spacing w:line="248" w:lineRule="exact"/>
                    <w:ind w:left="-120" w:leftChars="-50" w:right="-120" w:rightChars="-50"/>
                    <w:jc w:val="left"/>
                    <w:rPr>
                      <w:color w:val="auto"/>
                      <w:szCs w:val="21"/>
                      <w:highlight w:val="none"/>
                    </w:rPr>
                  </w:pPr>
                  <w:r>
                    <w:rPr>
                      <w:rFonts w:hint="eastAsia"/>
                      <w:color w:val="auto"/>
                      <w:szCs w:val="21"/>
                      <w:highlight w:val="none"/>
                    </w:rPr>
                    <w:t>COD：</w:t>
                  </w:r>
                  <w:r>
                    <w:rPr>
                      <w:rFonts w:hint="eastAsia"/>
                      <w:color w:val="auto"/>
                      <w:szCs w:val="21"/>
                      <w:highlight w:val="none"/>
                      <w:lang w:val="en-US" w:eastAsia="zh-CN"/>
                    </w:rPr>
                    <w:t>340</w:t>
                  </w:r>
                  <w:r>
                    <w:rPr>
                      <w:rFonts w:hint="eastAsia"/>
                      <w:color w:val="auto"/>
                      <w:szCs w:val="21"/>
                      <w:highlight w:val="none"/>
                    </w:rPr>
                    <w:t>mg/L；</w:t>
                  </w:r>
                </w:p>
                <w:p>
                  <w:pPr>
                    <w:snapToGrid w:val="0"/>
                    <w:spacing w:line="248" w:lineRule="exact"/>
                    <w:ind w:left="-120" w:leftChars="-50" w:right="-120" w:rightChars="-50"/>
                    <w:jc w:val="left"/>
                    <w:rPr>
                      <w:color w:val="auto"/>
                      <w:szCs w:val="21"/>
                      <w:highlight w:val="none"/>
                    </w:rPr>
                  </w:pPr>
                  <w:r>
                    <w:rPr>
                      <w:rFonts w:hint="eastAsia"/>
                      <w:color w:val="auto"/>
                      <w:szCs w:val="21"/>
                      <w:highlight w:val="none"/>
                    </w:rPr>
                    <w:t>BOD</w:t>
                  </w:r>
                  <w:r>
                    <w:rPr>
                      <w:rFonts w:hint="eastAsia"/>
                      <w:color w:val="auto"/>
                      <w:szCs w:val="21"/>
                      <w:highlight w:val="none"/>
                      <w:vertAlign w:val="subscript"/>
                    </w:rPr>
                    <w:t>5</w:t>
                  </w:r>
                  <w:r>
                    <w:rPr>
                      <w:rFonts w:hint="eastAsia"/>
                      <w:color w:val="auto"/>
                      <w:szCs w:val="21"/>
                      <w:highlight w:val="none"/>
                    </w:rPr>
                    <w:t>：</w:t>
                  </w:r>
                  <w:r>
                    <w:rPr>
                      <w:rFonts w:hint="eastAsia"/>
                      <w:color w:val="auto"/>
                      <w:szCs w:val="21"/>
                      <w:highlight w:val="none"/>
                      <w:lang w:val="en-US" w:eastAsia="zh-CN"/>
                    </w:rPr>
                    <w:t>182</w:t>
                  </w:r>
                  <w:r>
                    <w:rPr>
                      <w:rFonts w:hint="eastAsia"/>
                      <w:color w:val="auto"/>
                      <w:szCs w:val="21"/>
                      <w:highlight w:val="none"/>
                    </w:rPr>
                    <w:t>mg/L；</w:t>
                  </w:r>
                </w:p>
                <w:p>
                  <w:pPr>
                    <w:snapToGrid w:val="0"/>
                    <w:spacing w:line="248" w:lineRule="exact"/>
                    <w:ind w:left="-120" w:leftChars="-50" w:right="-120" w:rightChars="-50"/>
                    <w:jc w:val="left"/>
                    <w:rPr>
                      <w:color w:val="auto"/>
                      <w:szCs w:val="21"/>
                      <w:highlight w:val="none"/>
                    </w:rPr>
                  </w:pPr>
                  <w:r>
                    <w:rPr>
                      <w:rFonts w:hint="eastAsia"/>
                      <w:color w:val="auto"/>
                      <w:szCs w:val="21"/>
                      <w:highlight w:val="none"/>
                    </w:rPr>
                    <w:t>SS：</w:t>
                  </w:r>
                  <w:r>
                    <w:rPr>
                      <w:rFonts w:hint="eastAsia"/>
                      <w:color w:val="auto"/>
                      <w:szCs w:val="21"/>
                      <w:highlight w:val="none"/>
                      <w:lang w:val="en-US" w:eastAsia="zh-CN"/>
                    </w:rPr>
                    <w:t>210</w:t>
                  </w:r>
                  <w:r>
                    <w:rPr>
                      <w:rFonts w:hint="eastAsia"/>
                      <w:color w:val="auto"/>
                      <w:szCs w:val="21"/>
                      <w:highlight w:val="none"/>
                    </w:rPr>
                    <w:t>mg/L；</w:t>
                  </w:r>
                </w:p>
                <w:p>
                  <w:pPr>
                    <w:snapToGrid w:val="0"/>
                    <w:spacing w:line="248" w:lineRule="exact"/>
                    <w:ind w:left="-120" w:leftChars="-50" w:right="-120" w:rightChars="-50"/>
                    <w:jc w:val="center"/>
                    <w:rPr>
                      <w:rFonts w:hint="eastAsia"/>
                      <w:color w:val="auto"/>
                      <w:szCs w:val="21"/>
                      <w:highlight w:val="none"/>
                      <w:lang w:eastAsia="zh-CN"/>
                    </w:rPr>
                  </w:pPr>
                  <w:r>
                    <w:rPr>
                      <w:rFonts w:hint="eastAsia"/>
                      <w:color w:val="auto"/>
                      <w:szCs w:val="21"/>
                      <w:highlight w:val="none"/>
                    </w:rPr>
                    <w:t>氨氮：</w:t>
                  </w:r>
                  <w:r>
                    <w:rPr>
                      <w:rFonts w:hint="eastAsia"/>
                      <w:color w:val="auto"/>
                      <w:szCs w:val="21"/>
                      <w:highlight w:val="none"/>
                      <w:lang w:val="en-US" w:eastAsia="zh-CN"/>
                    </w:rPr>
                    <w:t>24.25</w:t>
                  </w:r>
                  <w:r>
                    <w:rPr>
                      <w:rFonts w:hint="eastAsia"/>
                      <w:color w:val="auto"/>
                      <w:szCs w:val="21"/>
                      <w:highlight w:val="none"/>
                    </w:rPr>
                    <w:t>mg/L。</w:t>
                  </w:r>
                </w:p>
              </w:tc>
              <w:tc>
                <w:tcPr>
                  <w:tcW w:w="274" w:type="pct"/>
                  <w:noWrap w:val="0"/>
                  <w:vAlign w:val="center"/>
                </w:tcPr>
                <w:p>
                  <w:pPr>
                    <w:snapToGrid w:val="0"/>
                    <w:spacing w:line="248" w:lineRule="exact"/>
                    <w:ind w:left="-120" w:leftChars="-50" w:right="-120" w:rightChars="-50"/>
                    <w:jc w:val="center"/>
                    <w:rPr>
                      <w:color w:val="auto"/>
                      <w:szCs w:val="21"/>
                      <w:highlight w:val="none"/>
                    </w:rPr>
                  </w:pPr>
                  <w:r>
                    <w:rPr>
                      <w:rFonts w:hint="eastAsia"/>
                      <w:color w:val="auto"/>
                      <w:szCs w:val="21"/>
                      <w:highlight w:val="none"/>
                    </w:rPr>
                    <w:t>间断</w:t>
                  </w:r>
                </w:p>
              </w:tc>
              <w:tc>
                <w:tcPr>
                  <w:tcW w:w="447" w:type="pct"/>
                  <w:noWrap w:val="0"/>
                  <w:vAlign w:val="center"/>
                </w:tcPr>
                <w:p>
                  <w:pPr>
                    <w:snapToGrid w:val="0"/>
                    <w:spacing w:line="248" w:lineRule="exact"/>
                    <w:ind w:left="-120" w:leftChars="-50" w:right="-120" w:rightChars="-50"/>
                    <w:jc w:val="center"/>
                    <w:rPr>
                      <w:color w:val="auto"/>
                      <w:szCs w:val="21"/>
                      <w:highlight w:val="none"/>
                    </w:rPr>
                  </w:pPr>
                  <w:r>
                    <w:rPr>
                      <w:rFonts w:hint="eastAsia"/>
                      <w:color w:val="auto"/>
                      <w:szCs w:val="21"/>
                      <w:highlight w:val="none"/>
                    </w:rPr>
                    <w:t>类比法</w:t>
                  </w:r>
                </w:p>
              </w:tc>
              <w:tc>
                <w:tcPr>
                  <w:tcW w:w="447" w:type="pct"/>
                  <w:noWrap w:val="0"/>
                  <w:vAlign w:val="center"/>
                </w:tcPr>
                <w:p>
                  <w:pPr>
                    <w:snapToGrid w:val="0"/>
                    <w:spacing w:line="248" w:lineRule="exact"/>
                    <w:ind w:left="-120" w:leftChars="-50" w:right="-120" w:rightChars="-50"/>
                    <w:jc w:val="center"/>
                    <w:rPr>
                      <w:rFonts w:hint="eastAsia" w:eastAsia="宋体"/>
                      <w:color w:val="auto"/>
                      <w:szCs w:val="21"/>
                      <w:highlight w:val="none"/>
                      <w:lang w:val="en-US" w:eastAsia="zh-CN"/>
                    </w:rPr>
                  </w:pPr>
                  <w:r>
                    <w:rPr>
                      <w:rFonts w:hint="eastAsia"/>
                      <w:color w:val="auto"/>
                      <w:szCs w:val="21"/>
                      <w:highlight w:val="none"/>
                      <w:lang w:val="en-US" w:eastAsia="zh-CN"/>
                    </w:rPr>
                    <w:t>可行</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42" w:type="dxa"/>
                  <w:bottom w:w="0" w:type="dxa"/>
                  <w:right w:w="142" w:type="dxa"/>
                </w:tblCellMar>
              </w:tblPrEx>
              <w:trPr>
                <w:cantSplit/>
                <w:trHeight w:val="23" w:hRule="atLeast"/>
                <w:jc w:val="center"/>
              </w:trPr>
              <w:tc>
                <w:tcPr>
                  <w:tcW w:w="290" w:type="pct"/>
                  <w:noWrap w:val="0"/>
                  <w:vAlign w:val="center"/>
                </w:tcPr>
                <w:p>
                  <w:pPr>
                    <w:snapToGrid w:val="0"/>
                    <w:spacing w:line="248" w:lineRule="exact"/>
                    <w:ind w:left="-120" w:leftChars="-50" w:right="-120" w:rightChars="-50"/>
                    <w:jc w:val="center"/>
                    <w:rPr>
                      <w:rFonts w:hint="default" w:eastAsia="宋体"/>
                      <w:color w:val="auto"/>
                      <w:szCs w:val="21"/>
                      <w:highlight w:val="none"/>
                      <w:lang w:val="en-US" w:eastAsia="zh-CN"/>
                    </w:rPr>
                  </w:pPr>
                  <w:r>
                    <w:rPr>
                      <w:rFonts w:hint="eastAsia"/>
                      <w:color w:val="auto"/>
                      <w:szCs w:val="21"/>
                      <w:highlight w:val="none"/>
                      <w:lang w:val="en-US" w:eastAsia="zh-CN"/>
                    </w:rPr>
                    <w:t>W2</w:t>
                  </w:r>
                </w:p>
              </w:tc>
              <w:tc>
                <w:tcPr>
                  <w:tcW w:w="606" w:type="pct"/>
                  <w:noWrap w:val="0"/>
                  <w:vAlign w:val="center"/>
                </w:tcPr>
                <w:p>
                  <w:pPr>
                    <w:snapToGrid w:val="0"/>
                    <w:spacing w:line="248" w:lineRule="exact"/>
                    <w:ind w:left="-120" w:leftChars="-50" w:right="-120" w:rightChars="-50"/>
                    <w:jc w:val="center"/>
                    <w:rPr>
                      <w:rFonts w:hint="default" w:eastAsia="宋体"/>
                      <w:color w:val="auto"/>
                      <w:szCs w:val="21"/>
                      <w:highlight w:val="none"/>
                      <w:lang w:val="en-US" w:eastAsia="zh-CN"/>
                    </w:rPr>
                  </w:pPr>
                  <w:r>
                    <w:rPr>
                      <w:rFonts w:hint="eastAsia"/>
                      <w:color w:val="auto"/>
                      <w:szCs w:val="21"/>
                      <w:highlight w:val="none"/>
                      <w:lang w:val="en-US" w:eastAsia="zh-CN"/>
                    </w:rPr>
                    <w:t>食堂废水</w:t>
                  </w:r>
                </w:p>
              </w:tc>
              <w:tc>
                <w:tcPr>
                  <w:tcW w:w="1035" w:type="pct"/>
                  <w:noWrap w:val="0"/>
                  <w:vAlign w:val="center"/>
                </w:tcPr>
                <w:p>
                  <w:pPr>
                    <w:snapToGrid w:val="0"/>
                    <w:spacing w:line="248" w:lineRule="exact"/>
                    <w:ind w:left="-120" w:leftChars="-50" w:right="-120" w:rightChars="-50"/>
                    <w:jc w:val="left"/>
                    <w:rPr>
                      <w:color w:val="auto"/>
                      <w:szCs w:val="21"/>
                      <w:highlight w:val="none"/>
                    </w:rPr>
                  </w:pPr>
                  <w:r>
                    <w:rPr>
                      <w:rFonts w:hint="eastAsia"/>
                      <w:color w:val="auto"/>
                      <w:szCs w:val="21"/>
                      <w:highlight w:val="none"/>
                    </w:rPr>
                    <w:t>废水量：0.</w:t>
                  </w:r>
                  <w:r>
                    <w:rPr>
                      <w:rFonts w:hint="eastAsia"/>
                      <w:color w:val="auto"/>
                      <w:szCs w:val="21"/>
                      <w:highlight w:val="none"/>
                      <w:lang w:val="en-US" w:eastAsia="zh-CN"/>
                    </w:rPr>
                    <w:t>24</w:t>
                  </w:r>
                  <w:r>
                    <w:rPr>
                      <w:rFonts w:hint="eastAsia"/>
                      <w:color w:val="auto"/>
                      <w:szCs w:val="21"/>
                      <w:highlight w:val="none"/>
                    </w:rPr>
                    <w:t>m</w:t>
                  </w:r>
                  <w:r>
                    <w:rPr>
                      <w:rFonts w:hint="eastAsia"/>
                      <w:color w:val="auto"/>
                      <w:szCs w:val="21"/>
                      <w:highlight w:val="none"/>
                      <w:vertAlign w:val="superscript"/>
                    </w:rPr>
                    <w:t>3</w:t>
                  </w:r>
                  <w:r>
                    <w:rPr>
                      <w:rFonts w:hint="eastAsia"/>
                      <w:color w:val="auto"/>
                      <w:szCs w:val="21"/>
                      <w:highlight w:val="none"/>
                    </w:rPr>
                    <w:t>/d；</w:t>
                  </w:r>
                </w:p>
                <w:p>
                  <w:pPr>
                    <w:snapToGrid w:val="0"/>
                    <w:spacing w:line="248" w:lineRule="exact"/>
                    <w:ind w:left="-120" w:leftChars="-50" w:right="-120" w:rightChars="-50"/>
                    <w:jc w:val="left"/>
                    <w:rPr>
                      <w:color w:val="auto"/>
                      <w:szCs w:val="21"/>
                      <w:highlight w:val="none"/>
                    </w:rPr>
                  </w:pPr>
                  <w:r>
                    <w:rPr>
                      <w:rFonts w:hint="eastAsia"/>
                      <w:color w:val="auto"/>
                      <w:szCs w:val="21"/>
                      <w:highlight w:val="none"/>
                    </w:rPr>
                    <w:t>COD：400mg/L；</w:t>
                  </w:r>
                </w:p>
                <w:p>
                  <w:pPr>
                    <w:snapToGrid w:val="0"/>
                    <w:spacing w:line="248" w:lineRule="exact"/>
                    <w:ind w:left="-120" w:leftChars="-50" w:right="-120" w:rightChars="-50"/>
                    <w:jc w:val="left"/>
                    <w:rPr>
                      <w:color w:val="auto"/>
                      <w:szCs w:val="21"/>
                      <w:highlight w:val="none"/>
                    </w:rPr>
                  </w:pPr>
                  <w:r>
                    <w:rPr>
                      <w:rFonts w:hint="eastAsia"/>
                      <w:color w:val="auto"/>
                      <w:szCs w:val="21"/>
                      <w:highlight w:val="none"/>
                    </w:rPr>
                    <w:t>BOD</w:t>
                  </w:r>
                  <w:r>
                    <w:rPr>
                      <w:rFonts w:hint="eastAsia"/>
                      <w:color w:val="auto"/>
                      <w:szCs w:val="21"/>
                      <w:highlight w:val="none"/>
                      <w:vertAlign w:val="subscript"/>
                    </w:rPr>
                    <w:t>5</w:t>
                  </w:r>
                  <w:r>
                    <w:rPr>
                      <w:rFonts w:hint="eastAsia"/>
                      <w:color w:val="auto"/>
                      <w:szCs w:val="21"/>
                      <w:highlight w:val="none"/>
                    </w:rPr>
                    <w:t>：200mg/L；</w:t>
                  </w:r>
                </w:p>
                <w:p>
                  <w:pPr>
                    <w:snapToGrid w:val="0"/>
                    <w:spacing w:line="248" w:lineRule="exact"/>
                    <w:ind w:left="-120" w:leftChars="-50" w:right="-120" w:rightChars="-50"/>
                    <w:jc w:val="left"/>
                    <w:rPr>
                      <w:color w:val="auto"/>
                      <w:szCs w:val="21"/>
                      <w:highlight w:val="none"/>
                    </w:rPr>
                  </w:pPr>
                  <w:r>
                    <w:rPr>
                      <w:rFonts w:hint="eastAsia"/>
                      <w:color w:val="auto"/>
                      <w:szCs w:val="21"/>
                      <w:highlight w:val="none"/>
                    </w:rPr>
                    <w:t>SS：300mg/L；</w:t>
                  </w:r>
                </w:p>
                <w:p>
                  <w:pPr>
                    <w:snapToGrid w:val="0"/>
                    <w:spacing w:line="248" w:lineRule="exact"/>
                    <w:ind w:left="-120" w:leftChars="-50" w:right="-120" w:rightChars="-50"/>
                    <w:jc w:val="left"/>
                    <w:rPr>
                      <w:rFonts w:hint="eastAsia"/>
                      <w:color w:val="auto"/>
                      <w:szCs w:val="21"/>
                      <w:highlight w:val="none"/>
                      <w:lang w:eastAsia="zh-CN"/>
                    </w:rPr>
                  </w:pPr>
                  <w:r>
                    <w:rPr>
                      <w:rFonts w:hint="eastAsia"/>
                      <w:color w:val="auto"/>
                      <w:szCs w:val="21"/>
                      <w:highlight w:val="none"/>
                    </w:rPr>
                    <w:t>氨氮：25mg/L</w:t>
                  </w:r>
                  <w:r>
                    <w:rPr>
                      <w:rFonts w:hint="eastAsia"/>
                      <w:color w:val="auto"/>
                      <w:szCs w:val="21"/>
                      <w:highlight w:val="none"/>
                      <w:lang w:eastAsia="zh-CN"/>
                    </w:rPr>
                    <w:t>；</w:t>
                  </w:r>
                </w:p>
                <w:p>
                  <w:pPr>
                    <w:snapToGrid w:val="0"/>
                    <w:spacing w:line="248" w:lineRule="exact"/>
                    <w:ind w:left="-120" w:leftChars="-50" w:right="-120" w:rightChars="-50"/>
                    <w:jc w:val="left"/>
                    <w:rPr>
                      <w:rFonts w:hint="eastAsia" w:eastAsia="宋体"/>
                      <w:color w:val="auto"/>
                      <w:szCs w:val="21"/>
                      <w:highlight w:val="none"/>
                      <w:lang w:val="en-US" w:eastAsia="zh-CN"/>
                    </w:rPr>
                  </w:pPr>
                  <w:r>
                    <w:rPr>
                      <w:rFonts w:hint="eastAsia"/>
                      <w:color w:val="auto"/>
                      <w:szCs w:val="21"/>
                      <w:highlight w:val="none"/>
                      <w:lang w:val="en-US" w:eastAsia="zh-CN"/>
                    </w:rPr>
                    <w:t>动植物油：80mg/L</w:t>
                  </w:r>
                  <w:r>
                    <w:rPr>
                      <w:rFonts w:hint="eastAsia"/>
                      <w:color w:val="auto"/>
                      <w:szCs w:val="21"/>
                      <w:highlight w:val="none"/>
                    </w:rPr>
                    <w:t>。</w:t>
                  </w:r>
                </w:p>
              </w:tc>
              <w:tc>
                <w:tcPr>
                  <w:tcW w:w="994" w:type="pct"/>
                  <w:noWrap w:val="0"/>
                  <w:vAlign w:val="center"/>
                </w:tcPr>
                <w:p>
                  <w:pPr>
                    <w:snapToGrid w:val="0"/>
                    <w:spacing w:line="248" w:lineRule="exact"/>
                    <w:ind w:left="-120" w:leftChars="-50" w:right="-120" w:rightChars="-50"/>
                    <w:jc w:val="center"/>
                    <w:rPr>
                      <w:rFonts w:hint="eastAsia"/>
                      <w:color w:val="auto"/>
                      <w:szCs w:val="21"/>
                      <w:highlight w:val="none"/>
                    </w:rPr>
                  </w:pPr>
                  <w:r>
                    <w:rPr>
                      <w:rFonts w:hint="eastAsia" w:ascii="Times New Roman" w:hAnsi="Times New Roman" w:eastAsia="宋体" w:cs="Times New Roman"/>
                      <w:color w:val="auto"/>
                      <w:szCs w:val="21"/>
                      <w:highlight w:val="none"/>
                      <w:lang w:eastAsia="zh-CN"/>
                    </w:rPr>
                    <w:t>餐饮废水经过隔油隔渣池处理后和生活污水经过化粪池预处理后，定期运至农户农田施肥。</w:t>
                  </w:r>
                  <w:r>
                    <w:rPr>
                      <w:rFonts w:hint="eastAsia" w:ascii="Times New Roman" w:hAnsi="Times New Roman" w:eastAsia="宋体" w:cs="Times New Roman"/>
                      <w:color w:val="auto"/>
                      <w:szCs w:val="21"/>
                      <w:highlight w:val="none"/>
                      <w:lang w:val="en-US" w:eastAsia="zh-CN"/>
                    </w:rPr>
                    <w:t>隔油池污染物去除效率为：</w:t>
                  </w:r>
                  <w:r>
                    <w:rPr>
                      <w:rFonts w:hint="eastAsia" w:ascii="Times New Roman" w:hAnsi="Times New Roman" w:eastAsia="宋体" w:cs="Times New Roman"/>
                      <w:color w:val="auto"/>
                      <w:szCs w:val="21"/>
                      <w:highlight w:val="none"/>
                      <w:lang w:eastAsia="zh-CN"/>
                    </w:rPr>
                    <w:t>COD</w:t>
                  </w:r>
                  <w:r>
                    <w:rPr>
                      <w:rFonts w:hint="eastAsia" w:ascii="Times New Roman" w:hAnsi="Times New Roman" w:eastAsia="宋体" w:cs="Times New Roman"/>
                      <w:color w:val="auto"/>
                      <w:szCs w:val="21"/>
                      <w:highlight w:val="none"/>
                      <w:lang w:val="en-US" w:eastAsia="zh-CN"/>
                    </w:rPr>
                    <w:t>6.5</w:t>
                  </w:r>
                  <w:r>
                    <w:rPr>
                      <w:rFonts w:hint="eastAsia" w:ascii="Times New Roman" w:hAnsi="Times New Roman" w:eastAsia="宋体" w:cs="Times New Roman"/>
                      <w:color w:val="auto"/>
                      <w:szCs w:val="21"/>
                      <w:highlight w:val="none"/>
                      <w:lang w:eastAsia="zh-CN"/>
                    </w:rPr>
                    <w:t>% 、SS</w:t>
                  </w:r>
                  <w:r>
                    <w:rPr>
                      <w:rFonts w:hint="eastAsia" w:ascii="Times New Roman" w:hAnsi="Times New Roman" w:eastAsia="宋体" w:cs="Times New Roman"/>
                      <w:color w:val="auto"/>
                      <w:szCs w:val="21"/>
                      <w:highlight w:val="none"/>
                      <w:lang w:val="en-US" w:eastAsia="zh-CN"/>
                    </w:rPr>
                    <w:t>18</w:t>
                  </w:r>
                  <w:r>
                    <w:rPr>
                      <w:rFonts w:hint="eastAsia" w:ascii="Times New Roman" w:hAnsi="Times New Roman" w:eastAsia="宋体" w:cs="Times New Roman"/>
                      <w:color w:val="auto"/>
                      <w:szCs w:val="21"/>
                      <w:highlight w:val="none"/>
                      <w:lang w:eastAsia="zh-CN"/>
                    </w:rPr>
                    <w:t>%、</w:t>
                  </w:r>
                  <w:r>
                    <w:rPr>
                      <w:rFonts w:hint="eastAsia" w:ascii="Times New Roman" w:hAnsi="Times New Roman" w:eastAsia="宋体" w:cs="Times New Roman"/>
                      <w:color w:val="auto"/>
                      <w:szCs w:val="21"/>
                      <w:highlight w:val="none"/>
                      <w:lang w:val="en-US" w:eastAsia="zh-CN"/>
                    </w:rPr>
                    <w:t>动植物油65%；</w:t>
                  </w:r>
                  <w:r>
                    <w:rPr>
                      <w:rFonts w:hint="eastAsia" w:ascii="Times New Roman" w:hAnsi="Times New Roman" w:eastAsia="宋体" w:cs="Times New Roman"/>
                      <w:color w:val="auto"/>
                      <w:szCs w:val="21"/>
                      <w:highlight w:val="none"/>
                      <w:lang w:eastAsia="zh-CN"/>
                    </w:rPr>
                    <w:t>化粪池水污染物去除率如下:COD15% 、BOD</w:t>
                  </w:r>
                  <w:r>
                    <w:rPr>
                      <w:rFonts w:hint="eastAsia" w:ascii="Times New Roman" w:hAnsi="Times New Roman" w:eastAsia="宋体" w:cs="Times New Roman"/>
                      <w:color w:val="auto"/>
                      <w:szCs w:val="21"/>
                      <w:highlight w:val="none"/>
                      <w:vertAlign w:val="subscript"/>
                      <w:lang w:eastAsia="zh-CN"/>
                    </w:rPr>
                    <w:t>5</w:t>
                  </w:r>
                  <w:r>
                    <w:rPr>
                      <w:rFonts w:hint="eastAsia" w:ascii="Times New Roman" w:hAnsi="Times New Roman" w:eastAsia="宋体" w:cs="Times New Roman"/>
                      <w:color w:val="auto"/>
                      <w:szCs w:val="21"/>
                      <w:highlight w:val="none"/>
                      <w:lang w:eastAsia="zh-CN"/>
                    </w:rPr>
                    <w:t>9%、SS30%、氨氮3%</w:t>
                  </w:r>
                </w:p>
              </w:tc>
              <w:tc>
                <w:tcPr>
                  <w:tcW w:w="903" w:type="pct"/>
                  <w:noWrap w:val="0"/>
                  <w:vAlign w:val="center"/>
                </w:tcPr>
                <w:p>
                  <w:pPr>
                    <w:snapToGrid w:val="0"/>
                    <w:spacing w:line="248" w:lineRule="exact"/>
                    <w:ind w:left="-120" w:leftChars="-50" w:right="-120" w:rightChars="-50"/>
                    <w:jc w:val="left"/>
                    <w:rPr>
                      <w:color w:val="auto"/>
                      <w:szCs w:val="21"/>
                      <w:highlight w:val="none"/>
                    </w:rPr>
                  </w:pPr>
                  <w:r>
                    <w:rPr>
                      <w:rFonts w:hint="eastAsia"/>
                      <w:color w:val="auto"/>
                      <w:szCs w:val="21"/>
                      <w:highlight w:val="none"/>
                    </w:rPr>
                    <w:t>废水量：0.</w:t>
                  </w:r>
                  <w:r>
                    <w:rPr>
                      <w:rFonts w:hint="eastAsia"/>
                      <w:color w:val="auto"/>
                      <w:szCs w:val="21"/>
                      <w:highlight w:val="none"/>
                      <w:lang w:val="en-US" w:eastAsia="zh-CN"/>
                    </w:rPr>
                    <w:t>24</w:t>
                  </w:r>
                  <w:r>
                    <w:rPr>
                      <w:rFonts w:hint="eastAsia"/>
                      <w:color w:val="auto"/>
                      <w:szCs w:val="21"/>
                      <w:highlight w:val="none"/>
                    </w:rPr>
                    <w:t>m</w:t>
                  </w:r>
                  <w:r>
                    <w:rPr>
                      <w:rFonts w:hint="eastAsia"/>
                      <w:color w:val="auto"/>
                      <w:szCs w:val="21"/>
                      <w:highlight w:val="none"/>
                      <w:vertAlign w:val="superscript"/>
                    </w:rPr>
                    <w:t>3</w:t>
                  </w:r>
                  <w:r>
                    <w:rPr>
                      <w:rFonts w:hint="eastAsia"/>
                      <w:color w:val="auto"/>
                      <w:szCs w:val="21"/>
                      <w:highlight w:val="none"/>
                    </w:rPr>
                    <w:t>/d；</w:t>
                  </w:r>
                </w:p>
                <w:p>
                  <w:pPr>
                    <w:snapToGrid w:val="0"/>
                    <w:spacing w:line="248" w:lineRule="exact"/>
                    <w:ind w:left="-120" w:leftChars="-50" w:right="-120" w:rightChars="-50"/>
                    <w:jc w:val="left"/>
                    <w:rPr>
                      <w:color w:val="auto"/>
                      <w:szCs w:val="21"/>
                      <w:highlight w:val="none"/>
                    </w:rPr>
                  </w:pPr>
                  <w:r>
                    <w:rPr>
                      <w:rFonts w:hint="eastAsia"/>
                      <w:color w:val="auto"/>
                      <w:szCs w:val="21"/>
                      <w:highlight w:val="none"/>
                    </w:rPr>
                    <w:t>COD：</w:t>
                  </w:r>
                  <w:r>
                    <w:rPr>
                      <w:rFonts w:hint="eastAsia"/>
                      <w:color w:val="auto"/>
                      <w:szCs w:val="21"/>
                      <w:highlight w:val="none"/>
                      <w:lang w:val="en-US" w:eastAsia="zh-CN"/>
                    </w:rPr>
                    <w:t>318</w:t>
                  </w:r>
                  <w:r>
                    <w:rPr>
                      <w:rFonts w:hint="eastAsia"/>
                      <w:color w:val="auto"/>
                      <w:szCs w:val="21"/>
                      <w:highlight w:val="none"/>
                    </w:rPr>
                    <w:t>mg/L；</w:t>
                  </w:r>
                </w:p>
                <w:p>
                  <w:pPr>
                    <w:snapToGrid w:val="0"/>
                    <w:spacing w:line="248" w:lineRule="exact"/>
                    <w:ind w:left="-120" w:leftChars="-50" w:right="-120" w:rightChars="-50"/>
                    <w:jc w:val="left"/>
                    <w:rPr>
                      <w:color w:val="auto"/>
                      <w:szCs w:val="21"/>
                      <w:highlight w:val="none"/>
                    </w:rPr>
                  </w:pPr>
                  <w:r>
                    <w:rPr>
                      <w:rFonts w:hint="eastAsia"/>
                      <w:color w:val="auto"/>
                      <w:szCs w:val="21"/>
                      <w:highlight w:val="none"/>
                    </w:rPr>
                    <w:t>BOD</w:t>
                  </w:r>
                  <w:r>
                    <w:rPr>
                      <w:rFonts w:hint="eastAsia"/>
                      <w:color w:val="auto"/>
                      <w:szCs w:val="21"/>
                      <w:highlight w:val="none"/>
                      <w:vertAlign w:val="subscript"/>
                    </w:rPr>
                    <w:t>5</w:t>
                  </w:r>
                  <w:r>
                    <w:rPr>
                      <w:rFonts w:hint="eastAsia"/>
                      <w:color w:val="auto"/>
                      <w:szCs w:val="21"/>
                      <w:highlight w:val="none"/>
                    </w:rPr>
                    <w:t>：</w:t>
                  </w:r>
                  <w:r>
                    <w:rPr>
                      <w:rFonts w:hint="eastAsia"/>
                      <w:color w:val="auto"/>
                      <w:szCs w:val="21"/>
                      <w:highlight w:val="none"/>
                      <w:lang w:val="en-US" w:eastAsia="zh-CN"/>
                    </w:rPr>
                    <w:t>182</w:t>
                  </w:r>
                  <w:r>
                    <w:rPr>
                      <w:rFonts w:hint="eastAsia"/>
                      <w:color w:val="auto"/>
                      <w:szCs w:val="21"/>
                      <w:highlight w:val="none"/>
                    </w:rPr>
                    <w:t>mg/L；</w:t>
                  </w:r>
                </w:p>
                <w:p>
                  <w:pPr>
                    <w:snapToGrid w:val="0"/>
                    <w:spacing w:line="248" w:lineRule="exact"/>
                    <w:ind w:left="-120" w:leftChars="-50" w:right="-120" w:rightChars="-50"/>
                    <w:jc w:val="left"/>
                    <w:rPr>
                      <w:color w:val="auto"/>
                      <w:szCs w:val="21"/>
                      <w:highlight w:val="none"/>
                    </w:rPr>
                  </w:pPr>
                  <w:r>
                    <w:rPr>
                      <w:rFonts w:hint="eastAsia"/>
                      <w:color w:val="auto"/>
                      <w:szCs w:val="21"/>
                      <w:highlight w:val="none"/>
                    </w:rPr>
                    <w:t>SS：</w:t>
                  </w:r>
                  <w:r>
                    <w:rPr>
                      <w:rFonts w:hint="eastAsia"/>
                      <w:color w:val="auto"/>
                      <w:szCs w:val="21"/>
                      <w:highlight w:val="none"/>
                      <w:lang w:val="en-US" w:eastAsia="zh-CN"/>
                    </w:rPr>
                    <w:t>173</w:t>
                  </w:r>
                  <w:r>
                    <w:rPr>
                      <w:rFonts w:hint="eastAsia"/>
                      <w:color w:val="auto"/>
                      <w:szCs w:val="21"/>
                      <w:highlight w:val="none"/>
                    </w:rPr>
                    <w:t>mg/L；</w:t>
                  </w:r>
                </w:p>
                <w:p>
                  <w:pPr>
                    <w:snapToGrid w:val="0"/>
                    <w:spacing w:line="248" w:lineRule="exact"/>
                    <w:ind w:left="-120" w:leftChars="-50" w:right="-120" w:rightChars="-50"/>
                    <w:jc w:val="center"/>
                    <w:rPr>
                      <w:rFonts w:hint="eastAsia"/>
                      <w:color w:val="auto"/>
                      <w:szCs w:val="21"/>
                      <w:highlight w:val="none"/>
                    </w:rPr>
                  </w:pPr>
                  <w:r>
                    <w:rPr>
                      <w:rFonts w:hint="eastAsia"/>
                      <w:color w:val="auto"/>
                      <w:szCs w:val="21"/>
                      <w:highlight w:val="none"/>
                    </w:rPr>
                    <w:t>氨氮：</w:t>
                  </w:r>
                  <w:r>
                    <w:rPr>
                      <w:rFonts w:hint="eastAsia"/>
                      <w:color w:val="auto"/>
                      <w:szCs w:val="21"/>
                      <w:highlight w:val="none"/>
                      <w:lang w:val="en-US" w:eastAsia="zh-CN"/>
                    </w:rPr>
                    <w:t>24.25</w:t>
                  </w:r>
                  <w:r>
                    <w:rPr>
                      <w:rFonts w:hint="eastAsia"/>
                      <w:color w:val="auto"/>
                      <w:szCs w:val="21"/>
                      <w:highlight w:val="none"/>
                    </w:rPr>
                    <w:t>mg/L</w:t>
                  </w:r>
                </w:p>
                <w:p>
                  <w:pPr>
                    <w:snapToGrid w:val="0"/>
                    <w:spacing w:line="248" w:lineRule="exact"/>
                    <w:ind w:left="-120" w:leftChars="-50" w:right="-120" w:rightChars="-50"/>
                    <w:jc w:val="both"/>
                    <w:rPr>
                      <w:rFonts w:hint="eastAsia"/>
                      <w:color w:val="auto"/>
                      <w:szCs w:val="21"/>
                      <w:highlight w:val="none"/>
                    </w:rPr>
                  </w:pPr>
                  <w:r>
                    <w:rPr>
                      <w:rFonts w:hint="eastAsia"/>
                      <w:color w:val="auto"/>
                      <w:szCs w:val="21"/>
                      <w:highlight w:val="none"/>
                      <w:lang w:val="en-US" w:eastAsia="zh-CN"/>
                    </w:rPr>
                    <w:t>动植物油：27mg/L</w:t>
                  </w:r>
                  <w:r>
                    <w:rPr>
                      <w:rFonts w:hint="eastAsia"/>
                      <w:color w:val="auto"/>
                      <w:szCs w:val="21"/>
                      <w:highlight w:val="none"/>
                    </w:rPr>
                    <w:t>。</w:t>
                  </w:r>
                </w:p>
              </w:tc>
              <w:tc>
                <w:tcPr>
                  <w:tcW w:w="274" w:type="pct"/>
                  <w:noWrap w:val="0"/>
                  <w:vAlign w:val="center"/>
                </w:tcPr>
                <w:p>
                  <w:pPr>
                    <w:snapToGrid w:val="0"/>
                    <w:spacing w:line="248" w:lineRule="exact"/>
                    <w:ind w:left="-120" w:leftChars="-50" w:right="-120" w:rightChars="-50"/>
                    <w:jc w:val="center"/>
                    <w:rPr>
                      <w:rFonts w:hint="eastAsia"/>
                      <w:color w:val="auto"/>
                      <w:szCs w:val="21"/>
                      <w:highlight w:val="none"/>
                    </w:rPr>
                  </w:pPr>
                  <w:r>
                    <w:rPr>
                      <w:rFonts w:hint="eastAsia"/>
                      <w:color w:val="auto"/>
                      <w:szCs w:val="21"/>
                      <w:highlight w:val="none"/>
                    </w:rPr>
                    <w:t>间断</w:t>
                  </w:r>
                </w:p>
              </w:tc>
              <w:tc>
                <w:tcPr>
                  <w:tcW w:w="447" w:type="pct"/>
                  <w:noWrap w:val="0"/>
                  <w:vAlign w:val="center"/>
                </w:tcPr>
                <w:p>
                  <w:pPr>
                    <w:snapToGrid w:val="0"/>
                    <w:spacing w:line="248" w:lineRule="exact"/>
                    <w:ind w:left="-120" w:leftChars="-50" w:right="-120" w:rightChars="-50"/>
                    <w:jc w:val="center"/>
                    <w:rPr>
                      <w:rFonts w:hint="eastAsia"/>
                      <w:color w:val="auto"/>
                      <w:szCs w:val="21"/>
                      <w:highlight w:val="none"/>
                    </w:rPr>
                  </w:pPr>
                  <w:r>
                    <w:rPr>
                      <w:rFonts w:hint="eastAsia"/>
                      <w:color w:val="auto"/>
                      <w:szCs w:val="21"/>
                      <w:highlight w:val="none"/>
                    </w:rPr>
                    <w:t>类比法</w:t>
                  </w:r>
                </w:p>
              </w:tc>
              <w:tc>
                <w:tcPr>
                  <w:tcW w:w="447" w:type="pct"/>
                  <w:noWrap w:val="0"/>
                  <w:vAlign w:val="center"/>
                </w:tcPr>
                <w:p>
                  <w:pPr>
                    <w:snapToGrid w:val="0"/>
                    <w:spacing w:line="248" w:lineRule="exact"/>
                    <w:ind w:left="-120" w:leftChars="-50" w:right="-120" w:rightChars="-50"/>
                    <w:jc w:val="center"/>
                    <w:rPr>
                      <w:rFonts w:hint="eastAsia"/>
                      <w:color w:val="auto"/>
                      <w:szCs w:val="21"/>
                      <w:highlight w:val="none"/>
                    </w:rPr>
                  </w:pPr>
                  <w:r>
                    <w:rPr>
                      <w:rFonts w:hint="eastAsia"/>
                      <w:color w:val="auto"/>
                      <w:szCs w:val="21"/>
                      <w:highlight w:val="none"/>
                      <w:lang w:val="en-US" w:eastAsia="zh-CN"/>
                    </w:rPr>
                    <w:t>可行</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42" w:type="dxa"/>
                  <w:bottom w:w="0" w:type="dxa"/>
                  <w:right w:w="142" w:type="dxa"/>
                </w:tblCellMar>
              </w:tblPrEx>
              <w:trPr>
                <w:cantSplit/>
                <w:trHeight w:val="23" w:hRule="atLeast"/>
                <w:jc w:val="center"/>
              </w:trPr>
              <w:tc>
                <w:tcPr>
                  <w:tcW w:w="290" w:type="pct"/>
                  <w:noWrap w:val="0"/>
                  <w:vAlign w:val="center"/>
                </w:tcPr>
                <w:p>
                  <w:pPr>
                    <w:snapToGrid w:val="0"/>
                    <w:spacing w:line="248" w:lineRule="exact"/>
                    <w:ind w:left="-120" w:leftChars="-50" w:right="-120" w:rightChars="-50"/>
                    <w:jc w:val="center"/>
                    <w:rPr>
                      <w:rFonts w:hint="default"/>
                      <w:color w:val="auto"/>
                      <w:szCs w:val="21"/>
                      <w:highlight w:val="none"/>
                      <w:lang w:val="en-US" w:eastAsia="zh-CN"/>
                    </w:rPr>
                  </w:pPr>
                  <w:r>
                    <w:rPr>
                      <w:rFonts w:hint="eastAsia"/>
                      <w:color w:val="auto"/>
                      <w:szCs w:val="21"/>
                      <w:highlight w:val="none"/>
                      <w:lang w:val="en-US" w:eastAsia="zh-CN"/>
                    </w:rPr>
                    <w:t>W3</w:t>
                  </w:r>
                </w:p>
              </w:tc>
              <w:tc>
                <w:tcPr>
                  <w:tcW w:w="606" w:type="pct"/>
                  <w:noWrap w:val="0"/>
                  <w:vAlign w:val="center"/>
                </w:tcPr>
                <w:p>
                  <w:pPr>
                    <w:snapToGrid w:val="0"/>
                    <w:spacing w:line="248" w:lineRule="exact"/>
                    <w:ind w:left="-120" w:leftChars="-50" w:right="-120" w:rightChars="-50"/>
                    <w:jc w:val="center"/>
                    <w:rPr>
                      <w:rFonts w:hint="default"/>
                      <w:color w:val="auto"/>
                      <w:szCs w:val="21"/>
                      <w:highlight w:val="none"/>
                      <w:lang w:val="en-US" w:eastAsia="zh-CN"/>
                    </w:rPr>
                  </w:pPr>
                  <w:r>
                    <w:rPr>
                      <w:rFonts w:hint="eastAsia"/>
                      <w:color w:val="auto"/>
                      <w:szCs w:val="21"/>
                      <w:highlight w:val="none"/>
                      <w:lang w:val="en-US" w:eastAsia="zh-CN"/>
                    </w:rPr>
                    <w:t>冲洗废水</w:t>
                  </w:r>
                </w:p>
              </w:tc>
              <w:tc>
                <w:tcPr>
                  <w:tcW w:w="1035" w:type="pct"/>
                  <w:noWrap w:val="0"/>
                  <w:vAlign w:val="center"/>
                </w:tcPr>
                <w:p>
                  <w:pPr>
                    <w:snapToGrid w:val="0"/>
                    <w:spacing w:line="248" w:lineRule="exact"/>
                    <w:ind w:left="-120" w:leftChars="-50" w:right="-120" w:rightChars="-50"/>
                    <w:jc w:val="left"/>
                    <w:rPr>
                      <w:rFonts w:hint="eastAsia"/>
                      <w:color w:val="auto"/>
                      <w:highlight w:val="none"/>
                      <w:lang w:val="en-US" w:eastAsia="zh-CN"/>
                    </w:rPr>
                  </w:pPr>
                  <w:r>
                    <w:rPr>
                      <w:rFonts w:hint="eastAsia"/>
                      <w:color w:val="auto"/>
                      <w:highlight w:val="none"/>
                      <w:lang w:val="en-US" w:eastAsia="zh-CN"/>
                    </w:rPr>
                    <w:t>废水量：1.7t/d</w:t>
                  </w:r>
                </w:p>
                <w:p>
                  <w:pPr>
                    <w:snapToGrid w:val="0"/>
                    <w:spacing w:line="248" w:lineRule="exact"/>
                    <w:ind w:left="-120" w:leftChars="-50" w:right="-120" w:rightChars="-50"/>
                    <w:jc w:val="left"/>
                    <w:rPr>
                      <w:rFonts w:hint="default"/>
                      <w:color w:val="auto"/>
                      <w:highlight w:val="none"/>
                      <w:lang w:val="en-US" w:eastAsia="zh-CN"/>
                    </w:rPr>
                  </w:pPr>
                  <w:r>
                    <w:rPr>
                      <w:rFonts w:hint="eastAsia"/>
                      <w:color w:val="auto"/>
                      <w:szCs w:val="21"/>
                      <w:highlight w:val="none"/>
                    </w:rPr>
                    <w:t>SS：</w:t>
                  </w:r>
                  <w:r>
                    <w:rPr>
                      <w:rFonts w:hint="eastAsia"/>
                      <w:color w:val="auto"/>
                      <w:szCs w:val="21"/>
                      <w:highlight w:val="none"/>
                      <w:lang w:val="en-US" w:eastAsia="zh-CN"/>
                    </w:rPr>
                    <w:t>600</w:t>
                  </w:r>
                  <w:r>
                    <w:rPr>
                      <w:rFonts w:hint="eastAsia"/>
                      <w:color w:val="auto"/>
                      <w:szCs w:val="21"/>
                      <w:highlight w:val="none"/>
                    </w:rPr>
                    <w:t>mg/L；</w:t>
                  </w:r>
                </w:p>
              </w:tc>
              <w:tc>
                <w:tcPr>
                  <w:tcW w:w="994" w:type="pct"/>
                  <w:noWrap w:val="0"/>
                  <w:vAlign w:val="center"/>
                </w:tcPr>
                <w:p>
                  <w:pPr>
                    <w:snapToGrid w:val="0"/>
                    <w:spacing w:line="248" w:lineRule="exact"/>
                    <w:ind w:left="-120" w:leftChars="-50" w:right="-120" w:rightChars="-5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沉淀池处理后回用；去除效率</w:t>
                  </w:r>
                </w:p>
              </w:tc>
              <w:tc>
                <w:tcPr>
                  <w:tcW w:w="903" w:type="pct"/>
                  <w:noWrap w:val="0"/>
                  <w:vAlign w:val="center"/>
                </w:tcPr>
                <w:p>
                  <w:pPr>
                    <w:snapToGrid w:val="0"/>
                    <w:spacing w:line="248" w:lineRule="exact"/>
                    <w:ind w:left="-120" w:leftChars="-50" w:right="-120" w:rightChars="-50"/>
                    <w:jc w:val="left"/>
                    <w:rPr>
                      <w:rFonts w:hint="eastAsia"/>
                      <w:color w:val="auto"/>
                      <w:highlight w:val="none"/>
                      <w:lang w:val="en-US" w:eastAsia="zh-CN"/>
                    </w:rPr>
                  </w:pPr>
                  <w:r>
                    <w:rPr>
                      <w:rFonts w:hint="eastAsia"/>
                      <w:color w:val="auto"/>
                      <w:highlight w:val="none"/>
                      <w:lang w:val="en-US" w:eastAsia="zh-CN"/>
                    </w:rPr>
                    <w:t>废水量：1.7t/d</w:t>
                  </w:r>
                </w:p>
                <w:p>
                  <w:pPr>
                    <w:snapToGrid w:val="0"/>
                    <w:spacing w:line="248" w:lineRule="exact"/>
                    <w:ind w:left="-120" w:leftChars="-50" w:right="-120" w:rightChars="-50"/>
                    <w:jc w:val="left"/>
                    <w:rPr>
                      <w:color w:val="auto"/>
                      <w:szCs w:val="21"/>
                      <w:highlight w:val="none"/>
                    </w:rPr>
                  </w:pPr>
                  <w:r>
                    <w:rPr>
                      <w:rFonts w:hint="eastAsia"/>
                      <w:color w:val="auto"/>
                      <w:szCs w:val="21"/>
                      <w:highlight w:val="none"/>
                    </w:rPr>
                    <w:t>SS：</w:t>
                  </w:r>
                  <w:r>
                    <w:rPr>
                      <w:rFonts w:hint="eastAsia"/>
                      <w:color w:val="auto"/>
                      <w:szCs w:val="21"/>
                      <w:highlight w:val="none"/>
                      <w:lang w:val="en-US" w:eastAsia="zh-CN"/>
                    </w:rPr>
                    <w:t>240</w:t>
                  </w:r>
                  <w:r>
                    <w:rPr>
                      <w:rFonts w:hint="eastAsia"/>
                      <w:color w:val="auto"/>
                      <w:szCs w:val="21"/>
                      <w:highlight w:val="none"/>
                    </w:rPr>
                    <w:t>mg/L；</w:t>
                  </w:r>
                </w:p>
                <w:p>
                  <w:pPr>
                    <w:snapToGrid w:val="0"/>
                    <w:spacing w:line="248" w:lineRule="exact"/>
                    <w:ind w:left="-120" w:leftChars="-50" w:right="-120" w:rightChars="-50"/>
                    <w:jc w:val="both"/>
                    <w:rPr>
                      <w:rFonts w:hint="eastAsia"/>
                      <w:color w:val="auto"/>
                      <w:szCs w:val="21"/>
                      <w:highlight w:val="none"/>
                      <w:lang w:val="en-US" w:eastAsia="zh-CN"/>
                    </w:rPr>
                  </w:pPr>
                </w:p>
              </w:tc>
              <w:tc>
                <w:tcPr>
                  <w:tcW w:w="274" w:type="pct"/>
                  <w:noWrap w:val="0"/>
                  <w:vAlign w:val="center"/>
                </w:tcPr>
                <w:p>
                  <w:pPr>
                    <w:snapToGrid w:val="0"/>
                    <w:spacing w:line="248" w:lineRule="exact"/>
                    <w:ind w:left="-120" w:leftChars="-50" w:right="-120" w:rightChars="-50"/>
                    <w:jc w:val="center"/>
                    <w:rPr>
                      <w:rFonts w:hint="eastAsia"/>
                      <w:color w:val="auto"/>
                      <w:szCs w:val="21"/>
                      <w:highlight w:val="none"/>
                    </w:rPr>
                  </w:pPr>
                  <w:r>
                    <w:rPr>
                      <w:rFonts w:hint="eastAsia"/>
                      <w:color w:val="auto"/>
                      <w:szCs w:val="21"/>
                      <w:highlight w:val="none"/>
                    </w:rPr>
                    <w:t>间断</w:t>
                  </w:r>
                </w:p>
              </w:tc>
              <w:tc>
                <w:tcPr>
                  <w:tcW w:w="447" w:type="pct"/>
                  <w:noWrap w:val="0"/>
                  <w:vAlign w:val="center"/>
                </w:tcPr>
                <w:p>
                  <w:pPr>
                    <w:snapToGrid w:val="0"/>
                    <w:spacing w:line="248" w:lineRule="exact"/>
                    <w:ind w:left="-120" w:leftChars="-50" w:right="-120" w:rightChars="-50"/>
                    <w:jc w:val="center"/>
                    <w:rPr>
                      <w:rFonts w:hint="eastAsia"/>
                      <w:color w:val="auto"/>
                      <w:szCs w:val="21"/>
                      <w:highlight w:val="none"/>
                    </w:rPr>
                  </w:pPr>
                  <w:r>
                    <w:rPr>
                      <w:rFonts w:hint="eastAsia"/>
                      <w:color w:val="auto"/>
                      <w:szCs w:val="21"/>
                      <w:highlight w:val="none"/>
                    </w:rPr>
                    <w:t>类比法</w:t>
                  </w:r>
                </w:p>
              </w:tc>
              <w:tc>
                <w:tcPr>
                  <w:tcW w:w="447" w:type="pct"/>
                  <w:noWrap w:val="0"/>
                  <w:vAlign w:val="center"/>
                </w:tcPr>
                <w:p>
                  <w:pPr>
                    <w:snapToGrid w:val="0"/>
                    <w:spacing w:line="248" w:lineRule="exact"/>
                    <w:ind w:left="-120" w:leftChars="-50" w:right="-120" w:rightChars="-50"/>
                    <w:jc w:val="center"/>
                    <w:rPr>
                      <w:rFonts w:hint="eastAsia"/>
                      <w:color w:val="auto"/>
                      <w:szCs w:val="21"/>
                      <w:highlight w:val="none"/>
                    </w:rPr>
                  </w:pPr>
                  <w:r>
                    <w:rPr>
                      <w:rFonts w:hint="eastAsia"/>
                      <w:color w:val="auto"/>
                      <w:szCs w:val="21"/>
                      <w:highlight w:val="none"/>
                      <w:lang w:val="en-US" w:eastAsia="zh-CN"/>
                    </w:rPr>
                    <w:t>可行</w:t>
                  </w:r>
                </w:p>
              </w:tc>
            </w:tr>
          </w:tbl>
          <w:p>
            <w:pPr>
              <w:pStyle w:val="16"/>
              <w:rPr>
                <w:color w:val="auto"/>
                <w:highlight w:val="none"/>
              </w:rPr>
            </w:pPr>
          </w:p>
          <w:p>
            <w:pPr>
              <w:adjustRightInd w:val="0"/>
              <w:snapToGrid w:val="0"/>
              <w:spacing w:line="360" w:lineRule="auto"/>
              <w:rPr>
                <w:rFonts w:hint="eastAsia" w:ascii="黑体" w:hAnsi="黑体" w:eastAsia="黑体" w:cs="黑体"/>
                <w:bCs/>
                <w:color w:val="auto"/>
                <w:spacing w:val="-10"/>
                <w:sz w:val="24"/>
                <w:highlight w:val="none"/>
              </w:rPr>
            </w:pPr>
            <w:r>
              <w:rPr>
                <w:rFonts w:hint="eastAsia" w:ascii="黑体" w:hAnsi="黑体" w:eastAsia="黑体" w:cs="黑体"/>
                <w:bCs/>
                <w:color w:val="auto"/>
                <w:spacing w:val="-10"/>
                <w:sz w:val="24"/>
                <w:highlight w:val="none"/>
              </w:rPr>
              <w:t>三、噪声</w:t>
            </w:r>
          </w:p>
          <w:p>
            <w:pPr>
              <w:adjustRightInd w:val="0"/>
              <w:snapToGrid w:val="0"/>
              <w:spacing w:line="360" w:lineRule="auto"/>
              <w:ind w:firstLine="480" w:firstLineChars="200"/>
              <w:rPr>
                <w:snapToGrid w:val="0"/>
                <w:color w:val="auto"/>
                <w:kern w:val="0"/>
                <w:sz w:val="24"/>
                <w:highlight w:val="none"/>
              </w:rPr>
            </w:pPr>
            <w:r>
              <w:rPr>
                <w:rFonts w:hint="eastAsia"/>
                <w:snapToGrid w:val="0"/>
                <w:color w:val="auto"/>
                <w:kern w:val="0"/>
                <w:sz w:val="24"/>
                <w:highlight w:val="none"/>
              </w:rPr>
              <w:t>1、噪声源</w:t>
            </w:r>
          </w:p>
          <w:p>
            <w:pPr>
              <w:adjustRightInd w:val="0"/>
              <w:snapToGrid w:val="0"/>
              <w:spacing w:line="360" w:lineRule="auto"/>
              <w:ind w:firstLine="480" w:firstLineChars="200"/>
              <w:rPr>
                <w:snapToGrid w:val="0"/>
                <w:color w:val="auto"/>
                <w:kern w:val="0"/>
                <w:sz w:val="24"/>
                <w:highlight w:val="none"/>
              </w:rPr>
            </w:pPr>
            <w:r>
              <w:rPr>
                <w:snapToGrid w:val="0"/>
                <w:color w:val="auto"/>
                <w:kern w:val="0"/>
                <w:sz w:val="24"/>
                <w:highlight w:val="none"/>
              </w:rPr>
              <w:t>本项目营运期噪声主要来</w:t>
            </w:r>
            <w:r>
              <w:rPr>
                <w:rFonts w:hint="eastAsia"/>
                <w:snapToGrid w:val="0"/>
                <w:color w:val="auto"/>
                <w:kern w:val="0"/>
                <w:sz w:val="24"/>
                <w:highlight w:val="none"/>
              </w:rPr>
              <w:t>搅拌机等设备噪声</w:t>
            </w:r>
            <w:r>
              <w:rPr>
                <w:snapToGrid w:val="0"/>
                <w:color w:val="auto"/>
                <w:kern w:val="0"/>
                <w:sz w:val="24"/>
                <w:highlight w:val="none"/>
              </w:rPr>
              <w:t>，以及社会噪声、车辆交通噪声等。</w:t>
            </w:r>
          </w:p>
          <w:p>
            <w:pPr>
              <w:numPr>
                <w:ilvl w:val="0"/>
                <w:numId w:val="9"/>
              </w:numPr>
              <w:adjustRightInd w:val="0"/>
              <w:snapToGrid w:val="0"/>
              <w:spacing w:line="360" w:lineRule="auto"/>
              <w:ind w:firstLine="480" w:firstLineChars="200"/>
              <w:rPr>
                <w:rFonts w:hint="eastAsia"/>
                <w:snapToGrid w:val="0"/>
                <w:color w:val="auto"/>
                <w:kern w:val="0"/>
                <w:sz w:val="24"/>
                <w:highlight w:val="none"/>
              </w:rPr>
            </w:pPr>
            <w:r>
              <w:rPr>
                <w:rFonts w:hint="eastAsia"/>
                <w:snapToGrid w:val="0"/>
                <w:color w:val="auto"/>
                <w:kern w:val="0"/>
                <w:sz w:val="24"/>
                <w:highlight w:val="none"/>
              </w:rPr>
              <w:t>噪声产生强度、降噪措施、排放强度、持续时间</w:t>
            </w:r>
          </w:p>
          <w:p>
            <w:pPr>
              <w:adjustRightInd w:val="0"/>
              <w:snapToGrid w:val="0"/>
              <w:spacing w:line="360" w:lineRule="auto"/>
              <w:ind w:firstLine="480" w:firstLineChars="200"/>
              <w:rPr>
                <w:rFonts w:hint="eastAsia"/>
                <w:snapToGrid w:val="0"/>
                <w:color w:val="auto"/>
                <w:kern w:val="0"/>
                <w:sz w:val="24"/>
                <w:highlight w:val="none"/>
              </w:rPr>
            </w:pPr>
            <w:r>
              <w:rPr>
                <w:rFonts w:hint="eastAsia"/>
                <w:snapToGrid w:val="0"/>
                <w:color w:val="auto"/>
                <w:kern w:val="0"/>
                <w:sz w:val="24"/>
                <w:highlight w:val="none"/>
              </w:rPr>
              <w:t>本项目营运期噪声噪声产生强度、降噪措施、排放强度、持续时间表详见下表所示：</w:t>
            </w:r>
          </w:p>
          <w:p>
            <w:pPr>
              <w:spacing w:before="120" w:beforeLines="50"/>
              <w:jc w:val="center"/>
              <w:rPr>
                <w:rFonts w:hint="eastAsia"/>
                <w:b/>
                <w:bCs/>
                <w:color w:val="auto"/>
                <w:sz w:val="24"/>
                <w:highlight w:val="none"/>
              </w:rPr>
            </w:pPr>
            <w:r>
              <w:rPr>
                <w:rFonts w:hint="eastAsia"/>
                <w:b/>
                <w:bCs/>
                <w:color w:val="auto"/>
                <w:sz w:val="24"/>
                <w:highlight w:val="none"/>
              </w:rPr>
              <w:t>表4-1</w:t>
            </w:r>
            <w:r>
              <w:rPr>
                <w:rFonts w:hint="eastAsia"/>
                <w:b/>
                <w:bCs/>
                <w:color w:val="auto"/>
                <w:sz w:val="24"/>
                <w:highlight w:val="none"/>
                <w:lang w:val="en-US" w:eastAsia="zh-CN"/>
              </w:rPr>
              <w:t>8</w:t>
            </w:r>
            <w:r>
              <w:rPr>
                <w:rFonts w:hint="eastAsia"/>
                <w:b/>
                <w:bCs/>
                <w:color w:val="auto"/>
                <w:sz w:val="24"/>
                <w:highlight w:val="none"/>
              </w:rPr>
              <w:t xml:space="preserve"> 噪声产生强度、降噪措施、排放强度、持续时间表（单位：dB(A)）</w:t>
            </w:r>
          </w:p>
          <w:tbl>
            <w:tblPr>
              <w:tblStyle w:val="39"/>
              <w:tblW w:w="5000"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15" w:type="dxa"/>
                <w:left w:w="15" w:type="dxa"/>
                <w:bottom w:w="15" w:type="dxa"/>
                <w:right w:w="15" w:type="dxa"/>
              </w:tblCellMar>
            </w:tblPr>
            <w:tblGrid>
              <w:gridCol w:w="202"/>
              <w:gridCol w:w="726"/>
              <w:gridCol w:w="548"/>
              <w:gridCol w:w="415"/>
              <w:gridCol w:w="551"/>
              <w:gridCol w:w="508"/>
              <w:gridCol w:w="466"/>
              <w:gridCol w:w="2930"/>
              <w:gridCol w:w="961"/>
              <w:gridCol w:w="1016"/>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23" w:hRule="atLeast"/>
              </w:trPr>
              <w:tc>
                <w:tcPr>
                  <w:tcW w:w="121" w:type="pct"/>
                  <w:noWrap/>
                  <w:vAlign w:val="center"/>
                </w:tcPr>
                <w:p>
                  <w:pPr>
                    <w:widowControl/>
                    <w:jc w:val="center"/>
                    <w:textAlignment w:val="bottom"/>
                    <w:rPr>
                      <w:b/>
                      <w:bCs/>
                      <w:color w:val="auto"/>
                      <w:szCs w:val="21"/>
                      <w:highlight w:val="none"/>
                    </w:rPr>
                  </w:pPr>
                  <w:r>
                    <w:rPr>
                      <w:b/>
                      <w:bCs/>
                      <w:color w:val="auto"/>
                      <w:kern w:val="0"/>
                      <w:szCs w:val="21"/>
                      <w:highlight w:val="none"/>
                      <w:lang w:bidi="ar"/>
                    </w:rPr>
                    <w:t>序</w:t>
                  </w:r>
                  <w:r>
                    <w:rPr>
                      <w:b/>
                      <w:bCs/>
                      <w:color w:val="auto"/>
                      <w:kern w:val="0"/>
                      <w:szCs w:val="21"/>
                      <w:highlight w:val="none"/>
                      <w:lang w:bidi="ar"/>
                    </w:rPr>
                    <w:br w:type="textWrapping"/>
                  </w:r>
                  <w:r>
                    <w:rPr>
                      <w:b/>
                      <w:bCs/>
                      <w:color w:val="auto"/>
                      <w:kern w:val="0"/>
                      <w:szCs w:val="21"/>
                      <w:highlight w:val="none"/>
                      <w:lang w:bidi="ar"/>
                    </w:rPr>
                    <w:t>号</w:t>
                  </w:r>
                </w:p>
              </w:tc>
              <w:tc>
                <w:tcPr>
                  <w:tcW w:w="436" w:type="pct"/>
                  <w:noWrap/>
                  <w:vAlign w:val="center"/>
                </w:tcPr>
                <w:p>
                  <w:pPr>
                    <w:widowControl/>
                    <w:jc w:val="center"/>
                    <w:textAlignment w:val="bottom"/>
                    <w:rPr>
                      <w:b/>
                      <w:bCs/>
                      <w:color w:val="auto"/>
                      <w:szCs w:val="21"/>
                      <w:highlight w:val="none"/>
                    </w:rPr>
                  </w:pPr>
                  <w:r>
                    <w:rPr>
                      <w:b/>
                      <w:bCs/>
                      <w:color w:val="auto"/>
                      <w:kern w:val="0"/>
                      <w:szCs w:val="21"/>
                      <w:highlight w:val="none"/>
                      <w:lang w:bidi="ar"/>
                    </w:rPr>
                    <w:t>设备名称</w:t>
                  </w:r>
                </w:p>
              </w:tc>
              <w:tc>
                <w:tcPr>
                  <w:tcW w:w="329" w:type="pct"/>
                  <w:noWrap/>
                  <w:vAlign w:val="center"/>
                </w:tcPr>
                <w:p>
                  <w:pPr>
                    <w:widowControl/>
                    <w:jc w:val="center"/>
                    <w:textAlignment w:val="bottom"/>
                    <w:rPr>
                      <w:b/>
                      <w:bCs/>
                      <w:color w:val="auto"/>
                      <w:szCs w:val="21"/>
                      <w:highlight w:val="none"/>
                    </w:rPr>
                  </w:pPr>
                  <w:r>
                    <w:rPr>
                      <w:b/>
                      <w:bCs/>
                      <w:color w:val="auto"/>
                      <w:kern w:val="0"/>
                      <w:szCs w:val="21"/>
                      <w:highlight w:val="none"/>
                      <w:lang w:bidi="ar"/>
                    </w:rPr>
                    <w:t>位置</w:t>
                  </w:r>
                </w:p>
              </w:tc>
              <w:tc>
                <w:tcPr>
                  <w:tcW w:w="249" w:type="pct"/>
                  <w:noWrap/>
                  <w:vAlign w:val="center"/>
                </w:tcPr>
                <w:p>
                  <w:pPr>
                    <w:widowControl/>
                    <w:jc w:val="center"/>
                    <w:textAlignment w:val="bottom"/>
                    <w:rPr>
                      <w:b/>
                      <w:bCs/>
                      <w:color w:val="auto"/>
                      <w:szCs w:val="21"/>
                      <w:highlight w:val="none"/>
                    </w:rPr>
                  </w:pPr>
                  <w:r>
                    <w:rPr>
                      <w:b/>
                      <w:bCs/>
                      <w:color w:val="auto"/>
                      <w:kern w:val="0"/>
                      <w:szCs w:val="21"/>
                      <w:highlight w:val="none"/>
                      <w:lang w:bidi="ar"/>
                    </w:rPr>
                    <w:t>|数量</w:t>
                  </w:r>
                </w:p>
              </w:tc>
              <w:tc>
                <w:tcPr>
                  <w:tcW w:w="331" w:type="pct"/>
                  <w:noWrap/>
                  <w:vAlign w:val="center"/>
                </w:tcPr>
                <w:p>
                  <w:pPr>
                    <w:widowControl/>
                    <w:jc w:val="center"/>
                    <w:textAlignment w:val="bottom"/>
                    <w:rPr>
                      <w:b/>
                      <w:bCs/>
                      <w:color w:val="auto"/>
                      <w:szCs w:val="21"/>
                      <w:highlight w:val="none"/>
                    </w:rPr>
                  </w:pPr>
                  <w:r>
                    <w:rPr>
                      <w:b/>
                      <w:bCs/>
                      <w:color w:val="auto"/>
                      <w:kern w:val="0"/>
                      <w:szCs w:val="21"/>
                      <w:highlight w:val="none"/>
                      <w:lang w:bidi="ar"/>
                    </w:rPr>
                    <w:t>声源类</w:t>
                  </w:r>
                  <w:r>
                    <w:rPr>
                      <w:b/>
                      <w:bCs/>
                      <w:color w:val="auto"/>
                      <w:kern w:val="0"/>
                      <w:szCs w:val="21"/>
                      <w:highlight w:val="none"/>
                      <w:lang w:bidi="ar"/>
                    </w:rPr>
                    <w:br w:type="textWrapping"/>
                  </w:r>
                  <w:r>
                    <w:rPr>
                      <w:b/>
                      <w:bCs/>
                      <w:color w:val="auto"/>
                      <w:kern w:val="0"/>
                      <w:szCs w:val="21"/>
                      <w:highlight w:val="none"/>
                      <w:lang w:bidi="ar"/>
                    </w:rPr>
                    <w:t>型（偶</w:t>
                  </w:r>
                  <w:r>
                    <w:rPr>
                      <w:b/>
                      <w:bCs/>
                      <w:color w:val="auto"/>
                      <w:kern w:val="0"/>
                      <w:szCs w:val="21"/>
                      <w:highlight w:val="none"/>
                      <w:lang w:bidi="ar"/>
                    </w:rPr>
                    <w:br w:type="textWrapping"/>
                  </w:r>
                  <w:r>
                    <w:rPr>
                      <w:b/>
                      <w:bCs/>
                      <w:color w:val="auto"/>
                      <w:kern w:val="0"/>
                      <w:szCs w:val="21"/>
                      <w:highlight w:val="none"/>
                      <w:lang w:bidi="ar"/>
                    </w:rPr>
                    <w:t>发、频</w:t>
                  </w:r>
                  <w:r>
                    <w:rPr>
                      <w:b/>
                      <w:bCs/>
                      <w:color w:val="auto"/>
                      <w:kern w:val="0"/>
                      <w:szCs w:val="21"/>
                      <w:highlight w:val="none"/>
                      <w:lang w:bidi="ar"/>
                    </w:rPr>
                    <w:br w:type="textWrapping"/>
                  </w:r>
                  <w:r>
                    <w:rPr>
                      <w:b/>
                      <w:bCs/>
                      <w:color w:val="auto"/>
                      <w:kern w:val="0"/>
                      <w:szCs w:val="21"/>
                      <w:highlight w:val="none"/>
                      <w:lang w:bidi="ar"/>
                    </w:rPr>
                    <w:t>发)</w:t>
                  </w:r>
                </w:p>
              </w:tc>
              <w:tc>
                <w:tcPr>
                  <w:tcW w:w="585" w:type="pct"/>
                  <w:gridSpan w:val="2"/>
                  <w:noWrap/>
                  <w:vAlign w:val="center"/>
                </w:tcPr>
                <w:p>
                  <w:pPr>
                    <w:widowControl/>
                    <w:jc w:val="center"/>
                    <w:textAlignment w:val="bottom"/>
                    <w:rPr>
                      <w:b/>
                      <w:bCs/>
                      <w:color w:val="auto"/>
                      <w:szCs w:val="21"/>
                      <w:highlight w:val="none"/>
                    </w:rPr>
                  </w:pPr>
                  <w:r>
                    <w:rPr>
                      <w:rFonts w:hint="eastAsia"/>
                      <w:b/>
                      <w:bCs/>
                      <w:color w:val="auto"/>
                      <w:kern w:val="0"/>
                      <w:szCs w:val="21"/>
                      <w:highlight w:val="none"/>
                      <w:lang w:bidi="ar"/>
                    </w:rPr>
                    <w:t>治理前</w:t>
                  </w:r>
                </w:p>
              </w:tc>
              <w:tc>
                <w:tcPr>
                  <w:tcW w:w="1759" w:type="pct"/>
                  <w:noWrap/>
                  <w:vAlign w:val="center"/>
                </w:tcPr>
                <w:p>
                  <w:pPr>
                    <w:widowControl/>
                    <w:jc w:val="center"/>
                    <w:textAlignment w:val="bottom"/>
                    <w:rPr>
                      <w:b/>
                      <w:bCs/>
                      <w:color w:val="auto"/>
                      <w:kern w:val="0"/>
                      <w:szCs w:val="21"/>
                      <w:highlight w:val="none"/>
                      <w:lang w:bidi="ar"/>
                    </w:rPr>
                  </w:pPr>
                  <w:r>
                    <w:rPr>
                      <w:rFonts w:hint="eastAsia"/>
                      <w:b/>
                      <w:bCs/>
                      <w:color w:val="auto"/>
                      <w:kern w:val="0"/>
                      <w:szCs w:val="21"/>
                      <w:highlight w:val="none"/>
                      <w:lang w:bidi="ar"/>
                    </w:rPr>
                    <w:t>治理措施</w:t>
                  </w:r>
                </w:p>
              </w:tc>
              <w:tc>
                <w:tcPr>
                  <w:tcW w:w="577" w:type="pct"/>
                  <w:noWrap/>
                  <w:vAlign w:val="center"/>
                </w:tcPr>
                <w:p>
                  <w:pPr>
                    <w:widowControl/>
                    <w:jc w:val="center"/>
                    <w:textAlignment w:val="bottom"/>
                    <w:rPr>
                      <w:b/>
                      <w:bCs/>
                      <w:color w:val="auto"/>
                      <w:szCs w:val="21"/>
                      <w:highlight w:val="none"/>
                    </w:rPr>
                  </w:pPr>
                  <w:r>
                    <w:rPr>
                      <w:rFonts w:hint="eastAsia"/>
                      <w:b/>
                      <w:bCs/>
                      <w:color w:val="auto"/>
                      <w:kern w:val="0"/>
                      <w:szCs w:val="21"/>
                      <w:highlight w:val="none"/>
                      <w:lang w:bidi="ar"/>
                    </w:rPr>
                    <w:t>治理后</w:t>
                  </w:r>
                </w:p>
              </w:tc>
              <w:tc>
                <w:tcPr>
                  <w:tcW w:w="610" w:type="pct"/>
                  <w:noWrap/>
                  <w:vAlign w:val="center"/>
                </w:tcPr>
                <w:p>
                  <w:pPr>
                    <w:widowControl/>
                    <w:jc w:val="center"/>
                    <w:textAlignment w:val="bottom"/>
                    <w:rPr>
                      <w:b/>
                      <w:bCs/>
                      <w:color w:val="auto"/>
                      <w:kern w:val="0"/>
                      <w:szCs w:val="21"/>
                      <w:highlight w:val="none"/>
                      <w:lang w:bidi="ar"/>
                    </w:rPr>
                  </w:pPr>
                  <w:r>
                    <w:rPr>
                      <w:rFonts w:hint="eastAsia"/>
                      <w:b/>
                      <w:bCs/>
                      <w:color w:val="auto"/>
                      <w:kern w:val="0"/>
                      <w:szCs w:val="21"/>
                      <w:highlight w:val="none"/>
                      <w:lang w:bidi="ar"/>
                    </w:rPr>
                    <w:t>距离厂界最近距离m</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23" w:hRule="atLeast"/>
              </w:trPr>
              <w:tc>
                <w:tcPr>
                  <w:tcW w:w="121" w:type="pct"/>
                  <w:noWrap/>
                  <w:vAlign w:val="center"/>
                </w:tcPr>
                <w:p>
                  <w:pPr>
                    <w:widowControl/>
                    <w:jc w:val="center"/>
                    <w:rPr>
                      <w:rFonts w:hint="eastAsia"/>
                      <w:color w:val="auto"/>
                      <w:szCs w:val="21"/>
                      <w:highlight w:val="none"/>
                    </w:rPr>
                  </w:pPr>
                  <w:r>
                    <w:rPr>
                      <w:rFonts w:hint="eastAsia"/>
                      <w:color w:val="auto"/>
                      <w:szCs w:val="21"/>
                      <w:highlight w:val="none"/>
                    </w:rPr>
                    <w:t>1</w:t>
                  </w:r>
                </w:p>
              </w:tc>
              <w:tc>
                <w:tcPr>
                  <w:tcW w:w="436" w:type="pct"/>
                  <w:noWrap/>
                  <w:vAlign w:val="center"/>
                </w:tcPr>
                <w:p>
                  <w:pPr>
                    <w:widowControl/>
                    <w:jc w:val="center"/>
                    <w:textAlignment w:val="bottom"/>
                    <w:rPr>
                      <w:color w:val="auto"/>
                      <w:szCs w:val="21"/>
                      <w:highlight w:val="none"/>
                    </w:rPr>
                  </w:pPr>
                  <w:r>
                    <w:rPr>
                      <w:color w:val="auto"/>
                      <w:kern w:val="0"/>
                      <w:szCs w:val="21"/>
                      <w:highlight w:val="none"/>
                      <w:lang w:bidi="ar"/>
                    </w:rPr>
                    <w:t>搅拌机</w:t>
                  </w:r>
                </w:p>
              </w:tc>
              <w:tc>
                <w:tcPr>
                  <w:tcW w:w="329" w:type="pct"/>
                  <w:noWrap/>
                  <w:vAlign w:val="center"/>
                </w:tcPr>
                <w:p>
                  <w:pPr>
                    <w:widowControl/>
                    <w:jc w:val="center"/>
                    <w:textAlignment w:val="bottom"/>
                    <w:rPr>
                      <w:color w:val="auto"/>
                      <w:szCs w:val="21"/>
                      <w:highlight w:val="none"/>
                    </w:rPr>
                  </w:pPr>
                  <w:r>
                    <w:rPr>
                      <w:color w:val="auto"/>
                      <w:kern w:val="0"/>
                      <w:szCs w:val="21"/>
                      <w:highlight w:val="none"/>
                      <w:lang w:bidi="ar"/>
                    </w:rPr>
                    <w:t>拌合楼</w:t>
                  </w:r>
                </w:p>
              </w:tc>
              <w:tc>
                <w:tcPr>
                  <w:tcW w:w="249" w:type="pct"/>
                  <w:noWrap/>
                  <w:vAlign w:val="center"/>
                </w:tcPr>
                <w:p>
                  <w:pPr>
                    <w:widowControl/>
                    <w:jc w:val="center"/>
                    <w:textAlignment w:val="bottom"/>
                    <w:rPr>
                      <w:color w:val="auto"/>
                      <w:szCs w:val="21"/>
                      <w:highlight w:val="none"/>
                    </w:rPr>
                  </w:pPr>
                  <w:r>
                    <w:rPr>
                      <w:color w:val="auto"/>
                      <w:kern w:val="0"/>
                      <w:szCs w:val="21"/>
                      <w:highlight w:val="none"/>
                      <w:lang w:bidi="ar"/>
                    </w:rPr>
                    <w:t>1台</w:t>
                  </w:r>
                </w:p>
              </w:tc>
              <w:tc>
                <w:tcPr>
                  <w:tcW w:w="331" w:type="pct"/>
                  <w:noWrap/>
                  <w:vAlign w:val="center"/>
                </w:tcPr>
                <w:p>
                  <w:pPr>
                    <w:widowControl/>
                    <w:jc w:val="center"/>
                    <w:textAlignment w:val="bottom"/>
                    <w:rPr>
                      <w:color w:val="auto"/>
                      <w:szCs w:val="21"/>
                      <w:highlight w:val="none"/>
                    </w:rPr>
                  </w:pPr>
                  <w:r>
                    <w:rPr>
                      <w:color w:val="auto"/>
                      <w:kern w:val="0"/>
                      <w:szCs w:val="21"/>
                      <w:highlight w:val="none"/>
                      <w:lang w:bidi="ar"/>
                    </w:rPr>
                    <w:t>频发</w:t>
                  </w:r>
                </w:p>
              </w:tc>
              <w:tc>
                <w:tcPr>
                  <w:tcW w:w="305" w:type="pct"/>
                  <w:noWrap/>
                  <w:vAlign w:val="center"/>
                </w:tcPr>
                <w:p>
                  <w:pPr>
                    <w:widowControl/>
                    <w:jc w:val="center"/>
                    <w:textAlignment w:val="bottom"/>
                    <w:rPr>
                      <w:color w:val="auto"/>
                      <w:szCs w:val="21"/>
                      <w:highlight w:val="none"/>
                    </w:rPr>
                  </w:pPr>
                  <w:r>
                    <w:rPr>
                      <w:color w:val="auto"/>
                      <w:kern w:val="0"/>
                      <w:szCs w:val="21"/>
                      <w:highlight w:val="none"/>
                      <w:lang w:bidi="ar"/>
                    </w:rPr>
                    <w:t>类比</w:t>
                  </w:r>
                </w:p>
              </w:tc>
              <w:tc>
                <w:tcPr>
                  <w:tcW w:w="279" w:type="pct"/>
                  <w:noWrap/>
                  <w:vAlign w:val="center"/>
                </w:tcPr>
                <w:p>
                  <w:pPr>
                    <w:widowControl/>
                    <w:jc w:val="center"/>
                    <w:textAlignment w:val="bottom"/>
                    <w:rPr>
                      <w:color w:val="auto"/>
                      <w:szCs w:val="21"/>
                      <w:highlight w:val="none"/>
                    </w:rPr>
                  </w:pPr>
                  <w:r>
                    <w:rPr>
                      <w:color w:val="auto"/>
                      <w:kern w:val="0"/>
                      <w:szCs w:val="21"/>
                      <w:highlight w:val="none"/>
                      <w:lang w:bidi="ar"/>
                    </w:rPr>
                    <w:t>85</w:t>
                  </w:r>
                </w:p>
              </w:tc>
              <w:tc>
                <w:tcPr>
                  <w:tcW w:w="1759" w:type="pct"/>
                  <w:noWrap/>
                  <w:vAlign w:val="center"/>
                </w:tcPr>
                <w:p>
                  <w:pPr>
                    <w:widowControl/>
                    <w:jc w:val="center"/>
                    <w:textAlignment w:val="bottom"/>
                    <w:rPr>
                      <w:color w:val="auto"/>
                      <w:kern w:val="0"/>
                      <w:szCs w:val="21"/>
                      <w:highlight w:val="none"/>
                      <w:lang w:bidi="ar"/>
                    </w:rPr>
                  </w:pPr>
                  <w:r>
                    <w:rPr>
                      <w:color w:val="auto"/>
                      <w:kern w:val="0"/>
                      <w:szCs w:val="21"/>
                      <w:highlight w:val="none"/>
                      <w:lang w:bidi="ar"/>
                    </w:rPr>
                    <w:t>基础减振、安消声器、厂房隔音、优化总图</w:t>
                  </w:r>
                </w:p>
              </w:tc>
              <w:tc>
                <w:tcPr>
                  <w:tcW w:w="577" w:type="pct"/>
                  <w:noWrap/>
                  <w:vAlign w:val="center"/>
                </w:tcPr>
                <w:p>
                  <w:pPr>
                    <w:widowControl/>
                    <w:jc w:val="center"/>
                    <w:textAlignment w:val="bottom"/>
                    <w:rPr>
                      <w:color w:val="auto"/>
                      <w:szCs w:val="21"/>
                      <w:highlight w:val="none"/>
                    </w:rPr>
                  </w:pPr>
                  <w:r>
                    <w:rPr>
                      <w:rFonts w:hint="eastAsia"/>
                      <w:color w:val="auto"/>
                      <w:kern w:val="0"/>
                      <w:szCs w:val="21"/>
                      <w:highlight w:val="none"/>
                      <w:lang w:bidi="ar"/>
                    </w:rPr>
                    <w:t>65~70</w:t>
                  </w:r>
                </w:p>
              </w:tc>
              <w:tc>
                <w:tcPr>
                  <w:tcW w:w="610" w:type="pct"/>
                  <w:noWrap/>
                  <w:vAlign w:val="center"/>
                </w:tcPr>
                <w:p>
                  <w:pPr>
                    <w:widowControl/>
                    <w:jc w:val="center"/>
                    <w:textAlignment w:val="bottom"/>
                    <w:rPr>
                      <w:color w:val="auto"/>
                      <w:kern w:val="0"/>
                      <w:szCs w:val="21"/>
                      <w:highlight w:val="none"/>
                      <w:lang w:bidi="ar"/>
                    </w:rPr>
                  </w:pPr>
                  <w:r>
                    <w:rPr>
                      <w:rFonts w:hint="eastAsia"/>
                      <w:color w:val="auto"/>
                      <w:kern w:val="0"/>
                      <w:szCs w:val="21"/>
                      <w:highlight w:val="none"/>
                      <w:lang w:bidi="ar"/>
                    </w:rPr>
                    <w:t>12</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23" w:hRule="atLeast"/>
              </w:trPr>
              <w:tc>
                <w:tcPr>
                  <w:tcW w:w="121" w:type="pct"/>
                  <w:noWrap/>
                  <w:vAlign w:val="center"/>
                </w:tcPr>
                <w:p>
                  <w:pPr>
                    <w:widowControl/>
                    <w:jc w:val="center"/>
                    <w:textAlignment w:val="bottom"/>
                    <w:rPr>
                      <w:color w:val="auto"/>
                      <w:szCs w:val="21"/>
                      <w:highlight w:val="none"/>
                    </w:rPr>
                  </w:pPr>
                  <w:r>
                    <w:rPr>
                      <w:color w:val="auto"/>
                      <w:kern w:val="0"/>
                      <w:szCs w:val="21"/>
                      <w:highlight w:val="none"/>
                      <w:lang w:bidi="ar"/>
                    </w:rPr>
                    <w:t>2</w:t>
                  </w:r>
                </w:p>
              </w:tc>
              <w:tc>
                <w:tcPr>
                  <w:tcW w:w="436" w:type="pct"/>
                  <w:noWrap/>
                  <w:vAlign w:val="center"/>
                </w:tcPr>
                <w:p>
                  <w:pPr>
                    <w:widowControl/>
                    <w:jc w:val="center"/>
                    <w:textAlignment w:val="bottom"/>
                    <w:rPr>
                      <w:color w:val="auto"/>
                      <w:szCs w:val="21"/>
                      <w:highlight w:val="none"/>
                    </w:rPr>
                  </w:pPr>
                  <w:r>
                    <w:rPr>
                      <w:color w:val="auto"/>
                      <w:kern w:val="0"/>
                      <w:szCs w:val="21"/>
                      <w:highlight w:val="none"/>
                      <w:lang w:bidi="ar"/>
                    </w:rPr>
                    <w:t>冷料斗</w:t>
                  </w:r>
                </w:p>
              </w:tc>
              <w:tc>
                <w:tcPr>
                  <w:tcW w:w="329" w:type="pct"/>
                  <w:noWrap/>
                  <w:vAlign w:val="center"/>
                </w:tcPr>
                <w:p>
                  <w:pPr>
                    <w:widowControl/>
                    <w:jc w:val="center"/>
                    <w:textAlignment w:val="bottom"/>
                    <w:rPr>
                      <w:color w:val="auto"/>
                      <w:szCs w:val="21"/>
                      <w:highlight w:val="none"/>
                    </w:rPr>
                  </w:pPr>
                  <w:r>
                    <w:rPr>
                      <w:color w:val="auto"/>
                      <w:kern w:val="0"/>
                      <w:szCs w:val="21"/>
                      <w:highlight w:val="none"/>
                      <w:lang w:bidi="ar"/>
                    </w:rPr>
                    <w:t>拌合楼</w:t>
                  </w:r>
                </w:p>
              </w:tc>
              <w:tc>
                <w:tcPr>
                  <w:tcW w:w="249" w:type="pct"/>
                  <w:noWrap/>
                  <w:vAlign w:val="center"/>
                </w:tcPr>
                <w:p>
                  <w:pPr>
                    <w:widowControl/>
                    <w:jc w:val="center"/>
                    <w:textAlignment w:val="bottom"/>
                    <w:rPr>
                      <w:color w:val="auto"/>
                      <w:szCs w:val="21"/>
                      <w:highlight w:val="none"/>
                    </w:rPr>
                  </w:pPr>
                  <w:r>
                    <w:rPr>
                      <w:color w:val="auto"/>
                      <w:kern w:val="0"/>
                      <w:szCs w:val="21"/>
                      <w:highlight w:val="none"/>
                      <w:lang w:bidi="ar"/>
                    </w:rPr>
                    <w:t>l台</w:t>
                  </w:r>
                </w:p>
              </w:tc>
              <w:tc>
                <w:tcPr>
                  <w:tcW w:w="331" w:type="pct"/>
                  <w:noWrap/>
                  <w:vAlign w:val="center"/>
                </w:tcPr>
                <w:p>
                  <w:pPr>
                    <w:widowControl/>
                    <w:jc w:val="center"/>
                    <w:textAlignment w:val="bottom"/>
                    <w:rPr>
                      <w:color w:val="auto"/>
                      <w:szCs w:val="21"/>
                      <w:highlight w:val="none"/>
                    </w:rPr>
                  </w:pPr>
                  <w:r>
                    <w:rPr>
                      <w:color w:val="auto"/>
                      <w:kern w:val="0"/>
                      <w:szCs w:val="21"/>
                      <w:highlight w:val="none"/>
                      <w:lang w:bidi="ar"/>
                    </w:rPr>
                    <w:t>频发</w:t>
                  </w:r>
                </w:p>
              </w:tc>
              <w:tc>
                <w:tcPr>
                  <w:tcW w:w="305" w:type="pct"/>
                  <w:noWrap/>
                  <w:vAlign w:val="center"/>
                </w:tcPr>
                <w:p>
                  <w:pPr>
                    <w:widowControl/>
                    <w:jc w:val="center"/>
                    <w:textAlignment w:val="bottom"/>
                    <w:rPr>
                      <w:color w:val="auto"/>
                      <w:szCs w:val="21"/>
                      <w:highlight w:val="none"/>
                    </w:rPr>
                  </w:pPr>
                  <w:r>
                    <w:rPr>
                      <w:color w:val="auto"/>
                      <w:kern w:val="0"/>
                      <w:szCs w:val="21"/>
                      <w:highlight w:val="none"/>
                      <w:lang w:bidi="ar"/>
                    </w:rPr>
                    <w:t>类比</w:t>
                  </w:r>
                </w:p>
              </w:tc>
              <w:tc>
                <w:tcPr>
                  <w:tcW w:w="279" w:type="pct"/>
                  <w:noWrap/>
                  <w:vAlign w:val="center"/>
                </w:tcPr>
                <w:p>
                  <w:pPr>
                    <w:widowControl/>
                    <w:jc w:val="center"/>
                    <w:textAlignment w:val="bottom"/>
                    <w:rPr>
                      <w:color w:val="auto"/>
                      <w:szCs w:val="21"/>
                      <w:highlight w:val="none"/>
                    </w:rPr>
                  </w:pPr>
                  <w:r>
                    <w:rPr>
                      <w:color w:val="auto"/>
                      <w:kern w:val="0"/>
                      <w:szCs w:val="21"/>
                      <w:highlight w:val="none"/>
                      <w:lang w:bidi="ar"/>
                    </w:rPr>
                    <w:t>80</w:t>
                  </w:r>
                </w:p>
              </w:tc>
              <w:tc>
                <w:tcPr>
                  <w:tcW w:w="1759" w:type="pct"/>
                  <w:noWrap/>
                  <w:vAlign w:val="center"/>
                </w:tcPr>
                <w:p>
                  <w:pPr>
                    <w:widowControl/>
                    <w:jc w:val="center"/>
                    <w:textAlignment w:val="bottom"/>
                    <w:rPr>
                      <w:color w:val="auto"/>
                      <w:kern w:val="0"/>
                      <w:szCs w:val="21"/>
                      <w:highlight w:val="none"/>
                      <w:lang w:bidi="ar"/>
                    </w:rPr>
                  </w:pPr>
                  <w:r>
                    <w:rPr>
                      <w:rFonts w:hint="eastAsia"/>
                      <w:color w:val="auto"/>
                      <w:szCs w:val="21"/>
                      <w:highlight w:val="none"/>
                    </w:rPr>
                    <w:t>基础减振、安消声器、厂房隔音、优化总图</w:t>
                  </w:r>
                </w:p>
              </w:tc>
              <w:tc>
                <w:tcPr>
                  <w:tcW w:w="577" w:type="pct"/>
                  <w:noWrap/>
                  <w:vAlign w:val="center"/>
                </w:tcPr>
                <w:p>
                  <w:pPr>
                    <w:widowControl/>
                    <w:jc w:val="center"/>
                    <w:textAlignment w:val="bottom"/>
                    <w:rPr>
                      <w:color w:val="auto"/>
                      <w:szCs w:val="21"/>
                      <w:highlight w:val="none"/>
                    </w:rPr>
                  </w:pPr>
                  <w:r>
                    <w:rPr>
                      <w:rFonts w:hint="eastAsia"/>
                      <w:color w:val="auto"/>
                      <w:kern w:val="0"/>
                      <w:szCs w:val="21"/>
                      <w:highlight w:val="none"/>
                      <w:lang w:bidi="ar"/>
                    </w:rPr>
                    <w:t>65~70</w:t>
                  </w:r>
                </w:p>
              </w:tc>
              <w:tc>
                <w:tcPr>
                  <w:tcW w:w="610" w:type="pct"/>
                  <w:noWrap/>
                  <w:vAlign w:val="center"/>
                </w:tcPr>
                <w:p>
                  <w:pPr>
                    <w:widowControl/>
                    <w:jc w:val="center"/>
                    <w:textAlignment w:val="bottom"/>
                    <w:rPr>
                      <w:color w:val="auto"/>
                      <w:kern w:val="0"/>
                      <w:szCs w:val="21"/>
                      <w:highlight w:val="none"/>
                      <w:lang w:bidi="ar"/>
                    </w:rPr>
                  </w:pPr>
                  <w:r>
                    <w:rPr>
                      <w:rFonts w:hint="eastAsia"/>
                      <w:color w:val="auto"/>
                      <w:kern w:val="0"/>
                      <w:szCs w:val="21"/>
                      <w:highlight w:val="none"/>
                      <w:lang w:bidi="ar"/>
                    </w:rPr>
                    <w:t>10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23" w:hRule="atLeast"/>
              </w:trPr>
              <w:tc>
                <w:tcPr>
                  <w:tcW w:w="121" w:type="pct"/>
                  <w:noWrap/>
                  <w:vAlign w:val="center"/>
                </w:tcPr>
                <w:p>
                  <w:pPr>
                    <w:widowControl/>
                    <w:jc w:val="center"/>
                    <w:rPr>
                      <w:rFonts w:hint="eastAsia"/>
                      <w:color w:val="auto"/>
                      <w:szCs w:val="21"/>
                      <w:highlight w:val="none"/>
                    </w:rPr>
                  </w:pPr>
                  <w:r>
                    <w:rPr>
                      <w:rFonts w:hint="eastAsia"/>
                      <w:color w:val="auto"/>
                      <w:szCs w:val="21"/>
                      <w:highlight w:val="none"/>
                    </w:rPr>
                    <w:t>3</w:t>
                  </w:r>
                </w:p>
              </w:tc>
              <w:tc>
                <w:tcPr>
                  <w:tcW w:w="436" w:type="pct"/>
                  <w:noWrap/>
                  <w:vAlign w:val="center"/>
                </w:tcPr>
                <w:p>
                  <w:pPr>
                    <w:widowControl/>
                    <w:jc w:val="center"/>
                    <w:textAlignment w:val="bottom"/>
                    <w:rPr>
                      <w:color w:val="auto"/>
                      <w:szCs w:val="21"/>
                      <w:highlight w:val="none"/>
                    </w:rPr>
                  </w:pPr>
                  <w:r>
                    <w:rPr>
                      <w:color w:val="auto"/>
                      <w:kern w:val="0"/>
                      <w:szCs w:val="21"/>
                      <w:highlight w:val="none"/>
                      <w:lang w:bidi="ar"/>
                    </w:rPr>
                    <w:t>干燥</w:t>
                  </w:r>
                  <w:r>
                    <w:rPr>
                      <w:rFonts w:hint="eastAsia"/>
                      <w:color w:val="auto"/>
                      <w:kern w:val="0"/>
                      <w:szCs w:val="21"/>
                      <w:highlight w:val="none"/>
                      <w:lang w:bidi="ar"/>
                    </w:rPr>
                    <w:t>筒</w:t>
                  </w:r>
                </w:p>
              </w:tc>
              <w:tc>
                <w:tcPr>
                  <w:tcW w:w="329" w:type="pct"/>
                  <w:noWrap/>
                  <w:vAlign w:val="center"/>
                </w:tcPr>
                <w:p>
                  <w:pPr>
                    <w:widowControl/>
                    <w:jc w:val="center"/>
                    <w:textAlignment w:val="bottom"/>
                    <w:rPr>
                      <w:color w:val="auto"/>
                      <w:szCs w:val="21"/>
                      <w:highlight w:val="none"/>
                    </w:rPr>
                  </w:pPr>
                  <w:r>
                    <w:rPr>
                      <w:color w:val="auto"/>
                      <w:kern w:val="0"/>
                      <w:szCs w:val="21"/>
                      <w:highlight w:val="none"/>
                      <w:lang w:bidi="ar"/>
                    </w:rPr>
                    <w:t>拌合楼</w:t>
                  </w:r>
                </w:p>
              </w:tc>
              <w:tc>
                <w:tcPr>
                  <w:tcW w:w="249" w:type="pct"/>
                  <w:noWrap/>
                  <w:vAlign w:val="center"/>
                </w:tcPr>
                <w:p>
                  <w:pPr>
                    <w:widowControl/>
                    <w:jc w:val="center"/>
                    <w:textAlignment w:val="bottom"/>
                    <w:rPr>
                      <w:color w:val="auto"/>
                      <w:szCs w:val="21"/>
                      <w:highlight w:val="none"/>
                    </w:rPr>
                  </w:pPr>
                  <w:r>
                    <w:rPr>
                      <w:color w:val="auto"/>
                      <w:kern w:val="0"/>
                      <w:szCs w:val="21"/>
                      <w:highlight w:val="none"/>
                      <w:lang w:bidi="ar"/>
                    </w:rPr>
                    <w:t>1台</w:t>
                  </w:r>
                </w:p>
              </w:tc>
              <w:tc>
                <w:tcPr>
                  <w:tcW w:w="331" w:type="pct"/>
                  <w:noWrap/>
                  <w:vAlign w:val="center"/>
                </w:tcPr>
                <w:p>
                  <w:pPr>
                    <w:widowControl/>
                    <w:jc w:val="center"/>
                    <w:textAlignment w:val="bottom"/>
                    <w:rPr>
                      <w:color w:val="auto"/>
                      <w:szCs w:val="21"/>
                      <w:highlight w:val="none"/>
                    </w:rPr>
                  </w:pPr>
                  <w:r>
                    <w:rPr>
                      <w:color w:val="auto"/>
                      <w:kern w:val="0"/>
                      <w:szCs w:val="21"/>
                      <w:highlight w:val="none"/>
                      <w:lang w:bidi="ar"/>
                    </w:rPr>
                    <w:t>频发</w:t>
                  </w:r>
                </w:p>
              </w:tc>
              <w:tc>
                <w:tcPr>
                  <w:tcW w:w="305" w:type="pct"/>
                  <w:noWrap/>
                  <w:vAlign w:val="center"/>
                </w:tcPr>
                <w:p>
                  <w:pPr>
                    <w:widowControl/>
                    <w:jc w:val="center"/>
                    <w:textAlignment w:val="bottom"/>
                    <w:rPr>
                      <w:color w:val="auto"/>
                      <w:szCs w:val="21"/>
                      <w:highlight w:val="none"/>
                    </w:rPr>
                  </w:pPr>
                  <w:r>
                    <w:rPr>
                      <w:color w:val="auto"/>
                      <w:kern w:val="0"/>
                      <w:szCs w:val="21"/>
                      <w:highlight w:val="none"/>
                      <w:lang w:bidi="ar"/>
                    </w:rPr>
                    <w:t>类比</w:t>
                  </w:r>
                </w:p>
              </w:tc>
              <w:tc>
                <w:tcPr>
                  <w:tcW w:w="279" w:type="pct"/>
                  <w:noWrap/>
                  <w:vAlign w:val="center"/>
                </w:tcPr>
                <w:p>
                  <w:pPr>
                    <w:widowControl/>
                    <w:jc w:val="center"/>
                    <w:textAlignment w:val="bottom"/>
                    <w:rPr>
                      <w:color w:val="auto"/>
                      <w:szCs w:val="21"/>
                      <w:highlight w:val="none"/>
                    </w:rPr>
                  </w:pPr>
                  <w:r>
                    <w:rPr>
                      <w:color w:val="auto"/>
                      <w:kern w:val="0"/>
                      <w:szCs w:val="21"/>
                      <w:highlight w:val="none"/>
                      <w:lang w:bidi="ar"/>
                    </w:rPr>
                    <w:t>80</w:t>
                  </w:r>
                </w:p>
              </w:tc>
              <w:tc>
                <w:tcPr>
                  <w:tcW w:w="1759" w:type="pct"/>
                  <w:noWrap/>
                  <w:vAlign w:val="center"/>
                </w:tcPr>
                <w:p>
                  <w:pPr>
                    <w:widowControl/>
                    <w:jc w:val="center"/>
                    <w:textAlignment w:val="bottom"/>
                    <w:rPr>
                      <w:color w:val="auto"/>
                      <w:kern w:val="0"/>
                      <w:szCs w:val="21"/>
                      <w:highlight w:val="none"/>
                      <w:lang w:bidi="ar"/>
                    </w:rPr>
                  </w:pPr>
                  <w:r>
                    <w:rPr>
                      <w:rFonts w:hint="eastAsia"/>
                      <w:color w:val="auto"/>
                      <w:szCs w:val="21"/>
                      <w:highlight w:val="none"/>
                    </w:rPr>
                    <w:t>基础减振、安消声器、厂房隔音、优化总图</w:t>
                  </w:r>
                </w:p>
              </w:tc>
              <w:tc>
                <w:tcPr>
                  <w:tcW w:w="577" w:type="pct"/>
                  <w:noWrap/>
                  <w:vAlign w:val="center"/>
                </w:tcPr>
                <w:p>
                  <w:pPr>
                    <w:widowControl/>
                    <w:jc w:val="center"/>
                    <w:textAlignment w:val="bottom"/>
                    <w:rPr>
                      <w:color w:val="auto"/>
                      <w:szCs w:val="21"/>
                      <w:highlight w:val="none"/>
                    </w:rPr>
                  </w:pPr>
                  <w:r>
                    <w:rPr>
                      <w:rFonts w:hint="eastAsia"/>
                      <w:color w:val="auto"/>
                      <w:kern w:val="0"/>
                      <w:szCs w:val="21"/>
                      <w:highlight w:val="none"/>
                      <w:lang w:bidi="ar"/>
                    </w:rPr>
                    <w:t>65~70</w:t>
                  </w:r>
                </w:p>
              </w:tc>
              <w:tc>
                <w:tcPr>
                  <w:tcW w:w="610" w:type="pct"/>
                  <w:noWrap/>
                  <w:vAlign w:val="center"/>
                </w:tcPr>
                <w:p>
                  <w:pPr>
                    <w:widowControl/>
                    <w:jc w:val="center"/>
                    <w:textAlignment w:val="bottom"/>
                    <w:rPr>
                      <w:color w:val="auto"/>
                      <w:kern w:val="0"/>
                      <w:szCs w:val="21"/>
                      <w:highlight w:val="none"/>
                      <w:lang w:bidi="ar"/>
                    </w:rPr>
                  </w:pPr>
                  <w:r>
                    <w:rPr>
                      <w:rFonts w:hint="eastAsia"/>
                      <w:color w:val="auto"/>
                      <w:kern w:val="0"/>
                      <w:szCs w:val="21"/>
                      <w:highlight w:val="none"/>
                      <w:lang w:bidi="ar"/>
                    </w:rPr>
                    <w:t>12</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23" w:hRule="atLeast"/>
              </w:trPr>
              <w:tc>
                <w:tcPr>
                  <w:tcW w:w="121" w:type="pct"/>
                  <w:noWrap/>
                  <w:vAlign w:val="center"/>
                </w:tcPr>
                <w:p>
                  <w:pPr>
                    <w:widowControl/>
                    <w:jc w:val="center"/>
                    <w:textAlignment w:val="bottom"/>
                    <w:rPr>
                      <w:color w:val="auto"/>
                      <w:szCs w:val="21"/>
                      <w:highlight w:val="none"/>
                    </w:rPr>
                  </w:pPr>
                  <w:r>
                    <w:rPr>
                      <w:color w:val="auto"/>
                      <w:kern w:val="0"/>
                      <w:szCs w:val="21"/>
                      <w:highlight w:val="none"/>
                      <w:lang w:bidi="ar"/>
                    </w:rPr>
                    <w:t>4</w:t>
                  </w:r>
                </w:p>
              </w:tc>
              <w:tc>
                <w:tcPr>
                  <w:tcW w:w="436" w:type="pct"/>
                  <w:noWrap/>
                  <w:vAlign w:val="center"/>
                </w:tcPr>
                <w:p>
                  <w:pPr>
                    <w:widowControl/>
                    <w:jc w:val="center"/>
                    <w:textAlignment w:val="bottom"/>
                    <w:rPr>
                      <w:color w:val="auto"/>
                      <w:szCs w:val="21"/>
                      <w:highlight w:val="none"/>
                    </w:rPr>
                  </w:pPr>
                  <w:r>
                    <w:rPr>
                      <w:color w:val="auto"/>
                      <w:kern w:val="0"/>
                      <w:szCs w:val="21"/>
                      <w:highlight w:val="none"/>
                      <w:lang w:bidi="ar"/>
                    </w:rPr>
                    <w:t>振动筛</w:t>
                  </w:r>
                </w:p>
              </w:tc>
              <w:tc>
                <w:tcPr>
                  <w:tcW w:w="329" w:type="pct"/>
                  <w:noWrap/>
                  <w:vAlign w:val="center"/>
                </w:tcPr>
                <w:p>
                  <w:pPr>
                    <w:widowControl/>
                    <w:jc w:val="center"/>
                    <w:textAlignment w:val="bottom"/>
                    <w:rPr>
                      <w:color w:val="auto"/>
                      <w:szCs w:val="21"/>
                      <w:highlight w:val="none"/>
                    </w:rPr>
                  </w:pPr>
                  <w:r>
                    <w:rPr>
                      <w:color w:val="auto"/>
                      <w:kern w:val="0"/>
                      <w:szCs w:val="21"/>
                      <w:highlight w:val="none"/>
                      <w:lang w:bidi="ar"/>
                    </w:rPr>
                    <w:t>拌合楼</w:t>
                  </w:r>
                </w:p>
              </w:tc>
              <w:tc>
                <w:tcPr>
                  <w:tcW w:w="249" w:type="pct"/>
                  <w:noWrap/>
                  <w:vAlign w:val="center"/>
                </w:tcPr>
                <w:p>
                  <w:pPr>
                    <w:widowControl/>
                    <w:jc w:val="center"/>
                    <w:textAlignment w:val="bottom"/>
                    <w:rPr>
                      <w:color w:val="auto"/>
                      <w:szCs w:val="21"/>
                      <w:highlight w:val="none"/>
                    </w:rPr>
                  </w:pPr>
                  <w:r>
                    <w:rPr>
                      <w:color w:val="auto"/>
                      <w:kern w:val="0"/>
                      <w:szCs w:val="21"/>
                      <w:highlight w:val="none"/>
                      <w:lang w:bidi="ar"/>
                    </w:rPr>
                    <w:t>1条</w:t>
                  </w:r>
                </w:p>
              </w:tc>
              <w:tc>
                <w:tcPr>
                  <w:tcW w:w="331" w:type="pct"/>
                  <w:noWrap/>
                  <w:vAlign w:val="center"/>
                </w:tcPr>
                <w:p>
                  <w:pPr>
                    <w:widowControl/>
                    <w:jc w:val="center"/>
                    <w:textAlignment w:val="bottom"/>
                    <w:rPr>
                      <w:color w:val="auto"/>
                      <w:szCs w:val="21"/>
                      <w:highlight w:val="none"/>
                    </w:rPr>
                  </w:pPr>
                  <w:r>
                    <w:rPr>
                      <w:color w:val="auto"/>
                      <w:kern w:val="0"/>
                      <w:szCs w:val="21"/>
                      <w:highlight w:val="none"/>
                      <w:lang w:bidi="ar"/>
                    </w:rPr>
                    <w:t>频发</w:t>
                  </w:r>
                </w:p>
              </w:tc>
              <w:tc>
                <w:tcPr>
                  <w:tcW w:w="305" w:type="pct"/>
                  <w:noWrap/>
                  <w:vAlign w:val="center"/>
                </w:tcPr>
                <w:p>
                  <w:pPr>
                    <w:widowControl/>
                    <w:jc w:val="center"/>
                    <w:textAlignment w:val="bottom"/>
                    <w:rPr>
                      <w:color w:val="auto"/>
                      <w:szCs w:val="21"/>
                      <w:highlight w:val="none"/>
                    </w:rPr>
                  </w:pPr>
                  <w:r>
                    <w:rPr>
                      <w:color w:val="auto"/>
                      <w:kern w:val="0"/>
                      <w:szCs w:val="21"/>
                      <w:highlight w:val="none"/>
                      <w:lang w:bidi="ar"/>
                    </w:rPr>
                    <w:t>类比</w:t>
                  </w:r>
                </w:p>
              </w:tc>
              <w:tc>
                <w:tcPr>
                  <w:tcW w:w="279" w:type="pct"/>
                  <w:noWrap/>
                  <w:vAlign w:val="center"/>
                </w:tcPr>
                <w:p>
                  <w:pPr>
                    <w:widowControl/>
                    <w:jc w:val="center"/>
                    <w:textAlignment w:val="bottom"/>
                    <w:rPr>
                      <w:color w:val="auto"/>
                      <w:szCs w:val="21"/>
                      <w:highlight w:val="none"/>
                    </w:rPr>
                  </w:pPr>
                  <w:r>
                    <w:rPr>
                      <w:color w:val="auto"/>
                      <w:kern w:val="0"/>
                      <w:szCs w:val="21"/>
                      <w:highlight w:val="none"/>
                      <w:lang w:bidi="ar"/>
                    </w:rPr>
                    <w:t>85</w:t>
                  </w:r>
                </w:p>
              </w:tc>
              <w:tc>
                <w:tcPr>
                  <w:tcW w:w="1759" w:type="pct"/>
                  <w:noWrap/>
                  <w:vAlign w:val="center"/>
                </w:tcPr>
                <w:p>
                  <w:pPr>
                    <w:widowControl/>
                    <w:jc w:val="center"/>
                    <w:textAlignment w:val="bottom"/>
                    <w:rPr>
                      <w:color w:val="auto"/>
                      <w:kern w:val="0"/>
                      <w:szCs w:val="21"/>
                      <w:highlight w:val="none"/>
                      <w:lang w:bidi="ar"/>
                    </w:rPr>
                  </w:pPr>
                  <w:r>
                    <w:rPr>
                      <w:rFonts w:hint="eastAsia"/>
                      <w:color w:val="auto"/>
                      <w:szCs w:val="21"/>
                      <w:highlight w:val="none"/>
                    </w:rPr>
                    <w:t>基础减振、安消声器、厂房隔音、优化总图</w:t>
                  </w:r>
                </w:p>
              </w:tc>
              <w:tc>
                <w:tcPr>
                  <w:tcW w:w="577" w:type="pct"/>
                  <w:noWrap/>
                  <w:vAlign w:val="center"/>
                </w:tcPr>
                <w:p>
                  <w:pPr>
                    <w:widowControl/>
                    <w:jc w:val="center"/>
                    <w:textAlignment w:val="bottom"/>
                    <w:rPr>
                      <w:color w:val="auto"/>
                      <w:szCs w:val="21"/>
                      <w:highlight w:val="none"/>
                    </w:rPr>
                  </w:pPr>
                  <w:r>
                    <w:rPr>
                      <w:rFonts w:hint="eastAsia"/>
                      <w:color w:val="auto"/>
                      <w:kern w:val="0"/>
                      <w:szCs w:val="21"/>
                      <w:highlight w:val="none"/>
                      <w:lang w:bidi="ar"/>
                    </w:rPr>
                    <w:t>65~70</w:t>
                  </w:r>
                </w:p>
              </w:tc>
              <w:tc>
                <w:tcPr>
                  <w:tcW w:w="610" w:type="pct"/>
                  <w:noWrap/>
                  <w:vAlign w:val="center"/>
                </w:tcPr>
                <w:p>
                  <w:pPr>
                    <w:widowControl/>
                    <w:jc w:val="center"/>
                    <w:textAlignment w:val="bottom"/>
                    <w:rPr>
                      <w:color w:val="auto"/>
                      <w:kern w:val="0"/>
                      <w:szCs w:val="21"/>
                      <w:highlight w:val="none"/>
                      <w:lang w:bidi="ar"/>
                    </w:rPr>
                  </w:pPr>
                  <w:r>
                    <w:rPr>
                      <w:rFonts w:hint="eastAsia"/>
                      <w:color w:val="auto"/>
                      <w:kern w:val="0"/>
                      <w:szCs w:val="21"/>
                      <w:highlight w:val="none"/>
                      <w:lang w:bidi="ar"/>
                    </w:rPr>
                    <w:t>10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23" w:hRule="atLeast"/>
              </w:trPr>
              <w:tc>
                <w:tcPr>
                  <w:tcW w:w="121" w:type="pct"/>
                  <w:noWrap/>
                  <w:vAlign w:val="center"/>
                </w:tcPr>
                <w:p>
                  <w:pPr>
                    <w:widowControl/>
                    <w:jc w:val="center"/>
                    <w:textAlignment w:val="bottom"/>
                    <w:rPr>
                      <w:color w:val="auto"/>
                      <w:szCs w:val="21"/>
                      <w:highlight w:val="none"/>
                    </w:rPr>
                  </w:pPr>
                  <w:r>
                    <w:rPr>
                      <w:color w:val="auto"/>
                      <w:kern w:val="0"/>
                      <w:szCs w:val="21"/>
                      <w:highlight w:val="none"/>
                      <w:lang w:bidi="ar"/>
                    </w:rPr>
                    <w:t>5</w:t>
                  </w:r>
                </w:p>
              </w:tc>
              <w:tc>
                <w:tcPr>
                  <w:tcW w:w="436" w:type="pct"/>
                  <w:noWrap/>
                  <w:vAlign w:val="center"/>
                </w:tcPr>
                <w:p>
                  <w:pPr>
                    <w:widowControl/>
                    <w:jc w:val="center"/>
                    <w:textAlignment w:val="bottom"/>
                    <w:rPr>
                      <w:color w:val="auto"/>
                      <w:szCs w:val="21"/>
                      <w:highlight w:val="none"/>
                    </w:rPr>
                  </w:pPr>
                  <w:r>
                    <w:rPr>
                      <w:color w:val="auto"/>
                      <w:kern w:val="0"/>
                      <w:szCs w:val="21"/>
                      <w:highlight w:val="none"/>
                      <w:lang w:bidi="ar"/>
                    </w:rPr>
                    <w:t>空压机</w:t>
                  </w:r>
                </w:p>
              </w:tc>
              <w:tc>
                <w:tcPr>
                  <w:tcW w:w="329" w:type="pct"/>
                  <w:noWrap/>
                  <w:vAlign w:val="center"/>
                </w:tcPr>
                <w:p>
                  <w:pPr>
                    <w:widowControl/>
                    <w:jc w:val="center"/>
                    <w:textAlignment w:val="bottom"/>
                    <w:rPr>
                      <w:color w:val="auto"/>
                      <w:szCs w:val="21"/>
                      <w:highlight w:val="none"/>
                    </w:rPr>
                  </w:pPr>
                  <w:r>
                    <w:rPr>
                      <w:color w:val="auto"/>
                      <w:kern w:val="0"/>
                      <w:szCs w:val="21"/>
                      <w:highlight w:val="none"/>
                      <w:lang w:bidi="ar"/>
                    </w:rPr>
                    <w:t>拌合楼</w:t>
                  </w:r>
                </w:p>
              </w:tc>
              <w:tc>
                <w:tcPr>
                  <w:tcW w:w="249" w:type="pct"/>
                  <w:noWrap/>
                  <w:vAlign w:val="center"/>
                </w:tcPr>
                <w:p>
                  <w:pPr>
                    <w:widowControl/>
                    <w:jc w:val="center"/>
                    <w:textAlignment w:val="bottom"/>
                    <w:rPr>
                      <w:color w:val="auto"/>
                      <w:szCs w:val="21"/>
                      <w:highlight w:val="none"/>
                    </w:rPr>
                  </w:pPr>
                  <w:r>
                    <w:rPr>
                      <w:color w:val="auto"/>
                      <w:kern w:val="0"/>
                      <w:szCs w:val="21"/>
                      <w:highlight w:val="none"/>
                      <w:lang w:bidi="ar"/>
                    </w:rPr>
                    <w:t>1台</w:t>
                  </w:r>
                </w:p>
              </w:tc>
              <w:tc>
                <w:tcPr>
                  <w:tcW w:w="331" w:type="pct"/>
                  <w:noWrap/>
                  <w:vAlign w:val="center"/>
                </w:tcPr>
                <w:p>
                  <w:pPr>
                    <w:widowControl/>
                    <w:jc w:val="center"/>
                    <w:textAlignment w:val="bottom"/>
                    <w:rPr>
                      <w:color w:val="auto"/>
                      <w:szCs w:val="21"/>
                      <w:highlight w:val="none"/>
                    </w:rPr>
                  </w:pPr>
                  <w:r>
                    <w:rPr>
                      <w:color w:val="auto"/>
                      <w:kern w:val="0"/>
                      <w:szCs w:val="21"/>
                      <w:highlight w:val="none"/>
                      <w:lang w:bidi="ar"/>
                    </w:rPr>
                    <w:t>频发</w:t>
                  </w:r>
                </w:p>
              </w:tc>
              <w:tc>
                <w:tcPr>
                  <w:tcW w:w="305" w:type="pct"/>
                  <w:noWrap/>
                  <w:vAlign w:val="center"/>
                </w:tcPr>
                <w:p>
                  <w:pPr>
                    <w:widowControl/>
                    <w:jc w:val="center"/>
                    <w:textAlignment w:val="bottom"/>
                    <w:rPr>
                      <w:color w:val="auto"/>
                      <w:szCs w:val="21"/>
                      <w:highlight w:val="none"/>
                    </w:rPr>
                  </w:pPr>
                  <w:r>
                    <w:rPr>
                      <w:color w:val="auto"/>
                      <w:kern w:val="0"/>
                      <w:szCs w:val="21"/>
                      <w:highlight w:val="none"/>
                      <w:lang w:bidi="ar"/>
                    </w:rPr>
                    <w:t>类比</w:t>
                  </w:r>
                </w:p>
              </w:tc>
              <w:tc>
                <w:tcPr>
                  <w:tcW w:w="279" w:type="pct"/>
                  <w:noWrap/>
                  <w:vAlign w:val="center"/>
                </w:tcPr>
                <w:p>
                  <w:pPr>
                    <w:widowControl/>
                    <w:jc w:val="center"/>
                    <w:textAlignment w:val="bottom"/>
                    <w:rPr>
                      <w:color w:val="auto"/>
                      <w:szCs w:val="21"/>
                      <w:highlight w:val="none"/>
                    </w:rPr>
                  </w:pPr>
                  <w:r>
                    <w:rPr>
                      <w:color w:val="auto"/>
                      <w:kern w:val="0"/>
                      <w:szCs w:val="21"/>
                      <w:highlight w:val="none"/>
                      <w:lang w:bidi="ar"/>
                    </w:rPr>
                    <w:t>80</w:t>
                  </w:r>
                </w:p>
              </w:tc>
              <w:tc>
                <w:tcPr>
                  <w:tcW w:w="1759" w:type="pct"/>
                  <w:noWrap/>
                  <w:vAlign w:val="center"/>
                </w:tcPr>
                <w:p>
                  <w:pPr>
                    <w:widowControl/>
                    <w:jc w:val="center"/>
                    <w:textAlignment w:val="bottom"/>
                    <w:rPr>
                      <w:color w:val="auto"/>
                      <w:kern w:val="0"/>
                      <w:szCs w:val="21"/>
                      <w:highlight w:val="none"/>
                      <w:lang w:bidi="ar"/>
                    </w:rPr>
                  </w:pPr>
                  <w:r>
                    <w:rPr>
                      <w:rFonts w:hint="eastAsia"/>
                      <w:color w:val="auto"/>
                      <w:szCs w:val="21"/>
                      <w:highlight w:val="none"/>
                    </w:rPr>
                    <w:t>基础减振、安消声器、厂房隔音、优化总图</w:t>
                  </w:r>
                </w:p>
              </w:tc>
              <w:tc>
                <w:tcPr>
                  <w:tcW w:w="577" w:type="pct"/>
                  <w:noWrap/>
                  <w:vAlign w:val="center"/>
                </w:tcPr>
                <w:p>
                  <w:pPr>
                    <w:widowControl/>
                    <w:jc w:val="center"/>
                    <w:textAlignment w:val="bottom"/>
                    <w:rPr>
                      <w:color w:val="auto"/>
                      <w:szCs w:val="21"/>
                      <w:highlight w:val="none"/>
                    </w:rPr>
                  </w:pPr>
                  <w:r>
                    <w:rPr>
                      <w:rFonts w:hint="eastAsia"/>
                      <w:color w:val="auto"/>
                      <w:kern w:val="0"/>
                      <w:szCs w:val="21"/>
                      <w:highlight w:val="none"/>
                      <w:lang w:bidi="ar"/>
                    </w:rPr>
                    <w:t>65~70</w:t>
                  </w:r>
                </w:p>
              </w:tc>
              <w:tc>
                <w:tcPr>
                  <w:tcW w:w="610" w:type="pct"/>
                  <w:noWrap/>
                  <w:vAlign w:val="center"/>
                </w:tcPr>
                <w:p>
                  <w:pPr>
                    <w:widowControl/>
                    <w:jc w:val="center"/>
                    <w:textAlignment w:val="bottom"/>
                    <w:rPr>
                      <w:color w:val="auto"/>
                      <w:kern w:val="0"/>
                      <w:szCs w:val="21"/>
                      <w:highlight w:val="none"/>
                      <w:lang w:bidi="ar"/>
                    </w:rPr>
                  </w:pPr>
                  <w:r>
                    <w:rPr>
                      <w:rFonts w:hint="eastAsia"/>
                      <w:color w:val="auto"/>
                      <w:kern w:val="0"/>
                      <w:szCs w:val="21"/>
                      <w:highlight w:val="none"/>
                      <w:lang w:bidi="ar"/>
                    </w:rPr>
                    <w:t>13</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23" w:hRule="atLeast"/>
              </w:trPr>
              <w:tc>
                <w:tcPr>
                  <w:tcW w:w="121" w:type="pct"/>
                  <w:noWrap/>
                  <w:vAlign w:val="center"/>
                </w:tcPr>
                <w:p>
                  <w:pPr>
                    <w:widowControl/>
                    <w:jc w:val="center"/>
                    <w:textAlignment w:val="bottom"/>
                    <w:rPr>
                      <w:rFonts w:hint="eastAsia"/>
                      <w:color w:val="auto"/>
                      <w:kern w:val="0"/>
                      <w:szCs w:val="21"/>
                      <w:highlight w:val="none"/>
                      <w:lang w:bidi="ar"/>
                    </w:rPr>
                  </w:pPr>
                  <w:r>
                    <w:rPr>
                      <w:rFonts w:hint="eastAsia"/>
                      <w:color w:val="auto"/>
                      <w:kern w:val="0"/>
                      <w:szCs w:val="21"/>
                      <w:highlight w:val="none"/>
                      <w:lang w:bidi="ar"/>
                    </w:rPr>
                    <w:t>6</w:t>
                  </w:r>
                </w:p>
              </w:tc>
              <w:tc>
                <w:tcPr>
                  <w:tcW w:w="436" w:type="pct"/>
                  <w:noWrap/>
                  <w:vAlign w:val="center"/>
                </w:tcPr>
                <w:p>
                  <w:pPr>
                    <w:widowControl/>
                    <w:jc w:val="center"/>
                    <w:textAlignment w:val="bottom"/>
                    <w:rPr>
                      <w:rFonts w:hint="eastAsia"/>
                      <w:color w:val="auto"/>
                      <w:kern w:val="0"/>
                      <w:szCs w:val="21"/>
                      <w:highlight w:val="none"/>
                      <w:lang w:bidi="ar"/>
                    </w:rPr>
                  </w:pPr>
                  <w:r>
                    <w:rPr>
                      <w:rFonts w:hint="eastAsia"/>
                      <w:color w:val="auto"/>
                      <w:kern w:val="0"/>
                      <w:szCs w:val="21"/>
                      <w:highlight w:val="none"/>
                      <w:lang w:bidi="ar"/>
                    </w:rPr>
                    <w:t>风机</w:t>
                  </w:r>
                </w:p>
              </w:tc>
              <w:tc>
                <w:tcPr>
                  <w:tcW w:w="329" w:type="pct"/>
                  <w:noWrap/>
                  <w:vAlign w:val="center"/>
                </w:tcPr>
                <w:p>
                  <w:pPr>
                    <w:widowControl/>
                    <w:jc w:val="center"/>
                    <w:textAlignment w:val="bottom"/>
                    <w:rPr>
                      <w:rFonts w:hint="eastAsia"/>
                      <w:color w:val="auto"/>
                      <w:kern w:val="0"/>
                      <w:szCs w:val="21"/>
                      <w:highlight w:val="none"/>
                      <w:lang w:bidi="ar"/>
                    </w:rPr>
                  </w:pPr>
                  <w:r>
                    <w:rPr>
                      <w:rFonts w:hint="eastAsia"/>
                      <w:color w:val="auto"/>
                      <w:kern w:val="0"/>
                      <w:szCs w:val="21"/>
                      <w:highlight w:val="none"/>
                      <w:lang w:bidi="ar"/>
                    </w:rPr>
                    <w:t>拌合楼</w:t>
                  </w:r>
                </w:p>
              </w:tc>
              <w:tc>
                <w:tcPr>
                  <w:tcW w:w="249" w:type="pct"/>
                  <w:noWrap/>
                  <w:vAlign w:val="center"/>
                </w:tcPr>
                <w:p>
                  <w:pPr>
                    <w:widowControl/>
                    <w:jc w:val="center"/>
                    <w:textAlignment w:val="bottom"/>
                    <w:rPr>
                      <w:color w:val="auto"/>
                      <w:kern w:val="0"/>
                      <w:szCs w:val="21"/>
                      <w:highlight w:val="none"/>
                      <w:lang w:bidi="ar"/>
                    </w:rPr>
                  </w:pPr>
                  <w:r>
                    <w:rPr>
                      <w:rFonts w:hint="eastAsia"/>
                      <w:color w:val="auto"/>
                      <w:kern w:val="0"/>
                      <w:szCs w:val="21"/>
                      <w:highlight w:val="none"/>
                      <w:lang w:bidi="ar"/>
                    </w:rPr>
                    <w:t>1台</w:t>
                  </w:r>
                </w:p>
              </w:tc>
              <w:tc>
                <w:tcPr>
                  <w:tcW w:w="331" w:type="pct"/>
                  <w:noWrap/>
                  <w:vAlign w:val="center"/>
                </w:tcPr>
                <w:p>
                  <w:pPr>
                    <w:widowControl/>
                    <w:jc w:val="center"/>
                    <w:textAlignment w:val="bottom"/>
                    <w:rPr>
                      <w:rFonts w:hint="eastAsia"/>
                      <w:color w:val="auto"/>
                      <w:kern w:val="0"/>
                      <w:szCs w:val="21"/>
                      <w:highlight w:val="none"/>
                      <w:lang w:bidi="ar"/>
                    </w:rPr>
                  </w:pPr>
                  <w:r>
                    <w:rPr>
                      <w:rFonts w:hint="eastAsia"/>
                      <w:color w:val="auto"/>
                      <w:kern w:val="0"/>
                      <w:szCs w:val="21"/>
                      <w:highlight w:val="none"/>
                      <w:lang w:bidi="ar"/>
                    </w:rPr>
                    <w:t>频发</w:t>
                  </w:r>
                </w:p>
              </w:tc>
              <w:tc>
                <w:tcPr>
                  <w:tcW w:w="305" w:type="pct"/>
                  <w:noWrap/>
                  <w:vAlign w:val="center"/>
                </w:tcPr>
                <w:p>
                  <w:pPr>
                    <w:widowControl/>
                    <w:jc w:val="center"/>
                    <w:textAlignment w:val="bottom"/>
                    <w:rPr>
                      <w:rFonts w:hint="eastAsia"/>
                      <w:color w:val="auto"/>
                      <w:kern w:val="0"/>
                      <w:szCs w:val="21"/>
                      <w:highlight w:val="none"/>
                      <w:lang w:bidi="ar"/>
                    </w:rPr>
                  </w:pPr>
                  <w:r>
                    <w:rPr>
                      <w:rFonts w:hint="eastAsia"/>
                      <w:color w:val="auto"/>
                      <w:kern w:val="0"/>
                      <w:szCs w:val="21"/>
                      <w:highlight w:val="none"/>
                      <w:lang w:bidi="ar"/>
                    </w:rPr>
                    <w:t>类比</w:t>
                  </w:r>
                </w:p>
              </w:tc>
              <w:tc>
                <w:tcPr>
                  <w:tcW w:w="279" w:type="pct"/>
                  <w:noWrap/>
                  <w:vAlign w:val="center"/>
                </w:tcPr>
                <w:p>
                  <w:pPr>
                    <w:widowControl/>
                    <w:jc w:val="center"/>
                    <w:textAlignment w:val="bottom"/>
                    <w:rPr>
                      <w:color w:val="auto"/>
                      <w:kern w:val="0"/>
                      <w:szCs w:val="21"/>
                      <w:highlight w:val="none"/>
                      <w:lang w:bidi="ar"/>
                    </w:rPr>
                  </w:pPr>
                  <w:r>
                    <w:rPr>
                      <w:rFonts w:hint="eastAsia"/>
                      <w:color w:val="auto"/>
                      <w:kern w:val="0"/>
                      <w:szCs w:val="21"/>
                      <w:highlight w:val="none"/>
                      <w:lang w:bidi="ar"/>
                    </w:rPr>
                    <w:t>85</w:t>
                  </w:r>
                </w:p>
              </w:tc>
              <w:tc>
                <w:tcPr>
                  <w:tcW w:w="1759" w:type="pct"/>
                  <w:noWrap/>
                  <w:vAlign w:val="center"/>
                </w:tcPr>
                <w:p>
                  <w:pPr>
                    <w:widowControl/>
                    <w:jc w:val="center"/>
                    <w:textAlignment w:val="bottom"/>
                    <w:rPr>
                      <w:rFonts w:hint="eastAsia"/>
                      <w:color w:val="auto"/>
                      <w:szCs w:val="21"/>
                      <w:highlight w:val="none"/>
                    </w:rPr>
                  </w:pPr>
                  <w:r>
                    <w:rPr>
                      <w:rFonts w:hint="eastAsia"/>
                      <w:color w:val="auto"/>
                      <w:szCs w:val="21"/>
                      <w:highlight w:val="none"/>
                    </w:rPr>
                    <w:t>基础减振、安消声器、厂房隔音、优化总图</w:t>
                  </w:r>
                </w:p>
              </w:tc>
              <w:tc>
                <w:tcPr>
                  <w:tcW w:w="577" w:type="pct"/>
                  <w:noWrap/>
                  <w:vAlign w:val="center"/>
                </w:tcPr>
                <w:p>
                  <w:pPr>
                    <w:widowControl/>
                    <w:jc w:val="center"/>
                    <w:textAlignment w:val="bottom"/>
                    <w:rPr>
                      <w:color w:val="auto"/>
                      <w:kern w:val="0"/>
                      <w:szCs w:val="21"/>
                      <w:highlight w:val="none"/>
                      <w:lang w:bidi="ar"/>
                    </w:rPr>
                  </w:pPr>
                  <w:r>
                    <w:rPr>
                      <w:rFonts w:hint="eastAsia"/>
                      <w:color w:val="auto"/>
                      <w:kern w:val="0"/>
                      <w:szCs w:val="21"/>
                      <w:highlight w:val="none"/>
                      <w:lang w:bidi="ar"/>
                    </w:rPr>
                    <w:t>65~70</w:t>
                  </w:r>
                </w:p>
              </w:tc>
              <w:tc>
                <w:tcPr>
                  <w:tcW w:w="610" w:type="pct"/>
                  <w:noWrap/>
                  <w:vAlign w:val="center"/>
                </w:tcPr>
                <w:p>
                  <w:pPr>
                    <w:widowControl/>
                    <w:jc w:val="center"/>
                    <w:textAlignment w:val="bottom"/>
                    <w:rPr>
                      <w:color w:val="auto"/>
                      <w:kern w:val="0"/>
                      <w:szCs w:val="21"/>
                      <w:highlight w:val="none"/>
                      <w:lang w:bidi="ar"/>
                    </w:rPr>
                  </w:pPr>
                  <w:r>
                    <w:rPr>
                      <w:rFonts w:hint="eastAsia"/>
                      <w:color w:val="auto"/>
                      <w:kern w:val="0"/>
                      <w:szCs w:val="21"/>
                      <w:highlight w:val="none"/>
                      <w:lang w:bidi="ar"/>
                    </w:rPr>
                    <w:t>18</w:t>
                  </w:r>
                </w:p>
              </w:tc>
            </w:tr>
          </w:tbl>
          <w:p>
            <w:pPr>
              <w:adjustRightInd w:val="0"/>
              <w:snapToGrid w:val="0"/>
              <w:spacing w:line="360" w:lineRule="auto"/>
              <w:ind w:firstLine="480" w:firstLineChars="200"/>
              <w:rPr>
                <w:snapToGrid w:val="0"/>
                <w:color w:val="auto"/>
                <w:kern w:val="0"/>
                <w:sz w:val="24"/>
                <w:highlight w:val="none"/>
              </w:rPr>
            </w:pPr>
            <w:r>
              <w:rPr>
                <w:rFonts w:hint="eastAsia"/>
                <w:snapToGrid w:val="0"/>
                <w:color w:val="auto"/>
                <w:kern w:val="0"/>
                <w:sz w:val="24"/>
                <w:highlight w:val="none"/>
              </w:rPr>
              <w:t>3、厂界和环境保护目标噪声达标情况</w:t>
            </w:r>
          </w:p>
          <w:p>
            <w:pPr>
              <w:adjustRightInd w:val="0"/>
              <w:snapToGrid w:val="0"/>
              <w:spacing w:line="360" w:lineRule="auto"/>
              <w:ind w:firstLine="480" w:firstLineChars="200"/>
              <w:rPr>
                <w:snapToGrid w:val="0"/>
                <w:color w:val="auto"/>
                <w:kern w:val="0"/>
                <w:sz w:val="24"/>
                <w:highlight w:val="none"/>
              </w:rPr>
            </w:pPr>
            <w:r>
              <w:rPr>
                <w:rFonts w:hint="eastAsia"/>
                <w:snapToGrid w:val="0"/>
                <w:color w:val="auto"/>
                <w:kern w:val="0"/>
                <w:sz w:val="24"/>
                <w:highlight w:val="none"/>
              </w:rPr>
              <w:t>本次评价对营运期场界和环境保护目标噪声进行预测，从而分析噪声达标情况，如下：</w:t>
            </w:r>
          </w:p>
          <w:p>
            <w:pPr>
              <w:adjustRightInd w:val="0"/>
              <w:snapToGrid w:val="0"/>
              <w:spacing w:line="360" w:lineRule="auto"/>
              <w:ind w:firstLine="480" w:firstLineChars="200"/>
              <w:rPr>
                <w:snapToGrid w:val="0"/>
                <w:color w:val="auto"/>
                <w:kern w:val="0"/>
                <w:sz w:val="24"/>
                <w:highlight w:val="none"/>
              </w:rPr>
            </w:pPr>
            <w:r>
              <w:rPr>
                <w:rFonts w:hint="eastAsia"/>
                <w:snapToGrid w:val="0"/>
                <w:color w:val="auto"/>
                <w:kern w:val="0"/>
                <w:sz w:val="24"/>
                <w:highlight w:val="none"/>
              </w:rPr>
              <w:t>（1）预测模式</w:t>
            </w:r>
          </w:p>
          <w:p>
            <w:pPr>
              <w:spacing w:line="360" w:lineRule="auto"/>
              <w:ind w:firstLine="480" w:firstLineChars="200"/>
              <w:rPr>
                <w:color w:val="auto"/>
                <w:sz w:val="24"/>
                <w:highlight w:val="none"/>
              </w:rPr>
            </w:pPr>
            <w:r>
              <w:rPr>
                <w:color w:val="auto"/>
                <w:sz w:val="24"/>
                <w:highlight w:val="none"/>
              </w:rPr>
              <w:t>采用声源随距衰减模式，即：</w:t>
            </w:r>
          </w:p>
          <w:p>
            <w:pPr>
              <w:spacing w:line="360" w:lineRule="auto"/>
              <w:jc w:val="center"/>
              <w:rPr>
                <w:color w:val="auto"/>
                <w:kern w:val="0"/>
                <w:sz w:val="24"/>
                <w:highlight w:val="none"/>
              </w:rPr>
            </w:pPr>
            <w:r>
              <w:rPr>
                <w:color w:val="auto"/>
                <w:kern w:val="0"/>
                <w:sz w:val="24"/>
                <w:highlight w:val="none"/>
              </w:rPr>
              <w:t>L</w:t>
            </w:r>
            <w:r>
              <w:rPr>
                <w:color w:val="auto"/>
                <w:kern w:val="0"/>
                <w:sz w:val="24"/>
                <w:highlight w:val="none"/>
                <w:vertAlign w:val="subscript"/>
              </w:rPr>
              <w:t>P</w:t>
            </w:r>
            <w:r>
              <w:rPr>
                <w:color w:val="auto"/>
                <w:kern w:val="0"/>
                <w:sz w:val="24"/>
                <w:highlight w:val="none"/>
              </w:rPr>
              <w:t>＝L</w:t>
            </w:r>
            <w:r>
              <w:rPr>
                <w:color w:val="auto"/>
                <w:kern w:val="0"/>
                <w:sz w:val="24"/>
                <w:highlight w:val="none"/>
                <w:vertAlign w:val="subscript"/>
              </w:rPr>
              <w:t>W</w:t>
            </w:r>
            <w:r>
              <w:rPr>
                <w:color w:val="auto"/>
                <w:kern w:val="0"/>
                <w:sz w:val="24"/>
                <w:highlight w:val="none"/>
              </w:rPr>
              <w:t>－20lgr－K</w:t>
            </w:r>
          </w:p>
          <w:p>
            <w:pPr>
              <w:spacing w:line="360" w:lineRule="auto"/>
              <w:ind w:firstLine="480" w:firstLineChars="200"/>
              <w:rPr>
                <w:color w:val="auto"/>
                <w:kern w:val="0"/>
                <w:sz w:val="24"/>
                <w:highlight w:val="none"/>
              </w:rPr>
            </w:pPr>
            <w:r>
              <w:rPr>
                <w:color w:val="auto"/>
                <w:kern w:val="0"/>
                <w:sz w:val="24"/>
                <w:highlight w:val="none"/>
              </w:rPr>
              <w:t>式中：L</w:t>
            </w:r>
            <w:r>
              <w:rPr>
                <w:color w:val="auto"/>
                <w:kern w:val="0"/>
                <w:sz w:val="24"/>
                <w:highlight w:val="none"/>
                <w:vertAlign w:val="subscript"/>
              </w:rPr>
              <w:t>P</w:t>
            </w:r>
            <w:r>
              <w:rPr>
                <w:color w:val="auto"/>
                <w:kern w:val="0"/>
                <w:sz w:val="24"/>
                <w:highlight w:val="none"/>
              </w:rPr>
              <w:t>——距离声源r米处的声压级；</w:t>
            </w:r>
          </w:p>
          <w:p>
            <w:pPr>
              <w:spacing w:line="360" w:lineRule="auto"/>
              <w:ind w:firstLine="1200" w:firstLineChars="500"/>
              <w:rPr>
                <w:color w:val="auto"/>
                <w:kern w:val="0"/>
                <w:sz w:val="24"/>
                <w:highlight w:val="none"/>
              </w:rPr>
            </w:pPr>
            <w:r>
              <w:rPr>
                <w:color w:val="auto"/>
                <w:kern w:val="0"/>
                <w:sz w:val="24"/>
                <w:highlight w:val="none"/>
              </w:rPr>
              <w:t>L</w:t>
            </w:r>
            <w:r>
              <w:rPr>
                <w:color w:val="auto"/>
                <w:kern w:val="0"/>
                <w:sz w:val="24"/>
                <w:highlight w:val="none"/>
                <w:vertAlign w:val="subscript"/>
              </w:rPr>
              <w:t>W</w:t>
            </w:r>
            <w:r>
              <w:rPr>
                <w:color w:val="auto"/>
                <w:kern w:val="0"/>
                <w:sz w:val="24"/>
                <w:highlight w:val="none"/>
              </w:rPr>
              <w:t>——声源声功率级；</w:t>
            </w:r>
          </w:p>
          <w:p>
            <w:pPr>
              <w:spacing w:line="360" w:lineRule="auto"/>
              <w:ind w:firstLine="1200" w:firstLineChars="500"/>
              <w:rPr>
                <w:color w:val="auto"/>
                <w:kern w:val="0"/>
                <w:sz w:val="24"/>
                <w:highlight w:val="none"/>
              </w:rPr>
            </w:pPr>
            <w:r>
              <w:rPr>
                <w:color w:val="auto"/>
                <w:kern w:val="0"/>
                <w:sz w:val="24"/>
                <w:highlight w:val="none"/>
              </w:rPr>
              <w:t>r——距离声源中心的距离；</w:t>
            </w:r>
          </w:p>
          <w:p>
            <w:pPr>
              <w:spacing w:line="360" w:lineRule="auto"/>
              <w:ind w:firstLine="1200" w:firstLineChars="500"/>
              <w:rPr>
                <w:color w:val="auto"/>
                <w:kern w:val="0"/>
                <w:sz w:val="24"/>
                <w:highlight w:val="none"/>
              </w:rPr>
            </w:pPr>
            <w:r>
              <w:rPr>
                <w:color w:val="auto"/>
                <w:kern w:val="0"/>
                <w:sz w:val="24"/>
                <w:highlight w:val="none"/>
              </w:rPr>
              <w:t>K——修正值。</w:t>
            </w:r>
          </w:p>
          <w:p>
            <w:pPr>
              <w:spacing w:line="360" w:lineRule="auto"/>
              <w:ind w:firstLine="480" w:firstLineChars="200"/>
              <w:rPr>
                <w:color w:val="auto"/>
                <w:kern w:val="0"/>
                <w:sz w:val="24"/>
                <w:highlight w:val="none"/>
              </w:rPr>
            </w:pPr>
            <w:r>
              <w:rPr>
                <w:color w:val="auto"/>
                <w:kern w:val="0"/>
                <w:sz w:val="24"/>
                <w:highlight w:val="none"/>
              </w:rPr>
              <w:t>对于同一声源可知r</w:t>
            </w:r>
            <w:r>
              <w:rPr>
                <w:color w:val="auto"/>
                <w:kern w:val="0"/>
                <w:sz w:val="24"/>
                <w:highlight w:val="none"/>
                <w:vertAlign w:val="subscript"/>
              </w:rPr>
              <w:t>1</w:t>
            </w:r>
            <w:r>
              <w:rPr>
                <w:color w:val="auto"/>
                <w:kern w:val="0"/>
                <w:sz w:val="24"/>
                <w:highlight w:val="none"/>
              </w:rPr>
              <w:t>和r</w:t>
            </w:r>
            <w:r>
              <w:rPr>
                <w:color w:val="auto"/>
                <w:kern w:val="0"/>
                <w:sz w:val="24"/>
                <w:highlight w:val="none"/>
                <w:vertAlign w:val="subscript"/>
              </w:rPr>
              <w:t>2</w:t>
            </w:r>
            <w:r>
              <w:rPr>
                <w:color w:val="auto"/>
                <w:kern w:val="0"/>
                <w:sz w:val="24"/>
                <w:highlight w:val="none"/>
              </w:rPr>
              <w:t>处声压级L</w:t>
            </w:r>
            <w:r>
              <w:rPr>
                <w:color w:val="auto"/>
                <w:kern w:val="0"/>
                <w:sz w:val="24"/>
                <w:highlight w:val="none"/>
                <w:vertAlign w:val="subscript"/>
              </w:rPr>
              <w:t>1</w:t>
            </w:r>
            <w:r>
              <w:rPr>
                <w:color w:val="auto"/>
                <w:kern w:val="0"/>
                <w:sz w:val="24"/>
                <w:highlight w:val="none"/>
              </w:rPr>
              <w:t>和L</w:t>
            </w:r>
            <w:r>
              <w:rPr>
                <w:color w:val="auto"/>
                <w:kern w:val="0"/>
                <w:sz w:val="24"/>
                <w:highlight w:val="none"/>
                <w:vertAlign w:val="subscript"/>
              </w:rPr>
              <w:t>2</w:t>
            </w:r>
            <w:r>
              <w:rPr>
                <w:color w:val="auto"/>
                <w:kern w:val="0"/>
                <w:sz w:val="24"/>
                <w:highlight w:val="none"/>
              </w:rPr>
              <w:t>间关系为：</w:t>
            </w:r>
          </w:p>
          <w:p>
            <w:pPr>
              <w:spacing w:line="360" w:lineRule="auto"/>
              <w:jc w:val="center"/>
              <w:rPr>
                <w:color w:val="auto"/>
                <w:kern w:val="0"/>
                <w:sz w:val="24"/>
                <w:highlight w:val="none"/>
              </w:rPr>
            </w:pPr>
            <w:r>
              <w:rPr>
                <w:color w:val="auto"/>
                <w:kern w:val="0"/>
                <w:sz w:val="24"/>
                <w:highlight w:val="none"/>
              </w:rPr>
              <w:t>L</w:t>
            </w:r>
            <w:r>
              <w:rPr>
                <w:color w:val="auto"/>
                <w:kern w:val="0"/>
                <w:sz w:val="24"/>
                <w:highlight w:val="none"/>
                <w:vertAlign w:val="subscript"/>
              </w:rPr>
              <w:t>2</w:t>
            </w:r>
            <w:r>
              <w:rPr>
                <w:color w:val="auto"/>
                <w:kern w:val="0"/>
                <w:sz w:val="24"/>
                <w:highlight w:val="none"/>
              </w:rPr>
              <w:t>＝L</w:t>
            </w:r>
            <w:r>
              <w:rPr>
                <w:color w:val="auto"/>
                <w:kern w:val="0"/>
                <w:sz w:val="24"/>
                <w:highlight w:val="none"/>
                <w:vertAlign w:val="subscript"/>
              </w:rPr>
              <w:t>1</w:t>
            </w:r>
            <w:r>
              <w:rPr>
                <w:color w:val="auto"/>
                <w:kern w:val="0"/>
                <w:sz w:val="24"/>
                <w:highlight w:val="none"/>
              </w:rPr>
              <w:t>－20lg（r</w:t>
            </w:r>
            <w:r>
              <w:rPr>
                <w:color w:val="auto"/>
                <w:kern w:val="0"/>
                <w:sz w:val="24"/>
                <w:highlight w:val="none"/>
                <w:vertAlign w:val="subscript"/>
              </w:rPr>
              <w:t>2</w:t>
            </w:r>
            <w:r>
              <w:rPr>
                <w:color w:val="auto"/>
                <w:kern w:val="0"/>
                <w:sz w:val="24"/>
                <w:highlight w:val="none"/>
              </w:rPr>
              <w:t>/r</w:t>
            </w:r>
            <w:r>
              <w:rPr>
                <w:color w:val="auto"/>
                <w:kern w:val="0"/>
                <w:sz w:val="24"/>
                <w:highlight w:val="none"/>
                <w:vertAlign w:val="subscript"/>
              </w:rPr>
              <w:t>1</w:t>
            </w:r>
            <w:r>
              <w:rPr>
                <w:color w:val="auto"/>
                <w:kern w:val="0"/>
                <w:sz w:val="24"/>
                <w:highlight w:val="none"/>
              </w:rPr>
              <w:t>）</w:t>
            </w:r>
          </w:p>
          <w:p>
            <w:pPr>
              <w:spacing w:line="360" w:lineRule="auto"/>
              <w:ind w:firstLine="480" w:firstLineChars="200"/>
              <w:rPr>
                <w:color w:val="auto"/>
                <w:kern w:val="0"/>
                <w:sz w:val="24"/>
                <w:highlight w:val="none"/>
              </w:rPr>
            </w:pPr>
            <w:r>
              <w:rPr>
                <w:color w:val="auto"/>
                <w:kern w:val="0"/>
                <w:sz w:val="24"/>
                <w:highlight w:val="none"/>
              </w:rPr>
              <w:t>对于任何一个预测点，其总噪声效应是多个噪声级能量总和，其计算如下：</w:t>
            </w:r>
          </w:p>
          <w:p>
            <w:pPr>
              <w:spacing w:line="360" w:lineRule="auto"/>
              <w:jc w:val="center"/>
              <w:rPr>
                <w:color w:val="auto"/>
                <w:kern w:val="0"/>
                <w:sz w:val="24"/>
                <w:highlight w:val="none"/>
              </w:rPr>
            </w:pPr>
            <w:r>
              <w:rPr>
                <w:color w:val="auto"/>
                <w:kern w:val="0"/>
                <w:position w:val="-28"/>
                <w:sz w:val="24"/>
                <w:highlight w:val="none"/>
              </w:rPr>
              <w:object>
                <v:shape id="_x0000_i1042" o:spt="75" type="#_x0000_t75" style="height:34pt;width:96pt;" o:ole="t" filled="f" stroked="f" coordsize="21600,21600">
                  <v:path/>
                  <v:fill on="f" focussize="0,0"/>
                  <v:stroke on="f"/>
                  <v:imagedata r:id="rId21" o:title=""/>
                  <o:lock v:ext="edit" grouping="f" rotation="f" text="f" aspectratio="t"/>
                  <w10:wrap type="none"/>
                  <w10:anchorlock/>
                </v:shape>
                <o:OLEObject Type="Embed" ProgID="Equation.3" ShapeID="_x0000_i1042" DrawAspect="Content" ObjectID="_1468075729" r:id="rId20">
                  <o:LockedField>false</o:LockedField>
                </o:OLEObject>
              </w:object>
            </w:r>
          </w:p>
          <w:p>
            <w:pPr>
              <w:spacing w:line="360" w:lineRule="auto"/>
              <w:ind w:firstLine="480" w:firstLineChars="200"/>
              <w:rPr>
                <w:color w:val="auto"/>
                <w:kern w:val="0"/>
                <w:sz w:val="24"/>
                <w:highlight w:val="none"/>
              </w:rPr>
            </w:pPr>
            <w:r>
              <w:rPr>
                <w:color w:val="auto"/>
                <w:kern w:val="0"/>
                <w:sz w:val="24"/>
                <w:highlight w:val="none"/>
              </w:rPr>
              <w:t>式中：Li——第i个声源的噪声值；dB（A）；</w:t>
            </w:r>
          </w:p>
          <w:p>
            <w:pPr>
              <w:spacing w:line="360" w:lineRule="auto"/>
              <w:ind w:firstLine="1200" w:firstLineChars="500"/>
              <w:rPr>
                <w:color w:val="auto"/>
                <w:kern w:val="0"/>
                <w:sz w:val="24"/>
                <w:highlight w:val="none"/>
              </w:rPr>
            </w:pPr>
            <w:r>
              <w:rPr>
                <w:color w:val="auto"/>
                <w:kern w:val="0"/>
                <w:sz w:val="24"/>
                <w:highlight w:val="none"/>
              </w:rPr>
              <w:t>n——声源个数。</w:t>
            </w:r>
          </w:p>
          <w:p>
            <w:pPr>
              <w:adjustRightInd w:val="0"/>
              <w:snapToGrid w:val="0"/>
              <w:spacing w:line="360" w:lineRule="auto"/>
              <w:ind w:firstLine="480" w:firstLineChars="200"/>
              <w:rPr>
                <w:snapToGrid w:val="0"/>
                <w:color w:val="auto"/>
                <w:kern w:val="0"/>
                <w:sz w:val="24"/>
                <w:highlight w:val="none"/>
              </w:rPr>
            </w:pPr>
            <w:r>
              <w:rPr>
                <w:rFonts w:hint="eastAsia"/>
                <w:snapToGrid w:val="0"/>
                <w:color w:val="auto"/>
                <w:kern w:val="0"/>
                <w:sz w:val="24"/>
                <w:highlight w:val="none"/>
              </w:rPr>
              <w:t>（2）预测结果</w:t>
            </w:r>
          </w:p>
          <w:p>
            <w:pPr>
              <w:adjustRightInd w:val="0"/>
              <w:snapToGrid w:val="0"/>
              <w:spacing w:line="360" w:lineRule="auto"/>
              <w:ind w:firstLine="480" w:firstLineChars="200"/>
              <w:rPr>
                <w:rFonts w:hint="eastAsia"/>
                <w:snapToGrid w:val="0"/>
                <w:color w:val="auto"/>
                <w:kern w:val="0"/>
                <w:sz w:val="24"/>
                <w:highlight w:val="none"/>
              </w:rPr>
            </w:pPr>
            <w:r>
              <w:rPr>
                <w:rFonts w:hint="eastAsia"/>
                <w:snapToGrid w:val="0"/>
                <w:color w:val="auto"/>
                <w:kern w:val="0"/>
                <w:sz w:val="24"/>
                <w:highlight w:val="none"/>
              </w:rPr>
              <w:t>本次预测针对噪声对院区场界、外环境50m范围内敏感点的影响进行预测。在落实本次评价提出的各项降噪措施后，声学环境预测如下表所示。</w:t>
            </w:r>
          </w:p>
          <w:p>
            <w:pPr>
              <w:spacing w:before="120" w:beforeLines="50"/>
              <w:jc w:val="center"/>
              <w:rPr>
                <w:rFonts w:hint="eastAsia"/>
                <w:b/>
                <w:bCs/>
                <w:color w:val="auto"/>
                <w:sz w:val="24"/>
                <w:highlight w:val="none"/>
              </w:rPr>
            </w:pPr>
            <w:r>
              <w:rPr>
                <w:rFonts w:hint="eastAsia"/>
                <w:b/>
                <w:bCs/>
                <w:color w:val="auto"/>
                <w:sz w:val="24"/>
                <w:highlight w:val="none"/>
              </w:rPr>
              <w:t>表4-1</w:t>
            </w:r>
            <w:r>
              <w:rPr>
                <w:rFonts w:hint="eastAsia"/>
                <w:b/>
                <w:bCs/>
                <w:color w:val="auto"/>
                <w:sz w:val="24"/>
                <w:highlight w:val="none"/>
                <w:lang w:val="en-US" w:eastAsia="zh-CN"/>
              </w:rPr>
              <w:t>9</w:t>
            </w:r>
            <w:r>
              <w:rPr>
                <w:rFonts w:hint="eastAsia"/>
                <w:b/>
                <w:bCs/>
                <w:color w:val="auto"/>
                <w:sz w:val="24"/>
                <w:highlight w:val="none"/>
              </w:rPr>
              <w:t xml:space="preserve"> 声学环境预测表（单位：dB(A)）</w:t>
            </w:r>
          </w:p>
          <w:tbl>
            <w:tblPr>
              <w:tblStyle w:val="39"/>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937"/>
              <w:gridCol w:w="1091"/>
              <w:gridCol w:w="778"/>
              <w:gridCol w:w="874"/>
              <w:gridCol w:w="722"/>
              <w:gridCol w:w="983"/>
              <w:gridCol w:w="924"/>
              <w:gridCol w:w="83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37" w:type="dxa"/>
                  <w:vMerge w:val="restart"/>
                  <w:noWrap w:val="0"/>
                  <w:vAlign w:val="center"/>
                </w:tcPr>
                <w:p>
                  <w:pPr>
                    <w:tabs>
                      <w:tab w:val="left" w:pos="0"/>
                    </w:tabs>
                    <w:jc w:val="center"/>
                    <w:rPr>
                      <w:b/>
                      <w:bCs/>
                      <w:color w:val="auto"/>
                      <w:szCs w:val="21"/>
                      <w:highlight w:val="none"/>
                    </w:rPr>
                  </w:pPr>
                  <w:r>
                    <w:rPr>
                      <w:b/>
                      <w:bCs/>
                      <w:color w:val="auto"/>
                      <w:szCs w:val="21"/>
                      <w:highlight w:val="none"/>
                    </w:rPr>
                    <w:t>预测点位</w:t>
                  </w:r>
                </w:p>
              </w:tc>
              <w:tc>
                <w:tcPr>
                  <w:tcW w:w="1091" w:type="dxa"/>
                  <w:vMerge w:val="restart"/>
                  <w:noWrap w:val="0"/>
                  <w:vAlign w:val="center"/>
                </w:tcPr>
                <w:p>
                  <w:pPr>
                    <w:tabs>
                      <w:tab w:val="left" w:pos="0"/>
                    </w:tabs>
                    <w:jc w:val="center"/>
                    <w:rPr>
                      <w:b/>
                      <w:bCs/>
                      <w:color w:val="auto"/>
                      <w:szCs w:val="21"/>
                      <w:highlight w:val="none"/>
                    </w:rPr>
                  </w:pPr>
                  <w:r>
                    <w:rPr>
                      <w:b/>
                      <w:bCs/>
                      <w:color w:val="auto"/>
                      <w:szCs w:val="21"/>
                      <w:highlight w:val="none"/>
                    </w:rPr>
                    <w:t>噪声监测点与场界最近距离（m）</w:t>
                  </w:r>
                </w:p>
              </w:tc>
              <w:tc>
                <w:tcPr>
                  <w:tcW w:w="1652" w:type="dxa"/>
                  <w:gridSpan w:val="2"/>
                  <w:noWrap w:val="0"/>
                  <w:vAlign w:val="center"/>
                </w:tcPr>
                <w:p>
                  <w:pPr>
                    <w:tabs>
                      <w:tab w:val="left" w:pos="0"/>
                    </w:tabs>
                    <w:jc w:val="center"/>
                    <w:rPr>
                      <w:b/>
                      <w:bCs/>
                      <w:color w:val="auto"/>
                      <w:szCs w:val="21"/>
                      <w:highlight w:val="none"/>
                    </w:rPr>
                  </w:pPr>
                  <w:r>
                    <w:rPr>
                      <w:b/>
                      <w:bCs/>
                      <w:color w:val="auto"/>
                      <w:szCs w:val="21"/>
                      <w:highlight w:val="none"/>
                    </w:rPr>
                    <w:t>贡献值</w:t>
                  </w:r>
                </w:p>
              </w:tc>
              <w:tc>
                <w:tcPr>
                  <w:tcW w:w="1705" w:type="dxa"/>
                  <w:gridSpan w:val="2"/>
                  <w:noWrap w:val="0"/>
                  <w:vAlign w:val="center"/>
                </w:tcPr>
                <w:p>
                  <w:pPr>
                    <w:tabs>
                      <w:tab w:val="left" w:pos="0"/>
                    </w:tabs>
                    <w:jc w:val="center"/>
                    <w:rPr>
                      <w:b/>
                      <w:bCs/>
                      <w:color w:val="auto"/>
                      <w:szCs w:val="21"/>
                      <w:highlight w:val="none"/>
                    </w:rPr>
                  </w:pPr>
                  <w:r>
                    <w:rPr>
                      <w:b/>
                      <w:bCs/>
                      <w:color w:val="auto"/>
                      <w:szCs w:val="21"/>
                      <w:highlight w:val="none"/>
                    </w:rPr>
                    <w:t>背景值</w:t>
                  </w:r>
                </w:p>
              </w:tc>
              <w:tc>
                <w:tcPr>
                  <w:tcW w:w="1756" w:type="dxa"/>
                  <w:gridSpan w:val="2"/>
                  <w:noWrap w:val="0"/>
                  <w:vAlign w:val="center"/>
                </w:tcPr>
                <w:p>
                  <w:pPr>
                    <w:tabs>
                      <w:tab w:val="left" w:pos="0"/>
                    </w:tabs>
                    <w:jc w:val="center"/>
                    <w:rPr>
                      <w:b/>
                      <w:bCs/>
                      <w:color w:val="auto"/>
                      <w:szCs w:val="21"/>
                      <w:highlight w:val="none"/>
                    </w:rPr>
                  </w:pPr>
                  <w:r>
                    <w:rPr>
                      <w:b/>
                      <w:bCs/>
                      <w:color w:val="auto"/>
                      <w:szCs w:val="21"/>
                      <w:highlight w:val="none"/>
                    </w:rPr>
                    <w:t>预测值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37" w:type="dxa"/>
                  <w:vMerge w:val="continue"/>
                  <w:noWrap w:val="0"/>
                  <w:vAlign w:val="center"/>
                </w:tcPr>
                <w:p>
                  <w:pPr>
                    <w:tabs>
                      <w:tab w:val="left" w:pos="0"/>
                    </w:tabs>
                    <w:jc w:val="center"/>
                    <w:rPr>
                      <w:b/>
                      <w:bCs/>
                      <w:color w:val="auto"/>
                      <w:kern w:val="0"/>
                      <w:szCs w:val="21"/>
                      <w:highlight w:val="none"/>
                    </w:rPr>
                  </w:pPr>
                </w:p>
              </w:tc>
              <w:tc>
                <w:tcPr>
                  <w:tcW w:w="1091" w:type="dxa"/>
                  <w:vMerge w:val="continue"/>
                  <w:noWrap w:val="0"/>
                  <w:vAlign w:val="center"/>
                </w:tcPr>
                <w:p>
                  <w:pPr>
                    <w:tabs>
                      <w:tab w:val="left" w:pos="0"/>
                    </w:tabs>
                    <w:jc w:val="center"/>
                    <w:rPr>
                      <w:b/>
                      <w:bCs/>
                      <w:color w:val="auto"/>
                      <w:kern w:val="0"/>
                      <w:szCs w:val="21"/>
                      <w:highlight w:val="none"/>
                    </w:rPr>
                  </w:pPr>
                </w:p>
              </w:tc>
              <w:tc>
                <w:tcPr>
                  <w:tcW w:w="778" w:type="dxa"/>
                  <w:noWrap w:val="0"/>
                  <w:vAlign w:val="center"/>
                </w:tcPr>
                <w:p>
                  <w:pPr>
                    <w:tabs>
                      <w:tab w:val="left" w:pos="0"/>
                    </w:tabs>
                    <w:jc w:val="center"/>
                    <w:rPr>
                      <w:b/>
                      <w:bCs/>
                      <w:color w:val="auto"/>
                      <w:kern w:val="0"/>
                      <w:szCs w:val="21"/>
                      <w:highlight w:val="none"/>
                    </w:rPr>
                  </w:pPr>
                  <w:r>
                    <w:rPr>
                      <w:b/>
                      <w:bCs/>
                      <w:color w:val="auto"/>
                      <w:kern w:val="0"/>
                      <w:szCs w:val="21"/>
                      <w:highlight w:val="none"/>
                    </w:rPr>
                    <w:t>昼间</w:t>
                  </w:r>
                </w:p>
              </w:tc>
              <w:tc>
                <w:tcPr>
                  <w:tcW w:w="874" w:type="dxa"/>
                  <w:noWrap w:val="0"/>
                  <w:vAlign w:val="center"/>
                </w:tcPr>
                <w:p>
                  <w:pPr>
                    <w:tabs>
                      <w:tab w:val="left" w:pos="0"/>
                    </w:tabs>
                    <w:jc w:val="center"/>
                    <w:rPr>
                      <w:b/>
                      <w:bCs/>
                      <w:color w:val="auto"/>
                      <w:kern w:val="0"/>
                      <w:szCs w:val="21"/>
                      <w:highlight w:val="none"/>
                    </w:rPr>
                  </w:pPr>
                  <w:r>
                    <w:rPr>
                      <w:b/>
                      <w:bCs/>
                      <w:color w:val="auto"/>
                      <w:kern w:val="0"/>
                      <w:szCs w:val="21"/>
                      <w:highlight w:val="none"/>
                    </w:rPr>
                    <w:t>夜间</w:t>
                  </w:r>
                </w:p>
              </w:tc>
              <w:tc>
                <w:tcPr>
                  <w:tcW w:w="722" w:type="dxa"/>
                  <w:noWrap w:val="0"/>
                  <w:vAlign w:val="center"/>
                </w:tcPr>
                <w:p>
                  <w:pPr>
                    <w:tabs>
                      <w:tab w:val="left" w:pos="0"/>
                    </w:tabs>
                    <w:jc w:val="center"/>
                    <w:rPr>
                      <w:b/>
                      <w:bCs/>
                      <w:color w:val="auto"/>
                      <w:kern w:val="0"/>
                      <w:szCs w:val="21"/>
                      <w:highlight w:val="none"/>
                    </w:rPr>
                  </w:pPr>
                  <w:r>
                    <w:rPr>
                      <w:b/>
                      <w:bCs/>
                      <w:color w:val="auto"/>
                      <w:kern w:val="0"/>
                      <w:szCs w:val="21"/>
                      <w:highlight w:val="none"/>
                    </w:rPr>
                    <w:t>昼间</w:t>
                  </w:r>
                </w:p>
              </w:tc>
              <w:tc>
                <w:tcPr>
                  <w:tcW w:w="983" w:type="dxa"/>
                  <w:noWrap w:val="0"/>
                  <w:vAlign w:val="center"/>
                </w:tcPr>
                <w:p>
                  <w:pPr>
                    <w:tabs>
                      <w:tab w:val="left" w:pos="0"/>
                    </w:tabs>
                    <w:jc w:val="center"/>
                    <w:rPr>
                      <w:b/>
                      <w:bCs/>
                      <w:color w:val="auto"/>
                      <w:kern w:val="0"/>
                      <w:szCs w:val="21"/>
                      <w:highlight w:val="none"/>
                    </w:rPr>
                  </w:pPr>
                  <w:r>
                    <w:rPr>
                      <w:b/>
                      <w:bCs/>
                      <w:color w:val="auto"/>
                      <w:kern w:val="0"/>
                      <w:szCs w:val="21"/>
                      <w:highlight w:val="none"/>
                    </w:rPr>
                    <w:t>夜间</w:t>
                  </w:r>
                </w:p>
              </w:tc>
              <w:tc>
                <w:tcPr>
                  <w:tcW w:w="924" w:type="dxa"/>
                  <w:noWrap w:val="0"/>
                  <w:vAlign w:val="center"/>
                </w:tcPr>
                <w:p>
                  <w:pPr>
                    <w:tabs>
                      <w:tab w:val="left" w:pos="0"/>
                    </w:tabs>
                    <w:jc w:val="center"/>
                    <w:rPr>
                      <w:b/>
                      <w:bCs/>
                      <w:color w:val="auto"/>
                      <w:kern w:val="0"/>
                      <w:szCs w:val="21"/>
                      <w:highlight w:val="none"/>
                    </w:rPr>
                  </w:pPr>
                  <w:r>
                    <w:rPr>
                      <w:b/>
                      <w:bCs/>
                      <w:color w:val="auto"/>
                      <w:kern w:val="0"/>
                      <w:szCs w:val="21"/>
                      <w:highlight w:val="none"/>
                    </w:rPr>
                    <w:t>昼间</w:t>
                  </w:r>
                </w:p>
              </w:tc>
              <w:tc>
                <w:tcPr>
                  <w:tcW w:w="832" w:type="dxa"/>
                  <w:noWrap w:val="0"/>
                  <w:vAlign w:val="center"/>
                </w:tcPr>
                <w:p>
                  <w:pPr>
                    <w:tabs>
                      <w:tab w:val="left" w:pos="0"/>
                    </w:tabs>
                    <w:jc w:val="center"/>
                    <w:rPr>
                      <w:b/>
                      <w:bCs/>
                      <w:color w:val="auto"/>
                      <w:kern w:val="0"/>
                      <w:szCs w:val="21"/>
                      <w:highlight w:val="none"/>
                    </w:rPr>
                  </w:pPr>
                  <w:r>
                    <w:rPr>
                      <w:b/>
                      <w:bCs/>
                      <w:color w:val="auto"/>
                      <w:kern w:val="0"/>
                      <w:szCs w:val="21"/>
                      <w:highlight w:val="none"/>
                    </w:rPr>
                    <w:t>夜间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37" w:type="dxa"/>
                  <w:noWrap w:val="0"/>
                  <w:vAlign w:val="center"/>
                </w:tcPr>
                <w:p>
                  <w:pPr>
                    <w:tabs>
                      <w:tab w:val="left" w:pos="0"/>
                    </w:tabs>
                    <w:adjustRightInd w:val="0"/>
                    <w:snapToGrid w:val="0"/>
                    <w:jc w:val="center"/>
                    <w:rPr>
                      <w:snapToGrid w:val="0"/>
                      <w:color w:val="auto"/>
                      <w:kern w:val="0"/>
                      <w:szCs w:val="21"/>
                      <w:highlight w:val="none"/>
                    </w:rPr>
                  </w:pPr>
                  <w:r>
                    <w:rPr>
                      <w:snapToGrid w:val="0"/>
                      <w:color w:val="auto"/>
                      <w:kern w:val="0"/>
                      <w:szCs w:val="21"/>
                      <w:highlight w:val="none"/>
                    </w:rPr>
                    <w:t>北侧场界</w:t>
                  </w:r>
                </w:p>
              </w:tc>
              <w:tc>
                <w:tcPr>
                  <w:tcW w:w="1091" w:type="dxa"/>
                  <w:noWrap w:val="0"/>
                  <w:vAlign w:val="center"/>
                </w:tcPr>
                <w:p>
                  <w:pPr>
                    <w:tabs>
                      <w:tab w:val="left" w:pos="0"/>
                    </w:tabs>
                    <w:adjustRightInd w:val="0"/>
                    <w:snapToGrid w:val="0"/>
                    <w:jc w:val="center"/>
                    <w:rPr>
                      <w:snapToGrid w:val="0"/>
                      <w:color w:val="auto"/>
                      <w:kern w:val="0"/>
                      <w:szCs w:val="21"/>
                      <w:highlight w:val="none"/>
                    </w:rPr>
                  </w:pPr>
                  <w:r>
                    <w:rPr>
                      <w:snapToGrid w:val="0"/>
                      <w:color w:val="auto"/>
                      <w:kern w:val="0"/>
                      <w:szCs w:val="21"/>
                      <w:highlight w:val="none"/>
                    </w:rPr>
                    <w:t>1</w:t>
                  </w:r>
                </w:p>
              </w:tc>
              <w:tc>
                <w:tcPr>
                  <w:tcW w:w="778" w:type="dxa"/>
                  <w:noWrap w:val="0"/>
                  <w:vAlign w:val="center"/>
                </w:tcPr>
                <w:p>
                  <w:pPr>
                    <w:tabs>
                      <w:tab w:val="left" w:pos="0"/>
                    </w:tabs>
                    <w:adjustRightInd w:val="0"/>
                    <w:snapToGrid w:val="0"/>
                    <w:jc w:val="center"/>
                    <w:rPr>
                      <w:snapToGrid w:val="0"/>
                      <w:color w:val="auto"/>
                      <w:kern w:val="0"/>
                      <w:szCs w:val="21"/>
                      <w:highlight w:val="none"/>
                    </w:rPr>
                  </w:pPr>
                  <w:r>
                    <w:rPr>
                      <w:snapToGrid w:val="0"/>
                      <w:color w:val="auto"/>
                      <w:kern w:val="0"/>
                      <w:szCs w:val="21"/>
                      <w:highlight w:val="none"/>
                    </w:rPr>
                    <w:t>31.06</w:t>
                  </w:r>
                </w:p>
              </w:tc>
              <w:tc>
                <w:tcPr>
                  <w:tcW w:w="874" w:type="dxa"/>
                  <w:noWrap w:val="0"/>
                  <w:vAlign w:val="center"/>
                </w:tcPr>
                <w:p>
                  <w:pPr>
                    <w:tabs>
                      <w:tab w:val="left" w:pos="0"/>
                    </w:tabs>
                    <w:adjustRightInd w:val="0"/>
                    <w:snapToGrid w:val="0"/>
                    <w:jc w:val="center"/>
                    <w:rPr>
                      <w:snapToGrid w:val="0"/>
                      <w:color w:val="auto"/>
                      <w:kern w:val="0"/>
                      <w:szCs w:val="21"/>
                      <w:highlight w:val="none"/>
                    </w:rPr>
                  </w:pPr>
                  <w:r>
                    <w:rPr>
                      <w:snapToGrid w:val="0"/>
                      <w:color w:val="auto"/>
                      <w:kern w:val="0"/>
                      <w:szCs w:val="21"/>
                      <w:highlight w:val="none"/>
                    </w:rPr>
                    <w:t>31.06</w:t>
                  </w:r>
                </w:p>
              </w:tc>
              <w:tc>
                <w:tcPr>
                  <w:tcW w:w="722" w:type="dxa"/>
                  <w:noWrap w:val="0"/>
                  <w:vAlign w:val="center"/>
                </w:tcPr>
                <w:p>
                  <w:pPr>
                    <w:tabs>
                      <w:tab w:val="left" w:pos="0"/>
                    </w:tabs>
                    <w:adjustRightInd w:val="0"/>
                    <w:snapToGrid w:val="0"/>
                    <w:jc w:val="center"/>
                    <w:rPr>
                      <w:snapToGrid w:val="0"/>
                      <w:color w:val="auto"/>
                      <w:kern w:val="0"/>
                      <w:szCs w:val="21"/>
                      <w:highlight w:val="none"/>
                    </w:rPr>
                  </w:pPr>
                  <w:r>
                    <w:rPr>
                      <w:snapToGrid w:val="0"/>
                      <w:color w:val="auto"/>
                      <w:kern w:val="0"/>
                      <w:szCs w:val="21"/>
                      <w:highlight w:val="none"/>
                    </w:rPr>
                    <w:t>51</w:t>
                  </w:r>
                </w:p>
              </w:tc>
              <w:tc>
                <w:tcPr>
                  <w:tcW w:w="983" w:type="dxa"/>
                  <w:noWrap w:val="0"/>
                  <w:vAlign w:val="center"/>
                </w:tcPr>
                <w:p>
                  <w:pPr>
                    <w:tabs>
                      <w:tab w:val="left" w:pos="0"/>
                    </w:tabs>
                    <w:adjustRightInd w:val="0"/>
                    <w:snapToGrid w:val="0"/>
                    <w:jc w:val="center"/>
                    <w:rPr>
                      <w:snapToGrid w:val="0"/>
                      <w:color w:val="auto"/>
                      <w:kern w:val="0"/>
                      <w:szCs w:val="21"/>
                      <w:highlight w:val="none"/>
                    </w:rPr>
                  </w:pPr>
                  <w:r>
                    <w:rPr>
                      <w:snapToGrid w:val="0"/>
                      <w:color w:val="auto"/>
                      <w:kern w:val="0"/>
                      <w:szCs w:val="21"/>
                      <w:highlight w:val="none"/>
                    </w:rPr>
                    <w:t>41</w:t>
                  </w:r>
                </w:p>
              </w:tc>
              <w:tc>
                <w:tcPr>
                  <w:tcW w:w="924" w:type="dxa"/>
                  <w:noWrap w:val="0"/>
                  <w:vAlign w:val="center"/>
                </w:tcPr>
                <w:p>
                  <w:pPr>
                    <w:tabs>
                      <w:tab w:val="left" w:pos="0"/>
                    </w:tabs>
                    <w:adjustRightInd w:val="0"/>
                    <w:snapToGrid w:val="0"/>
                    <w:jc w:val="center"/>
                    <w:rPr>
                      <w:snapToGrid w:val="0"/>
                      <w:color w:val="auto"/>
                      <w:kern w:val="0"/>
                      <w:szCs w:val="21"/>
                      <w:highlight w:val="none"/>
                    </w:rPr>
                  </w:pPr>
                  <w:r>
                    <w:rPr>
                      <w:snapToGrid w:val="0"/>
                      <w:color w:val="auto"/>
                      <w:kern w:val="0"/>
                      <w:szCs w:val="21"/>
                      <w:highlight w:val="none"/>
                    </w:rPr>
                    <w:t>51.04</w:t>
                  </w:r>
                </w:p>
              </w:tc>
              <w:tc>
                <w:tcPr>
                  <w:tcW w:w="832" w:type="dxa"/>
                  <w:noWrap w:val="0"/>
                  <w:vAlign w:val="center"/>
                </w:tcPr>
                <w:p>
                  <w:pPr>
                    <w:tabs>
                      <w:tab w:val="left" w:pos="0"/>
                    </w:tabs>
                    <w:adjustRightInd w:val="0"/>
                    <w:snapToGrid w:val="0"/>
                    <w:jc w:val="center"/>
                    <w:rPr>
                      <w:snapToGrid w:val="0"/>
                      <w:color w:val="auto"/>
                      <w:kern w:val="0"/>
                      <w:szCs w:val="21"/>
                      <w:highlight w:val="none"/>
                    </w:rPr>
                  </w:pPr>
                  <w:r>
                    <w:rPr>
                      <w:snapToGrid w:val="0"/>
                      <w:color w:val="auto"/>
                      <w:kern w:val="0"/>
                      <w:szCs w:val="21"/>
                      <w:highlight w:val="none"/>
                    </w:rPr>
                    <w:t>41.42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37" w:type="dxa"/>
                  <w:noWrap w:val="0"/>
                  <w:vAlign w:val="center"/>
                </w:tcPr>
                <w:p>
                  <w:pPr>
                    <w:tabs>
                      <w:tab w:val="left" w:pos="0"/>
                    </w:tabs>
                    <w:adjustRightInd w:val="0"/>
                    <w:snapToGrid w:val="0"/>
                    <w:jc w:val="center"/>
                    <w:rPr>
                      <w:snapToGrid w:val="0"/>
                      <w:color w:val="auto"/>
                      <w:kern w:val="0"/>
                      <w:szCs w:val="21"/>
                      <w:highlight w:val="none"/>
                    </w:rPr>
                  </w:pPr>
                  <w:r>
                    <w:rPr>
                      <w:snapToGrid w:val="0"/>
                      <w:color w:val="auto"/>
                      <w:kern w:val="0"/>
                      <w:szCs w:val="21"/>
                      <w:highlight w:val="none"/>
                    </w:rPr>
                    <w:t>东侧场界</w:t>
                  </w:r>
                </w:p>
              </w:tc>
              <w:tc>
                <w:tcPr>
                  <w:tcW w:w="1091" w:type="dxa"/>
                  <w:noWrap w:val="0"/>
                  <w:vAlign w:val="center"/>
                </w:tcPr>
                <w:p>
                  <w:pPr>
                    <w:tabs>
                      <w:tab w:val="left" w:pos="0"/>
                    </w:tabs>
                    <w:adjustRightInd w:val="0"/>
                    <w:snapToGrid w:val="0"/>
                    <w:jc w:val="center"/>
                    <w:rPr>
                      <w:snapToGrid w:val="0"/>
                      <w:color w:val="auto"/>
                      <w:kern w:val="0"/>
                      <w:szCs w:val="21"/>
                      <w:highlight w:val="none"/>
                    </w:rPr>
                  </w:pPr>
                  <w:r>
                    <w:rPr>
                      <w:snapToGrid w:val="0"/>
                      <w:color w:val="auto"/>
                      <w:kern w:val="0"/>
                      <w:szCs w:val="21"/>
                      <w:highlight w:val="none"/>
                    </w:rPr>
                    <w:t>1</w:t>
                  </w:r>
                </w:p>
              </w:tc>
              <w:tc>
                <w:tcPr>
                  <w:tcW w:w="778" w:type="dxa"/>
                  <w:noWrap w:val="0"/>
                  <w:vAlign w:val="center"/>
                </w:tcPr>
                <w:p>
                  <w:pPr>
                    <w:tabs>
                      <w:tab w:val="left" w:pos="0"/>
                    </w:tabs>
                    <w:adjustRightInd w:val="0"/>
                    <w:snapToGrid w:val="0"/>
                    <w:jc w:val="center"/>
                    <w:rPr>
                      <w:snapToGrid w:val="0"/>
                      <w:color w:val="auto"/>
                      <w:kern w:val="0"/>
                      <w:szCs w:val="21"/>
                      <w:highlight w:val="none"/>
                    </w:rPr>
                  </w:pPr>
                  <w:r>
                    <w:rPr>
                      <w:snapToGrid w:val="0"/>
                      <w:color w:val="auto"/>
                      <w:kern w:val="0"/>
                      <w:szCs w:val="21"/>
                      <w:highlight w:val="none"/>
                    </w:rPr>
                    <w:t>32.06</w:t>
                  </w:r>
                </w:p>
              </w:tc>
              <w:tc>
                <w:tcPr>
                  <w:tcW w:w="874" w:type="dxa"/>
                  <w:noWrap w:val="0"/>
                  <w:vAlign w:val="center"/>
                </w:tcPr>
                <w:p>
                  <w:pPr>
                    <w:tabs>
                      <w:tab w:val="left" w:pos="0"/>
                    </w:tabs>
                    <w:adjustRightInd w:val="0"/>
                    <w:snapToGrid w:val="0"/>
                    <w:jc w:val="center"/>
                    <w:rPr>
                      <w:snapToGrid w:val="0"/>
                      <w:color w:val="auto"/>
                      <w:kern w:val="0"/>
                      <w:szCs w:val="21"/>
                      <w:highlight w:val="none"/>
                    </w:rPr>
                  </w:pPr>
                  <w:r>
                    <w:rPr>
                      <w:snapToGrid w:val="0"/>
                      <w:color w:val="auto"/>
                      <w:kern w:val="0"/>
                      <w:szCs w:val="21"/>
                      <w:highlight w:val="none"/>
                    </w:rPr>
                    <w:t>32.06</w:t>
                  </w:r>
                </w:p>
              </w:tc>
              <w:tc>
                <w:tcPr>
                  <w:tcW w:w="722" w:type="dxa"/>
                  <w:noWrap w:val="0"/>
                  <w:vAlign w:val="center"/>
                </w:tcPr>
                <w:p>
                  <w:pPr>
                    <w:tabs>
                      <w:tab w:val="left" w:pos="0"/>
                    </w:tabs>
                    <w:adjustRightInd w:val="0"/>
                    <w:snapToGrid w:val="0"/>
                    <w:jc w:val="center"/>
                    <w:rPr>
                      <w:snapToGrid w:val="0"/>
                      <w:color w:val="auto"/>
                      <w:kern w:val="0"/>
                      <w:szCs w:val="21"/>
                      <w:highlight w:val="none"/>
                    </w:rPr>
                  </w:pPr>
                  <w:r>
                    <w:rPr>
                      <w:snapToGrid w:val="0"/>
                      <w:color w:val="auto"/>
                      <w:kern w:val="0"/>
                      <w:szCs w:val="21"/>
                      <w:highlight w:val="none"/>
                    </w:rPr>
                    <w:t>53</w:t>
                  </w:r>
                </w:p>
              </w:tc>
              <w:tc>
                <w:tcPr>
                  <w:tcW w:w="983" w:type="dxa"/>
                  <w:noWrap w:val="0"/>
                  <w:vAlign w:val="center"/>
                </w:tcPr>
                <w:p>
                  <w:pPr>
                    <w:tabs>
                      <w:tab w:val="left" w:pos="0"/>
                    </w:tabs>
                    <w:adjustRightInd w:val="0"/>
                    <w:snapToGrid w:val="0"/>
                    <w:jc w:val="center"/>
                    <w:rPr>
                      <w:snapToGrid w:val="0"/>
                      <w:color w:val="auto"/>
                      <w:kern w:val="0"/>
                      <w:szCs w:val="21"/>
                      <w:highlight w:val="none"/>
                    </w:rPr>
                  </w:pPr>
                  <w:r>
                    <w:rPr>
                      <w:snapToGrid w:val="0"/>
                      <w:color w:val="auto"/>
                      <w:kern w:val="0"/>
                      <w:szCs w:val="21"/>
                      <w:highlight w:val="none"/>
                    </w:rPr>
                    <w:t>42</w:t>
                  </w:r>
                </w:p>
              </w:tc>
              <w:tc>
                <w:tcPr>
                  <w:tcW w:w="924" w:type="dxa"/>
                  <w:noWrap w:val="0"/>
                  <w:vAlign w:val="center"/>
                </w:tcPr>
                <w:p>
                  <w:pPr>
                    <w:tabs>
                      <w:tab w:val="left" w:pos="0"/>
                    </w:tabs>
                    <w:adjustRightInd w:val="0"/>
                    <w:snapToGrid w:val="0"/>
                    <w:jc w:val="center"/>
                    <w:rPr>
                      <w:snapToGrid w:val="0"/>
                      <w:color w:val="auto"/>
                      <w:kern w:val="0"/>
                      <w:szCs w:val="21"/>
                      <w:highlight w:val="none"/>
                    </w:rPr>
                  </w:pPr>
                  <w:r>
                    <w:rPr>
                      <w:snapToGrid w:val="0"/>
                      <w:color w:val="auto"/>
                      <w:kern w:val="0"/>
                      <w:szCs w:val="21"/>
                      <w:highlight w:val="none"/>
                    </w:rPr>
                    <w:t>53.03</w:t>
                  </w:r>
                </w:p>
              </w:tc>
              <w:tc>
                <w:tcPr>
                  <w:tcW w:w="832" w:type="dxa"/>
                  <w:noWrap w:val="0"/>
                  <w:vAlign w:val="center"/>
                </w:tcPr>
                <w:p>
                  <w:pPr>
                    <w:tabs>
                      <w:tab w:val="left" w:pos="0"/>
                    </w:tabs>
                    <w:adjustRightInd w:val="0"/>
                    <w:snapToGrid w:val="0"/>
                    <w:jc w:val="center"/>
                    <w:rPr>
                      <w:snapToGrid w:val="0"/>
                      <w:color w:val="auto"/>
                      <w:kern w:val="0"/>
                      <w:szCs w:val="21"/>
                      <w:highlight w:val="none"/>
                    </w:rPr>
                  </w:pPr>
                  <w:r>
                    <w:rPr>
                      <w:snapToGrid w:val="0"/>
                      <w:color w:val="auto"/>
                      <w:kern w:val="0"/>
                      <w:szCs w:val="21"/>
                      <w:highlight w:val="none"/>
                    </w:rPr>
                    <w:t>42.42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37" w:type="dxa"/>
                  <w:noWrap w:val="0"/>
                  <w:vAlign w:val="center"/>
                </w:tcPr>
                <w:p>
                  <w:pPr>
                    <w:tabs>
                      <w:tab w:val="left" w:pos="0"/>
                    </w:tabs>
                    <w:adjustRightInd w:val="0"/>
                    <w:snapToGrid w:val="0"/>
                    <w:jc w:val="center"/>
                    <w:rPr>
                      <w:snapToGrid w:val="0"/>
                      <w:color w:val="auto"/>
                      <w:kern w:val="0"/>
                      <w:szCs w:val="21"/>
                      <w:highlight w:val="none"/>
                    </w:rPr>
                  </w:pPr>
                  <w:r>
                    <w:rPr>
                      <w:snapToGrid w:val="0"/>
                      <w:color w:val="auto"/>
                      <w:kern w:val="0"/>
                      <w:szCs w:val="21"/>
                      <w:highlight w:val="none"/>
                    </w:rPr>
                    <w:t>南侧场界</w:t>
                  </w:r>
                </w:p>
              </w:tc>
              <w:tc>
                <w:tcPr>
                  <w:tcW w:w="1091" w:type="dxa"/>
                  <w:noWrap w:val="0"/>
                  <w:vAlign w:val="center"/>
                </w:tcPr>
                <w:p>
                  <w:pPr>
                    <w:tabs>
                      <w:tab w:val="left" w:pos="0"/>
                    </w:tabs>
                    <w:adjustRightInd w:val="0"/>
                    <w:snapToGrid w:val="0"/>
                    <w:jc w:val="center"/>
                    <w:rPr>
                      <w:snapToGrid w:val="0"/>
                      <w:color w:val="auto"/>
                      <w:kern w:val="0"/>
                      <w:szCs w:val="21"/>
                      <w:highlight w:val="none"/>
                    </w:rPr>
                  </w:pPr>
                  <w:r>
                    <w:rPr>
                      <w:snapToGrid w:val="0"/>
                      <w:color w:val="auto"/>
                      <w:kern w:val="0"/>
                      <w:szCs w:val="21"/>
                      <w:highlight w:val="none"/>
                    </w:rPr>
                    <w:t>1</w:t>
                  </w:r>
                </w:p>
              </w:tc>
              <w:tc>
                <w:tcPr>
                  <w:tcW w:w="778" w:type="dxa"/>
                  <w:noWrap w:val="0"/>
                  <w:vAlign w:val="center"/>
                </w:tcPr>
                <w:p>
                  <w:pPr>
                    <w:tabs>
                      <w:tab w:val="left" w:pos="0"/>
                    </w:tabs>
                    <w:adjustRightInd w:val="0"/>
                    <w:snapToGrid w:val="0"/>
                    <w:jc w:val="center"/>
                    <w:rPr>
                      <w:snapToGrid w:val="0"/>
                      <w:color w:val="auto"/>
                      <w:kern w:val="0"/>
                      <w:szCs w:val="21"/>
                      <w:highlight w:val="none"/>
                    </w:rPr>
                  </w:pPr>
                  <w:r>
                    <w:rPr>
                      <w:snapToGrid w:val="0"/>
                      <w:color w:val="auto"/>
                      <w:kern w:val="0"/>
                      <w:szCs w:val="21"/>
                      <w:highlight w:val="none"/>
                    </w:rPr>
                    <w:t>22.12</w:t>
                  </w:r>
                </w:p>
              </w:tc>
              <w:tc>
                <w:tcPr>
                  <w:tcW w:w="874" w:type="dxa"/>
                  <w:noWrap w:val="0"/>
                  <w:vAlign w:val="center"/>
                </w:tcPr>
                <w:p>
                  <w:pPr>
                    <w:tabs>
                      <w:tab w:val="left" w:pos="0"/>
                    </w:tabs>
                    <w:adjustRightInd w:val="0"/>
                    <w:snapToGrid w:val="0"/>
                    <w:jc w:val="center"/>
                    <w:rPr>
                      <w:snapToGrid w:val="0"/>
                      <w:color w:val="auto"/>
                      <w:kern w:val="0"/>
                      <w:szCs w:val="21"/>
                      <w:highlight w:val="none"/>
                    </w:rPr>
                  </w:pPr>
                  <w:r>
                    <w:rPr>
                      <w:snapToGrid w:val="0"/>
                      <w:color w:val="auto"/>
                      <w:kern w:val="0"/>
                      <w:szCs w:val="21"/>
                      <w:highlight w:val="none"/>
                    </w:rPr>
                    <w:t>22.12</w:t>
                  </w:r>
                </w:p>
              </w:tc>
              <w:tc>
                <w:tcPr>
                  <w:tcW w:w="722" w:type="dxa"/>
                  <w:noWrap w:val="0"/>
                  <w:vAlign w:val="center"/>
                </w:tcPr>
                <w:p>
                  <w:pPr>
                    <w:tabs>
                      <w:tab w:val="left" w:pos="0"/>
                    </w:tabs>
                    <w:adjustRightInd w:val="0"/>
                    <w:snapToGrid w:val="0"/>
                    <w:jc w:val="center"/>
                    <w:rPr>
                      <w:snapToGrid w:val="0"/>
                      <w:color w:val="auto"/>
                      <w:kern w:val="0"/>
                      <w:szCs w:val="21"/>
                      <w:highlight w:val="none"/>
                    </w:rPr>
                  </w:pPr>
                  <w:r>
                    <w:rPr>
                      <w:snapToGrid w:val="0"/>
                      <w:color w:val="auto"/>
                      <w:kern w:val="0"/>
                      <w:szCs w:val="21"/>
                      <w:highlight w:val="none"/>
                    </w:rPr>
                    <w:t>51</w:t>
                  </w:r>
                </w:p>
              </w:tc>
              <w:tc>
                <w:tcPr>
                  <w:tcW w:w="983" w:type="dxa"/>
                  <w:noWrap w:val="0"/>
                  <w:vAlign w:val="center"/>
                </w:tcPr>
                <w:p>
                  <w:pPr>
                    <w:tabs>
                      <w:tab w:val="left" w:pos="0"/>
                    </w:tabs>
                    <w:adjustRightInd w:val="0"/>
                    <w:snapToGrid w:val="0"/>
                    <w:jc w:val="center"/>
                    <w:rPr>
                      <w:snapToGrid w:val="0"/>
                      <w:color w:val="auto"/>
                      <w:kern w:val="0"/>
                      <w:szCs w:val="21"/>
                      <w:highlight w:val="none"/>
                    </w:rPr>
                  </w:pPr>
                  <w:r>
                    <w:rPr>
                      <w:snapToGrid w:val="0"/>
                      <w:color w:val="auto"/>
                      <w:kern w:val="0"/>
                      <w:szCs w:val="21"/>
                      <w:highlight w:val="none"/>
                    </w:rPr>
                    <w:t>42</w:t>
                  </w:r>
                </w:p>
              </w:tc>
              <w:tc>
                <w:tcPr>
                  <w:tcW w:w="924" w:type="dxa"/>
                  <w:noWrap w:val="0"/>
                  <w:vAlign w:val="center"/>
                </w:tcPr>
                <w:p>
                  <w:pPr>
                    <w:tabs>
                      <w:tab w:val="left" w:pos="0"/>
                    </w:tabs>
                    <w:adjustRightInd w:val="0"/>
                    <w:snapToGrid w:val="0"/>
                    <w:jc w:val="center"/>
                    <w:rPr>
                      <w:snapToGrid w:val="0"/>
                      <w:color w:val="auto"/>
                      <w:kern w:val="0"/>
                      <w:szCs w:val="21"/>
                      <w:highlight w:val="none"/>
                    </w:rPr>
                  </w:pPr>
                  <w:r>
                    <w:rPr>
                      <w:snapToGrid w:val="0"/>
                      <w:color w:val="auto"/>
                      <w:kern w:val="0"/>
                      <w:szCs w:val="21"/>
                      <w:highlight w:val="none"/>
                    </w:rPr>
                    <w:t>51.01</w:t>
                  </w:r>
                </w:p>
              </w:tc>
              <w:tc>
                <w:tcPr>
                  <w:tcW w:w="832" w:type="dxa"/>
                  <w:noWrap w:val="0"/>
                  <w:vAlign w:val="center"/>
                </w:tcPr>
                <w:p>
                  <w:pPr>
                    <w:tabs>
                      <w:tab w:val="left" w:pos="0"/>
                    </w:tabs>
                    <w:adjustRightInd w:val="0"/>
                    <w:snapToGrid w:val="0"/>
                    <w:jc w:val="center"/>
                    <w:rPr>
                      <w:snapToGrid w:val="0"/>
                      <w:color w:val="auto"/>
                      <w:kern w:val="0"/>
                      <w:szCs w:val="21"/>
                      <w:highlight w:val="none"/>
                    </w:rPr>
                  </w:pPr>
                  <w:r>
                    <w:rPr>
                      <w:snapToGrid w:val="0"/>
                      <w:color w:val="auto"/>
                      <w:kern w:val="0"/>
                      <w:szCs w:val="21"/>
                      <w:highlight w:val="none"/>
                    </w:rPr>
                    <w:t>42.04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37" w:type="dxa"/>
                  <w:noWrap w:val="0"/>
                  <w:vAlign w:val="center"/>
                </w:tcPr>
                <w:p>
                  <w:pPr>
                    <w:tabs>
                      <w:tab w:val="left" w:pos="0"/>
                    </w:tabs>
                    <w:adjustRightInd w:val="0"/>
                    <w:snapToGrid w:val="0"/>
                    <w:jc w:val="center"/>
                    <w:rPr>
                      <w:snapToGrid w:val="0"/>
                      <w:color w:val="auto"/>
                      <w:kern w:val="0"/>
                      <w:szCs w:val="21"/>
                      <w:highlight w:val="none"/>
                    </w:rPr>
                  </w:pPr>
                  <w:r>
                    <w:rPr>
                      <w:snapToGrid w:val="0"/>
                      <w:color w:val="auto"/>
                      <w:kern w:val="0"/>
                      <w:szCs w:val="21"/>
                      <w:highlight w:val="none"/>
                    </w:rPr>
                    <w:t>西侧场界</w:t>
                  </w:r>
                </w:p>
              </w:tc>
              <w:tc>
                <w:tcPr>
                  <w:tcW w:w="1091" w:type="dxa"/>
                  <w:noWrap w:val="0"/>
                  <w:vAlign w:val="center"/>
                </w:tcPr>
                <w:p>
                  <w:pPr>
                    <w:tabs>
                      <w:tab w:val="left" w:pos="0"/>
                    </w:tabs>
                    <w:adjustRightInd w:val="0"/>
                    <w:snapToGrid w:val="0"/>
                    <w:jc w:val="center"/>
                    <w:rPr>
                      <w:snapToGrid w:val="0"/>
                      <w:color w:val="auto"/>
                      <w:kern w:val="0"/>
                      <w:szCs w:val="21"/>
                      <w:highlight w:val="none"/>
                    </w:rPr>
                  </w:pPr>
                  <w:r>
                    <w:rPr>
                      <w:snapToGrid w:val="0"/>
                      <w:color w:val="auto"/>
                      <w:kern w:val="0"/>
                      <w:szCs w:val="21"/>
                      <w:highlight w:val="none"/>
                    </w:rPr>
                    <w:t>1</w:t>
                  </w:r>
                </w:p>
              </w:tc>
              <w:tc>
                <w:tcPr>
                  <w:tcW w:w="778" w:type="dxa"/>
                  <w:noWrap w:val="0"/>
                  <w:vAlign w:val="center"/>
                </w:tcPr>
                <w:p>
                  <w:pPr>
                    <w:tabs>
                      <w:tab w:val="left" w:pos="0"/>
                    </w:tabs>
                    <w:adjustRightInd w:val="0"/>
                    <w:snapToGrid w:val="0"/>
                    <w:jc w:val="center"/>
                    <w:rPr>
                      <w:snapToGrid w:val="0"/>
                      <w:color w:val="auto"/>
                      <w:kern w:val="0"/>
                      <w:szCs w:val="21"/>
                      <w:highlight w:val="none"/>
                    </w:rPr>
                  </w:pPr>
                  <w:r>
                    <w:rPr>
                      <w:snapToGrid w:val="0"/>
                      <w:color w:val="auto"/>
                      <w:kern w:val="0"/>
                      <w:szCs w:val="21"/>
                      <w:highlight w:val="none"/>
                    </w:rPr>
                    <w:t>19.87</w:t>
                  </w:r>
                </w:p>
              </w:tc>
              <w:tc>
                <w:tcPr>
                  <w:tcW w:w="874" w:type="dxa"/>
                  <w:noWrap w:val="0"/>
                  <w:vAlign w:val="center"/>
                </w:tcPr>
                <w:p>
                  <w:pPr>
                    <w:tabs>
                      <w:tab w:val="left" w:pos="0"/>
                    </w:tabs>
                    <w:adjustRightInd w:val="0"/>
                    <w:snapToGrid w:val="0"/>
                    <w:jc w:val="center"/>
                    <w:rPr>
                      <w:snapToGrid w:val="0"/>
                      <w:color w:val="auto"/>
                      <w:kern w:val="0"/>
                      <w:szCs w:val="21"/>
                      <w:highlight w:val="none"/>
                    </w:rPr>
                  </w:pPr>
                  <w:r>
                    <w:rPr>
                      <w:snapToGrid w:val="0"/>
                      <w:color w:val="auto"/>
                      <w:kern w:val="0"/>
                      <w:szCs w:val="21"/>
                      <w:highlight w:val="none"/>
                    </w:rPr>
                    <w:t>19.87</w:t>
                  </w:r>
                </w:p>
              </w:tc>
              <w:tc>
                <w:tcPr>
                  <w:tcW w:w="722" w:type="dxa"/>
                  <w:noWrap w:val="0"/>
                  <w:vAlign w:val="center"/>
                </w:tcPr>
                <w:p>
                  <w:pPr>
                    <w:tabs>
                      <w:tab w:val="left" w:pos="0"/>
                    </w:tabs>
                    <w:adjustRightInd w:val="0"/>
                    <w:snapToGrid w:val="0"/>
                    <w:jc w:val="center"/>
                    <w:rPr>
                      <w:snapToGrid w:val="0"/>
                      <w:color w:val="auto"/>
                      <w:kern w:val="0"/>
                      <w:szCs w:val="21"/>
                      <w:highlight w:val="none"/>
                    </w:rPr>
                  </w:pPr>
                  <w:r>
                    <w:rPr>
                      <w:snapToGrid w:val="0"/>
                      <w:color w:val="auto"/>
                      <w:kern w:val="0"/>
                      <w:szCs w:val="21"/>
                      <w:highlight w:val="none"/>
                    </w:rPr>
                    <w:t>51</w:t>
                  </w:r>
                </w:p>
              </w:tc>
              <w:tc>
                <w:tcPr>
                  <w:tcW w:w="983" w:type="dxa"/>
                  <w:noWrap w:val="0"/>
                  <w:vAlign w:val="center"/>
                </w:tcPr>
                <w:p>
                  <w:pPr>
                    <w:tabs>
                      <w:tab w:val="left" w:pos="0"/>
                    </w:tabs>
                    <w:adjustRightInd w:val="0"/>
                    <w:snapToGrid w:val="0"/>
                    <w:jc w:val="center"/>
                    <w:rPr>
                      <w:snapToGrid w:val="0"/>
                      <w:color w:val="auto"/>
                      <w:kern w:val="0"/>
                      <w:szCs w:val="21"/>
                      <w:highlight w:val="none"/>
                    </w:rPr>
                  </w:pPr>
                  <w:r>
                    <w:rPr>
                      <w:snapToGrid w:val="0"/>
                      <w:color w:val="auto"/>
                      <w:kern w:val="0"/>
                      <w:szCs w:val="21"/>
                      <w:highlight w:val="none"/>
                    </w:rPr>
                    <w:t>41</w:t>
                  </w:r>
                </w:p>
              </w:tc>
              <w:tc>
                <w:tcPr>
                  <w:tcW w:w="924" w:type="dxa"/>
                  <w:noWrap w:val="0"/>
                  <w:vAlign w:val="center"/>
                </w:tcPr>
                <w:p>
                  <w:pPr>
                    <w:tabs>
                      <w:tab w:val="left" w:pos="0"/>
                    </w:tabs>
                    <w:adjustRightInd w:val="0"/>
                    <w:snapToGrid w:val="0"/>
                    <w:jc w:val="center"/>
                    <w:rPr>
                      <w:snapToGrid w:val="0"/>
                      <w:color w:val="auto"/>
                      <w:kern w:val="0"/>
                      <w:szCs w:val="21"/>
                      <w:highlight w:val="none"/>
                    </w:rPr>
                  </w:pPr>
                  <w:r>
                    <w:rPr>
                      <w:snapToGrid w:val="0"/>
                      <w:color w:val="auto"/>
                      <w:kern w:val="0"/>
                      <w:szCs w:val="21"/>
                      <w:highlight w:val="none"/>
                    </w:rPr>
                    <w:t>51.00</w:t>
                  </w:r>
                </w:p>
              </w:tc>
              <w:tc>
                <w:tcPr>
                  <w:tcW w:w="832" w:type="dxa"/>
                  <w:noWrap w:val="0"/>
                  <w:vAlign w:val="center"/>
                </w:tcPr>
                <w:p>
                  <w:pPr>
                    <w:tabs>
                      <w:tab w:val="left" w:pos="0"/>
                    </w:tabs>
                    <w:adjustRightInd w:val="0"/>
                    <w:snapToGrid w:val="0"/>
                    <w:jc w:val="center"/>
                    <w:rPr>
                      <w:snapToGrid w:val="0"/>
                      <w:color w:val="auto"/>
                      <w:kern w:val="0"/>
                      <w:szCs w:val="21"/>
                      <w:highlight w:val="none"/>
                    </w:rPr>
                  </w:pPr>
                  <w:r>
                    <w:rPr>
                      <w:snapToGrid w:val="0"/>
                      <w:color w:val="auto"/>
                      <w:kern w:val="0"/>
                      <w:szCs w:val="21"/>
                      <w:highlight w:val="none"/>
                    </w:rPr>
                    <w:t>41.03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37" w:type="dxa"/>
                  <w:noWrap w:val="0"/>
                  <w:vAlign w:val="center"/>
                </w:tcPr>
                <w:p>
                  <w:pPr>
                    <w:tabs>
                      <w:tab w:val="left" w:pos="0"/>
                    </w:tabs>
                    <w:adjustRightInd w:val="0"/>
                    <w:snapToGrid w:val="0"/>
                    <w:jc w:val="center"/>
                    <w:rPr>
                      <w:snapToGrid w:val="0"/>
                      <w:color w:val="auto"/>
                      <w:kern w:val="0"/>
                      <w:szCs w:val="21"/>
                      <w:highlight w:val="none"/>
                    </w:rPr>
                  </w:pPr>
                  <w:r>
                    <w:rPr>
                      <w:color w:val="auto"/>
                      <w:szCs w:val="21"/>
                      <w:highlight w:val="none"/>
                    </w:rPr>
                    <w:t>项目北侧散户</w:t>
                  </w:r>
                </w:p>
              </w:tc>
              <w:tc>
                <w:tcPr>
                  <w:tcW w:w="1091" w:type="dxa"/>
                  <w:noWrap w:val="0"/>
                  <w:vAlign w:val="center"/>
                </w:tcPr>
                <w:p>
                  <w:pPr>
                    <w:tabs>
                      <w:tab w:val="left" w:pos="0"/>
                    </w:tabs>
                    <w:adjustRightInd w:val="0"/>
                    <w:snapToGrid w:val="0"/>
                    <w:jc w:val="center"/>
                    <w:rPr>
                      <w:snapToGrid w:val="0"/>
                      <w:color w:val="auto"/>
                      <w:kern w:val="0"/>
                      <w:szCs w:val="21"/>
                      <w:highlight w:val="none"/>
                    </w:rPr>
                  </w:pPr>
                  <w:r>
                    <w:rPr>
                      <w:snapToGrid w:val="0"/>
                      <w:color w:val="auto"/>
                      <w:kern w:val="0"/>
                      <w:szCs w:val="21"/>
                      <w:highlight w:val="none"/>
                    </w:rPr>
                    <w:t>25</w:t>
                  </w:r>
                </w:p>
              </w:tc>
              <w:tc>
                <w:tcPr>
                  <w:tcW w:w="778" w:type="dxa"/>
                  <w:noWrap w:val="0"/>
                  <w:vAlign w:val="center"/>
                </w:tcPr>
                <w:p>
                  <w:pPr>
                    <w:tabs>
                      <w:tab w:val="left" w:pos="0"/>
                    </w:tabs>
                    <w:adjustRightInd w:val="0"/>
                    <w:snapToGrid w:val="0"/>
                    <w:jc w:val="center"/>
                    <w:rPr>
                      <w:snapToGrid w:val="0"/>
                      <w:color w:val="auto"/>
                      <w:kern w:val="0"/>
                      <w:szCs w:val="21"/>
                      <w:highlight w:val="none"/>
                    </w:rPr>
                  </w:pPr>
                  <w:r>
                    <w:rPr>
                      <w:snapToGrid w:val="0"/>
                      <w:color w:val="auto"/>
                      <w:kern w:val="0"/>
                      <w:szCs w:val="21"/>
                      <w:highlight w:val="none"/>
                    </w:rPr>
                    <w:t>22.17</w:t>
                  </w:r>
                </w:p>
              </w:tc>
              <w:tc>
                <w:tcPr>
                  <w:tcW w:w="874" w:type="dxa"/>
                  <w:noWrap w:val="0"/>
                  <w:vAlign w:val="center"/>
                </w:tcPr>
                <w:p>
                  <w:pPr>
                    <w:tabs>
                      <w:tab w:val="left" w:pos="0"/>
                    </w:tabs>
                    <w:adjustRightInd w:val="0"/>
                    <w:snapToGrid w:val="0"/>
                    <w:jc w:val="center"/>
                    <w:rPr>
                      <w:snapToGrid w:val="0"/>
                      <w:color w:val="auto"/>
                      <w:kern w:val="0"/>
                      <w:szCs w:val="21"/>
                      <w:highlight w:val="none"/>
                    </w:rPr>
                  </w:pPr>
                  <w:r>
                    <w:rPr>
                      <w:snapToGrid w:val="0"/>
                      <w:color w:val="auto"/>
                      <w:kern w:val="0"/>
                      <w:szCs w:val="21"/>
                      <w:highlight w:val="none"/>
                    </w:rPr>
                    <w:t>22.17</w:t>
                  </w:r>
                </w:p>
              </w:tc>
              <w:tc>
                <w:tcPr>
                  <w:tcW w:w="722" w:type="dxa"/>
                  <w:noWrap w:val="0"/>
                  <w:vAlign w:val="center"/>
                </w:tcPr>
                <w:p>
                  <w:pPr>
                    <w:tabs>
                      <w:tab w:val="left" w:pos="0"/>
                    </w:tabs>
                    <w:adjustRightInd w:val="0"/>
                    <w:snapToGrid w:val="0"/>
                    <w:jc w:val="center"/>
                    <w:rPr>
                      <w:snapToGrid w:val="0"/>
                      <w:color w:val="auto"/>
                      <w:kern w:val="0"/>
                      <w:szCs w:val="21"/>
                      <w:highlight w:val="none"/>
                    </w:rPr>
                  </w:pPr>
                  <w:r>
                    <w:rPr>
                      <w:snapToGrid w:val="0"/>
                      <w:color w:val="auto"/>
                      <w:kern w:val="0"/>
                      <w:szCs w:val="21"/>
                      <w:highlight w:val="none"/>
                    </w:rPr>
                    <w:t>55</w:t>
                  </w:r>
                </w:p>
              </w:tc>
              <w:tc>
                <w:tcPr>
                  <w:tcW w:w="983" w:type="dxa"/>
                  <w:noWrap w:val="0"/>
                  <w:vAlign w:val="center"/>
                </w:tcPr>
                <w:p>
                  <w:pPr>
                    <w:tabs>
                      <w:tab w:val="left" w:pos="0"/>
                    </w:tabs>
                    <w:adjustRightInd w:val="0"/>
                    <w:snapToGrid w:val="0"/>
                    <w:jc w:val="center"/>
                    <w:rPr>
                      <w:snapToGrid w:val="0"/>
                      <w:color w:val="auto"/>
                      <w:kern w:val="0"/>
                      <w:szCs w:val="21"/>
                      <w:highlight w:val="none"/>
                    </w:rPr>
                  </w:pPr>
                  <w:r>
                    <w:rPr>
                      <w:snapToGrid w:val="0"/>
                      <w:color w:val="auto"/>
                      <w:kern w:val="0"/>
                      <w:szCs w:val="21"/>
                      <w:highlight w:val="none"/>
                    </w:rPr>
                    <w:t>46</w:t>
                  </w:r>
                </w:p>
              </w:tc>
              <w:tc>
                <w:tcPr>
                  <w:tcW w:w="924" w:type="dxa"/>
                  <w:noWrap w:val="0"/>
                  <w:vAlign w:val="center"/>
                </w:tcPr>
                <w:p>
                  <w:pPr>
                    <w:tabs>
                      <w:tab w:val="left" w:pos="0"/>
                    </w:tabs>
                    <w:adjustRightInd w:val="0"/>
                    <w:snapToGrid w:val="0"/>
                    <w:jc w:val="center"/>
                    <w:rPr>
                      <w:snapToGrid w:val="0"/>
                      <w:color w:val="auto"/>
                      <w:kern w:val="0"/>
                      <w:szCs w:val="21"/>
                      <w:highlight w:val="none"/>
                    </w:rPr>
                  </w:pPr>
                  <w:r>
                    <w:rPr>
                      <w:snapToGrid w:val="0"/>
                      <w:color w:val="auto"/>
                      <w:kern w:val="0"/>
                      <w:szCs w:val="21"/>
                      <w:highlight w:val="none"/>
                    </w:rPr>
                    <w:t>55.00</w:t>
                  </w:r>
                </w:p>
              </w:tc>
              <w:tc>
                <w:tcPr>
                  <w:tcW w:w="832" w:type="dxa"/>
                  <w:noWrap w:val="0"/>
                  <w:vAlign w:val="center"/>
                </w:tcPr>
                <w:p>
                  <w:pPr>
                    <w:tabs>
                      <w:tab w:val="left" w:pos="0"/>
                    </w:tabs>
                    <w:adjustRightInd w:val="0"/>
                    <w:snapToGrid w:val="0"/>
                    <w:jc w:val="center"/>
                    <w:rPr>
                      <w:snapToGrid w:val="0"/>
                      <w:color w:val="auto"/>
                      <w:kern w:val="0"/>
                      <w:szCs w:val="21"/>
                      <w:highlight w:val="none"/>
                    </w:rPr>
                  </w:pPr>
                  <w:r>
                    <w:rPr>
                      <w:snapToGrid w:val="0"/>
                      <w:color w:val="auto"/>
                      <w:kern w:val="0"/>
                      <w:szCs w:val="21"/>
                      <w:highlight w:val="none"/>
                    </w:rPr>
                    <w:t>46.02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37" w:type="dxa"/>
                  <w:noWrap w:val="0"/>
                  <w:vAlign w:val="center"/>
                </w:tcPr>
                <w:p>
                  <w:pPr>
                    <w:tabs>
                      <w:tab w:val="left" w:pos="0"/>
                    </w:tabs>
                    <w:adjustRightInd w:val="0"/>
                    <w:snapToGrid w:val="0"/>
                    <w:jc w:val="center"/>
                    <w:rPr>
                      <w:color w:val="auto"/>
                      <w:szCs w:val="21"/>
                      <w:highlight w:val="none"/>
                    </w:rPr>
                  </w:pPr>
                  <w:r>
                    <w:rPr>
                      <w:color w:val="auto"/>
                      <w:szCs w:val="21"/>
                      <w:highlight w:val="none"/>
                    </w:rPr>
                    <w:t>项目西侧服务区</w:t>
                  </w:r>
                </w:p>
              </w:tc>
              <w:tc>
                <w:tcPr>
                  <w:tcW w:w="1091" w:type="dxa"/>
                  <w:noWrap w:val="0"/>
                  <w:vAlign w:val="center"/>
                </w:tcPr>
                <w:p>
                  <w:pPr>
                    <w:tabs>
                      <w:tab w:val="left" w:pos="0"/>
                    </w:tabs>
                    <w:adjustRightInd w:val="0"/>
                    <w:snapToGrid w:val="0"/>
                    <w:jc w:val="center"/>
                    <w:rPr>
                      <w:snapToGrid w:val="0"/>
                      <w:color w:val="auto"/>
                      <w:kern w:val="0"/>
                      <w:szCs w:val="21"/>
                      <w:highlight w:val="none"/>
                    </w:rPr>
                  </w:pPr>
                  <w:r>
                    <w:rPr>
                      <w:snapToGrid w:val="0"/>
                      <w:color w:val="auto"/>
                      <w:kern w:val="0"/>
                      <w:szCs w:val="21"/>
                      <w:highlight w:val="none"/>
                    </w:rPr>
                    <w:t>37</w:t>
                  </w:r>
                </w:p>
              </w:tc>
              <w:tc>
                <w:tcPr>
                  <w:tcW w:w="778" w:type="dxa"/>
                  <w:noWrap w:val="0"/>
                  <w:vAlign w:val="center"/>
                </w:tcPr>
                <w:p>
                  <w:pPr>
                    <w:tabs>
                      <w:tab w:val="left" w:pos="0"/>
                    </w:tabs>
                    <w:adjustRightInd w:val="0"/>
                    <w:snapToGrid w:val="0"/>
                    <w:jc w:val="center"/>
                    <w:rPr>
                      <w:snapToGrid w:val="0"/>
                      <w:color w:val="auto"/>
                      <w:kern w:val="0"/>
                      <w:szCs w:val="21"/>
                      <w:highlight w:val="none"/>
                    </w:rPr>
                  </w:pPr>
                  <w:r>
                    <w:rPr>
                      <w:snapToGrid w:val="0"/>
                      <w:color w:val="auto"/>
                      <w:kern w:val="0"/>
                      <w:szCs w:val="21"/>
                      <w:highlight w:val="none"/>
                    </w:rPr>
                    <w:t>17.98</w:t>
                  </w:r>
                </w:p>
              </w:tc>
              <w:tc>
                <w:tcPr>
                  <w:tcW w:w="874" w:type="dxa"/>
                  <w:noWrap w:val="0"/>
                  <w:vAlign w:val="center"/>
                </w:tcPr>
                <w:p>
                  <w:pPr>
                    <w:tabs>
                      <w:tab w:val="left" w:pos="0"/>
                    </w:tabs>
                    <w:adjustRightInd w:val="0"/>
                    <w:snapToGrid w:val="0"/>
                    <w:jc w:val="center"/>
                    <w:rPr>
                      <w:snapToGrid w:val="0"/>
                      <w:color w:val="auto"/>
                      <w:kern w:val="0"/>
                      <w:szCs w:val="21"/>
                      <w:highlight w:val="none"/>
                    </w:rPr>
                  </w:pPr>
                  <w:r>
                    <w:rPr>
                      <w:snapToGrid w:val="0"/>
                      <w:color w:val="auto"/>
                      <w:kern w:val="0"/>
                      <w:szCs w:val="21"/>
                      <w:highlight w:val="none"/>
                    </w:rPr>
                    <w:t>17.98</w:t>
                  </w:r>
                </w:p>
              </w:tc>
              <w:tc>
                <w:tcPr>
                  <w:tcW w:w="722" w:type="dxa"/>
                  <w:noWrap w:val="0"/>
                  <w:vAlign w:val="center"/>
                </w:tcPr>
                <w:p>
                  <w:pPr>
                    <w:tabs>
                      <w:tab w:val="left" w:pos="0"/>
                    </w:tabs>
                    <w:adjustRightInd w:val="0"/>
                    <w:snapToGrid w:val="0"/>
                    <w:jc w:val="center"/>
                    <w:rPr>
                      <w:snapToGrid w:val="0"/>
                      <w:color w:val="auto"/>
                      <w:kern w:val="0"/>
                      <w:szCs w:val="21"/>
                      <w:highlight w:val="none"/>
                    </w:rPr>
                  </w:pPr>
                  <w:r>
                    <w:rPr>
                      <w:snapToGrid w:val="0"/>
                      <w:color w:val="auto"/>
                      <w:kern w:val="0"/>
                      <w:szCs w:val="21"/>
                      <w:highlight w:val="none"/>
                    </w:rPr>
                    <w:t>56</w:t>
                  </w:r>
                </w:p>
              </w:tc>
              <w:tc>
                <w:tcPr>
                  <w:tcW w:w="983" w:type="dxa"/>
                  <w:noWrap w:val="0"/>
                  <w:vAlign w:val="center"/>
                </w:tcPr>
                <w:p>
                  <w:pPr>
                    <w:tabs>
                      <w:tab w:val="left" w:pos="0"/>
                    </w:tabs>
                    <w:adjustRightInd w:val="0"/>
                    <w:snapToGrid w:val="0"/>
                    <w:jc w:val="center"/>
                    <w:rPr>
                      <w:snapToGrid w:val="0"/>
                      <w:color w:val="auto"/>
                      <w:kern w:val="0"/>
                      <w:szCs w:val="21"/>
                      <w:highlight w:val="none"/>
                    </w:rPr>
                  </w:pPr>
                  <w:r>
                    <w:rPr>
                      <w:snapToGrid w:val="0"/>
                      <w:color w:val="auto"/>
                      <w:kern w:val="0"/>
                      <w:szCs w:val="21"/>
                      <w:highlight w:val="none"/>
                    </w:rPr>
                    <w:t>46</w:t>
                  </w:r>
                </w:p>
              </w:tc>
              <w:tc>
                <w:tcPr>
                  <w:tcW w:w="924" w:type="dxa"/>
                  <w:noWrap w:val="0"/>
                  <w:vAlign w:val="center"/>
                </w:tcPr>
                <w:p>
                  <w:pPr>
                    <w:tabs>
                      <w:tab w:val="left" w:pos="0"/>
                    </w:tabs>
                    <w:adjustRightInd w:val="0"/>
                    <w:snapToGrid w:val="0"/>
                    <w:jc w:val="center"/>
                    <w:rPr>
                      <w:snapToGrid w:val="0"/>
                      <w:color w:val="auto"/>
                      <w:kern w:val="0"/>
                      <w:szCs w:val="21"/>
                      <w:highlight w:val="none"/>
                    </w:rPr>
                  </w:pPr>
                  <w:r>
                    <w:rPr>
                      <w:snapToGrid w:val="0"/>
                      <w:color w:val="auto"/>
                      <w:kern w:val="0"/>
                      <w:szCs w:val="21"/>
                      <w:highlight w:val="none"/>
                    </w:rPr>
                    <w:t>56.00</w:t>
                  </w:r>
                </w:p>
              </w:tc>
              <w:tc>
                <w:tcPr>
                  <w:tcW w:w="832" w:type="dxa"/>
                  <w:noWrap w:val="0"/>
                  <w:vAlign w:val="center"/>
                </w:tcPr>
                <w:p>
                  <w:pPr>
                    <w:tabs>
                      <w:tab w:val="left" w:pos="0"/>
                    </w:tabs>
                    <w:adjustRightInd w:val="0"/>
                    <w:snapToGrid w:val="0"/>
                    <w:jc w:val="center"/>
                    <w:rPr>
                      <w:snapToGrid w:val="0"/>
                      <w:color w:val="auto"/>
                      <w:kern w:val="0"/>
                      <w:szCs w:val="21"/>
                      <w:highlight w:val="none"/>
                    </w:rPr>
                  </w:pPr>
                  <w:r>
                    <w:rPr>
                      <w:snapToGrid w:val="0"/>
                      <w:color w:val="auto"/>
                      <w:kern w:val="0"/>
                      <w:szCs w:val="21"/>
                      <w:highlight w:val="none"/>
                    </w:rPr>
                    <w:t>46.01</w:t>
                  </w:r>
                </w:p>
              </w:tc>
            </w:tr>
          </w:tbl>
          <w:p>
            <w:pPr>
              <w:pStyle w:val="89"/>
              <w:adjustRightInd/>
              <w:spacing w:line="360" w:lineRule="auto"/>
              <w:ind w:left="0" w:right="0" w:firstLine="0"/>
              <w:jc w:val="center"/>
              <w:rPr>
                <w:color w:val="auto"/>
                <w:highlight w:val="none"/>
              </w:rPr>
            </w:pPr>
          </w:p>
          <w:p>
            <w:pPr>
              <w:pStyle w:val="89"/>
              <w:adjustRightInd/>
              <w:spacing w:line="360" w:lineRule="auto"/>
              <w:ind w:left="0" w:right="0" w:firstLine="0"/>
              <w:jc w:val="center"/>
              <w:rPr>
                <w:rFonts w:eastAsia="黑体"/>
                <w:color w:val="auto"/>
                <w:sz w:val="21"/>
                <w:szCs w:val="21"/>
                <w:highlight w:val="none"/>
              </w:rPr>
            </w:pPr>
            <w:r>
              <w:rPr>
                <w:color w:val="auto"/>
                <w:highlight w:val="none"/>
              </w:rPr>
              <w:drawing>
                <wp:inline distT="0" distB="0" distL="114300" distR="114300">
                  <wp:extent cx="3481070" cy="2695575"/>
                  <wp:effectExtent l="0" t="0" r="5080" b="9525"/>
                  <wp:docPr id="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9"/>
                          <pic:cNvPicPr>
                            <a:picLocks noChangeAspect="1"/>
                          </pic:cNvPicPr>
                        </pic:nvPicPr>
                        <pic:blipFill>
                          <a:blip r:embed="rId22"/>
                          <a:srcRect l="30783"/>
                          <a:stretch>
                            <a:fillRect/>
                          </a:stretch>
                        </pic:blipFill>
                        <pic:spPr>
                          <a:xfrm>
                            <a:off x="0" y="0"/>
                            <a:ext cx="3481070" cy="2695575"/>
                          </a:xfrm>
                          <a:prstGeom prst="rect">
                            <a:avLst/>
                          </a:prstGeom>
                          <a:noFill/>
                          <a:ln>
                            <a:noFill/>
                          </a:ln>
                        </pic:spPr>
                      </pic:pic>
                    </a:graphicData>
                  </a:graphic>
                </wp:inline>
              </w:drawing>
            </w:r>
          </w:p>
          <w:p>
            <w:pPr>
              <w:pStyle w:val="27"/>
              <w:tabs>
                <w:tab w:val="left" w:pos="0"/>
              </w:tabs>
              <w:jc w:val="center"/>
              <w:rPr>
                <w:b/>
                <w:bCs/>
                <w:color w:val="auto"/>
                <w:sz w:val="24"/>
                <w:szCs w:val="24"/>
                <w:highlight w:val="none"/>
              </w:rPr>
            </w:pPr>
            <w:r>
              <w:rPr>
                <w:b/>
                <w:bCs/>
                <w:color w:val="auto"/>
                <w:sz w:val="24"/>
                <w:szCs w:val="24"/>
                <w:highlight w:val="none"/>
              </w:rPr>
              <w:t>图4-1昼间、夜间噪声贡献值预测结果图</w:t>
            </w:r>
          </w:p>
          <w:p>
            <w:pPr>
              <w:pStyle w:val="89"/>
              <w:adjustRightInd/>
              <w:spacing w:line="360" w:lineRule="auto"/>
              <w:ind w:left="0" w:right="0" w:firstLine="480" w:firstLineChars="200"/>
              <w:rPr>
                <w:color w:val="auto"/>
                <w:szCs w:val="24"/>
                <w:highlight w:val="none"/>
              </w:rPr>
            </w:pPr>
            <w:r>
              <w:rPr>
                <w:color w:val="auto"/>
                <w:szCs w:val="24"/>
                <w:highlight w:val="none"/>
              </w:rPr>
              <w:t>由上表预测结果可见，采取各降噪措施后，在各</w:t>
            </w:r>
            <w:r>
              <w:rPr>
                <w:rFonts w:hint="eastAsia"/>
                <w:color w:val="auto"/>
                <w:szCs w:val="24"/>
                <w:highlight w:val="none"/>
              </w:rPr>
              <w:t>厂</w:t>
            </w:r>
            <w:r>
              <w:rPr>
                <w:color w:val="auto"/>
                <w:szCs w:val="24"/>
                <w:highlight w:val="none"/>
              </w:rPr>
              <w:t>界的噪声预测值能满足</w:t>
            </w:r>
            <w:r>
              <w:rPr>
                <w:snapToGrid w:val="0"/>
                <w:color w:val="auto"/>
                <w:szCs w:val="24"/>
                <w:highlight w:val="none"/>
              </w:rPr>
              <w:t>《工业企业厂界噪声排放标准》（GB12348-2008）</w:t>
            </w:r>
            <w:r>
              <w:rPr>
                <w:color w:val="auto"/>
                <w:szCs w:val="24"/>
                <w:highlight w:val="none"/>
              </w:rPr>
              <w:t>中2类标准限值要求</w:t>
            </w:r>
            <w:r>
              <w:rPr>
                <w:rFonts w:hint="eastAsia"/>
                <w:color w:val="auto"/>
                <w:szCs w:val="24"/>
                <w:highlight w:val="none"/>
              </w:rPr>
              <w:t>。环境敏感点</w:t>
            </w:r>
            <w:r>
              <w:rPr>
                <w:color w:val="auto"/>
                <w:szCs w:val="24"/>
                <w:highlight w:val="none"/>
              </w:rPr>
              <w:t>处预测值能满足</w:t>
            </w:r>
            <w:r>
              <w:rPr>
                <w:rFonts w:hint="eastAsia"/>
                <w:color w:val="auto"/>
                <w:szCs w:val="24"/>
                <w:highlight w:val="none"/>
              </w:rPr>
              <w:t>《声环境质量标准》（GB3096-2008）中2类标准限值要求。</w:t>
            </w:r>
          </w:p>
          <w:p>
            <w:pPr>
              <w:pStyle w:val="89"/>
              <w:numPr>
                <w:ilvl w:val="0"/>
                <w:numId w:val="10"/>
              </w:numPr>
              <w:adjustRightInd/>
              <w:spacing w:line="360" w:lineRule="auto"/>
              <w:ind w:left="0" w:right="0" w:firstLine="480" w:firstLineChars="200"/>
              <w:rPr>
                <w:rFonts w:hint="eastAsia"/>
                <w:color w:val="auto"/>
                <w:szCs w:val="24"/>
                <w:highlight w:val="none"/>
              </w:rPr>
            </w:pPr>
            <w:r>
              <w:rPr>
                <w:rFonts w:hint="eastAsia"/>
                <w:color w:val="auto"/>
                <w:szCs w:val="24"/>
                <w:highlight w:val="none"/>
              </w:rPr>
              <w:t>监测要求</w:t>
            </w:r>
          </w:p>
          <w:p>
            <w:pPr>
              <w:adjustRightInd w:val="0"/>
              <w:snapToGrid w:val="0"/>
              <w:spacing w:line="360" w:lineRule="auto"/>
              <w:ind w:firstLine="480" w:firstLineChars="200"/>
              <w:rPr>
                <w:snapToGrid w:val="0"/>
                <w:color w:val="auto"/>
                <w:kern w:val="0"/>
                <w:sz w:val="24"/>
                <w:highlight w:val="none"/>
              </w:rPr>
            </w:pPr>
            <w:r>
              <w:rPr>
                <w:snapToGrid w:val="0"/>
                <w:color w:val="auto"/>
                <w:kern w:val="0"/>
                <w:sz w:val="24"/>
                <w:highlight w:val="none"/>
              </w:rPr>
              <w:t>本项目</w:t>
            </w:r>
            <w:r>
              <w:rPr>
                <w:rFonts w:hint="eastAsia"/>
                <w:snapToGrid w:val="0"/>
                <w:color w:val="auto"/>
                <w:kern w:val="0"/>
                <w:sz w:val="24"/>
                <w:highlight w:val="none"/>
              </w:rPr>
              <w:t>噪声自行监测</w:t>
            </w:r>
            <w:r>
              <w:rPr>
                <w:snapToGrid w:val="0"/>
                <w:color w:val="auto"/>
                <w:kern w:val="0"/>
                <w:sz w:val="24"/>
                <w:highlight w:val="none"/>
              </w:rPr>
              <w:t>的监测点位、监测指标和监测频次如下表所示：</w:t>
            </w:r>
          </w:p>
          <w:p>
            <w:pPr>
              <w:pStyle w:val="27"/>
              <w:tabs>
                <w:tab w:val="left" w:pos="0"/>
              </w:tabs>
              <w:jc w:val="center"/>
              <w:rPr>
                <w:b/>
                <w:bCs/>
                <w:color w:val="auto"/>
                <w:sz w:val="24"/>
                <w:szCs w:val="24"/>
                <w:highlight w:val="none"/>
              </w:rPr>
            </w:pPr>
            <w:r>
              <w:rPr>
                <w:rFonts w:hint="eastAsia"/>
                <w:b/>
                <w:bCs/>
                <w:color w:val="auto"/>
                <w:sz w:val="24"/>
                <w:szCs w:val="24"/>
                <w:highlight w:val="none"/>
              </w:rPr>
              <w:t>表4-20</w:t>
            </w:r>
            <w:r>
              <w:rPr>
                <w:b/>
                <w:bCs/>
                <w:color w:val="auto"/>
                <w:sz w:val="24"/>
                <w:szCs w:val="24"/>
                <w:highlight w:val="none"/>
              </w:rPr>
              <w:t xml:space="preserve"> </w:t>
            </w:r>
            <w:r>
              <w:rPr>
                <w:rFonts w:hint="eastAsia"/>
                <w:b/>
                <w:bCs/>
                <w:color w:val="auto"/>
                <w:sz w:val="24"/>
                <w:szCs w:val="24"/>
                <w:highlight w:val="none"/>
              </w:rPr>
              <w:t>噪声</w:t>
            </w:r>
            <w:r>
              <w:rPr>
                <w:b/>
                <w:bCs/>
                <w:color w:val="auto"/>
                <w:sz w:val="24"/>
                <w:szCs w:val="24"/>
                <w:highlight w:val="none"/>
              </w:rPr>
              <w:t>自行监测点位、监测指标和监测频次表</w:t>
            </w:r>
          </w:p>
          <w:tbl>
            <w:tblPr>
              <w:tblStyle w:val="39"/>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054"/>
              <w:gridCol w:w="3487"/>
              <w:gridCol w:w="153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3054" w:type="dxa"/>
                  <w:noWrap w:val="0"/>
                  <w:vAlign w:val="center"/>
                </w:tcPr>
                <w:p>
                  <w:pPr>
                    <w:tabs>
                      <w:tab w:val="left" w:pos="0"/>
                    </w:tabs>
                    <w:adjustRightInd w:val="0"/>
                    <w:snapToGrid w:val="0"/>
                    <w:jc w:val="center"/>
                    <w:rPr>
                      <w:rFonts w:eastAsia="黑体"/>
                      <w:snapToGrid w:val="0"/>
                      <w:color w:val="auto"/>
                      <w:kern w:val="0"/>
                      <w:szCs w:val="21"/>
                      <w:highlight w:val="none"/>
                    </w:rPr>
                  </w:pPr>
                  <w:r>
                    <w:rPr>
                      <w:rFonts w:eastAsia="黑体"/>
                      <w:snapToGrid w:val="0"/>
                      <w:color w:val="auto"/>
                      <w:kern w:val="0"/>
                      <w:szCs w:val="21"/>
                      <w:highlight w:val="none"/>
                    </w:rPr>
                    <w:t>监测点位</w:t>
                  </w:r>
                </w:p>
              </w:tc>
              <w:tc>
                <w:tcPr>
                  <w:tcW w:w="3487" w:type="dxa"/>
                  <w:noWrap w:val="0"/>
                  <w:vAlign w:val="center"/>
                </w:tcPr>
                <w:p>
                  <w:pPr>
                    <w:tabs>
                      <w:tab w:val="left" w:pos="0"/>
                    </w:tabs>
                    <w:adjustRightInd w:val="0"/>
                    <w:snapToGrid w:val="0"/>
                    <w:jc w:val="center"/>
                    <w:rPr>
                      <w:rFonts w:eastAsia="黑体"/>
                      <w:snapToGrid w:val="0"/>
                      <w:color w:val="auto"/>
                      <w:kern w:val="0"/>
                      <w:szCs w:val="21"/>
                      <w:highlight w:val="none"/>
                    </w:rPr>
                  </w:pPr>
                  <w:r>
                    <w:rPr>
                      <w:rFonts w:eastAsia="黑体"/>
                      <w:snapToGrid w:val="0"/>
                      <w:color w:val="auto"/>
                      <w:kern w:val="0"/>
                      <w:szCs w:val="21"/>
                      <w:highlight w:val="none"/>
                    </w:rPr>
                    <w:t>监测指标</w:t>
                  </w:r>
                </w:p>
              </w:tc>
              <w:tc>
                <w:tcPr>
                  <w:tcW w:w="1537" w:type="dxa"/>
                  <w:noWrap w:val="0"/>
                  <w:vAlign w:val="center"/>
                </w:tcPr>
                <w:p>
                  <w:pPr>
                    <w:tabs>
                      <w:tab w:val="left" w:pos="0"/>
                    </w:tabs>
                    <w:adjustRightInd w:val="0"/>
                    <w:snapToGrid w:val="0"/>
                    <w:jc w:val="center"/>
                    <w:rPr>
                      <w:rFonts w:eastAsia="黑体"/>
                      <w:snapToGrid w:val="0"/>
                      <w:color w:val="auto"/>
                      <w:kern w:val="0"/>
                      <w:szCs w:val="21"/>
                      <w:highlight w:val="none"/>
                    </w:rPr>
                  </w:pPr>
                  <w:r>
                    <w:rPr>
                      <w:rFonts w:eastAsia="黑体"/>
                      <w:snapToGrid w:val="0"/>
                      <w:color w:val="auto"/>
                      <w:kern w:val="0"/>
                      <w:szCs w:val="21"/>
                      <w:highlight w:val="none"/>
                    </w:rPr>
                    <w:t>监测频次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7" w:hRule="atLeast"/>
                <w:jc w:val="center"/>
              </w:trPr>
              <w:tc>
                <w:tcPr>
                  <w:tcW w:w="3054" w:type="dxa"/>
                  <w:noWrap w:val="0"/>
                  <w:vAlign w:val="center"/>
                </w:tcPr>
                <w:p>
                  <w:pPr>
                    <w:tabs>
                      <w:tab w:val="left" w:pos="0"/>
                    </w:tabs>
                    <w:adjustRightInd w:val="0"/>
                    <w:snapToGrid w:val="0"/>
                    <w:jc w:val="center"/>
                    <w:rPr>
                      <w:snapToGrid w:val="0"/>
                      <w:color w:val="auto"/>
                      <w:kern w:val="0"/>
                      <w:szCs w:val="21"/>
                      <w:highlight w:val="none"/>
                    </w:rPr>
                  </w:pPr>
                  <w:r>
                    <w:rPr>
                      <w:rFonts w:hint="eastAsia"/>
                      <w:snapToGrid w:val="0"/>
                      <w:color w:val="auto"/>
                      <w:kern w:val="0"/>
                      <w:szCs w:val="21"/>
                      <w:highlight w:val="none"/>
                    </w:rPr>
                    <w:t>N1：</w:t>
                  </w:r>
                  <w:r>
                    <w:rPr>
                      <w:snapToGrid w:val="0"/>
                      <w:color w:val="auto"/>
                      <w:kern w:val="0"/>
                      <w:szCs w:val="21"/>
                      <w:highlight w:val="none"/>
                    </w:rPr>
                    <w:t>场界北侧噪声</w:t>
                  </w:r>
                </w:p>
              </w:tc>
              <w:tc>
                <w:tcPr>
                  <w:tcW w:w="3487" w:type="dxa"/>
                  <w:vMerge w:val="restart"/>
                  <w:noWrap w:val="0"/>
                  <w:vAlign w:val="center"/>
                </w:tcPr>
                <w:p>
                  <w:pPr>
                    <w:tabs>
                      <w:tab w:val="left" w:pos="0"/>
                    </w:tabs>
                    <w:adjustRightInd w:val="0"/>
                    <w:snapToGrid w:val="0"/>
                    <w:jc w:val="center"/>
                    <w:rPr>
                      <w:snapToGrid w:val="0"/>
                      <w:color w:val="auto"/>
                      <w:kern w:val="0"/>
                      <w:szCs w:val="21"/>
                      <w:highlight w:val="none"/>
                    </w:rPr>
                  </w:pPr>
                  <w:r>
                    <w:rPr>
                      <w:rFonts w:hint="eastAsia"/>
                      <w:snapToGrid w:val="0"/>
                      <w:color w:val="auto"/>
                      <w:kern w:val="0"/>
                      <w:szCs w:val="21"/>
                      <w:highlight w:val="none"/>
                    </w:rPr>
                    <w:t>昼间、夜间连续等效A声级</w:t>
                  </w:r>
                </w:p>
              </w:tc>
              <w:tc>
                <w:tcPr>
                  <w:tcW w:w="1537" w:type="dxa"/>
                  <w:vMerge w:val="restart"/>
                  <w:noWrap w:val="0"/>
                  <w:vAlign w:val="center"/>
                </w:tcPr>
                <w:p>
                  <w:pPr>
                    <w:tabs>
                      <w:tab w:val="left" w:pos="0"/>
                    </w:tabs>
                    <w:adjustRightInd w:val="0"/>
                    <w:snapToGrid w:val="0"/>
                    <w:jc w:val="center"/>
                    <w:rPr>
                      <w:snapToGrid w:val="0"/>
                      <w:color w:val="auto"/>
                      <w:kern w:val="0"/>
                      <w:szCs w:val="21"/>
                      <w:highlight w:val="none"/>
                    </w:rPr>
                  </w:pPr>
                  <w:r>
                    <w:rPr>
                      <w:rFonts w:hint="eastAsia"/>
                      <w:snapToGrid w:val="0"/>
                      <w:color w:val="auto"/>
                      <w:kern w:val="0"/>
                      <w:szCs w:val="21"/>
                      <w:highlight w:val="none"/>
                    </w:rPr>
                    <w:t>年/次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7" w:hRule="atLeast"/>
                <w:jc w:val="center"/>
              </w:trPr>
              <w:tc>
                <w:tcPr>
                  <w:tcW w:w="3054" w:type="dxa"/>
                  <w:noWrap w:val="0"/>
                  <w:vAlign w:val="center"/>
                </w:tcPr>
                <w:p>
                  <w:pPr>
                    <w:tabs>
                      <w:tab w:val="left" w:pos="0"/>
                    </w:tabs>
                    <w:adjustRightInd w:val="0"/>
                    <w:snapToGrid w:val="0"/>
                    <w:jc w:val="center"/>
                    <w:rPr>
                      <w:snapToGrid w:val="0"/>
                      <w:color w:val="auto"/>
                      <w:kern w:val="0"/>
                      <w:szCs w:val="21"/>
                      <w:highlight w:val="none"/>
                    </w:rPr>
                  </w:pPr>
                  <w:r>
                    <w:rPr>
                      <w:snapToGrid w:val="0"/>
                      <w:color w:val="auto"/>
                      <w:kern w:val="0"/>
                      <w:szCs w:val="21"/>
                      <w:highlight w:val="none"/>
                    </w:rPr>
                    <w:t>N</w:t>
                  </w:r>
                  <w:r>
                    <w:rPr>
                      <w:rFonts w:hint="eastAsia"/>
                      <w:snapToGrid w:val="0"/>
                      <w:color w:val="auto"/>
                      <w:kern w:val="0"/>
                      <w:szCs w:val="21"/>
                      <w:highlight w:val="none"/>
                    </w:rPr>
                    <w:t>2</w:t>
                  </w:r>
                  <w:r>
                    <w:rPr>
                      <w:snapToGrid w:val="0"/>
                      <w:color w:val="auto"/>
                      <w:kern w:val="0"/>
                      <w:szCs w:val="21"/>
                      <w:highlight w:val="none"/>
                    </w:rPr>
                    <w:t>：场界东侧噪声</w:t>
                  </w:r>
                </w:p>
              </w:tc>
              <w:tc>
                <w:tcPr>
                  <w:tcW w:w="3487" w:type="dxa"/>
                  <w:vMerge w:val="continue"/>
                  <w:noWrap w:val="0"/>
                  <w:vAlign w:val="center"/>
                </w:tcPr>
                <w:p>
                  <w:pPr>
                    <w:tabs>
                      <w:tab w:val="left" w:pos="0"/>
                    </w:tabs>
                    <w:adjustRightInd w:val="0"/>
                    <w:snapToGrid w:val="0"/>
                    <w:jc w:val="center"/>
                    <w:rPr>
                      <w:snapToGrid w:val="0"/>
                      <w:color w:val="auto"/>
                      <w:kern w:val="0"/>
                      <w:szCs w:val="21"/>
                      <w:highlight w:val="none"/>
                    </w:rPr>
                  </w:pPr>
                </w:p>
              </w:tc>
              <w:tc>
                <w:tcPr>
                  <w:tcW w:w="1537" w:type="dxa"/>
                  <w:vMerge w:val="continue"/>
                  <w:noWrap w:val="0"/>
                  <w:vAlign w:val="center"/>
                </w:tcPr>
                <w:p>
                  <w:pPr>
                    <w:tabs>
                      <w:tab w:val="left" w:pos="0"/>
                    </w:tabs>
                    <w:adjustRightInd w:val="0"/>
                    <w:snapToGrid w:val="0"/>
                    <w:jc w:val="center"/>
                    <w:rPr>
                      <w:snapToGrid w:val="0"/>
                      <w:color w:val="auto"/>
                      <w:kern w:val="0"/>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7" w:hRule="atLeast"/>
                <w:jc w:val="center"/>
              </w:trPr>
              <w:tc>
                <w:tcPr>
                  <w:tcW w:w="3054" w:type="dxa"/>
                  <w:noWrap w:val="0"/>
                  <w:vAlign w:val="center"/>
                </w:tcPr>
                <w:p>
                  <w:pPr>
                    <w:adjustRightInd w:val="0"/>
                    <w:snapToGrid w:val="0"/>
                    <w:jc w:val="center"/>
                    <w:rPr>
                      <w:snapToGrid w:val="0"/>
                      <w:color w:val="auto"/>
                      <w:kern w:val="0"/>
                      <w:szCs w:val="21"/>
                      <w:highlight w:val="none"/>
                    </w:rPr>
                  </w:pPr>
                  <w:r>
                    <w:rPr>
                      <w:snapToGrid w:val="0"/>
                      <w:color w:val="auto"/>
                      <w:kern w:val="0"/>
                      <w:szCs w:val="21"/>
                      <w:highlight w:val="none"/>
                    </w:rPr>
                    <w:t>N</w:t>
                  </w:r>
                  <w:r>
                    <w:rPr>
                      <w:rFonts w:hint="eastAsia"/>
                      <w:snapToGrid w:val="0"/>
                      <w:color w:val="auto"/>
                      <w:kern w:val="0"/>
                      <w:szCs w:val="21"/>
                      <w:highlight w:val="none"/>
                    </w:rPr>
                    <w:t>3</w:t>
                  </w:r>
                  <w:r>
                    <w:rPr>
                      <w:snapToGrid w:val="0"/>
                      <w:color w:val="auto"/>
                      <w:kern w:val="0"/>
                      <w:szCs w:val="21"/>
                      <w:highlight w:val="none"/>
                    </w:rPr>
                    <w:t>：场界南侧噪声</w:t>
                  </w:r>
                </w:p>
              </w:tc>
              <w:tc>
                <w:tcPr>
                  <w:tcW w:w="3487" w:type="dxa"/>
                  <w:vMerge w:val="continue"/>
                  <w:noWrap w:val="0"/>
                  <w:vAlign w:val="center"/>
                </w:tcPr>
                <w:p>
                  <w:pPr>
                    <w:tabs>
                      <w:tab w:val="left" w:pos="0"/>
                    </w:tabs>
                    <w:adjustRightInd w:val="0"/>
                    <w:snapToGrid w:val="0"/>
                    <w:jc w:val="center"/>
                    <w:rPr>
                      <w:snapToGrid w:val="0"/>
                      <w:color w:val="auto"/>
                      <w:kern w:val="0"/>
                      <w:szCs w:val="21"/>
                      <w:highlight w:val="none"/>
                    </w:rPr>
                  </w:pPr>
                </w:p>
              </w:tc>
              <w:tc>
                <w:tcPr>
                  <w:tcW w:w="1537" w:type="dxa"/>
                  <w:vMerge w:val="continue"/>
                  <w:noWrap w:val="0"/>
                  <w:vAlign w:val="center"/>
                </w:tcPr>
                <w:p>
                  <w:pPr>
                    <w:tabs>
                      <w:tab w:val="left" w:pos="0"/>
                    </w:tabs>
                    <w:adjustRightInd w:val="0"/>
                    <w:snapToGrid w:val="0"/>
                    <w:jc w:val="center"/>
                    <w:rPr>
                      <w:snapToGrid w:val="0"/>
                      <w:color w:val="auto"/>
                      <w:kern w:val="0"/>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7" w:hRule="atLeast"/>
                <w:jc w:val="center"/>
              </w:trPr>
              <w:tc>
                <w:tcPr>
                  <w:tcW w:w="3054" w:type="dxa"/>
                  <w:noWrap w:val="0"/>
                  <w:vAlign w:val="center"/>
                </w:tcPr>
                <w:p>
                  <w:pPr>
                    <w:adjustRightInd w:val="0"/>
                    <w:snapToGrid w:val="0"/>
                    <w:jc w:val="center"/>
                    <w:rPr>
                      <w:snapToGrid w:val="0"/>
                      <w:color w:val="auto"/>
                      <w:kern w:val="0"/>
                      <w:szCs w:val="21"/>
                      <w:highlight w:val="none"/>
                    </w:rPr>
                  </w:pPr>
                  <w:r>
                    <w:rPr>
                      <w:snapToGrid w:val="0"/>
                      <w:color w:val="auto"/>
                      <w:kern w:val="0"/>
                      <w:szCs w:val="21"/>
                      <w:highlight w:val="none"/>
                    </w:rPr>
                    <w:t>N</w:t>
                  </w:r>
                  <w:r>
                    <w:rPr>
                      <w:rFonts w:hint="eastAsia"/>
                      <w:snapToGrid w:val="0"/>
                      <w:color w:val="auto"/>
                      <w:kern w:val="0"/>
                      <w:szCs w:val="21"/>
                      <w:highlight w:val="none"/>
                    </w:rPr>
                    <w:t>4</w:t>
                  </w:r>
                  <w:r>
                    <w:rPr>
                      <w:snapToGrid w:val="0"/>
                      <w:color w:val="auto"/>
                      <w:kern w:val="0"/>
                      <w:szCs w:val="21"/>
                      <w:highlight w:val="none"/>
                    </w:rPr>
                    <w:t>：场界西侧噪声</w:t>
                  </w:r>
                </w:p>
              </w:tc>
              <w:tc>
                <w:tcPr>
                  <w:tcW w:w="3487" w:type="dxa"/>
                  <w:vMerge w:val="continue"/>
                  <w:noWrap w:val="0"/>
                  <w:vAlign w:val="center"/>
                </w:tcPr>
                <w:p>
                  <w:pPr>
                    <w:tabs>
                      <w:tab w:val="left" w:pos="0"/>
                    </w:tabs>
                    <w:adjustRightInd w:val="0"/>
                    <w:snapToGrid w:val="0"/>
                    <w:jc w:val="center"/>
                    <w:rPr>
                      <w:snapToGrid w:val="0"/>
                      <w:color w:val="auto"/>
                      <w:kern w:val="0"/>
                      <w:szCs w:val="21"/>
                      <w:highlight w:val="none"/>
                    </w:rPr>
                  </w:pPr>
                </w:p>
              </w:tc>
              <w:tc>
                <w:tcPr>
                  <w:tcW w:w="1537" w:type="dxa"/>
                  <w:vMerge w:val="continue"/>
                  <w:noWrap w:val="0"/>
                  <w:vAlign w:val="center"/>
                </w:tcPr>
                <w:p>
                  <w:pPr>
                    <w:tabs>
                      <w:tab w:val="left" w:pos="0"/>
                    </w:tabs>
                    <w:adjustRightInd w:val="0"/>
                    <w:snapToGrid w:val="0"/>
                    <w:jc w:val="center"/>
                    <w:rPr>
                      <w:snapToGrid w:val="0"/>
                      <w:color w:val="auto"/>
                      <w:kern w:val="0"/>
                      <w:szCs w:val="21"/>
                      <w:highlight w:val="none"/>
                    </w:rPr>
                  </w:pPr>
                </w:p>
              </w:tc>
            </w:tr>
          </w:tbl>
          <w:p>
            <w:pPr>
              <w:adjustRightInd w:val="0"/>
              <w:snapToGrid w:val="0"/>
              <w:spacing w:line="360" w:lineRule="auto"/>
              <w:rPr>
                <w:rFonts w:hint="eastAsia" w:ascii="黑体" w:hAnsi="黑体" w:eastAsia="黑体" w:cs="黑体"/>
                <w:snapToGrid w:val="0"/>
                <w:color w:val="auto"/>
                <w:kern w:val="0"/>
                <w:sz w:val="24"/>
                <w:highlight w:val="none"/>
              </w:rPr>
            </w:pPr>
            <w:r>
              <w:rPr>
                <w:rFonts w:hint="eastAsia" w:ascii="黑体" w:hAnsi="黑体" w:eastAsia="黑体" w:cs="黑体"/>
                <w:snapToGrid w:val="0"/>
                <w:color w:val="auto"/>
                <w:kern w:val="0"/>
                <w:sz w:val="24"/>
                <w:highlight w:val="none"/>
              </w:rPr>
              <w:t>四、固体废物</w:t>
            </w:r>
          </w:p>
          <w:p>
            <w:pPr>
              <w:snapToGrid w:val="0"/>
              <w:spacing w:line="360" w:lineRule="auto"/>
              <w:ind w:firstLine="480" w:firstLineChars="200"/>
              <w:rPr>
                <w:color w:val="auto"/>
                <w:szCs w:val="21"/>
                <w:highlight w:val="none"/>
              </w:rPr>
            </w:pPr>
            <w:r>
              <w:rPr>
                <w:color w:val="auto"/>
                <w:szCs w:val="21"/>
                <w:highlight w:val="none"/>
              </w:rPr>
              <w:t>（1）除尘灰渣</w:t>
            </w:r>
          </w:p>
          <w:p>
            <w:pPr>
              <w:snapToGrid w:val="0"/>
              <w:spacing w:line="360" w:lineRule="auto"/>
              <w:ind w:firstLine="480" w:firstLineChars="200"/>
              <w:rPr>
                <w:color w:val="auto"/>
                <w:szCs w:val="21"/>
                <w:highlight w:val="none"/>
              </w:rPr>
            </w:pPr>
            <w:r>
              <w:rPr>
                <w:color w:val="auto"/>
                <w:szCs w:val="21"/>
                <w:highlight w:val="none"/>
              </w:rPr>
              <w:t>项目生产过程中各除尘器共收集粉尘8.591t/a，作为原料利用。</w:t>
            </w:r>
          </w:p>
          <w:p>
            <w:pPr>
              <w:snapToGrid w:val="0"/>
              <w:spacing w:line="360" w:lineRule="auto"/>
              <w:ind w:firstLine="480" w:firstLineChars="200"/>
              <w:rPr>
                <w:color w:val="auto"/>
                <w:szCs w:val="21"/>
                <w:highlight w:val="none"/>
              </w:rPr>
            </w:pPr>
            <w:r>
              <w:rPr>
                <w:color w:val="auto"/>
                <w:szCs w:val="21"/>
                <w:highlight w:val="none"/>
              </w:rPr>
              <w:t>（2）生产固废</w:t>
            </w:r>
          </w:p>
          <w:p>
            <w:pPr>
              <w:snapToGrid w:val="0"/>
              <w:spacing w:line="360" w:lineRule="auto"/>
              <w:ind w:firstLine="480" w:firstLineChars="200"/>
              <w:rPr>
                <w:color w:val="auto"/>
                <w:szCs w:val="21"/>
                <w:highlight w:val="none"/>
              </w:rPr>
            </w:pPr>
            <w:r>
              <w:rPr>
                <w:color w:val="auto"/>
                <w:szCs w:val="21"/>
                <w:highlight w:val="none"/>
              </w:rPr>
              <w:t>①废石</w:t>
            </w:r>
          </w:p>
          <w:p>
            <w:pPr>
              <w:snapToGrid w:val="0"/>
              <w:spacing w:line="360" w:lineRule="auto"/>
              <w:ind w:firstLine="480" w:firstLineChars="200"/>
              <w:rPr>
                <w:rFonts w:hint="eastAsia"/>
                <w:color w:val="auto"/>
                <w:szCs w:val="21"/>
                <w:highlight w:val="none"/>
              </w:rPr>
            </w:pPr>
            <w:r>
              <w:rPr>
                <w:color w:val="auto"/>
                <w:szCs w:val="21"/>
                <w:highlight w:val="none"/>
              </w:rPr>
              <w:t>项目生产原料碎石，烘干后通过提升机进入振动筛，筛分后合格的碎石进入搅拌缸内搅拌，筛选不合格（粒径过大）的碎石则不能进入生产线。不合格的按1%计算，废石产生量为95t/a。</w:t>
            </w:r>
            <w:r>
              <w:rPr>
                <w:rFonts w:hint="eastAsia"/>
                <w:color w:val="auto"/>
                <w:szCs w:val="21"/>
                <w:highlight w:val="none"/>
              </w:rPr>
              <w:t>不合格的碎石</w:t>
            </w:r>
            <w:r>
              <w:rPr>
                <w:color w:val="auto"/>
                <w:szCs w:val="21"/>
                <w:highlight w:val="none"/>
              </w:rPr>
              <w:t>由骨料供应商回收破碎后重新利用</w:t>
            </w:r>
            <w:r>
              <w:rPr>
                <w:rFonts w:hint="eastAsia"/>
                <w:color w:val="auto"/>
                <w:szCs w:val="21"/>
                <w:highlight w:val="none"/>
              </w:rPr>
              <w:t>。</w:t>
            </w:r>
          </w:p>
          <w:p>
            <w:pPr>
              <w:snapToGrid w:val="0"/>
              <w:spacing w:line="360" w:lineRule="auto"/>
              <w:ind w:firstLine="480" w:firstLineChars="200"/>
              <w:rPr>
                <w:color w:val="auto"/>
                <w:szCs w:val="21"/>
                <w:highlight w:val="none"/>
              </w:rPr>
            </w:pPr>
            <w:r>
              <w:rPr>
                <w:color w:val="auto"/>
                <w:szCs w:val="21"/>
                <w:highlight w:val="none"/>
              </w:rPr>
              <w:t>②滴漏沥青混凝土</w:t>
            </w:r>
          </w:p>
          <w:p>
            <w:pPr>
              <w:snapToGrid w:val="0"/>
              <w:spacing w:line="360" w:lineRule="auto"/>
              <w:ind w:firstLine="480" w:firstLineChars="200"/>
              <w:rPr>
                <w:color w:val="auto"/>
                <w:highlight w:val="none"/>
              </w:rPr>
            </w:pPr>
            <w:r>
              <w:rPr>
                <w:color w:val="auto"/>
                <w:szCs w:val="21"/>
                <w:highlight w:val="none"/>
              </w:rPr>
              <w:t>当沥青混凝土从储料仓转移至沥青混凝土输送车辆时，会滴漏少量沥青混凝土。沥青混凝土暴露于常温下时呈凝固状态，不会四处流溢，滴漏沥青混凝土产生量分别按用量的0.01%计算，共为1t/a，可回用于生产，不对外排放。</w:t>
            </w:r>
          </w:p>
          <w:p>
            <w:pPr>
              <w:snapToGrid w:val="0"/>
              <w:spacing w:line="360" w:lineRule="auto"/>
              <w:ind w:firstLine="480" w:firstLineChars="200"/>
              <w:rPr>
                <w:color w:val="auto"/>
                <w:szCs w:val="21"/>
                <w:highlight w:val="none"/>
              </w:rPr>
            </w:pPr>
            <w:r>
              <w:rPr>
                <w:color w:val="auto"/>
                <w:szCs w:val="21"/>
                <w:highlight w:val="none"/>
              </w:rPr>
              <w:t>（3）生活垃圾:</w:t>
            </w:r>
          </w:p>
          <w:p>
            <w:pPr>
              <w:snapToGrid w:val="0"/>
              <w:spacing w:line="360" w:lineRule="auto"/>
              <w:ind w:firstLine="480" w:firstLineChars="200"/>
              <w:rPr>
                <w:color w:val="auto"/>
                <w:szCs w:val="21"/>
                <w:highlight w:val="none"/>
              </w:rPr>
            </w:pPr>
            <w:r>
              <w:rPr>
                <w:color w:val="auto"/>
                <w:szCs w:val="21"/>
                <w:highlight w:val="none"/>
              </w:rPr>
              <w:t>职工生活垃圾产生量按G=R·K·N·10</w:t>
            </w:r>
            <w:r>
              <w:rPr>
                <w:color w:val="auto"/>
                <w:szCs w:val="21"/>
                <w:highlight w:val="none"/>
                <w:vertAlign w:val="superscript"/>
              </w:rPr>
              <w:t>3</w:t>
            </w:r>
            <w:r>
              <w:rPr>
                <w:color w:val="auto"/>
                <w:szCs w:val="21"/>
                <w:highlight w:val="none"/>
              </w:rPr>
              <w:t>计算。式中:G---生活垃圾产生量(td)</w:t>
            </w:r>
          </w:p>
          <w:p>
            <w:pPr>
              <w:snapToGrid w:val="0"/>
              <w:spacing w:line="360" w:lineRule="auto"/>
              <w:ind w:firstLine="480" w:firstLineChars="200"/>
              <w:rPr>
                <w:color w:val="auto"/>
                <w:szCs w:val="21"/>
                <w:highlight w:val="none"/>
              </w:rPr>
            </w:pPr>
            <w:r>
              <w:rPr>
                <w:color w:val="auto"/>
                <w:szCs w:val="21"/>
                <w:highlight w:val="none"/>
              </w:rPr>
              <w:t>K---人均排放系数(kg/人·天)N---人口数(人)</w:t>
            </w:r>
          </w:p>
          <w:p>
            <w:pPr>
              <w:snapToGrid w:val="0"/>
              <w:spacing w:line="360" w:lineRule="auto"/>
              <w:ind w:firstLine="480" w:firstLineChars="200"/>
              <w:rPr>
                <w:color w:val="auto"/>
                <w:szCs w:val="21"/>
                <w:highlight w:val="none"/>
              </w:rPr>
            </w:pPr>
            <w:r>
              <w:rPr>
                <w:color w:val="auto"/>
                <w:szCs w:val="21"/>
                <w:highlight w:val="none"/>
              </w:rPr>
              <w:t>R---每年排放天数(天)</w:t>
            </w:r>
          </w:p>
          <w:p>
            <w:pPr>
              <w:snapToGrid w:val="0"/>
              <w:spacing w:line="360" w:lineRule="auto"/>
              <w:ind w:firstLine="480" w:firstLineChars="200"/>
              <w:rPr>
                <w:rFonts w:hint="eastAsia"/>
                <w:color w:val="auto"/>
                <w:szCs w:val="21"/>
                <w:highlight w:val="none"/>
              </w:rPr>
            </w:pPr>
            <w:r>
              <w:rPr>
                <w:color w:val="auto"/>
                <w:szCs w:val="21"/>
                <w:highlight w:val="none"/>
              </w:rPr>
              <w:t>根据我国生活垃圾排放系数，不住在厂内职工取K=0.5kg/(人·天)，项目聘有员工10人，年工作日300天，则项目生活垃圾年产生量为1.5t/a。</w:t>
            </w:r>
          </w:p>
          <w:p>
            <w:pPr>
              <w:snapToGrid w:val="0"/>
              <w:spacing w:line="360" w:lineRule="auto"/>
              <w:ind w:firstLine="480" w:firstLineChars="200"/>
              <w:rPr>
                <w:rFonts w:hint="eastAsia"/>
                <w:color w:val="auto"/>
                <w:szCs w:val="21"/>
                <w:highlight w:val="none"/>
              </w:rPr>
            </w:pPr>
            <w:r>
              <w:rPr>
                <w:rFonts w:hint="eastAsia"/>
                <w:color w:val="auto"/>
                <w:szCs w:val="21"/>
                <w:highlight w:val="none"/>
              </w:rPr>
              <w:t>（4）废布袋</w:t>
            </w:r>
          </w:p>
          <w:p>
            <w:pPr>
              <w:snapToGrid w:val="0"/>
              <w:spacing w:line="360" w:lineRule="auto"/>
              <w:ind w:firstLine="480" w:firstLineChars="200"/>
              <w:rPr>
                <w:rFonts w:hint="eastAsia"/>
                <w:color w:val="auto"/>
                <w:szCs w:val="21"/>
                <w:highlight w:val="none"/>
              </w:rPr>
            </w:pPr>
            <w:r>
              <w:rPr>
                <w:color w:val="auto"/>
                <w:szCs w:val="21"/>
                <w:highlight w:val="none"/>
              </w:rPr>
              <w:t>布袋除尘器废布袋每</w:t>
            </w:r>
            <w:r>
              <w:rPr>
                <w:rFonts w:hint="eastAsia"/>
                <w:color w:val="auto"/>
                <w:szCs w:val="21"/>
                <w:highlight w:val="none"/>
              </w:rPr>
              <w:t>2年左右更换一次，由厂家进行更换后回收。</w:t>
            </w:r>
          </w:p>
          <w:p>
            <w:pPr>
              <w:snapToGrid w:val="0"/>
              <w:spacing w:line="360" w:lineRule="auto"/>
              <w:ind w:firstLine="480" w:firstLineChars="200"/>
              <w:rPr>
                <w:rFonts w:hint="default" w:eastAsia="宋体"/>
                <w:color w:val="auto"/>
                <w:szCs w:val="21"/>
                <w:highlight w:val="none"/>
                <w:lang w:val="en-US" w:eastAsia="zh-CN"/>
              </w:rPr>
            </w:pPr>
            <w:r>
              <w:rPr>
                <w:rFonts w:hint="eastAsia"/>
                <w:color w:val="auto"/>
                <w:szCs w:val="21"/>
                <w:highlight w:val="none"/>
              </w:rPr>
              <w:t>（</w:t>
            </w:r>
            <w:r>
              <w:rPr>
                <w:rFonts w:hint="eastAsia"/>
                <w:color w:val="auto"/>
                <w:szCs w:val="21"/>
                <w:highlight w:val="none"/>
                <w:lang w:val="en-US" w:eastAsia="zh-CN"/>
              </w:rPr>
              <w:t>5</w:t>
            </w:r>
            <w:r>
              <w:rPr>
                <w:rFonts w:hint="eastAsia"/>
                <w:color w:val="auto"/>
                <w:szCs w:val="21"/>
                <w:highlight w:val="none"/>
              </w:rPr>
              <w:t>）</w:t>
            </w:r>
            <w:r>
              <w:rPr>
                <w:rFonts w:hint="eastAsia"/>
                <w:color w:val="auto"/>
                <w:szCs w:val="21"/>
                <w:highlight w:val="none"/>
                <w:lang w:val="en-US" w:eastAsia="zh-CN"/>
              </w:rPr>
              <w:t>隔油池、化粪池、沉淀池沉渣污泥</w:t>
            </w:r>
          </w:p>
          <w:p>
            <w:pPr>
              <w:snapToGrid w:val="0"/>
              <w:spacing w:line="360" w:lineRule="auto"/>
              <w:ind w:firstLine="480" w:firstLineChars="200"/>
              <w:rPr>
                <w:color w:val="auto"/>
                <w:szCs w:val="21"/>
                <w:highlight w:val="none"/>
              </w:rPr>
            </w:pPr>
            <w:r>
              <w:rPr>
                <w:rFonts w:hint="eastAsia"/>
                <w:color w:val="auto"/>
                <w:szCs w:val="21"/>
                <w:highlight w:val="none"/>
                <w:lang w:val="en-US" w:eastAsia="zh-CN"/>
              </w:rPr>
              <w:t>项目隔油池、化粪池、沉淀池对生产、生活废水进行处理时产生沉渣污泥，污泥产生量约0.5t/a，污泥沉渣送城市垃圾场卫生填埋</w:t>
            </w:r>
            <w:r>
              <w:rPr>
                <w:rFonts w:hint="eastAsia"/>
                <w:color w:val="auto"/>
                <w:szCs w:val="21"/>
                <w:highlight w:val="none"/>
              </w:rPr>
              <w:t>。</w:t>
            </w:r>
          </w:p>
          <w:p>
            <w:pPr>
              <w:snapToGrid w:val="0"/>
              <w:spacing w:line="360" w:lineRule="auto"/>
              <w:ind w:firstLine="480" w:firstLineChars="200"/>
              <w:rPr>
                <w:color w:val="auto"/>
                <w:szCs w:val="21"/>
                <w:highlight w:val="none"/>
              </w:rPr>
            </w:pPr>
            <w:r>
              <w:rPr>
                <w:color w:val="auto"/>
                <w:szCs w:val="21"/>
                <w:highlight w:val="none"/>
              </w:rPr>
              <w:t>（</w:t>
            </w:r>
            <w:r>
              <w:rPr>
                <w:rFonts w:hint="eastAsia"/>
                <w:color w:val="auto"/>
                <w:szCs w:val="21"/>
                <w:highlight w:val="none"/>
                <w:lang w:val="en-US" w:eastAsia="zh-CN"/>
              </w:rPr>
              <w:t>6</w:t>
            </w:r>
            <w:r>
              <w:rPr>
                <w:color w:val="auto"/>
                <w:szCs w:val="21"/>
                <w:highlight w:val="none"/>
              </w:rPr>
              <w:t>）废机油:</w:t>
            </w:r>
          </w:p>
          <w:p>
            <w:pPr>
              <w:snapToGrid w:val="0"/>
              <w:spacing w:line="360" w:lineRule="auto"/>
              <w:ind w:firstLine="480" w:firstLineChars="200"/>
              <w:rPr>
                <w:color w:val="auto"/>
                <w:szCs w:val="21"/>
                <w:highlight w:val="none"/>
              </w:rPr>
            </w:pPr>
            <w:r>
              <w:rPr>
                <w:color w:val="auto"/>
                <w:szCs w:val="21"/>
                <w:highlight w:val="none"/>
              </w:rPr>
              <w:t>项目在进行日常机械维护保养过程中会产生少量废机油，这些废机油通过设置专用的废机油收集桶收集</w:t>
            </w:r>
            <w:r>
              <w:rPr>
                <w:rFonts w:hint="eastAsia"/>
                <w:color w:val="auto"/>
                <w:szCs w:val="21"/>
                <w:highlight w:val="none"/>
              </w:rPr>
              <w:t>于厂内新建危废库暂存，定期交由</w:t>
            </w:r>
            <w:r>
              <w:rPr>
                <w:color w:val="auto"/>
                <w:szCs w:val="21"/>
                <w:highlight w:val="none"/>
              </w:rPr>
              <w:t>有资质单位处置。</w:t>
            </w:r>
          </w:p>
          <w:p>
            <w:pPr>
              <w:pStyle w:val="16"/>
              <w:rPr>
                <w:color w:val="auto"/>
                <w:highlight w:val="none"/>
              </w:rPr>
            </w:pPr>
          </w:p>
          <w:p>
            <w:pPr>
              <w:spacing w:line="360" w:lineRule="auto"/>
              <w:jc w:val="right"/>
              <w:rPr>
                <w:rFonts w:eastAsia="黑体"/>
                <w:color w:val="auto"/>
                <w:sz w:val="24"/>
                <w:highlight w:val="none"/>
              </w:rPr>
            </w:pPr>
            <w:r>
              <w:rPr>
                <w:rFonts w:hint="eastAsia"/>
                <w:b/>
                <w:bCs/>
                <w:color w:val="auto"/>
                <w:sz w:val="24"/>
                <w:highlight w:val="none"/>
              </w:rPr>
              <w:t>表4-21 项目及全厂固废产生、处理处置措施表      单位：t/a</w:t>
            </w:r>
          </w:p>
          <w:tbl>
            <w:tblPr>
              <w:tblStyle w:val="39"/>
              <w:tblW w:w="0" w:type="auto"/>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15" w:type="dxa"/>
                <w:left w:w="15" w:type="dxa"/>
                <w:bottom w:w="15" w:type="dxa"/>
                <w:right w:w="15" w:type="dxa"/>
              </w:tblCellMar>
            </w:tblPr>
            <w:tblGrid>
              <w:gridCol w:w="521"/>
              <w:gridCol w:w="769"/>
              <w:gridCol w:w="1133"/>
              <w:gridCol w:w="1034"/>
              <w:gridCol w:w="992"/>
              <w:gridCol w:w="992"/>
              <w:gridCol w:w="616"/>
              <w:gridCol w:w="617"/>
              <w:gridCol w:w="1233"/>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615" w:hRule="atLeast"/>
                <w:jc w:val="center"/>
              </w:trPr>
              <w:tc>
                <w:tcPr>
                  <w:tcW w:w="521" w:type="dxa"/>
                  <w:noWrap/>
                  <w:vAlign w:val="center"/>
                </w:tcPr>
                <w:p>
                  <w:pPr>
                    <w:widowControl/>
                    <w:jc w:val="center"/>
                    <w:textAlignment w:val="bottom"/>
                    <w:rPr>
                      <w:b/>
                      <w:bCs/>
                      <w:color w:val="auto"/>
                      <w:szCs w:val="21"/>
                      <w:highlight w:val="none"/>
                    </w:rPr>
                  </w:pPr>
                  <w:r>
                    <w:rPr>
                      <w:b/>
                      <w:bCs/>
                      <w:color w:val="auto"/>
                      <w:kern w:val="0"/>
                      <w:szCs w:val="21"/>
                      <w:highlight w:val="none"/>
                      <w:lang w:bidi="ar"/>
                    </w:rPr>
                    <w:t>序号</w:t>
                  </w:r>
                </w:p>
              </w:tc>
              <w:tc>
                <w:tcPr>
                  <w:tcW w:w="769" w:type="dxa"/>
                  <w:noWrap/>
                  <w:vAlign w:val="center"/>
                </w:tcPr>
                <w:p>
                  <w:pPr>
                    <w:widowControl/>
                    <w:jc w:val="center"/>
                    <w:textAlignment w:val="bottom"/>
                    <w:rPr>
                      <w:b/>
                      <w:bCs/>
                      <w:color w:val="auto"/>
                      <w:szCs w:val="21"/>
                      <w:highlight w:val="none"/>
                    </w:rPr>
                  </w:pPr>
                  <w:r>
                    <w:rPr>
                      <w:b/>
                      <w:bCs/>
                      <w:color w:val="auto"/>
                      <w:kern w:val="0"/>
                      <w:szCs w:val="21"/>
                      <w:highlight w:val="none"/>
                      <w:lang w:bidi="ar"/>
                    </w:rPr>
                    <w:t>固废名称</w:t>
                  </w:r>
                </w:p>
              </w:tc>
              <w:tc>
                <w:tcPr>
                  <w:tcW w:w="1133" w:type="dxa"/>
                  <w:noWrap/>
                  <w:vAlign w:val="center"/>
                </w:tcPr>
                <w:p>
                  <w:pPr>
                    <w:widowControl/>
                    <w:jc w:val="center"/>
                    <w:textAlignment w:val="bottom"/>
                    <w:rPr>
                      <w:b/>
                      <w:bCs/>
                      <w:color w:val="auto"/>
                      <w:szCs w:val="21"/>
                      <w:highlight w:val="none"/>
                    </w:rPr>
                  </w:pPr>
                  <w:r>
                    <w:rPr>
                      <w:b/>
                      <w:bCs/>
                      <w:color w:val="auto"/>
                      <w:kern w:val="0"/>
                      <w:szCs w:val="21"/>
                      <w:highlight w:val="none"/>
                      <w:lang w:bidi="ar"/>
                    </w:rPr>
                    <w:t>产生源</w:t>
                  </w:r>
                </w:p>
              </w:tc>
              <w:tc>
                <w:tcPr>
                  <w:tcW w:w="1034" w:type="dxa"/>
                  <w:noWrap/>
                  <w:vAlign w:val="center"/>
                </w:tcPr>
                <w:p>
                  <w:pPr>
                    <w:widowControl/>
                    <w:jc w:val="center"/>
                    <w:textAlignment w:val="bottom"/>
                    <w:rPr>
                      <w:b/>
                      <w:bCs/>
                      <w:color w:val="auto"/>
                      <w:szCs w:val="21"/>
                      <w:highlight w:val="none"/>
                    </w:rPr>
                  </w:pPr>
                  <w:r>
                    <w:rPr>
                      <w:b/>
                      <w:bCs/>
                      <w:color w:val="auto"/>
                      <w:kern w:val="0"/>
                      <w:szCs w:val="21"/>
                      <w:highlight w:val="none"/>
                      <w:lang w:bidi="ar"/>
                    </w:rPr>
                    <w:t>产生量</w:t>
                  </w:r>
                  <w:r>
                    <w:rPr>
                      <w:b/>
                      <w:bCs/>
                      <w:color w:val="auto"/>
                      <w:kern w:val="0"/>
                      <w:szCs w:val="21"/>
                      <w:highlight w:val="none"/>
                      <w:lang w:bidi="ar"/>
                    </w:rPr>
                    <w:br w:type="textWrapping"/>
                  </w:r>
                  <w:r>
                    <w:rPr>
                      <w:b/>
                      <w:bCs/>
                      <w:color w:val="auto"/>
                      <w:kern w:val="0"/>
                      <w:szCs w:val="21"/>
                      <w:highlight w:val="none"/>
                      <w:lang w:bidi="ar"/>
                    </w:rPr>
                    <w:t>(t/a)</w:t>
                  </w:r>
                </w:p>
              </w:tc>
              <w:tc>
                <w:tcPr>
                  <w:tcW w:w="992" w:type="dxa"/>
                  <w:noWrap/>
                  <w:vAlign w:val="center"/>
                </w:tcPr>
                <w:p>
                  <w:pPr>
                    <w:widowControl/>
                    <w:jc w:val="center"/>
                    <w:textAlignment w:val="bottom"/>
                    <w:rPr>
                      <w:rFonts w:hint="eastAsia"/>
                      <w:b/>
                      <w:bCs/>
                      <w:color w:val="auto"/>
                      <w:kern w:val="0"/>
                      <w:szCs w:val="21"/>
                      <w:highlight w:val="none"/>
                      <w:lang w:bidi="ar"/>
                    </w:rPr>
                  </w:pPr>
                  <w:r>
                    <w:rPr>
                      <w:rFonts w:hint="eastAsia"/>
                      <w:b/>
                      <w:bCs/>
                      <w:color w:val="auto"/>
                      <w:kern w:val="0"/>
                      <w:szCs w:val="21"/>
                      <w:highlight w:val="none"/>
                      <w:lang w:bidi="ar"/>
                    </w:rPr>
                    <w:t>属性</w:t>
                  </w:r>
                </w:p>
              </w:tc>
              <w:tc>
                <w:tcPr>
                  <w:tcW w:w="992" w:type="dxa"/>
                  <w:noWrap/>
                  <w:vAlign w:val="center"/>
                </w:tcPr>
                <w:p>
                  <w:pPr>
                    <w:widowControl/>
                    <w:jc w:val="center"/>
                    <w:textAlignment w:val="bottom"/>
                    <w:rPr>
                      <w:b/>
                      <w:bCs/>
                      <w:color w:val="auto"/>
                      <w:kern w:val="0"/>
                      <w:szCs w:val="21"/>
                      <w:highlight w:val="none"/>
                      <w:lang w:bidi="ar"/>
                    </w:rPr>
                  </w:pPr>
                  <w:r>
                    <w:rPr>
                      <w:rFonts w:hint="eastAsia"/>
                      <w:b/>
                      <w:bCs/>
                      <w:color w:val="auto"/>
                      <w:kern w:val="0"/>
                      <w:szCs w:val="21"/>
                      <w:highlight w:val="none"/>
                      <w:lang w:bidi="ar"/>
                    </w:rPr>
                    <w:t>主要有毒有害物质</w:t>
                  </w:r>
                </w:p>
              </w:tc>
              <w:tc>
                <w:tcPr>
                  <w:tcW w:w="616" w:type="dxa"/>
                  <w:noWrap/>
                  <w:vAlign w:val="center"/>
                </w:tcPr>
                <w:p>
                  <w:pPr>
                    <w:widowControl/>
                    <w:jc w:val="center"/>
                    <w:textAlignment w:val="bottom"/>
                    <w:rPr>
                      <w:b/>
                      <w:bCs/>
                      <w:color w:val="auto"/>
                      <w:kern w:val="0"/>
                      <w:szCs w:val="21"/>
                      <w:highlight w:val="none"/>
                      <w:lang w:bidi="ar"/>
                    </w:rPr>
                  </w:pPr>
                  <w:r>
                    <w:rPr>
                      <w:rFonts w:hint="eastAsia"/>
                      <w:b/>
                      <w:bCs/>
                      <w:color w:val="auto"/>
                      <w:kern w:val="0"/>
                      <w:szCs w:val="21"/>
                      <w:highlight w:val="none"/>
                      <w:lang w:bidi="ar"/>
                    </w:rPr>
                    <w:t>物理性状</w:t>
                  </w:r>
                </w:p>
              </w:tc>
              <w:tc>
                <w:tcPr>
                  <w:tcW w:w="617" w:type="dxa"/>
                  <w:noWrap/>
                  <w:vAlign w:val="center"/>
                </w:tcPr>
                <w:p>
                  <w:pPr>
                    <w:widowControl/>
                    <w:jc w:val="center"/>
                    <w:textAlignment w:val="bottom"/>
                    <w:rPr>
                      <w:b/>
                      <w:bCs/>
                      <w:color w:val="auto"/>
                      <w:kern w:val="0"/>
                      <w:szCs w:val="21"/>
                      <w:highlight w:val="none"/>
                      <w:lang w:bidi="ar"/>
                    </w:rPr>
                  </w:pPr>
                  <w:r>
                    <w:rPr>
                      <w:rFonts w:hint="eastAsia"/>
                      <w:b/>
                      <w:bCs/>
                      <w:color w:val="auto"/>
                      <w:kern w:val="0"/>
                      <w:szCs w:val="21"/>
                      <w:highlight w:val="none"/>
                      <w:lang w:bidi="ar"/>
                    </w:rPr>
                    <w:t>环境危险特性</w:t>
                  </w:r>
                </w:p>
              </w:tc>
              <w:tc>
                <w:tcPr>
                  <w:tcW w:w="1233" w:type="dxa"/>
                  <w:noWrap/>
                  <w:vAlign w:val="center"/>
                </w:tcPr>
                <w:p>
                  <w:pPr>
                    <w:widowControl/>
                    <w:jc w:val="center"/>
                    <w:textAlignment w:val="bottom"/>
                    <w:rPr>
                      <w:b/>
                      <w:bCs/>
                      <w:color w:val="auto"/>
                      <w:szCs w:val="21"/>
                      <w:highlight w:val="none"/>
                    </w:rPr>
                  </w:pPr>
                  <w:r>
                    <w:rPr>
                      <w:b/>
                      <w:bCs/>
                      <w:color w:val="auto"/>
                      <w:kern w:val="0"/>
                      <w:szCs w:val="21"/>
                      <w:highlight w:val="none"/>
                      <w:lang w:bidi="ar"/>
                    </w:rPr>
                    <w:t>处理或处置措施</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630" w:hRule="atLeast"/>
                <w:jc w:val="center"/>
              </w:trPr>
              <w:tc>
                <w:tcPr>
                  <w:tcW w:w="521" w:type="dxa"/>
                  <w:noWrap/>
                  <w:vAlign w:val="center"/>
                </w:tcPr>
                <w:p>
                  <w:pPr>
                    <w:jc w:val="center"/>
                    <w:rPr>
                      <w:color w:val="auto"/>
                      <w:szCs w:val="21"/>
                      <w:highlight w:val="none"/>
                    </w:rPr>
                  </w:pPr>
                  <w:r>
                    <w:rPr>
                      <w:color w:val="auto"/>
                      <w:szCs w:val="21"/>
                      <w:highlight w:val="none"/>
                    </w:rPr>
                    <w:t>1</w:t>
                  </w:r>
                </w:p>
              </w:tc>
              <w:tc>
                <w:tcPr>
                  <w:tcW w:w="769" w:type="dxa"/>
                  <w:noWrap/>
                  <w:vAlign w:val="center"/>
                </w:tcPr>
                <w:p>
                  <w:pPr>
                    <w:widowControl/>
                    <w:jc w:val="center"/>
                    <w:textAlignment w:val="bottom"/>
                    <w:rPr>
                      <w:color w:val="auto"/>
                      <w:szCs w:val="21"/>
                      <w:highlight w:val="none"/>
                    </w:rPr>
                  </w:pPr>
                  <w:r>
                    <w:rPr>
                      <w:color w:val="auto"/>
                      <w:kern w:val="0"/>
                      <w:szCs w:val="21"/>
                      <w:highlight w:val="none"/>
                      <w:lang w:bidi="ar"/>
                    </w:rPr>
                    <w:t>废石料</w:t>
                  </w:r>
                </w:p>
              </w:tc>
              <w:tc>
                <w:tcPr>
                  <w:tcW w:w="1133" w:type="dxa"/>
                  <w:noWrap/>
                  <w:vAlign w:val="center"/>
                </w:tcPr>
                <w:p>
                  <w:pPr>
                    <w:widowControl/>
                    <w:jc w:val="center"/>
                    <w:textAlignment w:val="bottom"/>
                    <w:rPr>
                      <w:color w:val="auto"/>
                      <w:szCs w:val="21"/>
                      <w:highlight w:val="none"/>
                    </w:rPr>
                  </w:pPr>
                  <w:r>
                    <w:rPr>
                      <w:color w:val="auto"/>
                      <w:kern w:val="0"/>
                      <w:szCs w:val="21"/>
                      <w:highlight w:val="none"/>
                      <w:lang w:bidi="ar"/>
                    </w:rPr>
                    <w:t>振动筛</w:t>
                  </w:r>
                </w:p>
              </w:tc>
              <w:tc>
                <w:tcPr>
                  <w:tcW w:w="1034" w:type="dxa"/>
                  <w:noWrap/>
                  <w:vAlign w:val="center"/>
                </w:tcPr>
                <w:p>
                  <w:pPr>
                    <w:widowControl/>
                    <w:jc w:val="center"/>
                    <w:textAlignment w:val="bottom"/>
                    <w:rPr>
                      <w:color w:val="auto"/>
                      <w:szCs w:val="21"/>
                      <w:highlight w:val="none"/>
                    </w:rPr>
                  </w:pPr>
                  <w:r>
                    <w:rPr>
                      <w:rFonts w:hint="eastAsia"/>
                      <w:color w:val="auto"/>
                      <w:kern w:val="0"/>
                      <w:szCs w:val="21"/>
                      <w:highlight w:val="none"/>
                      <w:lang w:bidi="ar"/>
                    </w:rPr>
                    <w:t>95</w:t>
                  </w:r>
                </w:p>
              </w:tc>
              <w:tc>
                <w:tcPr>
                  <w:tcW w:w="992" w:type="dxa"/>
                  <w:noWrap/>
                  <w:vAlign w:val="center"/>
                </w:tcPr>
                <w:p>
                  <w:pPr>
                    <w:widowControl/>
                    <w:jc w:val="center"/>
                    <w:textAlignment w:val="bottom"/>
                    <w:rPr>
                      <w:color w:val="auto"/>
                      <w:kern w:val="0"/>
                      <w:szCs w:val="21"/>
                      <w:highlight w:val="none"/>
                      <w:lang w:bidi="ar"/>
                    </w:rPr>
                  </w:pPr>
                  <w:r>
                    <w:rPr>
                      <w:rFonts w:hint="eastAsia"/>
                      <w:color w:val="auto"/>
                      <w:kern w:val="0"/>
                      <w:szCs w:val="21"/>
                      <w:highlight w:val="none"/>
                      <w:lang w:bidi="ar"/>
                    </w:rPr>
                    <w:t>一般固废</w:t>
                  </w:r>
                </w:p>
              </w:tc>
              <w:tc>
                <w:tcPr>
                  <w:tcW w:w="992" w:type="dxa"/>
                  <w:noWrap/>
                  <w:vAlign w:val="center"/>
                </w:tcPr>
                <w:p>
                  <w:pPr>
                    <w:widowControl/>
                    <w:jc w:val="center"/>
                    <w:textAlignment w:val="bottom"/>
                    <w:rPr>
                      <w:rFonts w:hint="eastAsia"/>
                      <w:color w:val="auto"/>
                      <w:kern w:val="0"/>
                      <w:szCs w:val="21"/>
                      <w:highlight w:val="none"/>
                      <w:lang w:bidi="ar"/>
                    </w:rPr>
                  </w:pPr>
                  <w:r>
                    <w:rPr>
                      <w:rFonts w:hint="eastAsia"/>
                      <w:color w:val="auto"/>
                      <w:kern w:val="0"/>
                      <w:szCs w:val="21"/>
                      <w:highlight w:val="none"/>
                      <w:lang w:bidi="ar"/>
                    </w:rPr>
                    <w:t>/</w:t>
                  </w:r>
                </w:p>
              </w:tc>
              <w:tc>
                <w:tcPr>
                  <w:tcW w:w="616" w:type="dxa"/>
                  <w:noWrap/>
                  <w:vAlign w:val="center"/>
                </w:tcPr>
                <w:p>
                  <w:pPr>
                    <w:widowControl/>
                    <w:jc w:val="center"/>
                    <w:textAlignment w:val="bottom"/>
                    <w:rPr>
                      <w:rFonts w:hint="eastAsia"/>
                      <w:color w:val="auto"/>
                      <w:kern w:val="0"/>
                      <w:szCs w:val="21"/>
                      <w:highlight w:val="none"/>
                      <w:lang w:bidi="ar"/>
                    </w:rPr>
                  </w:pPr>
                  <w:r>
                    <w:rPr>
                      <w:rFonts w:hint="eastAsia"/>
                      <w:color w:val="auto"/>
                      <w:kern w:val="0"/>
                      <w:szCs w:val="21"/>
                      <w:highlight w:val="none"/>
                      <w:lang w:bidi="ar"/>
                    </w:rPr>
                    <w:t>固态</w:t>
                  </w:r>
                </w:p>
              </w:tc>
              <w:tc>
                <w:tcPr>
                  <w:tcW w:w="617" w:type="dxa"/>
                  <w:noWrap/>
                  <w:vAlign w:val="center"/>
                </w:tcPr>
                <w:p>
                  <w:pPr>
                    <w:widowControl/>
                    <w:jc w:val="center"/>
                    <w:textAlignment w:val="bottom"/>
                    <w:rPr>
                      <w:rFonts w:hint="eastAsia"/>
                      <w:color w:val="auto"/>
                      <w:kern w:val="0"/>
                      <w:szCs w:val="21"/>
                      <w:highlight w:val="none"/>
                      <w:lang w:bidi="ar"/>
                    </w:rPr>
                  </w:pPr>
                  <w:r>
                    <w:rPr>
                      <w:rFonts w:hint="eastAsia"/>
                      <w:color w:val="auto"/>
                      <w:kern w:val="0"/>
                      <w:szCs w:val="21"/>
                      <w:highlight w:val="none"/>
                      <w:lang w:bidi="ar"/>
                    </w:rPr>
                    <w:t>/</w:t>
                  </w:r>
                </w:p>
              </w:tc>
              <w:tc>
                <w:tcPr>
                  <w:tcW w:w="1233" w:type="dxa"/>
                  <w:noWrap/>
                  <w:vAlign w:val="center"/>
                </w:tcPr>
                <w:p>
                  <w:pPr>
                    <w:widowControl/>
                    <w:jc w:val="center"/>
                    <w:textAlignment w:val="bottom"/>
                    <w:rPr>
                      <w:color w:val="auto"/>
                      <w:szCs w:val="21"/>
                      <w:highlight w:val="none"/>
                    </w:rPr>
                  </w:pPr>
                  <w:r>
                    <w:rPr>
                      <w:color w:val="auto"/>
                      <w:kern w:val="0"/>
                      <w:szCs w:val="21"/>
                      <w:highlight w:val="none"/>
                      <w:lang w:bidi="ar"/>
                    </w:rPr>
                    <w:t>由骨料供应商回收破碎</w:t>
                  </w:r>
                  <w:r>
                    <w:rPr>
                      <w:color w:val="auto"/>
                      <w:kern w:val="0"/>
                      <w:szCs w:val="21"/>
                      <w:highlight w:val="none"/>
                      <w:lang w:bidi="ar"/>
                    </w:rPr>
                    <w:br w:type="textWrapping"/>
                  </w:r>
                  <w:r>
                    <w:rPr>
                      <w:color w:val="auto"/>
                      <w:kern w:val="0"/>
                      <w:szCs w:val="21"/>
                      <w:highlight w:val="none"/>
                      <w:lang w:bidi="ar"/>
                    </w:rPr>
                    <w:t>后重新利用</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450" w:hRule="atLeast"/>
                <w:jc w:val="center"/>
              </w:trPr>
              <w:tc>
                <w:tcPr>
                  <w:tcW w:w="521" w:type="dxa"/>
                  <w:noWrap/>
                  <w:vAlign w:val="center"/>
                </w:tcPr>
                <w:p>
                  <w:pPr>
                    <w:jc w:val="center"/>
                    <w:rPr>
                      <w:color w:val="auto"/>
                      <w:szCs w:val="21"/>
                      <w:highlight w:val="none"/>
                    </w:rPr>
                  </w:pPr>
                  <w:r>
                    <w:rPr>
                      <w:color w:val="auto"/>
                      <w:szCs w:val="21"/>
                      <w:highlight w:val="none"/>
                    </w:rPr>
                    <w:t>2</w:t>
                  </w:r>
                </w:p>
              </w:tc>
              <w:tc>
                <w:tcPr>
                  <w:tcW w:w="769" w:type="dxa"/>
                  <w:noWrap/>
                  <w:vAlign w:val="center"/>
                </w:tcPr>
                <w:p>
                  <w:pPr>
                    <w:widowControl/>
                    <w:jc w:val="center"/>
                    <w:textAlignment w:val="bottom"/>
                    <w:rPr>
                      <w:color w:val="auto"/>
                      <w:szCs w:val="21"/>
                      <w:highlight w:val="none"/>
                    </w:rPr>
                  </w:pPr>
                  <w:r>
                    <w:rPr>
                      <w:color w:val="auto"/>
                      <w:kern w:val="0"/>
                      <w:szCs w:val="21"/>
                      <w:highlight w:val="none"/>
                      <w:lang w:bidi="ar"/>
                    </w:rPr>
                    <w:t>粉（烟）尘</w:t>
                  </w:r>
                </w:p>
              </w:tc>
              <w:tc>
                <w:tcPr>
                  <w:tcW w:w="1133" w:type="dxa"/>
                  <w:noWrap/>
                  <w:vAlign w:val="center"/>
                </w:tcPr>
                <w:p>
                  <w:pPr>
                    <w:widowControl/>
                    <w:jc w:val="center"/>
                    <w:textAlignment w:val="bottom"/>
                    <w:rPr>
                      <w:color w:val="auto"/>
                      <w:szCs w:val="21"/>
                      <w:highlight w:val="none"/>
                    </w:rPr>
                  </w:pPr>
                  <w:r>
                    <w:rPr>
                      <w:color w:val="auto"/>
                      <w:kern w:val="0"/>
                      <w:szCs w:val="21"/>
                      <w:highlight w:val="none"/>
                      <w:lang w:bidi="ar"/>
                    </w:rPr>
                    <w:t>除尘器</w:t>
                  </w:r>
                </w:p>
              </w:tc>
              <w:tc>
                <w:tcPr>
                  <w:tcW w:w="1034" w:type="dxa"/>
                  <w:noWrap/>
                  <w:vAlign w:val="center"/>
                </w:tcPr>
                <w:p>
                  <w:pPr>
                    <w:widowControl/>
                    <w:jc w:val="center"/>
                    <w:textAlignment w:val="bottom"/>
                    <w:rPr>
                      <w:color w:val="auto"/>
                      <w:szCs w:val="21"/>
                      <w:highlight w:val="none"/>
                    </w:rPr>
                  </w:pPr>
                  <w:r>
                    <w:rPr>
                      <w:rFonts w:hint="eastAsia"/>
                      <w:color w:val="auto"/>
                      <w:kern w:val="0"/>
                      <w:szCs w:val="21"/>
                      <w:highlight w:val="none"/>
                      <w:lang w:bidi="ar"/>
                    </w:rPr>
                    <w:t>8.591</w:t>
                  </w:r>
                </w:p>
              </w:tc>
              <w:tc>
                <w:tcPr>
                  <w:tcW w:w="992" w:type="dxa"/>
                  <w:noWrap/>
                  <w:vAlign w:val="center"/>
                </w:tcPr>
                <w:p>
                  <w:pPr>
                    <w:widowControl/>
                    <w:jc w:val="center"/>
                    <w:textAlignment w:val="bottom"/>
                    <w:rPr>
                      <w:color w:val="auto"/>
                      <w:kern w:val="0"/>
                      <w:szCs w:val="21"/>
                      <w:highlight w:val="none"/>
                      <w:lang w:bidi="ar"/>
                    </w:rPr>
                  </w:pPr>
                  <w:r>
                    <w:rPr>
                      <w:rFonts w:hint="eastAsia"/>
                      <w:color w:val="auto"/>
                      <w:kern w:val="0"/>
                      <w:szCs w:val="21"/>
                      <w:highlight w:val="none"/>
                      <w:lang w:bidi="ar"/>
                    </w:rPr>
                    <w:t>一般固废</w:t>
                  </w:r>
                </w:p>
              </w:tc>
              <w:tc>
                <w:tcPr>
                  <w:tcW w:w="992" w:type="dxa"/>
                  <w:noWrap/>
                  <w:vAlign w:val="center"/>
                </w:tcPr>
                <w:p>
                  <w:pPr>
                    <w:widowControl/>
                    <w:jc w:val="center"/>
                    <w:textAlignment w:val="bottom"/>
                    <w:rPr>
                      <w:rFonts w:hint="eastAsia"/>
                      <w:color w:val="auto"/>
                      <w:kern w:val="0"/>
                      <w:szCs w:val="21"/>
                      <w:highlight w:val="none"/>
                      <w:lang w:bidi="ar"/>
                    </w:rPr>
                  </w:pPr>
                  <w:r>
                    <w:rPr>
                      <w:rFonts w:hint="eastAsia"/>
                      <w:color w:val="auto"/>
                      <w:kern w:val="0"/>
                      <w:szCs w:val="21"/>
                      <w:highlight w:val="none"/>
                      <w:lang w:bidi="ar"/>
                    </w:rPr>
                    <w:t>/</w:t>
                  </w:r>
                </w:p>
              </w:tc>
              <w:tc>
                <w:tcPr>
                  <w:tcW w:w="616" w:type="dxa"/>
                  <w:noWrap/>
                  <w:vAlign w:val="center"/>
                </w:tcPr>
                <w:p>
                  <w:pPr>
                    <w:widowControl/>
                    <w:jc w:val="center"/>
                    <w:textAlignment w:val="bottom"/>
                    <w:rPr>
                      <w:color w:val="auto"/>
                      <w:kern w:val="0"/>
                      <w:szCs w:val="21"/>
                      <w:highlight w:val="none"/>
                      <w:lang w:bidi="ar"/>
                    </w:rPr>
                  </w:pPr>
                  <w:r>
                    <w:rPr>
                      <w:rFonts w:hint="eastAsia"/>
                      <w:color w:val="auto"/>
                      <w:kern w:val="0"/>
                      <w:szCs w:val="21"/>
                      <w:highlight w:val="none"/>
                      <w:lang w:bidi="ar"/>
                    </w:rPr>
                    <w:t>固态</w:t>
                  </w:r>
                </w:p>
              </w:tc>
              <w:tc>
                <w:tcPr>
                  <w:tcW w:w="617" w:type="dxa"/>
                  <w:noWrap/>
                  <w:vAlign w:val="center"/>
                </w:tcPr>
                <w:p>
                  <w:pPr>
                    <w:widowControl/>
                    <w:jc w:val="center"/>
                    <w:textAlignment w:val="bottom"/>
                    <w:rPr>
                      <w:rFonts w:hint="eastAsia"/>
                      <w:color w:val="auto"/>
                      <w:kern w:val="0"/>
                      <w:szCs w:val="21"/>
                      <w:highlight w:val="none"/>
                      <w:lang w:bidi="ar"/>
                    </w:rPr>
                  </w:pPr>
                  <w:r>
                    <w:rPr>
                      <w:rFonts w:hint="eastAsia"/>
                      <w:color w:val="auto"/>
                      <w:kern w:val="0"/>
                      <w:szCs w:val="21"/>
                      <w:highlight w:val="none"/>
                      <w:lang w:bidi="ar"/>
                    </w:rPr>
                    <w:t>/</w:t>
                  </w:r>
                </w:p>
              </w:tc>
              <w:tc>
                <w:tcPr>
                  <w:tcW w:w="1233" w:type="dxa"/>
                  <w:noWrap/>
                  <w:vAlign w:val="center"/>
                </w:tcPr>
                <w:p>
                  <w:pPr>
                    <w:widowControl/>
                    <w:jc w:val="center"/>
                    <w:textAlignment w:val="bottom"/>
                    <w:rPr>
                      <w:color w:val="auto"/>
                      <w:szCs w:val="21"/>
                      <w:highlight w:val="none"/>
                    </w:rPr>
                  </w:pPr>
                  <w:r>
                    <w:rPr>
                      <w:color w:val="auto"/>
                      <w:kern w:val="0"/>
                      <w:szCs w:val="21"/>
                      <w:highlight w:val="none"/>
                      <w:lang w:bidi="ar"/>
                    </w:rPr>
                    <w:t>收集后作为原料再利用</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615" w:hRule="atLeast"/>
                <w:jc w:val="center"/>
              </w:trPr>
              <w:tc>
                <w:tcPr>
                  <w:tcW w:w="521" w:type="dxa"/>
                  <w:noWrap/>
                  <w:vAlign w:val="center"/>
                </w:tcPr>
                <w:p>
                  <w:pPr>
                    <w:jc w:val="center"/>
                    <w:rPr>
                      <w:color w:val="auto"/>
                      <w:szCs w:val="21"/>
                      <w:highlight w:val="none"/>
                    </w:rPr>
                  </w:pPr>
                  <w:r>
                    <w:rPr>
                      <w:color w:val="auto"/>
                      <w:szCs w:val="21"/>
                      <w:highlight w:val="none"/>
                    </w:rPr>
                    <w:t>3</w:t>
                  </w:r>
                </w:p>
              </w:tc>
              <w:tc>
                <w:tcPr>
                  <w:tcW w:w="769" w:type="dxa"/>
                  <w:noWrap/>
                  <w:vAlign w:val="center"/>
                </w:tcPr>
                <w:p>
                  <w:pPr>
                    <w:widowControl/>
                    <w:jc w:val="center"/>
                    <w:textAlignment w:val="bottom"/>
                    <w:rPr>
                      <w:color w:val="auto"/>
                      <w:szCs w:val="21"/>
                      <w:highlight w:val="none"/>
                    </w:rPr>
                  </w:pPr>
                  <w:r>
                    <w:rPr>
                      <w:color w:val="auto"/>
                      <w:kern w:val="0"/>
                      <w:szCs w:val="21"/>
                      <w:highlight w:val="none"/>
                      <w:lang w:bidi="ar"/>
                    </w:rPr>
                    <w:t>滴漏沥青及拌和残渣</w:t>
                  </w:r>
                </w:p>
              </w:tc>
              <w:tc>
                <w:tcPr>
                  <w:tcW w:w="1133" w:type="dxa"/>
                  <w:noWrap/>
                  <w:vAlign w:val="center"/>
                </w:tcPr>
                <w:p>
                  <w:pPr>
                    <w:widowControl/>
                    <w:jc w:val="center"/>
                    <w:textAlignment w:val="bottom"/>
                    <w:rPr>
                      <w:color w:val="auto"/>
                      <w:szCs w:val="21"/>
                      <w:highlight w:val="none"/>
                    </w:rPr>
                  </w:pPr>
                  <w:r>
                    <w:rPr>
                      <w:color w:val="auto"/>
                      <w:kern w:val="0"/>
                      <w:szCs w:val="21"/>
                      <w:highlight w:val="none"/>
                      <w:lang w:bidi="ar"/>
                    </w:rPr>
                    <w:t>运输车、沥青储罐</w:t>
                  </w:r>
                  <w:r>
                    <w:rPr>
                      <w:color w:val="auto"/>
                      <w:kern w:val="0"/>
                      <w:szCs w:val="21"/>
                      <w:highlight w:val="none"/>
                      <w:lang w:bidi="ar"/>
                    </w:rPr>
                    <w:br w:type="textWrapping"/>
                  </w:r>
                  <w:r>
                    <w:rPr>
                      <w:color w:val="auto"/>
                      <w:kern w:val="0"/>
                      <w:szCs w:val="21"/>
                      <w:highlight w:val="none"/>
                      <w:lang w:bidi="ar"/>
                    </w:rPr>
                    <w:t>及沥青输送泵</w:t>
                  </w:r>
                </w:p>
              </w:tc>
              <w:tc>
                <w:tcPr>
                  <w:tcW w:w="1034" w:type="dxa"/>
                  <w:noWrap/>
                  <w:vAlign w:val="center"/>
                </w:tcPr>
                <w:p>
                  <w:pPr>
                    <w:widowControl/>
                    <w:jc w:val="center"/>
                    <w:textAlignment w:val="bottom"/>
                    <w:rPr>
                      <w:color w:val="auto"/>
                      <w:szCs w:val="21"/>
                      <w:highlight w:val="none"/>
                    </w:rPr>
                  </w:pPr>
                  <w:r>
                    <w:rPr>
                      <w:rFonts w:hint="eastAsia"/>
                      <w:color w:val="auto"/>
                      <w:kern w:val="0"/>
                      <w:szCs w:val="21"/>
                      <w:highlight w:val="none"/>
                      <w:lang w:bidi="ar"/>
                    </w:rPr>
                    <w:t>1</w:t>
                  </w:r>
                </w:p>
              </w:tc>
              <w:tc>
                <w:tcPr>
                  <w:tcW w:w="992" w:type="dxa"/>
                  <w:noWrap/>
                  <w:vAlign w:val="center"/>
                </w:tcPr>
                <w:p>
                  <w:pPr>
                    <w:widowControl/>
                    <w:jc w:val="center"/>
                    <w:textAlignment w:val="bottom"/>
                    <w:rPr>
                      <w:color w:val="auto"/>
                      <w:kern w:val="0"/>
                      <w:szCs w:val="21"/>
                      <w:highlight w:val="none"/>
                      <w:lang w:bidi="ar"/>
                    </w:rPr>
                  </w:pPr>
                  <w:r>
                    <w:rPr>
                      <w:rFonts w:hint="eastAsia"/>
                      <w:color w:val="auto"/>
                      <w:kern w:val="0"/>
                      <w:szCs w:val="21"/>
                      <w:highlight w:val="none"/>
                      <w:lang w:bidi="ar"/>
                    </w:rPr>
                    <w:t>一般固废</w:t>
                  </w:r>
                </w:p>
              </w:tc>
              <w:tc>
                <w:tcPr>
                  <w:tcW w:w="992" w:type="dxa"/>
                  <w:noWrap/>
                  <w:vAlign w:val="center"/>
                </w:tcPr>
                <w:p>
                  <w:pPr>
                    <w:widowControl/>
                    <w:jc w:val="center"/>
                    <w:textAlignment w:val="bottom"/>
                    <w:rPr>
                      <w:rFonts w:hint="eastAsia"/>
                      <w:color w:val="auto"/>
                      <w:kern w:val="0"/>
                      <w:szCs w:val="21"/>
                      <w:highlight w:val="none"/>
                      <w:lang w:bidi="ar"/>
                    </w:rPr>
                  </w:pPr>
                  <w:r>
                    <w:rPr>
                      <w:rFonts w:hint="eastAsia"/>
                      <w:color w:val="auto"/>
                      <w:kern w:val="0"/>
                      <w:szCs w:val="21"/>
                      <w:highlight w:val="none"/>
                      <w:lang w:bidi="ar"/>
                    </w:rPr>
                    <w:t>/</w:t>
                  </w:r>
                </w:p>
              </w:tc>
              <w:tc>
                <w:tcPr>
                  <w:tcW w:w="616" w:type="dxa"/>
                  <w:noWrap/>
                  <w:vAlign w:val="center"/>
                </w:tcPr>
                <w:p>
                  <w:pPr>
                    <w:widowControl/>
                    <w:jc w:val="center"/>
                    <w:textAlignment w:val="bottom"/>
                    <w:rPr>
                      <w:rFonts w:hint="eastAsia"/>
                      <w:color w:val="auto"/>
                      <w:kern w:val="0"/>
                      <w:szCs w:val="21"/>
                      <w:highlight w:val="none"/>
                      <w:lang w:bidi="ar"/>
                    </w:rPr>
                  </w:pPr>
                  <w:r>
                    <w:rPr>
                      <w:rFonts w:hint="eastAsia"/>
                      <w:color w:val="auto"/>
                      <w:kern w:val="0"/>
                      <w:szCs w:val="21"/>
                      <w:highlight w:val="none"/>
                      <w:lang w:bidi="ar"/>
                    </w:rPr>
                    <w:t>半固态</w:t>
                  </w:r>
                </w:p>
              </w:tc>
              <w:tc>
                <w:tcPr>
                  <w:tcW w:w="617" w:type="dxa"/>
                  <w:noWrap/>
                  <w:vAlign w:val="center"/>
                </w:tcPr>
                <w:p>
                  <w:pPr>
                    <w:widowControl/>
                    <w:jc w:val="center"/>
                    <w:textAlignment w:val="bottom"/>
                    <w:rPr>
                      <w:rFonts w:hint="eastAsia"/>
                      <w:color w:val="auto"/>
                      <w:kern w:val="0"/>
                      <w:szCs w:val="21"/>
                      <w:highlight w:val="none"/>
                      <w:lang w:bidi="ar"/>
                    </w:rPr>
                  </w:pPr>
                  <w:r>
                    <w:rPr>
                      <w:rFonts w:hint="eastAsia"/>
                      <w:color w:val="auto"/>
                      <w:kern w:val="0"/>
                      <w:szCs w:val="21"/>
                      <w:highlight w:val="none"/>
                      <w:lang w:bidi="ar"/>
                    </w:rPr>
                    <w:t>/</w:t>
                  </w:r>
                </w:p>
              </w:tc>
              <w:tc>
                <w:tcPr>
                  <w:tcW w:w="1233" w:type="dxa"/>
                  <w:noWrap/>
                  <w:vAlign w:val="center"/>
                </w:tcPr>
                <w:p>
                  <w:pPr>
                    <w:widowControl/>
                    <w:jc w:val="center"/>
                    <w:textAlignment w:val="bottom"/>
                    <w:rPr>
                      <w:color w:val="auto"/>
                      <w:szCs w:val="21"/>
                      <w:highlight w:val="none"/>
                    </w:rPr>
                  </w:pPr>
                  <w:r>
                    <w:rPr>
                      <w:color w:val="auto"/>
                      <w:kern w:val="0"/>
                      <w:szCs w:val="21"/>
                      <w:highlight w:val="none"/>
                      <w:lang w:bidi="ar"/>
                    </w:rPr>
                    <w:t>作为原料回用于生产</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600" w:hRule="atLeast"/>
                <w:jc w:val="center"/>
              </w:trPr>
              <w:tc>
                <w:tcPr>
                  <w:tcW w:w="521" w:type="dxa"/>
                  <w:noWrap/>
                  <w:vAlign w:val="center"/>
                </w:tcPr>
                <w:p>
                  <w:pPr>
                    <w:widowControl/>
                    <w:jc w:val="center"/>
                    <w:textAlignment w:val="bottom"/>
                    <w:rPr>
                      <w:color w:val="auto"/>
                      <w:szCs w:val="21"/>
                      <w:highlight w:val="none"/>
                    </w:rPr>
                  </w:pPr>
                  <w:r>
                    <w:rPr>
                      <w:color w:val="auto"/>
                      <w:kern w:val="0"/>
                      <w:szCs w:val="21"/>
                      <w:highlight w:val="none"/>
                      <w:lang w:bidi="ar"/>
                    </w:rPr>
                    <w:t>4</w:t>
                  </w:r>
                </w:p>
              </w:tc>
              <w:tc>
                <w:tcPr>
                  <w:tcW w:w="769" w:type="dxa"/>
                  <w:noWrap/>
                  <w:vAlign w:val="center"/>
                </w:tcPr>
                <w:p>
                  <w:pPr>
                    <w:widowControl/>
                    <w:jc w:val="center"/>
                    <w:textAlignment w:val="bottom"/>
                    <w:rPr>
                      <w:color w:val="auto"/>
                      <w:szCs w:val="21"/>
                      <w:highlight w:val="none"/>
                    </w:rPr>
                  </w:pPr>
                  <w:r>
                    <w:rPr>
                      <w:color w:val="auto"/>
                      <w:kern w:val="0"/>
                      <w:szCs w:val="21"/>
                      <w:highlight w:val="none"/>
                      <w:lang w:bidi="ar"/>
                    </w:rPr>
                    <w:t>生活垃圾</w:t>
                  </w:r>
                </w:p>
              </w:tc>
              <w:tc>
                <w:tcPr>
                  <w:tcW w:w="1133" w:type="dxa"/>
                  <w:noWrap/>
                  <w:vAlign w:val="center"/>
                </w:tcPr>
                <w:p>
                  <w:pPr>
                    <w:widowControl/>
                    <w:jc w:val="center"/>
                    <w:textAlignment w:val="bottom"/>
                    <w:rPr>
                      <w:color w:val="auto"/>
                      <w:szCs w:val="21"/>
                      <w:highlight w:val="none"/>
                    </w:rPr>
                  </w:pPr>
                  <w:r>
                    <w:rPr>
                      <w:color w:val="auto"/>
                      <w:kern w:val="0"/>
                      <w:szCs w:val="21"/>
                      <w:highlight w:val="none"/>
                      <w:lang w:bidi="ar"/>
                    </w:rPr>
                    <w:t>办公用房、沥青</w:t>
                  </w:r>
                  <w:r>
                    <w:rPr>
                      <w:color w:val="auto"/>
                      <w:kern w:val="0"/>
                      <w:szCs w:val="21"/>
                      <w:highlight w:val="none"/>
                      <w:lang w:bidi="ar"/>
                    </w:rPr>
                    <w:br w:type="textWrapping"/>
                  </w:r>
                  <w:r>
                    <w:rPr>
                      <w:color w:val="auto"/>
                      <w:kern w:val="0"/>
                      <w:szCs w:val="21"/>
                      <w:highlight w:val="none"/>
                      <w:lang w:bidi="ar"/>
                    </w:rPr>
                    <w:t>混凝土搅拌主楼等</w:t>
                  </w:r>
                </w:p>
              </w:tc>
              <w:tc>
                <w:tcPr>
                  <w:tcW w:w="1034" w:type="dxa"/>
                  <w:noWrap/>
                  <w:vAlign w:val="center"/>
                </w:tcPr>
                <w:p>
                  <w:pPr>
                    <w:widowControl/>
                    <w:jc w:val="center"/>
                    <w:textAlignment w:val="bottom"/>
                    <w:rPr>
                      <w:color w:val="auto"/>
                      <w:szCs w:val="21"/>
                      <w:highlight w:val="none"/>
                    </w:rPr>
                  </w:pPr>
                  <w:r>
                    <w:rPr>
                      <w:rFonts w:hint="eastAsia"/>
                      <w:color w:val="auto"/>
                      <w:kern w:val="0"/>
                      <w:szCs w:val="21"/>
                      <w:highlight w:val="none"/>
                      <w:lang w:bidi="ar"/>
                    </w:rPr>
                    <w:t>1.5</w:t>
                  </w:r>
                </w:p>
              </w:tc>
              <w:tc>
                <w:tcPr>
                  <w:tcW w:w="992" w:type="dxa"/>
                  <w:noWrap/>
                  <w:vAlign w:val="center"/>
                </w:tcPr>
                <w:p>
                  <w:pPr>
                    <w:widowControl/>
                    <w:jc w:val="center"/>
                    <w:textAlignment w:val="bottom"/>
                    <w:rPr>
                      <w:color w:val="auto"/>
                      <w:kern w:val="0"/>
                      <w:szCs w:val="21"/>
                      <w:highlight w:val="none"/>
                      <w:lang w:bidi="ar"/>
                    </w:rPr>
                  </w:pPr>
                  <w:r>
                    <w:rPr>
                      <w:rFonts w:hint="eastAsia"/>
                      <w:color w:val="auto"/>
                      <w:kern w:val="0"/>
                      <w:szCs w:val="21"/>
                      <w:highlight w:val="none"/>
                      <w:lang w:bidi="ar"/>
                    </w:rPr>
                    <w:t>一般固废</w:t>
                  </w:r>
                </w:p>
              </w:tc>
              <w:tc>
                <w:tcPr>
                  <w:tcW w:w="992" w:type="dxa"/>
                  <w:noWrap/>
                  <w:vAlign w:val="center"/>
                </w:tcPr>
                <w:p>
                  <w:pPr>
                    <w:widowControl/>
                    <w:jc w:val="center"/>
                    <w:textAlignment w:val="bottom"/>
                    <w:rPr>
                      <w:rFonts w:hint="eastAsia"/>
                      <w:color w:val="auto"/>
                      <w:kern w:val="0"/>
                      <w:szCs w:val="21"/>
                      <w:highlight w:val="none"/>
                      <w:lang w:bidi="ar"/>
                    </w:rPr>
                  </w:pPr>
                  <w:r>
                    <w:rPr>
                      <w:rFonts w:hint="eastAsia"/>
                      <w:color w:val="auto"/>
                      <w:kern w:val="0"/>
                      <w:szCs w:val="21"/>
                      <w:highlight w:val="none"/>
                      <w:lang w:bidi="ar"/>
                    </w:rPr>
                    <w:t>/</w:t>
                  </w:r>
                </w:p>
              </w:tc>
              <w:tc>
                <w:tcPr>
                  <w:tcW w:w="616" w:type="dxa"/>
                  <w:noWrap/>
                  <w:vAlign w:val="center"/>
                </w:tcPr>
                <w:p>
                  <w:pPr>
                    <w:widowControl/>
                    <w:jc w:val="center"/>
                    <w:textAlignment w:val="bottom"/>
                    <w:rPr>
                      <w:color w:val="auto"/>
                      <w:kern w:val="0"/>
                      <w:szCs w:val="21"/>
                      <w:highlight w:val="none"/>
                      <w:lang w:bidi="ar"/>
                    </w:rPr>
                  </w:pPr>
                  <w:r>
                    <w:rPr>
                      <w:rFonts w:hint="eastAsia"/>
                      <w:color w:val="auto"/>
                      <w:kern w:val="0"/>
                      <w:szCs w:val="21"/>
                      <w:highlight w:val="none"/>
                      <w:lang w:bidi="ar"/>
                    </w:rPr>
                    <w:t>固态</w:t>
                  </w:r>
                </w:p>
              </w:tc>
              <w:tc>
                <w:tcPr>
                  <w:tcW w:w="617" w:type="dxa"/>
                  <w:noWrap/>
                  <w:vAlign w:val="center"/>
                </w:tcPr>
                <w:p>
                  <w:pPr>
                    <w:widowControl/>
                    <w:jc w:val="center"/>
                    <w:textAlignment w:val="bottom"/>
                    <w:rPr>
                      <w:rFonts w:hint="eastAsia"/>
                      <w:color w:val="auto"/>
                      <w:kern w:val="0"/>
                      <w:szCs w:val="21"/>
                      <w:highlight w:val="none"/>
                      <w:lang w:bidi="ar"/>
                    </w:rPr>
                  </w:pPr>
                  <w:r>
                    <w:rPr>
                      <w:rFonts w:hint="eastAsia"/>
                      <w:color w:val="auto"/>
                      <w:kern w:val="0"/>
                      <w:szCs w:val="21"/>
                      <w:highlight w:val="none"/>
                      <w:lang w:bidi="ar"/>
                    </w:rPr>
                    <w:t>/</w:t>
                  </w:r>
                </w:p>
              </w:tc>
              <w:tc>
                <w:tcPr>
                  <w:tcW w:w="1233" w:type="dxa"/>
                  <w:noWrap/>
                  <w:vAlign w:val="center"/>
                </w:tcPr>
                <w:p>
                  <w:pPr>
                    <w:widowControl/>
                    <w:jc w:val="center"/>
                    <w:textAlignment w:val="bottom"/>
                    <w:rPr>
                      <w:color w:val="auto"/>
                      <w:szCs w:val="21"/>
                      <w:highlight w:val="none"/>
                    </w:rPr>
                  </w:pPr>
                  <w:r>
                    <w:rPr>
                      <w:color w:val="auto"/>
                      <w:kern w:val="0"/>
                      <w:szCs w:val="21"/>
                      <w:highlight w:val="none"/>
                      <w:lang w:bidi="ar"/>
                    </w:rPr>
                    <w:t>集中收集后交由环卫</w:t>
                  </w:r>
                  <w:r>
                    <w:rPr>
                      <w:color w:val="auto"/>
                      <w:kern w:val="0"/>
                      <w:szCs w:val="21"/>
                      <w:highlight w:val="none"/>
                      <w:lang w:bidi="ar"/>
                    </w:rPr>
                    <w:br w:type="textWrapping"/>
                  </w:r>
                  <w:r>
                    <w:rPr>
                      <w:color w:val="auto"/>
                      <w:kern w:val="0"/>
                      <w:szCs w:val="21"/>
                      <w:highlight w:val="none"/>
                      <w:lang w:bidi="ar"/>
                    </w:rPr>
                    <w:t>部门处理</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600" w:hRule="atLeast"/>
                <w:jc w:val="center"/>
              </w:trPr>
              <w:tc>
                <w:tcPr>
                  <w:tcW w:w="521" w:type="dxa"/>
                  <w:noWrap/>
                  <w:vAlign w:val="center"/>
                </w:tcPr>
                <w:p>
                  <w:pPr>
                    <w:widowControl/>
                    <w:jc w:val="center"/>
                    <w:textAlignment w:val="bottom"/>
                    <w:rPr>
                      <w:color w:val="auto"/>
                      <w:kern w:val="0"/>
                      <w:szCs w:val="21"/>
                      <w:highlight w:val="none"/>
                      <w:lang w:bidi="ar"/>
                    </w:rPr>
                  </w:pPr>
                  <w:r>
                    <w:rPr>
                      <w:rFonts w:hint="eastAsia"/>
                      <w:color w:val="auto"/>
                      <w:kern w:val="0"/>
                      <w:szCs w:val="21"/>
                      <w:highlight w:val="none"/>
                      <w:lang w:bidi="ar"/>
                    </w:rPr>
                    <w:t>5</w:t>
                  </w:r>
                </w:p>
              </w:tc>
              <w:tc>
                <w:tcPr>
                  <w:tcW w:w="769" w:type="dxa"/>
                  <w:noWrap/>
                  <w:vAlign w:val="center"/>
                </w:tcPr>
                <w:p>
                  <w:pPr>
                    <w:widowControl/>
                    <w:jc w:val="center"/>
                    <w:textAlignment w:val="bottom"/>
                    <w:rPr>
                      <w:color w:val="auto"/>
                      <w:kern w:val="0"/>
                      <w:szCs w:val="21"/>
                      <w:highlight w:val="none"/>
                      <w:lang w:bidi="ar"/>
                    </w:rPr>
                  </w:pPr>
                  <w:r>
                    <w:rPr>
                      <w:color w:val="auto"/>
                      <w:kern w:val="0"/>
                      <w:szCs w:val="21"/>
                      <w:highlight w:val="none"/>
                      <w:lang w:bidi="ar"/>
                    </w:rPr>
                    <w:t>废布袋</w:t>
                  </w:r>
                </w:p>
              </w:tc>
              <w:tc>
                <w:tcPr>
                  <w:tcW w:w="1133" w:type="dxa"/>
                  <w:noWrap/>
                  <w:vAlign w:val="center"/>
                </w:tcPr>
                <w:p>
                  <w:pPr>
                    <w:widowControl/>
                    <w:jc w:val="center"/>
                    <w:textAlignment w:val="bottom"/>
                    <w:rPr>
                      <w:color w:val="auto"/>
                      <w:kern w:val="0"/>
                      <w:szCs w:val="21"/>
                      <w:highlight w:val="none"/>
                      <w:lang w:bidi="ar"/>
                    </w:rPr>
                  </w:pPr>
                  <w:r>
                    <w:rPr>
                      <w:color w:val="auto"/>
                      <w:kern w:val="0"/>
                      <w:szCs w:val="21"/>
                      <w:highlight w:val="none"/>
                      <w:lang w:bidi="ar"/>
                    </w:rPr>
                    <w:t>布袋除尘器更换</w:t>
                  </w:r>
                </w:p>
              </w:tc>
              <w:tc>
                <w:tcPr>
                  <w:tcW w:w="1034" w:type="dxa"/>
                  <w:noWrap/>
                  <w:vAlign w:val="center"/>
                </w:tcPr>
                <w:p>
                  <w:pPr>
                    <w:widowControl/>
                    <w:jc w:val="center"/>
                    <w:textAlignment w:val="bottom"/>
                    <w:rPr>
                      <w:rFonts w:hint="eastAsia"/>
                      <w:color w:val="auto"/>
                      <w:kern w:val="0"/>
                      <w:szCs w:val="21"/>
                      <w:highlight w:val="none"/>
                      <w:lang w:bidi="ar"/>
                    </w:rPr>
                  </w:pPr>
                  <w:r>
                    <w:rPr>
                      <w:rFonts w:hint="eastAsia"/>
                      <w:color w:val="auto"/>
                      <w:kern w:val="0"/>
                      <w:szCs w:val="21"/>
                      <w:highlight w:val="none"/>
                      <w:lang w:bidi="ar"/>
                    </w:rPr>
                    <w:t>每2年左右更换一次</w:t>
                  </w:r>
                </w:p>
              </w:tc>
              <w:tc>
                <w:tcPr>
                  <w:tcW w:w="992" w:type="dxa"/>
                  <w:noWrap/>
                  <w:vAlign w:val="center"/>
                </w:tcPr>
                <w:p>
                  <w:pPr>
                    <w:widowControl/>
                    <w:jc w:val="center"/>
                    <w:textAlignment w:val="bottom"/>
                    <w:rPr>
                      <w:rFonts w:hint="eastAsia"/>
                      <w:color w:val="auto"/>
                      <w:kern w:val="0"/>
                      <w:szCs w:val="21"/>
                      <w:highlight w:val="none"/>
                      <w:lang w:bidi="ar"/>
                    </w:rPr>
                  </w:pPr>
                  <w:r>
                    <w:rPr>
                      <w:rFonts w:hint="eastAsia"/>
                      <w:color w:val="auto"/>
                      <w:kern w:val="0"/>
                      <w:szCs w:val="21"/>
                      <w:highlight w:val="none"/>
                      <w:lang w:bidi="ar"/>
                    </w:rPr>
                    <w:t>一般固废</w:t>
                  </w:r>
                </w:p>
              </w:tc>
              <w:tc>
                <w:tcPr>
                  <w:tcW w:w="992" w:type="dxa"/>
                  <w:noWrap/>
                  <w:vAlign w:val="center"/>
                </w:tcPr>
                <w:p>
                  <w:pPr>
                    <w:widowControl/>
                    <w:jc w:val="center"/>
                    <w:textAlignment w:val="bottom"/>
                    <w:rPr>
                      <w:rFonts w:hint="eastAsia"/>
                      <w:color w:val="auto"/>
                      <w:kern w:val="0"/>
                      <w:szCs w:val="21"/>
                      <w:highlight w:val="none"/>
                      <w:lang w:bidi="ar"/>
                    </w:rPr>
                  </w:pPr>
                  <w:r>
                    <w:rPr>
                      <w:rFonts w:hint="eastAsia"/>
                      <w:color w:val="auto"/>
                      <w:kern w:val="0"/>
                      <w:szCs w:val="21"/>
                      <w:highlight w:val="none"/>
                      <w:lang w:bidi="ar"/>
                    </w:rPr>
                    <w:t>/</w:t>
                  </w:r>
                </w:p>
              </w:tc>
              <w:tc>
                <w:tcPr>
                  <w:tcW w:w="616" w:type="dxa"/>
                  <w:noWrap/>
                  <w:vAlign w:val="center"/>
                </w:tcPr>
                <w:p>
                  <w:pPr>
                    <w:widowControl/>
                    <w:jc w:val="center"/>
                    <w:textAlignment w:val="bottom"/>
                    <w:rPr>
                      <w:rFonts w:hint="eastAsia"/>
                      <w:color w:val="auto"/>
                      <w:kern w:val="0"/>
                      <w:szCs w:val="21"/>
                      <w:highlight w:val="none"/>
                      <w:lang w:bidi="ar"/>
                    </w:rPr>
                  </w:pPr>
                  <w:r>
                    <w:rPr>
                      <w:color w:val="auto"/>
                      <w:kern w:val="0"/>
                      <w:szCs w:val="21"/>
                      <w:highlight w:val="none"/>
                      <w:lang w:bidi="ar"/>
                    </w:rPr>
                    <w:t>固态</w:t>
                  </w:r>
                </w:p>
              </w:tc>
              <w:tc>
                <w:tcPr>
                  <w:tcW w:w="617" w:type="dxa"/>
                  <w:noWrap/>
                  <w:vAlign w:val="center"/>
                </w:tcPr>
                <w:p>
                  <w:pPr>
                    <w:widowControl/>
                    <w:jc w:val="center"/>
                    <w:textAlignment w:val="bottom"/>
                    <w:rPr>
                      <w:rFonts w:hint="eastAsia"/>
                      <w:color w:val="auto"/>
                      <w:kern w:val="0"/>
                      <w:szCs w:val="21"/>
                      <w:highlight w:val="none"/>
                      <w:lang w:bidi="ar"/>
                    </w:rPr>
                  </w:pPr>
                  <w:r>
                    <w:rPr>
                      <w:rFonts w:hint="eastAsia"/>
                      <w:color w:val="auto"/>
                      <w:kern w:val="0"/>
                      <w:szCs w:val="21"/>
                      <w:highlight w:val="none"/>
                      <w:lang w:bidi="ar"/>
                    </w:rPr>
                    <w:t>/</w:t>
                  </w:r>
                </w:p>
              </w:tc>
              <w:tc>
                <w:tcPr>
                  <w:tcW w:w="1233" w:type="dxa"/>
                  <w:noWrap/>
                  <w:vAlign w:val="center"/>
                </w:tcPr>
                <w:p>
                  <w:pPr>
                    <w:widowControl/>
                    <w:jc w:val="center"/>
                    <w:textAlignment w:val="bottom"/>
                    <w:rPr>
                      <w:color w:val="auto"/>
                      <w:kern w:val="0"/>
                      <w:szCs w:val="21"/>
                      <w:highlight w:val="none"/>
                      <w:lang w:bidi="ar"/>
                    </w:rPr>
                  </w:pPr>
                  <w:r>
                    <w:rPr>
                      <w:color w:val="auto"/>
                      <w:kern w:val="0"/>
                      <w:szCs w:val="21"/>
                      <w:highlight w:val="none"/>
                      <w:lang w:bidi="ar"/>
                    </w:rPr>
                    <w:t>由更换厂家回收</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630" w:hRule="atLeast"/>
                <w:jc w:val="center"/>
              </w:trPr>
              <w:tc>
                <w:tcPr>
                  <w:tcW w:w="521" w:type="dxa"/>
                  <w:noWrap/>
                  <w:vAlign w:val="center"/>
                </w:tcPr>
                <w:p>
                  <w:pPr>
                    <w:jc w:val="center"/>
                    <w:rPr>
                      <w:rFonts w:hint="eastAsia" w:eastAsia="宋体"/>
                      <w:color w:val="auto"/>
                      <w:szCs w:val="21"/>
                      <w:highlight w:val="none"/>
                      <w:lang w:val="en-US" w:eastAsia="zh-CN"/>
                    </w:rPr>
                  </w:pPr>
                  <w:r>
                    <w:rPr>
                      <w:rFonts w:hint="eastAsia"/>
                      <w:color w:val="auto"/>
                      <w:szCs w:val="21"/>
                      <w:highlight w:val="none"/>
                      <w:lang w:val="en-US" w:eastAsia="zh-CN"/>
                    </w:rPr>
                    <w:t>6</w:t>
                  </w:r>
                </w:p>
              </w:tc>
              <w:tc>
                <w:tcPr>
                  <w:tcW w:w="769" w:type="dxa"/>
                  <w:noWrap/>
                  <w:vAlign w:val="center"/>
                </w:tcPr>
                <w:p>
                  <w:pPr>
                    <w:widowControl/>
                    <w:jc w:val="center"/>
                    <w:textAlignment w:val="bottom"/>
                    <w:rPr>
                      <w:rFonts w:hint="default" w:eastAsia="宋体"/>
                      <w:color w:val="auto"/>
                      <w:kern w:val="0"/>
                      <w:szCs w:val="21"/>
                      <w:highlight w:val="none"/>
                      <w:lang w:val="en-US" w:eastAsia="zh-CN" w:bidi="ar"/>
                    </w:rPr>
                  </w:pPr>
                  <w:r>
                    <w:rPr>
                      <w:rFonts w:hint="eastAsia"/>
                      <w:color w:val="auto"/>
                      <w:kern w:val="0"/>
                      <w:szCs w:val="21"/>
                      <w:highlight w:val="none"/>
                      <w:lang w:val="en-US" w:eastAsia="zh-CN" w:bidi="ar"/>
                    </w:rPr>
                    <w:t>沉渣污泥</w:t>
                  </w:r>
                </w:p>
              </w:tc>
              <w:tc>
                <w:tcPr>
                  <w:tcW w:w="1133" w:type="dxa"/>
                  <w:noWrap/>
                  <w:vAlign w:val="center"/>
                </w:tcPr>
                <w:p>
                  <w:pPr>
                    <w:widowControl/>
                    <w:jc w:val="center"/>
                    <w:textAlignment w:val="bottom"/>
                    <w:rPr>
                      <w:rFonts w:hint="eastAsia"/>
                      <w:color w:val="auto"/>
                      <w:kern w:val="0"/>
                      <w:szCs w:val="21"/>
                      <w:highlight w:val="none"/>
                      <w:lang w:bidi="ar"/>
                    </w:rPr>
                  </w:pPr>
                  <w:r>
                    <w:rPr>
                      <w:rFonts w:hint="eastAsia"/>
                      <w:color w:val="auto"/>
                      <w:szCs w:val="21"/>
                      <w:highlight w:val="none"/>
                      <w:lang w:val="en-US" w:eastAsia="zh-CN"/>
                    </w:rPr>
                    <w:t>隔油池、化粪池、沉淀池</w:t>
                  </w:r>
                </w:p>
              </w:tc>
              <w:tc>
                <w:tcPr>
                  <w:tcW w:w="1034" w:type="dxa"/>
                  <w:noWrap/>
                  <w:vAlign w:val="center"/>
                </w:tcPr>
                <w:p>
                  <w:pPr>
                    <w:widowControl/>
                    <w:jc w:val="center"/>
                    <w:textAlignment w:val="bottom"/>
                    <w:rPr>
                      <w:color w:val="auto"/>
                      <w:kern w:val="0"/>
                      <w:szCs w:val="21"/>
                      <w:highlight w:val="none"/>
                      <w:lang w:bidi="ar"/>
                    </w:rPr>
                  </w:pPr>
                  <w:r>
                    <w:rPr>
                      <w:rFonts w:hint="eastAsia"/>
                      <w:color w:val="auto"/>
                      <w:szCs w:val="21"/>
                      <w:highlight w:val="none"/>
                      <w:lang w:val="en-US" w:eastAsia="zh-CN"/>
                    </w:rPr>
                    <w:t>0.5</w:t>
                  </w:r>
                </w:p>
              </w:tc>
              <w:tc>
                <w:tcPr>
                  <w:tcW w:w="992" w:type="dxa"/>
                  <w:noWrap/>
                  <w:vAlign w:val="center"/>
                </w:tcPr>
                <w:p>
                  <w:pPr>
                    <w:widowControl/>
                    <w:jc w:val="center"/>
                    <w:textAlignment w:val="bottom"/>
                    <w:rPr>
                      <w:rFonts w:hint="eastAsia"/>
                      <w:snapToGrid w:val="0"/>
                      <w:color w:val="auto"/>
                      <w:kern w:val="0"/>
                      <w:szCs w:val="21"/>
                      <w:highlight w:val="none"/>
                    </w:rPr>
                  </w:pPr>
                  <w:r>
                    <w:rPr>
                      <w:rFonts w:hint="eastAsia"/>
                      <w:color w:val="auto"/>
                      <w:kern w:val="0"/>
                      <w:szCs w:val="21"/>
                      <w:highlight w:val="none"/>
                      <w:lang w:bidi="ar"/>
                    </w:rPr>
                    <w:t>一般固废</w:t>
                  </w:r>
                </w:p>
              </w:tc>
              <w:tc>
                <w:tcPr>
                  <w:tcW w:w="992" w:type="dxa"/>
                  <w:noWrap/>
                  <w:vAlign w:val="center"/>
                </w:tcPr>
                <w:p>
                  <w:pPr>
                    <w:widowControl/>
                    <w:jc w:val="center"/>
                    <w:textAlignment w:val="bottom"/>
                    <w:rPr>
                      <w:rFonts w:hint="eastAsia"/>
                      <w:snapToGrid w:val="0"/>
                      <w:color w:val="auto"/>
                      <w:kern w:val="0"/>
                      <w:szCs w:val="21"/>
                      <w:highlight w:val="none"/>
                    </w:rPr>
                  </w:pPr>
                  <w:r>
                    <w:rPr>
                      <w:rFonts w:hint="eastAsia"/>
                      <w:color w:val="auto"/>
                      <w:kern w:val="0"/>
                      <w:szCs w:val="21"/>
                      <w:highlight w:val="none"/>
                      <w:lang w:bidi="ar"/>
                    </w:rPr>
                    <w:t>/</w:t>
                  </w:r>
                </w:p>
              </w:tc>
              <w:tc>
                <w:tcPr>
                  <w:tcW w:w="616" w:type="dxa"/>
                  <w:noWrap/>
                  <w:vAlign w:val="center"/>
                </w:tcPr>
                <w:p>
                  <w:pPr>
                    <w:widowControl/>
                    <w:jc w:val="center"/>
                    <w:textAlignment w:val="bottom"/>
                    <w:rPr>
                      <w:rFonts w:hint="eastAsia"/>
                      <w:color w:val="auto"/>
                      <w:kern w:val="0"/>
                      <w:szCs w:val="21"/>
                      <w:highlight w:val="none"/>
                      <w:lang w:bidi="ar"/>
                    </w:rPr>
                  </w:pPr>
                  <w:r>
                    <w:rPr>
                      <w:color w:val="auto"/>
                      <w:kern w:val="0"/>
                      <w:szCs w:val="21"/>
                      <w:highlight w:val="none"/>
                      <w:lang w:bidi="ar"/>
                    </w:rPr>
                    <w:t>固态</w:t>
                  </w:r>
                </w:p>
              </w:tc>
              <w:tc>
                <w:tcPr>
                  <w:tcW w:w="617" w:type="dxa"/>
                  <w:noWrap/>
                  <w:vAlign w:val="center"/>
                </w:tcPr>
                <w:p>
                  <w:pPr>
                    <w:widowControl/>
                    <w:jc w:val="center"/>
                    <w:textAlignment w:val="bottom"/>
                    <w:rPr>
                      <w:rFonts w:hint="eastAsia"/>
                      <w:color w:val="auto"/>
                      <w:kern w:val="0"/>
                      <w:szCs w:val="21"/>
                      <w:highlight w:val="none"/>
                      <w:lang w:bidi="ar"/>
                    </w:rPr>
                  </w:pPr>
                  <w:r>
                    <w:rPr>
                      <w:rFonts w:hint="eastAsia"/>
                      <w:color w:val="auto"/>
                      <w:kern w:val="0"/>
                      <w:szCs w:val="21"/>
                      <w:highlight w:val="none"/>
                      <w:lang w:bidi="ar"/>
                    </w:rPr>
                    <w:t>/</w:t>
                  </w:r>
                </w:p>
              </w:tc>
              <w:tc>
                <w:tcPr>
                  <w:tcW w:w="1233" w:type="dxa"/>
                  <w:noWrap/>
                  <w:vAlign w:val="center"/>
                </w:tcPr>
                <w:p>
                  <w:pPr>
                    <w:widowControl/>
                    <w:jc w:val="center"/>
                    <w:textAlignment w:val="bottom"/>
                    <w:rPr>
                      <w:color w:val="auto"/>
                      <w:kern w:val="0"/>
                      <w:szCs w:val="21"/>
                      <w:highlight w:val="none"/>
                      <w:lang w:bidi="ar"/>
                    </w:rPr>
                  </w:pPr>
                  <w:r>
                    <w:rPr>
                      <w:rFonts w:hint="eastAsia"/>
                      <w:color w:val="auto"/>
                      <w:szCs w:val="21"/>
                      <w:highlight w:val="none"/>
                      <w:lang w:val="en-US" w:eastAsia="zh-CN"/>
                    </w:rPr>
                    <w:t>送城市垃圾场卫生填埋</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630" w:hRule="atLeast"/>
                <w:jc w:val="center"/>
              </w:trPr>
              <w:tc>
                <w:tcPr>
                  <w:tcW w:w="521" w:type="dxa"/>
                  <w:noWrap/>
                  <w:vAlign w:val="center"/>
                </w:tcPr>
                <w:p>
                  <w:pPr>
                    <w:jc w:val="center"/>
                    <w:rPr>
                      <w:color w:val="auto"/>
                      <w:szCs w:val="21"/>
                      <w:highlight w:val="none"/>
                    </w:rPr>
                  </w:pPr>
                  <w:r>
                    <w:rPr>
                      <w:rFonts w:hint="eastAsia"/>
                      <w:color w:val="auto"/>
                      <w:szCs w:val="21"/>
                      <w:highlight w:val="none"/>
                    </w:rPr>
                    <w:t>6</w:t>
                  </w:r>
                </w:p>
              </w:tc>
              <w:tc>
                <w:tcPr>
                  <w:tcW w:w="769" w:type="dxa"/>
                  <w:noWrap/>
                  <w:vAlign w:val="center"/>
                </w:tcPr>
                <w:p>
                  <w:pPr>
                    <w:widowControl/>
                    <w:jc w:val="center"/>
                    <w:textAlignment w:val="bottom"/>
                    <w:rPr>
                      <w:color w:val="auto"/>
                      <w:szCs w:val="21"/>
                      <w:highlight w:val="none"/>
                    </w:rPr>
                  </w:pPr>
                  <w:r>
                    <w:rPr>
                      <w:color w:val="auto"/>
                      <w:kern w:val="0"/>
                      <w:szCs w:val="21"/>
                      <w:highlight w:val="none"/>
                      <w:lang w:bidi="ar"/>
                    </w:rPr>
                    <w:t>废机油</w:t>
                  </w:r>
                </w:p>
              </w:tc>
              <w:tc>
                <w:tcPr>
                  <w:tcW w:w="1133" w:type="dxa"/>
                  <w:noWrap/>
                  <w:vAlign w:val="center"/>
                </w:tcPr>
                <w:p>
                  <w:pPr>
                    <w:widowControl/>
                    <w:jc w:val="center"/>
                    <w:textAlignment w:val="bottom"/>
                    <w:rPr>
                      <w:color w:val="auto"/>
                      <w:szCs w:val="21"/>
                      <w:highlight w:val="none"/>
                    </w:rPr>
                  </w:pPr>
                  <w:r>
                    <w:rPr>
                      <w:rFonts w:hint="eastAsia"/>
                      <w:color w:val="auto"/>
                      <w:kern w:val="0"/>
                      <w:szCs w:val="21"/>
                      <w:highlight w:val="none"/>
                      <w:lang w:bidi="ar"/>
                    </w:rPr>
                    <w:t>车辆维护</w:t>
                  </w:r>
                </w:p>
              </w:tc>
              <w:tc>
                <w:tcPr>
                  <w:tcW w:w="1034" w:type="dxa"/>
                  <w:noWrap/>
                  <w:vAlign w:val="center"/>
                </w:tcPr>
                <w:p>
                  <w:pPr>
                    <w:widowControl/>
                    <w:jc w:val="center"/>
                    <w:textAlignment w:val="bottom"/>
                    <w:rPr>
                      <w:color w:val="auto"/>
                      <w:szCs w:val="21"/>
                      <w:highlight w:val="none"/>
                    </w:rPr>
                  </w:pPr>
                  <w:r>
                    <w:rPr>
                      <w:color w:val="auto"/>
                      <w:kern w:val="0"/>
                      <w:szCs w:val="21"/>
                      <w:highlight w:val="none"/>
                      <w:lang w:bidi="ar"/>
                    </w:rPr>
                    <w:t>少量</w:t>
                  </w:r>
                </w:p>
              </w:tc>
              <w:tc>
                <w:tcPr>
                  <w:tcW w:w="992" w:type="dxa"/>
                  <w:noWrap/>
                  <w:vAlign w:val="center"/>
                </w:tcPr>
                <w:p>
                  <w:pPr>
                    <w:widowControl/>
                    <w:jc w:val="center"/>
                    <w:textAlignment w:val="bottom"/>
                    <w:rPr>
                      <w:color w:val="auto"/>
                      <w:kern w:val="0"/>
                      <w:szCs w:val="21"/>
                      <w:highlight w:val="none"/>
                      <w:lang w:bidi="ar"/>
                    </w:rPr>
                  </w:pPr>
                  <w:r>
                    <w:rPr>
                      <w:rFonts w:hint="eastAsia"/>
                      <w:snapToGrid w:val="0"/>
                      <w:color w:val="auto"/>
                      <w:kern w:val="0"/>
                      <w:szCs w:val="21"/>
                      <w:highlight w:val="none"/>
                    </w:rPr>
                    <w:t>危险废物HW08</w:t>
                  </w:r>
                </w:p>
              </w:tc>
              <w:tc>
                <w:tcPr>
                  <w:tcW w:w="992" w:type="dxa"/>
                  <w:noWrap/>
                  <w:vAlign w:val="center"/>
                </w:tcPr>
                <w:p>
                  <w:pPr>
                    <w:widowControl/>
                    <w:jc w:val="center"/>
                    <w:textAlignment w:val="bottom"/>
                    <w:rPr>
                      <w:color w:val="auto"/>
                      <w:kern w:val="0"/>
                      <w:szCs w:val="21"/>
                      <w:highlight w:val="none"/>
                      <w:lang w:bidi="ar"/>
                    </w:rPr>
                  </w:pPr>
                  <w:r>
                    <w:rPr>
                      <w:rFonts w:hint="eastAsia"/>
                      <w:snapToGrid w:val="0"/>
                      <w:color w:val="auto"/>
                      <w:kern w:val="0"/>
                      <w:szCs w:val="21"/>
                      <w:highlight w:val="none"/>
                    </w:rPr>
                    <w:t>致癌、致畸等有毒物质</w:t>
                  </w:r>
                </w:p>
              </w:tc>
              <w:tc>
                <w:tcPr>
                  <w:tcW w:w="616" w:type="dxa"/>
                  <w:noWrap/>
                  <w:vAlign w:val="center"/>
                </w:tcPr>
                <w:p>
                  <w:pPr>
                    <w:widowControl/>
                    <w:jc w:val="center"/>
                    <w:textAlignment w:val="bottom"/>
                    <w:rPr>
                      <w:rFonts w:hint="eastAsia"/>
                      <w:color w:val="auto"/>
                      <w:kern w:val="0"/>
                      <w:szCs w:val="21"/>
                      <w:highlight w:val="none"/>
                      <w:lang w:bidi="ar"/>
                    </w:rPr>
                  </w:pPr>
                  <w:r>
                    <w:rPr>
                      <w:rFonts w:hint="eastAsia"/>
                      <w:color w:val="auto"/>
                      <w:kern w:val="0"/>
                      <w:szCs w:val="21"/>
                      <w:highlight w:val="none"/>
                      <w:lang w:bidi="ar"/>
                    </w:rPr>
                    <w:t>液态</w:t>
                  </w:r>
                </w:p>
              </w:tc>
              <w:tc>
                <w:tcPr>
                  <w:tcW w:w="617" w:type="dxa"/>
                  <w:noWrap/>
                  <w:vAlign w:val="center"/>
                </w:tcPr>
                <w:p>
                  <w:pPr>
                    <w:widowControl/>
                    <w:jc w:val="center"/>
                    <w:textAlignment w:val="bottom"/>
                    <w:rPr>
                      <w:color w:val="auto"/>
                      <w:kern w:val="0"/>
                      <w:szCs w:val="21"/>
                      <w:highlight w:val="none"/>
                      <w:lang w:bidi="ar"/>
                    </w:rPr>
                  </w:pPr>
                  <w:r>
                    <w:rPr>
                      <w:rFonts w:hint="eastAsia"/>
                      <w:color w:val="auto"/>
                      <w:kern w:val="0"/>
                      <w:szCs w:val="21"/>
                      <w:highlight w:val="none"/>
                      <w:lang w:bidi="ar"/>
                    </w:rPr>
                    <w:t>T,I</w:t>
                  </w:r>
                </w:p>
              </w:tc>
              <w:tc>
                <w:tcPr>
                  <w:tcW w:w="1233" w:type="dxa"/>
                  <w:noWrap/>
                  <w:vAlign w:val="center"/>
                </w:tcPr>
                <w:p>
                  <w:pPr>
                    <w:widowControl/>
                    <w:jc w:val="center"/>
                    <w:textAlignment w:val="bottom"/>
                    <w:rPr>
                      <w:color w:val="auto"/>
                      <w:szCs w:val="21"/>
                      <w:highlight w:val="none"/>
                    </w:rPr>
                  </w:pPr>
                  <w:r>
                    <w:rPr>
                      <w:color w:val="auto"/>
                      <w:kern w:val="0"/>
                      <w:szCs w:val="21"/>
                      <w:highlight w:val="none"/>
                      <w:lang w:bidi="ar"/>
                    </w:rPr>
                    <w:t>定期交有危险废物处置</w:t>
                  </w:r>
                  <w:r>
                    <w:rPr>
                      <w:color w:val="auto"/>
                      <w:kern w:val="0"/>
                      <w:szCs w:val="21"/>
                      <w:highlight w:val="none"/>
                      <w:lang w:bidi="ar"/>
                    </w:rPr>
                    <w:br w:type="textWrapping"/>
                  </w:r>
                  <w:r>
                    <w:rPr>
                      <w:color w:val="auto"/>
                      <w:kern w:val="0"/>
                      <w:szCs w:val="21"/>
                      <w:highlight w:val="none"/>
                      <w:lang w:bidi="ar"/>
                    </w:rPr>
                    <w:t>资质部门处理</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450" w:hRule="atLeast"/>
                <w:jc w:val="center"/>
              </w:trPr>
              <w:tc>
                <w:tcPr>
                  <w:tcW w:w="2423" w:type="dxa"/>
                  <w:gridSpan w:val="3"/>
                  <w:noWrap/>
                  <w:vAlign w:val="center"/>
                </w:tcPr>
                <w:p>
                  <w:pPr>
                    <w:widowControl/>
                    <w:jc w:val="center"/>
                    <w:textAlignment w:val="bottom"/>
                    <w:rPr>
                      <w:color w:val="auto"/>
                      <w:szCs w:val="21"/>
                      <w:highlight w:val="none"/>
                    </w:rPr>
                  </w:pPr>
                  <w:r>
                    <w:rPr>
                      <w:color w:val="auto"/>
                      <w:kern w:val="0"/>
                      <w:szCs w:val="21"/>
                      <w:highlight w:val="none"/>
                      <w:lang w:bidi="ar"/>
                    </w:rPr>
                    <w:t>合计</w:t>
                  </w:r>
                </w:p>
              </w:tc>
              <w:tc>
                <w:tcPr>
                  <w:tcW w:w="5484" w:type="dxa"/>
                  <w:gridSpan w:val="6"/>
                  <w:noWrap/>
                  <w:vAlign w:val="center"/>
                </w:tcPr>
                <w:p>
                  <w:pPr>
                    <w:jc w:val="center"/>
                    <w:rPr>
                      <w:color w:val="auto"/>
                      <w:szCs w:val="21"/>
                      <w:highlight w:val="none"/>
                    </w:rPr>
                  </w:pPr>
                  <w:r>
                    <w:rPr>
                      <w:rFonts w:hint="eastAsia"/>
                      <w:color w:val="auto"/>
                      <w:kern w:val="0"/>
                      <w:szCs w:val="21"/>
                      <w:highlight w:val="none"/>
                      <w:lang w:bidi="ar"/>
                    </w:rPr>
                    <w:t>106.</w:t>
                  </w:r>
                  <w:r>
                    <w:rPr>
                      <w:rFonts w:hint="eastAsia"/>
                      <w:color w:val="auto"/>
                      <w:kern w:val="0"/>
                      <w:szCs w:val="21"/>
                      <w:highlight w:val="none"/>
                      <w:lang w:val="en-US" w:eastAsia="zh-CN" w:bidi="ar"/>
                    </w:rPr>
                    <w:t>5</w:t>
                  </w:r>
                  <w:r>
                    <w:rPr>
                      <w:rFonts w:hint="eastAsia"/>
                      <w:color w:val="auto"/>
                      <w:kern w:val="0"/>
                      <w:szCs w:val="21"/>
                      <w:highlight w:val="none"/>
                      <w:lang w:bidi="ar"/>
                    </w:rPr>
                    <w:t>9</w:t>
                  </w:r>
                </w:p>
              </w:tc>
            </w:tr>
          </w:tbl>
          <w:p>
            <w:pPr>
              <w:adjustRightInd w:val="0"/>
              <w:snapToGrid w:val="0"/>
              <w:spacing w:line="360" w:lineRule="auto"/>
              <w:ind w:firstLine="480" w:firstLineChars="200"/>
              <w:rPr>
                <w:rFonts w:hint="eastAsia"/>
                <w:snapToGrid w:val="0"/>
                <w:color w:val="auto"/>
                <w:kern w:val="0"/>
                <w:sz w:val="24"/>
                <w:highlight w:val="none"/>
              </w:rPr>
            </w:pPr>
            <w:r>
              <w:rPr>
                <w:rFonts w:hint="eastAsia"/>
                <w:snapToGrid w:val="0"/>
                <w:color w:val="auto"/>
                <w:kern w:val="0"/>
                <w:sz w:val="24"/>
                <w:highlight w:val="none"/>
              </w:rPr>
              <w:t>由以上可知，本项目固体废物贮存方式、利用处置方式和去向如下表所示：</w:t>
            </w:r>
          </w:p>
          <w:p>
            <w:pPr>
              <w:spacing w:line="360" w:lineRule="auto"/>
              <w:jc w:val="center"/>
              <w:rPr>
                <w:rFonts w:hint="eastAsia"/>
                <w:b/>
                <w:bCs/>
                <w:color w:val="auto"/>
                <w:sz w:val="24"/>
                <w:highlight w:val="none"/>
              </w:rPr>
            </w:pPr>
            <w:r>
              <w:rPr>
                <w:rFonts w:hint="eastAsia"/>
                <w:b/>
                <w:bCs/>
                <w:color w:val="auto"/>
                <w:sz w:val="24"/>
                <w:highlight w:val="none"/>
              </w:rPr>
              <w:t>表4-22 固体废物处置措施一览表</w:t>
            </w:r>
          </w:p>
          <w:tbl>
            <w:tblPr>
              <w:tblStyle w:val="39"/>
              <w:tblW w:w="0" w:type="auto"/>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15" w:type="dxa"/>
                <w:left w:w="15" w:type="dxa"/>
                <w:bottom w:w="15" w:type="dxa"/>
                <w:right w:w="15" w:type="dxa"/>
              </w:tblCellMar>
            </w:tblPr>
            <w:tblGrid>
              <w:gridCol w:w="1185"/>
              <w:gridCol w:w="1252"/>
              <w:gridCol w:w="1967"/>
              <w:gridCol w:w="2597"/>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615" w:hRule="atLeast"/>
                <w:jc w:val="center"/>
              </w:trPr>
              <w:tc>
                <w:tcPr>
                  <w:tcW w:w="1185" w:type="dxa"/>
                  <w:noWrap/>
                  <w:vAlign w:val="center"/>
                </w:tcPr>
                <w:p>
                  <w:pPr>
                    <w:widowControl/>
                    <w:jc w:val="center"/>
                    <w:textAlignment w:val="bottom"/>
                    <w:rPr>
                      <w:b/>
                      <w:bCs/>
                      <w:color w:val="auto"/>
                      <w:szCs w:val="21"/>
                      <w:highlight w:val="none"/>
                    </w:rPr>
                  </w:pPr>
                  <w:r>
                    <w:rPr>
                      <w:b/>
                      <w:bCs/>
                      <w:color w:val="auto"/>
                      <w:kern w:val="0"/>
                      <w:szCs w:val="21"/>
                      <w:highlight w:val="none"/>
                      <w:lang w:bidi="ar"/>
                    </w:rPr>
                    <w:t>序号</w:t>
                  </w:r>
                </w:p>
              </w:tc>
              <w:tc>
                <w:tcPr>
                  <w:tcW w:w="1252" w:type="dxa"/>
                  <w:noWrap/>
                  <w:vAlign w:val="center"/>
                </w:tcPr>
                <w:p>
                  <w:pPr>
                    <w:widowControl/>
                    <w:jc w:val="center"/>
                    <w:textAlignment w:val="bottom"/>
                    <w:rPr>
                      <w:b/>
                      <w:bCs/>
                      <w:color w:val="auto"/>
                      <w:szCs w:val="21"/>
                      <w:highlight w:val="none"/>
                    </w:rPr>
                  </w:pPr>
                  <w:r>
                    <w:rPr>
                      <w:b/>
                      <w:bCs/>
                      <w:color w:val="auto"/>
                      <w:kern w:val="0"/>
                      <w:szCs w:val="21"/>
                      <w:highlight w:val="none"/>
                      <w:lang w:bidi="ar"/>
                    </w:rPr>
                    <w:t>固废名称</w:t>
                  </w:r>
                </w:p>
              </w:tc>
              <w:tc>
                <w:tcPr>
                  <w:tcW w:w="1967" w:type="dxa"/>
                  <w:noWrap/>
                  <w:vAlign w:val="center"/>
                </w:tcPr>
                <w:p>
                  <w:pPr>
                    <w:widowControl/>
                    <w:jc w:val="center"/>
                    <w:textAlignment w:val="bottom"/>
                    <w:rPr>
                      <w:b/>
                      <w:bCs/>
                      <w:color w:val="auto"/>
                      <w:szCs w:val="21"/>
                      <w:highlight w:val="none"/>
                    </w:rPr>
                  </w:pPr>
                  <w:r>
                    <w:rPr>
                      <w:b/>
                      <w:bCs/>
                      <w:color w:val="auto"/>
                      <w:kern w:val="0"/>
                      <w:szCs w:val="21"/>
                      <w:highlight w:val="none"/>
                      <w:lang w:bidi="ar"/>
                    </w:rPr>
                    <w:t>产生源</w:t>
                  </w:r>
                </w:p>
              </w:tc>
              <w:tc>
                <w:tcPr>
                  <w:tcW w:w="2597" w:type="dxa"/>
                  <w:noWrap/>
                  <w:vAlign w:val="center"/>
                </w:tcPr>
                <w:p>
                  <w:pPr>
                    <w:widowControl/>
                    <w:jc w:val="center"/>
                    <w:textAlignment w:val="bottom"/>
                    <w:rPr>
                      <w:b/>
                      <w:bCs/>
                      <w:color w:val="auto"/>
                      <w:szCs w:val="21"/>
                      <w:highlight w:val="none"/>
                    </w:rPr>
                  </w:pPr>
                  <w:r>
                    <w:rPr>
                      <w:b/>
                      <w:bCs/>
                      <w:color w:val="auto"/>
                      <w:kern w:val="0"/>
                      <w:szCs w:val="21"/>
                      <w:highlight w:val="none"/>
                      <w:lang w:bidi="ar"/>
                    </w:rPr>
                    <w:t>处理或处置措施</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630" w:hRule="atLeast"/>
                <w:jc w:val="center"/>
              </w:trPr>
              <w:tc>
                <w:tcPr>
                  <w:tcW w:w="1185" w:type="dxa"/>
                  <w:noWrap/>
                  <w:vAlign w:val="center"/>
                </w:tcPr>
                <w:p>
                  <w:pPr>
                    <w:jc w:val="center"/>
                    <w:rPr>
                      <w:color w:val="auto"/>
                      <w:szCs w:val="21"/>
                      <w:highlight w:val="none"/>
                    </w:rPr>
                  </w:pPr>
                  <w:r>
                    <w:rPr>
                      <w:color w:val="auto"/>
                      <w:szCs w:val="21"/>
                      <w:highlight w:val="none"/>
                    </w:rPr>
                    <w:t>1</w:t>
                  </w:r>
                </w:p>
              </w:tc>
              <w:tc>
                <w:tcPr>
                  <w:tcW w:w="1252" w:type="dxa"/>
                  <w:noWrap/>
                  <w:vAlign w:val="center"/>
                </w:tcPr>
                <w:p>
                  <w:pPr>
                    <w:widowControl/>
                    <w:jc w:val="center"/>
                    <w:textAlignment w:val="bottom"/>
                    <w:rPr>
                      <w:color w:val="auto"/>
                      <w:szCs w:val="21"/>
                      <w:highlight w:val="none"/>
                    </w:rPr>
                  </w:pPr>
                  <w:r>
                    <w:rPr>
                      <w:color w:val="auto"/>
                      <w:kern w:val="0"/>
                      <w:szCs w:val="21"/>
                      <w:highlight w:val="none"/>
                      <w:lang w:bidi="ar"/>
                    </w:rPr>
                    <w:t>废石料</w:t>
                  </w:r>
                </w:p>
              </w:tc>
              <w:tc>
                <w:tcPr>
                  <w:tcW w:w="1967" w:type="dxa"/>
                  <w:noWrap/>
                  <w:vAlign w:val="center"/>
                </w:tcPr>
                <w:p>
                  <w:pPr>
                    <w:widowControl/>
                    <w:jc w:val="center"/>
                    <w:textAlignment w:val="bottom"/>
                    <w:rPr>
                      <w:color w:val="auto"/>
                      <w:szCs w:val="21"/>
                      <w:highlight w:val="none"/>
                    </w:rPr>
                  </w:pPr>
                  <w:r>
                    <w:rPr>
                      <w:color w:val="auto"/>
                      <w:kern w:val="0"/>
                      <w:szCs w:val="21"/>
                      <w:highlight w:val="none"/>
                      <w:lang w:bidi="ar"/>
                    </w:rPr>
                    <w:t>振动筛</w:t>
                  </w:r>
                </w:p>
              </w:tc>
              <w:tc>
                <w:tcPr>
                  <w:tcW w:w="2597" w:type="dxa"/>
                  <w:noWrap/>
                  <w:vAlign w:val="center"/>
                </w:tcPr>
                <w:p>
                  <w:pPr>
                    <w:widowControl/>
                    <w:jc w:val="center"/>
                    <w:textAlignment w:val="bottom"/>
                    <w:rPr>
                      <w:color w:val="auto"/>
                      <w:szCs w:val="21"/>
                      <w:highlight w:val="none"/>
                    </w:rPr>
                  </w:pPr>
                  <w:r>
                    <w:rPr>
                      <w:color w:val="auto"/>
                      <w:kern w:val="0"/>
                      <w:szCs w:val="21"/>
                      <w:highlight w:val="none"/>
                      <w:lang w:bidi="ar"/>
                    </w:rPr>
                    <w:t>由骨料供应商回收破碎</w:t>
                  </w:r>
                  <w:r>
                    <w:rPr>
                      <w:color w:val="auto"/>
                      <w:kern w:val="0"/>
                      <w:szCs w:val="21"/>
                      <w:highlight w:val="none"/>
                      <w:lang w:bidi="ar"/>
                    </w:rPr>
                    <w:br w:type="textWrapping"/>
                  </w:r>
                  <w:r>
                    <w:rPr>
                      <w:color w:val="auto"/>
                      <w:kern w:val="0"/>
                      <w:szCs w:val="21"/>
                      <w:highlight w:val="none"/>
                      <w:lang w:bidi="ar"/>
                    </w:rPr>
                    <w:t>后重新利用</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450" w:hRule="atLeast"/>
                <w:jc w:val="center"/>
              </w:trPr>
              <w:tc>
                <w:tcPr>
                  <w:tcW w:w="1185" w:type="dxa"/>
                  <w:noWrap/>
                  <w:vAlign w:val="center"/>
                </w:tcPr>
                <w:p>
                  <w:pPr>
                    <w:jc w:val="center"/>
                    <w:rPr>
                      <w:color w:val="auto"/>
                      <w:szCs w:val="21"/>
                      <w:highlight w:val="none"/>
                    </w:rPr>
                  </w:pPr>
                  <w:r>
                    <w:rPr>
                      <w:color w:val="auto"/>
                      <w:szCs w:val="21"/>
                      <w:highlight w:val="none"/>
                    </w:rPr>
                    <w:t>2</w:t>
                  </w:r>
                </w:p>
              </w:tc>
              <w:tc>
                <w:tcPr>
                  <w:tcW w:w="1252" w:type="dxa"/>
                  <w:noWrap/>
                  <w:vAlign w:val="center"/>
                </w:tcPr>
                <w:p>
                  <w:pPr>
                    <w:widowControl/>
                    <w:jc w:val="center"/>
                    <w:textAlignment w:val="bottom"/>
                    <w:rPr>
                      <w:color w:val="auto"/>
                      <w:szCs w:val="21"/>
                      <w:highlight w:val="none"/>
                    </w:rPr>
                  </w:pPr>
                  <w:r>
                    <w:rPr>
                      <w:color w:val="auto"/>
                      <w:kern w:val="0"/>
                      <w:szCs w:val="21"/>
                      <w:highlight w:val="none"/>
                      <w:lang w:bidi="ar"/>
                    </w:rPr>
                    <w:t>粉（烟）尘</w:t>
                  </w:r>
                </w:p>
              </w:tc>
              <w:tc>
                <w:tcPr>
                  <w:tcW w:w="1967" w:type="dxa"/>
                  <w:noWrap/>
                  <w:vAlign w:val="center"/>
                </w:tcPr>
                <w:p>
                  <w:pPr>
                    <w:widowControl/>
                    <w:jc w:val="center"/>
                    <w:textAlignment w:val="bottom"/>
                    <w:rPr>
                      <w:color w:val="auto"/>
                      <w:szCs w:val="21"/>
                      <w:highlight w:val="none"/>
                    </w:rPr>
                  </w:pPr>
                  <w:r>
                    <w:rPr>
                      <w:color w:val="auto"/>
                      <w:kern w:val="0"/>
                      <w:szCs w:val="21"/>
                      <w:highlight w:val="none"/>
                      <w:lang w:bidi="ar"/>
                    </w:rPr>
                    <w:t>除尘器</w:t>
                  </w:r>
                </w:p>
              </w:tc>
              <w:tc>
                <w:tcPr>
                  <w:tcW w:w="2597" w:type="dxa"/>
                  <w:noWrap/>
                  <w:vAlign w:val="center"/>
                </w:tcPr>
                <w:p>
                  <w:pPr>
                    <w:widowControl/>
                    <w:jc w:val="center"/>
                    <w:textAlignment w:val="bottom"/>
                    <w:rPr>
                      <w:color w:val="auto"/>
                      <w:szCs w:val="21"/>
                      <w:highlight w:val="none"/>
                    </w:rPr>
                  </w:pPr>
                  <w:r>
                    <w:rPr>
                      <w:color w:val="auto"/>
                      <w:kern w:val="0"/>
                      <w:szCs w:val="21"/>
                      <w:highlight w:val="none"/>
                      <w:lang w:bidi="ar"/>
                    </w:rPr>
                    <w:t>收集后作为原料再利用</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615" w:hRule="atLeast"/>
                <w:jc w:val="center"/>
              </w:trPr>
              <w:tc>
                <w:tcPr>
                  <w:tcW w:w="1185" w:type="dxa"/>
                  <w:noWrap/>
                  <w:vAlign w:val="center"/>
                </w:tcPr>
                <w:p>
                  <w:pPr>
                    <w:jc w:val="center"/>
                    <w:rPr>
                      <w:color w:val="auto"/>
                      <w:szCs w:val="21"/>
                      <w:highlight w:val="none"/>
                    </w:rPr>
                  </w:pPr>
                  <w:r>
                    <w:rPr>
                      <w:color w:val="auto"/>
                      <w:szCs w:val="21"/>
                      <w:highlight w:val="none"/>
                    </w:rPr>
                    <w:t>3</w:t>
                  </w:r>
                </w:p>
              </w:tc>
              <w:tc>
                <w:tcPr>
                  <w:tcW w:w="1252" w:type="dxa"/>
                  <w:noWrap/>
                  <w:vAlign w:val="center"/>
                </w:tcPr>
                <w:p>
                  <w:pPr>
                    <w:widowControl/>
                    <w:jc w:val="center"/>
                    <w:textAlignment w:val="bottom"/>
                    <w:rPr>
                      <w:color w:val="auto"/>
                      <w:szCs w:val="21"/>
                      <w:highlight w:val="none"/>
                    </w:rPr>
                  </w:pPr>
                  <w:r>
                    <w:rPr>
                      <w:color w:val="auto"/>
                      <w:kern w:val="0"/>
                      <w:szCs w:val="21"/>
                      <w:highlight w:val="none"/>
                      <w:lang w:bidi="ar"/>
                    </w:rPr>
                    <w:t>滴漏沥青及拌和残渣</w:t>
                  </w:r>
                </w:p>
              </w:tc>
              <w:tc>
                <w:tcPr>
                  <w:tcW w:w="1967" w:type="dxa"/>
                  <w:noWrap/>
                  <w:vAlign w:val="center"/>
                </w:tcPr>
                <w:p>
                  <w:pPr>
                    <w:widowControl/>
                    <w:jc w:val="center"/>
                    <w:textAlignment w:val="bottom"/>
                    <w:rPr>
                      <w:color w:val="auto"/>
                      <w:szCs w:val="21"/>
                      <w:highlight w:val="none"/>
                    </w:rPr>
                  </w:pPr>
                  <w:r>
                    <w:rPr>
                      <w:color w:val="auto"/>
                      <w:kern w:val="0"/>
                      <w:szCs w:val="21"/>
                      <w:highlight w:val="none"/>
                      <w:lang w:bidi="ar"/>
                    </w:rPr>
                    <w:t>运输车、沥青储罐</w:t>
                  </w:r>
                  <w:r>
                    <w:rPr>
                      <w:color w:val="auto"/>
                      <w:kern w:val="0"/>
                      <w:szCs w:val="21"/>
                      <w:highlight w:val="none"/>
                      <w:lang w:bidi="ar"/>
                    </w:rPr>
                    <w:br w:type="textWrapping"/>
                  </w:r>
                  <w:r>
                    <w:rPr>
                      <w:color w:val="auto"/>
                      <w:kern w:val="0"/>
                      <w:szCs w:val="21"/>
                      <w:highlight w:val="none"/>
                      <w:lang w:bidi="ar"/>
                    </w:rPr>
                    <w:t>及沥青输送泵</w:t>
                  </w:r>
                </w:p>
              </w:tc>
              <w:tc>
                <w:tcPr>
                  <w:tcW w:w="2597" w:type="dxa"/>
                  <w:noWrap/>
                  <w:vAlign w:val="center"/>
                </w:tcPr>
                <w:p>
                  <w:pPr>
                    <w:widowControl/>
                    <w:jc w:val="center"/>
                    <w:textAlignment w:val="bottom"/>
                    <w:rPr>
                      <w:color w:val="auto"/>
                      <w:szCs w:val="21"/>
                      <w:highlight w:val="none"/>
                    </w:rPr>
                  </w:pPr>
                  <w:r>
                    <w:rPr>
                      <w:color w:val="auto"/>
                      <w:kern w:val="0"/>
                      <w:szCs w:val="21"/>
                      <w:highlight w:val="none"/>
                      <w:lang w:bidi="ar"/>
                    </w:rPr>
                    <w:t>作为原料回用于生产</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600" w:hRule="atLeast"/>
                <w:jc w:val="center"/>
              </w:trPr>
              <w:tc>
                <w:tcPr>
                  <w:tcW w:w="1185" w:type="dxa"/>
                  <w:noWrap/>
                  <w:vAlign w:val="center"/>
                </w:tcPr>
                <w:p>
                  <w:pPr>
                    <w:widowControl/>
                    <w:jc w:val="center"/>
                    <w:textAlignment w:val="bottom"/>
                    <w:rPr>
                      <w:color w:val="auto"/>
                      <w:szCs w:val="21"/>
                      <w:highlight w:val="none"/>
                    </w:rPr>
                  </w:pPr>
                  <w:r>
                    <w:rPr>
                      <w:color w:val="auto"/>
                      <w:kern w:val="0"/>
                      <w:szCs w:val="21"/>
                      <w:highlight w:val="none"/>
                      <w:lang w:bidi="ar"/>
                    </w:rPr>
                    <w:t>4</w:t>
                  </w:r>
                </w:p>
              </w:tc>
              <w:tc>
                <w:tcPr>
                  <w:tcW w:w="1252" w:type="dxa"/>
                  <w:noWrap/>
                  <w:vAlign w:val="center"/>
                </w:tcPr>
                <w:p>
                  <w:pPr>
                    <w:widowControl/>
                    <w:jc w:val="center"/>
                    <w:textAlignment w:val="bottom"/>
                    <w:rPr>
                      <w:color w:val="auto"/>
                      <w:szCs w:val="21"/>
                      <w:highlight w:val="none"/>
                    </w:rPr>
                  </w:pPr>
                  <w:r>
                    <w:rPr>
                      <w:color w:val="auto"/>
                      <w:kern w:val="0"/>
                      <w:szCs w:val="21"/>
                      <w:highlight w:val="none"/>
                      <w:lang w:bidi="ar"/>
                    </w:rPr>
                    <w:t>生活垃圾</w:t>
                  </w:r>
                </w:p>
              </w:tc>
              <w:tc>
                <w:tcPr>
                  <w:tcW w:w="1967" w:type="dxa"/>
                  <w:noWrap/>
                  <w:vAlign w:val="center"/>
                </w:tcPr>
                <w:p>
                  <w:pPr>
                    <w:widowControl/>
                    <w:jc w:val="center"/>
                    <w:textAlignment w:val="bottom"/>
                    <w:rPr>
                      <w:color w:val="auto"/>
                      <w:szCs w:val="21"/>
                      <w:highlight w:val="none"/>
                    </w:rPr>
                  </w:pPr>
                  <w:r>
                    <w:rPr>
                      <w:color w:val="auto"/>
                      <w:kern w:val="0"/>
                      <w:szCs w:val="21"/>
                      <w:highlight w:val="none"/>
                      <w:lang w:bidi="ar"/>
                    </w:rPr>
                    <w:t>办公用房、沥青</w:t>
                  </w:r>
                  <w:r>
                    <w:rPr>
                      <w:color w:val="auto"/>
                      <w:kern w:val="0"/>
                      <w:szCs w:val="21"/>
                      <w:highlight w:val="none"/>
                      <w:lang w:bidi="ar"/>
                    </w:rPr>
                    <w:br w:type="textWrapping"/>
                  </w:r>
                  <w:r>
                    <w:rPr>
                      <w:color w:val="auto"/>
                      <w:kern w:val="0"/>
                      <w:szCs w:val="21"/>
                      <w:highlight w:val="none"/>
                      <w:lang w:bidi="ar"/>
                    </w:rPr>
                    <w:t>混凝土搅拌主楼等</w:t>
                  </w:r>
                </w:p>
              </w:tc>
              <w:tc>
                <w:tcPr>
                  <w:tcW w:w="2597" w:type="dxa"/>
                  <w:noWrap/>
                  <w:vAlign w:val="center"/>
                </w:tcPr>
                <w:p>
                  <w:pPr>
                    <w:widowControl/>
                    <w:jc w:val="center"/>
                    <w:textAlignment w:val="bottom"/>
                    <w:rPr>
                      <w:color w:val="auto"/>
                      <w:szCs w:val="21"/>
                      <w:highlight w:val="none"/>
                    </w:rPr>
                  </w:pPr>
                  <w:r>
                    <w:rPr>
                      <w:color w:val="auto"/>
                      <w:kern w:val="0"/>
                      <w:szCs w:val="21"/>
                      <w:highlight w:val="none"/>
                      <w:lang w:bidi="ar"/>
                    </w:rPr>
                    <w:t>集中收集后交由环卫</w:t>
                  </w:r>
                  <w:r>
                    <w:rPr>
                      <w:color w:val="auto"/>
                      <w:kern w:val="0"/>
                      <w:szCs w:val="21"/>
                      <w:highlight w:val="none"/>
                      <w:lang w:bidi="ar"/>
                    </w:rPr>
                    <w:br w:type="textWrapping"/>
                  </w:r>
                  <w:r>
                    <w:rPr>
                      <w:color w:val="auto"/>
                      <w:kern w:val="0"/>
                      <w:szCs w:val="21"/>
                      <w:highlight w:val="none"/>
                      <w:lang w:bidi="ar"/>
                    </w:rPr>
                    <w:t>部门处理</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600" w:hRule="atLeast"/>
                <w:jc w:val="center"/>
              </w:trPr>
              <w:tc>
                <w:tcPr>
                  <w:tcW w:w="1185" w:type="dxa"/>
                  <w:noWrap/>
                  <w:vAlign w:val="center"/>
                </w:tcPr>
                <w:p>
                  <w:pPr>
                    <w:widowControl/>
                    <w:jc w:val="center"/>
                    <w:textAlignment w:val="bottom"/>
                    <w:rPr>
                      <w:color w:val="auto"/>
                      <w:kern w:val="0"/>
                      <w:szCs w:val="21"/>
                      <w:highlight w:val="none"/>
                      <w:lang w:bidi="ar"/>
                    </w:rPr>
                  </w:pPr>
                  <w:r>
                    <w:rPr>
                      <w:rFonts w:hint="eastAsia"/>
                      <w:color w:val="auto"/>
                      <w:kern w:val="0"/>
                      <w:szCs w:val="21"/>
                      <w:highlight w:val="none"/>
                      <w:lang w:bidi="ar"/>
                    </w:rPr>
                    <w:t>5</w:t>
                  </w:r>
                </w:p>
              </w:tc>
              <w:tc>
                <w:tcPr>
                  <w:tcW w:w="1252" w:type="dxa"/>
                  <w:noWrap/>
                  <w:vAlign w:val="center"/>
                </w:tcPr>
                <w:p>
                  <w:pPr>
                    <w:widowControl/>
                    <w:jc w:val="center"/>
                    <w:textAlignment w:val="bottom"/>
                    <w:rPr>
                      <w:color w:val="auto"/>
                      <w:kern w:val="0"/>
                      <w:szCs w:val="21"/>
                      <w:highlight w:val="none"/>
                      <w:lang w:bidi="ar"/>
                    </w:rPr>
                  </w:pPr>
                  <w:r>
                    <w:rPr>
                      <w:color w:val="auto"/>
                      <w:kern w:val="0"/>
                      <w:szCs w:val="21"/>
                      <w:highlight w:val="none"/>
                      <w:lang w:bidi="ar"/>
                    </w:rPr>
                    <w:t>废布袋</w:t>
                  </w:r>
                </w:p>
              </w:tc>
              <w:tc>
                <w:tcPr>
                  <w:tcW w:w="1967" w:type="dxa"/>
                  <w:noWrap/>
                  <w:vAlign w:val="center"/>
                </w:tcPr>
                <w:p>
                  <w:pPr>
                    <w:widowControl/>
                    <w:jc w:val="center"/>
                    <w:textAlignment w:val="bottom"/>
                    <w:rPr>
                      <w:color w:val="auto"/>
                      <w:kern w:val="0"/>
                      <w:szCs w:val="21"/>
                      <w:highlight w:val="none"/>
                      <w:lang w:bidi="ar"/>
                    </w:rPr>
                  </w:pPr>
                  <w:r>
                    <w:rPr>
                      <w:color w:val="auto"/>
                      <w:kern w:val="0"/>
                      <w:szCs w:val="21"/>
                      <w:highlight w:val="none"/>
                      <w:lang w:bidi="ar"/>
                    </w:rPr>
                    <w:t>布袋除尘器更换</w:t>
                  </w:r>
                </w:p>
              </w:tc>
              <w:tc>
                <w:tcPr>
                  <w:tcW w:w="2597" w:type="dxa"/>
                  <w:noWrap/>
                  <w:vAlign w:val="center"/>
                </w:tcPr>
                <w:p>
                  <w:pPr>
                    <w:widowControl/>
                    <w:jc w:val="center"/>
                    <w:textAlignment w:val="bottom"/>
                    <w:rPr>
                      <w:color w:val="auto"/>
                      <w:kern w:val="0"/>
                      <w:szCs w:val="21"/>
                      <w:highlight w:val="none"/>
                      <w:lang w:bidi="ar"/>
                    </w:rPr>
                  </w:pPr>
                  <w:r>
                    <w:rPr>
                      <w:color w:val="auto"/>
                      <w:kern w:val="0"/>
                      <w:szCs w:val="21"/>
                      <w:highlight w:val="none"/>
                      <w:lang w:bidi="ar"/>
                    </w:rPr>
                    <w:t>由更换厂家回收</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630" w:hRule="atLeast"/>
                <w:jc w:val="center"/>
              </w:trPr>
              <w:tc>
                <w:tcPr>
                  <w:tcW w:w="1185" w:type="dxa"/>
                  <w:noWrap/>
                  <w:vAlign w:val="center"/>
                </w:tcPr>
                <w:p>
                  <w:pPr>
                    <w:jc w:val="center"/>
                    <w:rPr>
                      <w:rFonts w:hint="eastAsia" w:eastAsia="宋体"/>
                      <w:color w:val="auto"/>
                      <w:szCs w:val="21"/>
                      <w:highlight w:val="none"/>
                      <w:lang w:val="en-US" w:eastAsia="zh-CN"/>
                    </w:rPr>
                  </w:pPr>
                  <w:r>
                    <w:rPr>
                      <w:rFonts w:hint="eastAsia"/>
                      <w:color w:val="auto"/>
                      <w:szCs w:val="21"/>
                      <w:highlight w:val="none"/>
                      <w:lang w:val="en-US" w:eastAsia="zh-CN"/>
                    </w:rPr>
                    <w:t>6</w:t>
                  </w:r>
                </w:p>
              </w:tc>
              <w:tc>
                <w:tcPr>
                  <w:tcW w:w="1252" w:type="dxa"/>
                  <w:noWrap/>
                  <w:vAlign w:val="center"/>
                </w:tcPr>
                <w:p>
                  <w:pPr>
                    <w:widowControl/>
                    <w:jc w:val="center"/>
                    <w:textAlignment w:val="bottom"/>
                    <w:rPr>
                      <w:color w:val="auto"/>
                      <w:kern w:val="0"/>
                      <w:szCs w:val="21"/>
                      <w:highlight w:val="none"/>
                      <w:lang w:bidi="ar"/>
                    </w:rPr>
                  </w:pPr>
                  <w:r>
                    <w:rPr>
                      <w:rFonts w:hint="eastAsia"/>
                      <w:color w:val="auto"/>
                      <w:kern w:val="0"/>
                      <w:szCs w:val="21"/>
                      <w:highlight w:val="none"/>
                      <w:lang w:val="en-US" w:eastAsia="zh-CN" w:bidi="ar"/>
                    </w:rPr>
                    <w:t>沉渣污泥</w:t>
                  </w:r>
                </w:p>
              </w:tc>
              <w:tc>
                <w:tcPr>
                  <w:tcW w:w="1967" w:type="dxa"/>
                  <w:noWrap/>
                  <w:vAlign w:val="center"/>
                </w:tcPr>
                <w:p>
                  <w:pPr>
                    <w:widowControl/>
                    <w:jc w:val="center"/>
                    <w:textAlignment w:val="bottom"/>
                    <w:rPr>
                      <w:rFonts w:hint="eastAsia"/>
                      <w:color w:val="auto"/>
                      <w:kern w:val="0"/>
                      <w:szCs w:val="21"/>
                      <w:highlight w:val="none"/>
                      <w:lang w:bidi="ar"/>
                    </w:rPr>
                  </w:pPr>
                  <w:r>
                    <w:rPr>
                      <w:rFonts w:hint="eastAsia"/>
                      <w:color w:val="auto"/>
                      <w:szCs w:val="21"/>
                      <w:highlight w:val="none"/>
                      <w:lang w:val="en-US" w:eastAsia="zh-CN"/>
                    </w:rPr>
                    <w:t>隔油池、化粪池、沉淀池</w:t>
                  </w:r>
                </w:p>
              </w:tc>
              <w:tc>
                <w:tcPr>
                  <w:tcW w:w="2597" w:type="dxa"/>
                  <w:noWrap/>
                  <w:vAlign w:val="center"/>
                </w:tcPr>
                <w:p>
                  <w:pPr>
                    <w:widowControl/>
                    <w:jc w:val="center"/>
                    <w:textAlignment w:val="bottom"/>
                    <w:rPr>
                      <w:color w:val="auto"/>
                      <w:kern w:val="0"/>
                      <w:sz w:val="21"/>
                      <w:szCs w:val="21"/>
                      <w:highlight w:val="none"/>
                      <w:lang w:val="en-US" w:eastAsia="zh-CN" w:bidi="ar"/>
                    </w:rPr>
                  </w:pPr>
                  <w:r>
                    <w:rPr>
                      <w:rFonts w:hint="eastAsia"/>
                      <w:color w:val="auto"/>
                      <w:szCs w:val="21"/>
                      <w:highlight w:val="none"/>
                      <w:lang w:val="en-US" w:eastAsia="zh-CN"/>
                    </w:rPr>
                    <w:t>送城市垃圾场卫生填埋</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630" w:hRule="atLeast"/>
                <w:jc w:val="center"/>
              </w:trPr>
              <w:tc>
                <w:tcPr>
                  <w:tcW w:w="1185" w:type="dxa"/>
                  <w:noWrap/>
                  <w:vAlign w:val="center"/>
                </w:tcPr>
                <w:p>
                  <w:pPr>
                    <w:jc w:val="center"/>
                    <w:rPr>
                      <w:rFonts w:hint="eastAsia" w:eastAsia="宋体"/>
                      <w:color w:val="auto"/>
                      <w:szCs w:val="21"/>
                      <w:highlight w:val="none"/>
                      <w:lang w:eastAsia="zh-CN"/>
                    </w:rPr>
                  </w:pPr>
                  <w:r>
                    <w:rPr>
                      <w:rFonts w:hint="eastAsia"/>
                      <w:color w:val="auto"/>
                      <w:szCs w:val="21"/>
                      <w:highlight w:val="none"/>
                      <w:lang w:val="en-US" w:eastAsia="zh-CN"/>
                    </w:rPr>
                    <w:t>7</w:t>
                  </w:r>
                </w:p>
              </w:tc>
              <w:tc>
                <w:tcPr>
                  <w:tcW w:w="1252" w:type="dxa"/>
                  <w:noWrap/>
                  <w:vAlign w:val="center"/>
                </w:tcPr>
                <w:p>
                  <w:pPr>
                    <w:widowControl/>
                    <w:jc w:val="center"/>
                    <w:textAlignment w:val="bottom"/>
                    <w:rPr>
                      <w:color w:val="auto"/>
                      <w:szCs w:val="21"/>
                      <w:highlight w:val="none"/>
                    </w:rPr>
                  </w:pPr>
                  <w:r>
                    <w:rPr>
                      <w:color w:val="auto"/>
                      <w:kern w:val="0"/>
                      <w:szCs w:val="21"/>
                      <w:highlight w:val="none"/>
                      <w:lang w:bidi="ar"/>
                    </w:rPr>
                    <w:t>废机油</w:t>
                  </w:r>
                </w:p>
              </w:tc>
              <w:tc>
                <w:tcPr>
                  <w:tcW w:w="1967" w:type="dxa"/>
                  <w:noWrap/>
                  <w:vAlign w:val="center"/>
                </w:tcPr>
                <w:p>
                  <w:pPr>
                    <w:widowControl/>
                    <w:jc w:val="center"/>
                    <w:textAlignment w:val="bottom"/>
                    <w:rPr>
                      <w:color w:val="auto"/>
                      <w:szCs w:val="21"/>
                      <w:highlight w:val="none"/>
                    </w:rPr>
                  </w:pPr>
                  <w:r>
                    <w:rPr>
                      <w:rFonts w:hint="eastAsia"/>
                      <w:color w:val="auto"/>
                      <w:kern w:val="0"/>
                      <w:szCs w:val="21"/>
                      <w:highlight w:val="none"/>
                      <w:lang w:bidi="ar"/>
                    </w:rPr>
                    <w:t>车辆维护</w:t>
                  </w:r>
                </w:p>
              </w:tc>
              <w:tc>
                <w:tcPr>
                  <w:tcW w:w="2597" w:type="dxa"/>
                  <w:noWrap/>
                  <w:vAlign w:val="center"/>
                </w:tcPr>
                <w:p>
                  <w:pPr>
                    <w:widowControl/>
                    <w:jc w:val="center"/>
                    <w:textAlignment w:val="bottom"/>
                    <w:rPr>
                      <w:color w:val="auto"/>
                      <w:szCs w:val="21"/>
                      <w:highlight w:val="none"/>
                    </w:rPr>
                  </w:pPr>
                  <w:r>
                    <w:rPr>
                      <w:color w:val="auto"/>
                      <w:kern w:val="0"/>
                      <w:szCs w:val="21"/>
                      <w:highlight w:val="none"/>
                      <w:lang w:bidi="ar"/>
                    </w:rPr>
                    <w:t>定期交有危险废物处置</w:t>
                  </w:r>
                  <w:r>
                    <w:rPr>
                      <w:color w:val="auto"/>
                      <w:kern w:val="0"/>
                      <w:szCs w:val="21"/>
                      <w:highlight w:val="none"/>
                      <w:lang w:bidi="ar"/>
                    </w:rPr>
                    <w:br w:type="textWrapping"/>
                  </w:r>
                  <w:r>
                    <w:rPr>
                      <w:color w:val="auto"/>
                      <w:kern w:val="0"/>
                      <w:szCs w:val="21"/>
                      <w:highlight w:val="none"/>
                      <w:lang w:bidi="ar"/>
                    </w:rPr>
                    <w:t>资质部门处理</w:t>
                  </w:r>
                </w:p>
              </w:tc>
            </w:tr>
          </w:tbl>
          <w:p>
            <w:pPr>
              <w:spacing w:before="120" w:beforeLines="50"/>
              <w:ind w:firstLine="482"/>
              <w:jc w:val="center"/>
              <w:rPr>
                <w:b/>
                <w:bCs/>
                <w:color w:val="auto"/>
                <w:szCs w:val="22"/>
                <w:highlight w:val="none"/>
              </w:rPr>
            </w:pPr>
          </w:p>
          <w:p>
            <w:pPr>
              <w:spacing w:before="120" w:beforeLines="50"/>
              <w:ind w:firstLine="482"/>
              <w:jc w:val="center"/>
              <w:rPr>
                <w:b/>
                <w:bCs/>
                <w:color w:val="auto"/>
                <w:szCs w:val="22"/>
                <w:highlight w:val="none"/>
              </w:rPr>
            </w:pPr>
            <w:r>
              <w:rPr>
                <w:b/>
                <w:bCs/>
                <w:color w:val="auto"/>
                <w:szCs w:val="22"/>
                <w:highlight w:val="none"/>
              </w:rPr>
              <w:t>表</w:t>
            </w:r>
            <w:r>
              <w:rPr>
                <w:rFonts w:hint="eastAsia"/>
                <w:b/>
                <w:bCs/>
                <w:color w:val="auto"/>
                <w:szCs w:val="22"/>
                <w:highlight w:val="none"/>
              </w:rPr>
              <w:t>4-23</w:t>
            </w:r>
            <w:r>
              <w:rPr>
                <w:b/>
                <w:bCs/>
                <w:color w:val="auto"/>
                <w:szCs w:val="22"/>
                <w:highlight w:val="none"/>
              </w:rPr>
              <w:t xml:space="preserve">  建设项目危险废物</w:t>
            </w:r>
            <w:r>
              <w:rPr>
                <w:rFonts w:hint="eastAsia"/>
                <w:b/>
                <w:bCs/>
                <w:color w:val="auto"/>
                <w:szCs w:val="22"/>
                <w:highlight w:val="none"/>
                <w:lang w:val="en-US" w:eastAsia="zh-CN"/>
              </w:rPr>
              <w:t>汇总</w:t>
            </w:r>
            <w:r>
              <w:rPr>
                <w:b/>
                <w:bCs/>
                <w:color w:val="auto"/>
                <w:szCs w:val="22"/>
                <w:highlight w:val="none"/>
              </w:rPr>
              <w:t>表</w:t>
            </w:r>
          </w:p>
          <w:tbl>
            <w:tblPr>
              <w:tblStyle w:val="39"/>
              <w:tblW w:w="8499"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72"/>
              <w:gridCol w:w="677"/>
              <w:gridCol w:w="776"/>
              <w:gridCol w:w="805"/>
              <w:gridCol w:w="1002"/>
              <w:gridCol w:w="675"/>
              <w:gridCol w:w="662"/>
              <w:gridCol w:w="800"/>
              <w:gridCol w:w="727"/>
              <w:gridCol w:w="523"/>
              <w:gridCol w:w="613"/>
              <w:gridCol w:w="76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472" w:type="dxa"/>
                  <w:tcBorders>
                    <w:tl2br w:val="nil"/>
                    <w:tr2bl w:val="nil"/>
                  </w:tcBorders>
                  <w:noWrap w:val="0"/>
                  <w:vAlign w:val="center"/>
                </w:tcPr>
                <w:p>
                  <w:pPr>
                    <w:topLinePunct/>
                    <w:adjustRightInd w:val="0"/>
                    <w:snapToGrid w:val="0"/>
                    <w:jc w:val="center"/>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序号</w:t>
                  </w:r>
                </w:p>
              </w:tc>
              <w:tc>
                <w:tcPr>
                  <w:tcW w:w="677" w:type="dxa"/>
                  <w:tcBorders>
                    <w:tl2br w:val="nil"/>
                    <w:tr2bl w:val="nil"/>
                  </w:tcBorders>
                  <w:noWrap w:val="0"/>
                  <w:vAlign w:val="center"/>
                </w:tcPr>
                <w:p>
                  <w:pPr>
                    <w:topLinePunct/>
                    <w:adjustRightInd w:val="0"/>
                    <w:snapToGrid w:val="0"/>
                    <w:jc w:val="center"/>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危险废物名称</w:t>
                  </w:r>
                </w:p>
              </w:tc>
              <w:tc>
                <w:tcPr>
                  <w:tcW w:w="776" w:type="dxa"/>
                  <w:tcBorders>
                    <w:tl2br w:val="nil"/>
                    <w:tr2bl w:val="nil"/>
                  </w:tcBorders>
                  <w:noWrap w:val="0"/>
                  <w:vAlign w:val="center"/>
                </w:tcPr>
                <w:p>
                  <w:pPr>
                    <w:topLinePunct/>
                    <w:adjustRightInd w:val="0"/>
                    <w:snapToGrid w:val="0"/>
                    <w:jc w:val="center"/>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危险废物类别</w:t>
                  </w:r>
                </w:p>
              </w:tc>
              <w:tc>
                <w:tcPr>
                  <w:tcW w:w="805" w:type="dxa"/>
                  <w:tcBorders>
                    <w:tl2br w:val="nil"/>
                    <w:tr2bl w:val="nil"/>
                  </w:tcBorders>
                  <w:noWrap w:val="0"/>
                  <w:vAlign w:val="center"/>
                </w:tcPr>
                <w:p>
                  <w:pPr>
                    <w:topLinePunct/>
                    <w:adjustRightInd w:val="0"/>
                    <w:snapToGrid w:val="0"/>
                    <w:jc w:val="center"/>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危险废物代码</w:t>
                  </w:r>
                </w:p>
              </w:tc>
              <w:tc>
                <w:tcPr>
                  <w:tcW w:w="1002" w:type="dxa"/>
                  <w:tcBorders>
                    <w:tl2br w:val="nil"/>
                    <w:tr2bl w:val="nil"/>
                  </w:tcBorders>
                  <w:noWrap w:val="0"/>
                  <w:vAlign w:val="center"/>
                </w:tcPr>
                <w:p>
                  <w:pPr>
                    <w:topLinePunct/>
                    <w:adjustRightInd w:val="0"/>
                    <w:snapToGrid w:val="0"/>
                    <w:jc w:val="center"/>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产生量（吨/年）</w:t>
                  </w:r>
                </w:p>
              </w:tc>
              <w:tc>
                <w:tcPr>
                  <w:tcW w:w="675" w:type="dxa"/>
                  <w:tcBorders>
                    <w:tl2br w:val="nil"/>
                    <w:tr2bl w:val="nil"/>
                  </w:tcBorders>
                  <w:noWrap w:val="0"/>
                  <w:vAlign w:val="center"/>
                </w:tcPr>
                <w:p>
                  <w:pPr>
                    <w:topLinePunct/>
                    <w:adjustRightInd w:val="0"/>
                    <w:snapToGrid w:val="0"/>
                    <w:jc w:val="center"/>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产生工序及装置</w:t>
                  </w:r>
                </w:p>
              </w:tc>
              <w:tc>
                <w:tcPr>
                  <w:tcW w:w="662" w:type="dxa"/>
                  <w:tcBorders>
                    <w:tl2br w:val="nil"/>
                    <w:tr2bl w:val="nil"/>
                  </w:tcBorders>
                  <w:noWrap w:val="0"/>
                  <w:vAlign w:val="center"/>
                </w:tcPr>
                <w:p>
                  <w:pPr>
                    <w:topLinePunct/>
                    <w:adjustRightInd w:val="0"/>
                    <w:snapToGrid w:val="0"/>
                    <w:jc w:val="center"/>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形态</w:t>
                  </w:r>
                </w:p>
              </w:tc>
              <w:tc>
                <w:tcPr>
                  <w:tcW w:w="800" w:type="dxa"/>
                  <w:tcBorders>
                    <w:tl2br w:val="nil"/>
                    <w:tr2bl w:val="nil"/>
                  </w:tcBorders>
                  <w:noWrap w:val="0"/>
                  <w:vAlign w:val="center"/>
                </w:tcPr>
                <w:p>
                  <w:pPr>
                    <w:topLinePunct/>
                    <w:adjustRightInd w:val="0"/>
                    <w:snapToGrid w:val="0"/>
                    <w:jc w:val="center"/>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主要成分</w:t>
                  </w:r>
                </w:p>
              </w:tc>
              <w:tc>
                <w:tcPr>
                  <w:tcW w:w="727" w:type="dxa"/>
                  <w:tcBorders>
                    <w:tl2br w:val="nil"/>
                    <w:tr2bl w:val="nil"/>
                  </w:tcBorders>
                  <w:noWrap w:val="0"/>
                  <w:vAlign w:val="center"/>
                </w:tcPr>
                <w:p>
                  <w:pPr>
                    <w:topLinePunct/>
                    <w:adjustRightInd w:val="0"/>
                    <w:snapToGrid w:val="0"/>
                    <w:jc w:val="center"/>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有害成分</w:t>
                  </w:r>
                </w:p>
              </w:tc>
              <w:tc>
                <w:tcPr>
                  <w:tcW w:w="523" w:type="dxa"/>
                  <w:tcBorders>
                    <w:tl2br w:val="nil"/>
                    <w:tr2bl w:val="nil"/>
                  </w:tcBorders>
                  <w:noWrap w:val="0"/>
                  <w:vAlign w:val="center"/>
                </w:tcPr>
                <w:p>
                  <w:pPr>
                    <w:topLinePunct/>
                    <w:adjustRightInd w:val="0"/>
                    <w:snapToGrid w:val="0"/>
                    <w:jc w:val="center"/>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产废周期</w:t>
                  </w:r>
                </w:p>
              </w:tc>
              <w:tc>
                <w:tcPr>
                  <w:tcW w:w="613" w:type="dxa"/>
                  <w:tcBorders>
                    <w:tl2br w:val="nil"/>
                    <w:tr2bl w:val="nil"/>
                  </w:tcBorders>
                  <w:noWrap w:val="0"/>
                  <w:vAlign w:val="center"/>
                </w:tcPr>
                <w:p>
                  <w:pPr>
                    <w:topLinePunct/>
                    <w:adjustRightInd w:val="0"/>
                    <w:snapToGrid w:val="0"/>
                    <w:jc w:val="center"/>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危险</w:t>
                  </w:r>
                </w:p>
                <w:p>
                  <w:pPr>
                    <w:topLinePunct/>
                    <w:adjustRightInd w:val="0"/>
                    <w:snapToGrid w:val="0"/>
                    <w:jc w:val="center"/>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特性</w:t>
                  </w:r>
                </w:p>
              </w:tc>
              <w:tc>
                <w:tcPr>
                  <w:tcW w:w="767" w:type="dxa"/>
                  <w:tcBorders>
                    <w:tl2br w:val="nil"/>
                    <w:tr2bl w:val="nil"/>
                  </w:tcBorders>
                  <w:noWrap w:val="0"/>
                  <w:vAlign w:val="center"/>
                </w:tcPr>
                <w:p>
                  <w:pPr>
                    <w:topLinePunct/>
                    <w:adjustRightInd w:val="0"/>
                    <w:snapToGrid w:val="0"/>
                    <w:jc w:val="center"/>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污染防治措施*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72" w:type="dxa"/>
                  <w:tcBorders>
                    <w:tl2br w:val="nil"/>
                    <w:tr2bl w:val="nil"/>
                  </w:tcBorders>
                  <w:noWrap w:val="0"/>
                  <w:vAlign w:val="center"/>
                </w:tcPr>
                <w:p>
                  <w:pPr>
                    <w:topLinePunct/>
                    <w:adjustRightInd w:val="0"/>
                    <w:snapToGrid w:val="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1</w:t>
                  </w:r>
                </w:p>
              </w:tc>
              <w:tc>
                <w:tcPr>
                  <w:tcW w:w="677" w:type="dxa"/>
                  <w:tcBorders>
                    <w:tl2br w:val="nil"/>
                    <w:tr2bl w:val="nil"/>
                  </w:tcBorders>
                  <w:noWrap w:val="0"/>
                  <w:vAlign w:val="center"/>
                </w:tcPr>
                <w:p>
                  <w:pPr>
                    <w:topLinePunct/>
                    <w:adjustRightInd w:val="0"/>
                    <w:snapToGrid w:val="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bidi="ar"/>
                    </w:rPr>
                    <w:t>废机油</w:t>
                  </w:r>
                </w:p>
              </w:tc>
              <w:tc>
                <w:tcPr>
                  <w:tcW w:w="776" w:type="dxa"/>
                  <w:tcBorders>
                    <w:tl2br w:val="nil"/>
                    <w:tr2bl w:val="nil"/>
                  </w:tcBorders>
                  <w:noWrap w:val="0"/>
                  <w:vAlign w:val="center"/>
                </w:tcPr>
                <w:p>
                  <w:pPr>
                    <w:topLinePunct/>
                    <w:adjustRightInd w:val="0"/>
                    <w:snapToGrid w:val="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snapToGrid w:val="0"/>
                      <w:color w:val="auto"/>
                      <w:kern w:val="0"/>
                      <w:sz w:val="21"/>
                      <w:szCs w:val="21"/>
                      <w:highlight w:val="none"/>
                    </w:rPr>
                    <w:t>HW08废矿物油与含矿物油废物</w:t>
                  </w:r>
                </w:p>
              </w:tc>
              <w:tc>
                <w:tcPr>
                  <w:tcW w:w="805" w:type="dxa"/>
                  <w:tcBorders>
                    <w:tl2br w:val="nil"/>
                    <w:tr2bl w:val="nil"/>
                  </w:tcBorders>
                  <w:noWrap w:val="0"/>
                  <w:vAlign w:val="center"/>
                </w:tcPr>
                <w:p>
                  <w:pPr>
                    <w:topLinePunct/>
                    <w:adjustRightInd w:val="0"/>
                    <w:snapToGrid w:val="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900-199-08</w:t>
                  </w:r>
                </w:p>
              </w:tc>
              <w:tc>
                <w:tcPr>
                  <w:tcW w:w="1002" w:type="dxa"/>
                  <w:tcBorders>
                    <w:tl2br w:val="nil"/>
                    <w:tr2bl w:val="nil"/>
                  </w:tcBorders>
                  <w:noWrap w:val="0"/>
                  <w:vAlign w:val="center"/>
                </w:tcPr>
                <w:p>
                  <w:pPr>
                    <w:topLinePunct/>
                    <w:adjustRightInd w:val="0"/>
                    <w:snapToGrid w:val="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0.5</w:t>
                  </w:r>
                </w:p>
              </w:tc>
              <w:tc>
                <w:tcPr>
                  <w:tcW w:w="675" w:type="dxa"/>
                  <w:tcBorders>
                    <w:tl2br w:val="nil"/>
                    <w:tr2bl w:val="nil"/>
                  </w:tcBorders>
                  <w:noWrap w:val="0"/>
                  <w:vAlign w:val="center"/>
                </w:tcPr>
                <w:p>
                  <w:pPr>
                    <w:topLinePunct/>
                    <w:adjustRightInd w:val="0"/>
                    <w:snapToGrid w:val="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运输车</w:t>
                  </w:r>
                </w:p>
              </w:tc>
              <w:tc>
                <w:tcPr>
                  <w:tcW w:w="662" w:type="dxa"/>
                  <w:tcBorders>
                    <w:tl2br w:val="nil"/>
                    <w:tr2bl w:val="nil"/>
                  </w:tcBorders>
                  <w:noWrap w:val="0"/>
                  <w:vAlign w:val="center"/>
                </w:tcPr>
                <w:p>
                  <w:pPr>
                    <w:topLinePunct/>
                    <w:adjustRightInd w:val="0"/>
                    <w:snapToGrid w:val="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液态</w:t>
                  </w:r>
                </w:p>
              </w:tc>
              <w:tc>
                <w:tcPr>
                  <w:tcW w:w="800" w:type="dxa"/>
                  <w:tcBorders>
                    <w:tl2br w:val="nil"/>
                    <w:tr2bl w:val="nil"/>
                  </w:tcBorders>
                  <w:noWrap w:val="0"/>
                  <w:vAlign w:val="center"/>
                </w:tcPr>
                <w:p>
                  <w:pPr>
                    <w:topLinePunct/>
                    <w:adjustRightInd w:val="0"/>
                    <w:snapToGrid w:val="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基础油和添加剂、有机酸、胶质和沥青状物质。</w:t>
                  </w:r>
                </w:p>
              </w:tc>
              <w:tc>
                <w:tcPr>
                  <w:tcW w:w="727" w:type="dxa"/>
                  <w:tcBorders>
                    <w:tl2br w:val="nil"/>
                    <w:tr2bl w:val="nil"/>
                  </w:tcBorders>
                  <w:noWrap w:val="0"/>
                  <w:vAlign w:val="top"/>
                </w:tcPr>
                <w:p>
                  <w:pPr>
                    <w:topLinePunct/>
                    <w:adjustRightInd w:val="0"/>
                    <w:snapToGrid w:val="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致癌、致畸等有毒物质</w:t>
                  </w:r>
                </w:p>
              </w:tc>
              <w:tc>
                <w:tcPr>
                  <w:tcW w:w="523" w:type="dxa"/>
                  <w:tcBorders>
                    <w:tl2br w:val="nil"/>
                    <w:tr2bl w:val="nil"/>
                  </w:tcBorders>
                  <w:noWrap w:val="0"/>
                  <w:vAlign w:val="center"/>
                </w:tcPr>
                <w:p>
                  <w:pPr>
                    <w:topLinePunct/>
                    <w:adjustRightInd w:val="0"/>
                    <w:snapToGrid w:val="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30d</w:t>
                  </w:r>
                </w:p>
              </w:tc>
              <w:tc>
                <w:tcPr>
                  <w:tcW w:w="613" w:type="dxa"/>
                  <w:tcBorders>
                    <w:tl2br w:val="nil"/>
                    <w:tr2bl w:val="nil"/>
                  </w:tcBorders>
                  <w:noWrap w:val="0"/>
                  <w:vAlign w:val="center"/>
                </w:tcPr>
                <w:p>
                  <w:pPr>
                    <w:topLinePunct/>
                    <w:adjustRightInd w:val="0"/>
                    <w:snapToGrid w:val="0"/>
                    <w:jc w:val="center"/>
                    <w:rPr>
                      <w:rFonts w:hint="default" w:ascii="Times New Roman" w:hAnsi="Times New Roman" w:eastAsia="宋体" w:cs="Times New Roman"/>
                      <w:color w:val="auto"/>
                      <w:kern w:val="0"/>
                      <w:sz w:val="21"/>
                      <w:szCs w:val="21"/>
                      <w:highlight w:val="none"/>
                      <w:lang w:val="en-US" w:eastAsia="zh-CN"/>
                    </w:rPr>
                  </w:pPr>
                  <w:r>
                    <w:rPr>
                      <w:rFonts w:hint="eastAsia"/>
                      <w:color w:val="auto"/>
                      <w:kern w:val="0"/>
                      <w:szCs w:val="21"/>
                      <w:highlight w:val="none"/>
                      <w:lang w:bidi="ar"/>
                    </w:rPr>
                    <w:t>T,I</w:t>
                  </w:r>
                </w:p>
              </w:tc>
              <w:tc>
                <w:tcPr>
                  <w:tcW w:w="767" w:type="dxa"/>
                  <w:tcBorders>
                    <w:tl2br w:val="nil"/>
                    <w:tr2bl w:val="nil"/>
                  </w:tcBorders>
                  <w:noWrap w:val="0"/>
                  <w:vAlign w:val="center"/>
                </w:tcPr>
                <w:p>
                  <w:pPr>
                    <w:topLinePunct/>
                    <w:adjustRightInd w:val="0"/>
                    <w:snapToGrid w:val="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暂存于厂区危废暂存间，定期转交有资质的单位处置</w:t>
                  </w:r>
                </w:p>
              </w:tc>
            </w:tr>
          </w:tbl>
          <w:p>
            <w:pPr>
              <w:spacing w:before="120" w:beforeLines="50"/>
              <w:ind w:firstLine="482"/>
              <w:jc w:val="center"/>
              <w:rPr>
                <w:b/>
                <w:bCs/>
                <w:color w:val="auto"/>
                <w:szCs w:val="22"/>
                <w:highlight w:val="none"/>
              </w:rPr>
            </w:pPr>
            <w:r>
              <w:rPr>
                <w:b/>
                <w:bCs/>
                <w:color w:val="auto"/>
                <w:szCs w:val="22"/>
                <w:highlight w:val="none"/>
              </w:rPr>
              <w:t>表</w:t>
            </w:r>
            <w:r>
              <w:rPr>
                <w:rFonts w:hint="eastAsia"/>
                <w:b/>
                <w:bCs/>
                <w:color w:val="auto"/>
                <w:szCs w:val="22"/>
                <w:highlight w:val="none"/>
              </w:rPr>
              <w:t>4-2</w:t>
            </w:r>
            <w:r>
              <w:rPr>
                <w:rFonts w:hint="eastAsia"/>
                <w:b/>
                <w:bCs/>
                <w:color w:val="auto"/>
                <w:szCs w:val="22"/>
                <w:highlight w:val="none"/>
                <w:lang w:val="en-US" w:eastAsia="zh-CN"/>
              </w:rPr>
              <w:t>4</w:t>
            </w:r>
            <w:r>
              <w:rPr>
                <w:b/>
                <w:bCs/>
                <w:color w:val="auto"/>
                <w:szCs w:val="22"/>
                <w:highlight w:val="none"/>
              </w:rPr>
              <w:t xml:space="preserve">  建设项目危险废物贮存场所（设施）基本情况表</w:t>
            </w:r>
          </w:p>
          <w:tbl>
            <w:tblPr>
              <w:tblStyle w:val="39"/>
              <w:tblW w:w="0" w:type="auto"/>
              <w:tblInd w:w="1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26"/>
              <w:gridCol w:w="984"/>
              <w:gridCol w:w="966"/>
              <w:gridCol w:w="1034"/>
              <w:gridCol w:w="1196"/>
              <w:gridCol w:w="928"/>
              <w:gridCol w:w="800"/>
              <w:gridCol w:w="636"/>
              <w:gridCol w:w="722"/>
              <w:gridCol w:w="79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64" w:hRule="atLeast"/>
              </w:trPr>
              <w:tc>
                <w:tcPr>
                  <w:tcW w:w="426" w:type="dxa"/>
                  <w:noWrap w:val="0"/>
                  <w:vAlign w:val="center"/>
                </w:tcPr>
                <w:p>
                  <w:pPr>
                    <w:topLinePunct/>
                    <w:adjustRightInd w:val="0"/>
                    <w:snapToGrid w:val="0"/>
                    <w:jc w:val="center"/>
                    <w:rPr>
                      <w:color w:val="auto"/>
                      <w:kern w:val="0"/>
                      <w:szCs w:val="21"/>
                      <w:highlight w:val="none"/>
                    </w:rPr>
                  </w:pPr>
                  <w:r>
                    <w:rPr>
                      <w:color w:val="auto"/>
                      <w:kern w:val="0"/>
                      <w:szCs w:val="21"/>
                      <w:highlight w:val="none"/>
                    </w:rPr>
                    <w:t>序号</w:t>
                  </w:r>
                </w:p>
              </w:tc>
              <w:tc>
                <w:tcPr>
                  <w:tcW w:w="984" w:type="dxa"/>
                  <w:noWrap w:val="0"/>
                  <w:vAlign w:val="center"/>
                </w:tcPr>
                <w:p>
                  <w:pPr>
                    <w:topLinePunct/>
                    <w:adjustRightInd w:val="0"/>
                    <w:snapToGrid w:val="0"/>
                    <w:jc w:val="center"/>
                    <w:rPr>
                      <w:color w:val="auto"/>
                      <w:kern w:val="0"/>
                      <w:szCs w:val="21"/>
                      <w:highlight w:val="none"/>
                    </w:rPr>
                  </w:pPr>
                  <w:r>
                    <w:rPr>
                      <w:color w:val="auto"/>
                      <w:kern w:val="0"/>
                      <w:szCs w:val="21"/>
                      <w:highlight w:val="none"/>
                    </w:rPr>
                    <w:t>贮存场所（设施）</w:t>
                  </w:r>
                </w:p>
                <w:p>
                  <w:pPr>
                    <w:topLinePunct/>
                    <w:adjustRightInd w:val="0"/>
                    <w:snapToGrid w:val="0"/>
                    <w:jc w:val="center"/>
                    <w:rPr>
                      <w:color w:val="auto"/>
                      <w:kern w:val="0"/>
                      <w:szCs w:val="21"/>
                      <w:highlight w:val="none"/>
                    </w:rPr>
                  </w:pPr>
                  <w:r>
                    <w:rPr>
                      <w:color w:val="auto"/>
                      <w:kern w:val="0"/>
                      <w:szCs w:val="21"/>
                      <w:highlight w:val="none"/>
                    </w:rPr>
                    <w:t>名称</w:t>
                  </w:r>
                </w:p>
              </w:tc>
              <w:tc>
                <w:tcPr>
                  <w:tcW w:w="966" w:type="dxa"/>
                  <w:noWrap w:val="0"/>
                  <w:vAlign w:val="center"/>
                </w:tcPr>
                <w:p>
                  <w:pPr>
                    <w:topLinePunct/>
                    <w:adjustRightInd w:val="0"/>
                    <w:snapToGrid w:val="0"/>
                    <w:jc w:val="center"/>
                    <w:rPr>
                      <w:color w:val="auto"/>
                      <w:kern w:val="0"/>
                      <w:szCs w:val="21"/>
                      <w:highlight w:val="none"/>
                    </w:rPr>
                  </w:pPr>
                  <w:r>
                    <w:rPr>
                      <w:color w:val="auto"/>
                      <w:kern w:val="0"/>
                      <w:szCs w:val="21"/>
                      <w:highlight w:val="none"/>
                    </w:rPr>
                    <w:t>危险废物名称</w:t>
                  </w:r>
                </w:p>
              </w:tc>
              <w:tc>
                <w:tcPr>
                  <w:tcW w:w="1034" w:type="dxa"/>
                  <w:noWrap w:val="0"/>
                  <w:vAlign w:val="center"/>
                </w:tcPr>
                <w:p>
                  <w:pPr>
                    <w:topLinePunct/>
                    <w:adjustRightInd w:val="0"/>
                    <w:snapToGrid w:val="0"/>
                    <w:jc w:val="center"/>
                    <w:rPr>
                      <w:color w:val="auto"/>
                      <w:kern w:val="0"/>
                      <w:szCs w:val="21"/>
                      <w:highlight w:val="none"/>
                    </w:rPr>
                  </w:pPr>
                  <w:r>
                    <w:rPr>
                      <w:color w:val="auto"/>
                      <w:kern w:val="0"/>
                      <w:szCs w:val="21"/>
                      <w:highlight w:val="none"/>
                    </w:rPr>
                    <w:t>危险废物类别</w:t>
                  </w:r>
                </w:p>
              </w:tc>
              <w:tc>
                <w:tcPr>
                  <w:tcW w:w="1196" w:type="dxa"/>
                  <w:noWrap w:val="0"/>
                  <w:vAlign w:val="center"/>
                </w:tcPr>
                <w:p>
                  <w:pPr>
                    <w:topLinePunct/>
                    <w:adjustRightInd w:val="0"/>
                    <w:snapToGrid w:val="0"/>
                    <w:jc w:val="center"/>
                    <w:rPr>
                      <w:color w:val="auto"/>
                      <w:kern w:val="0"/>
                      <w:szCs w:val="21"/>
                      <w:highlight w:val="none"/>
                    </w:rPr>
                  </w:pPr>
                  <w:r>
                    <w:rPr>
                      <w:color w:val="auto"/>
                      <w:kern w:val="0"/>
                      <w:szCs w:val="21"/>
                      <w:highlight w:val="none"/>
                    </w:rPr>
                    <w:t>危险废物代码</w:t>
                  </w:r>
                </w:p>
              </w:tc>
              <w:tc>
                <w:tcPr>
                  <w:tcW w:w="928" w:type="dxa"/>
                  <w:noWrap w:val="0"/>
                  <w:vAlign w:val="center"/>
                </w:tcPr>
                <w:p>
                  <w:pPr>
                    <w:topLinePunct/>
                    <w:adjustRightInd w:val="0"/>
                    <w:snapToGrid w:val="0"/>
                    <w:jc w:val="center"/>
                    <w:rPr>
                      <w:color w:val="auto"/>
                      <w:kern w:val="0"/>
                      <w:szCs w:val="21"/>
                      <w:highlight w:val="none"/>
                    </w:rPr>
                  </w:pPr>
                  <w:r>
                    <w:rPr>
                      <w:color w:val="auto"/>
                      <w:kern w:val="0"/>
                      <w:szCs w:val="21"/>
                      <w:highlight w:val="none"/>
                    </w:rPr>
                    <w:t>位置</w:t>
                  </w:r>
                </w:p>
              </w:tc>
              <w:tc>
                <w:tcPr>
                  <w:tcW w:w="800" w:type="dxa"/>
                  <w:noWrap w:val="0"/>
                  <w:vAlign w:val="center"/>
                </w:tcPr>
                <w:p>
                  <w:pPr>
                    <w:topLinePunct/>
                    <w:adjustRightInd w:val="0"/>
                    <w:snapToGrid w:val="0"/>
                    <w:jc w:val="center"/>
                    <w:rPr>
                      <w:color w:val="auto"/>
                      <w:kern w:val="0"/>
                      <w:szCs w:val="21"/>
                      <w:highlight w:val="none"/>
                    </w:rPr>
                  </w:pPr>
                  <w:r>
                    <w:rPr>
                      <w:color w:val="auto"/>
                      <w:kern w:val="0"/>
                      <w:szCs w:val="21"/>
                      <w:highlight w:val="none"/>
                    </w:rPr>
                    <w:t>占地面积</w:t>
                  </w:r>
                </w:p>
              </w:tc>
              <w:tc>
                <w:tcPr>
                  <w:tcW w:w="636" w:type="dxa"/>
                  <w:noWrap w:val="0"/>
                  <w:vAlign w:val="center"/>
                </w:tcPr>
                <w:p>
                  <w:pPr>
                    <w:topLinePunct/>
                    <w:adjustRightInd w:val="0"/>
                    <w:snapToGrid w:val="0"/>
                    <w:jc w:val="center"/>
                    <w:rPr>
                      <w:color w:val="auto"/>
                      <w:kern w:val="0"/>
                      <w:szCs w:val="21"/>
                      <w:highlight w:val="none"/>
                    </w:rPr>
                  </w:pPr>
                  <w:r>
                    <w:rPr>
                      <w:color w:val="auto"/>
                      <w:kern w:val="0"/>
                      <w:szCs w:val="21"/>
                      <w:highlight w:val="none"/>
                    </w:rPr>
                    <w:t>贮存方式</w:t>
                  </w:r>
                </w:p>
              </w:tc>
              <w:tc>
                <w:tcPr>
                  <w:tcW w:w="722" w:type="dxa"/>
                  <w:noWrap w:val="0"/>
                  <w:vAlign w:val="center"/>
                </w:tcPr>
                <w:p>
                  <w:pPr>
                    <w:topLinePunct/>
                    <w:adjustRightInd w:val="0"/>
                    <w:snapToGrid w:val="0"/>
                    <w:jc w:val="center"/>
                    <w:rPr>
                      <w:color w:val="auto"/>
                      <w:kern w:val="0"/>
                      <w:szCs w:val="21"/>
                      <w:highlight w:val="none"/>
                    </w:rPr>
                  </w:pPr>
                  <w:r>
                    <w:rPr>
                      <w:color w:val="auto"/>
                      <w:kern w:val="0"/>
                      <w:szCs w:val="21"/>
                      <w:highlight w:val="none"/>
                    </w:rPr>
                    <w:t>贮存</w:t>
                  </w:r>
                </w:p>
                <w:p>
                  <w:pPr>
                    <w:topLinePunct/>
                    <w:adjustRightInd w:val="0"/>
                    <w:snapToGrid w:val="0"/>
                    <w:jc w:val="center"/>
                    <w:rPr>
                      <w:color w:val="auto"/>
                      <w:kern w:val="0"/>
                      <w:szCs w:val="21"/>
                      <w:highlight w:val="none"/>
                    </w:rPr>
                  </w:pPr>
                  <w:r>
                    <w:rPr>
                      <w:color w:val="auto"/>
                      <w:kern w:val="0"/>
                      <w:szCs w:val="21"/>
                      <w:highlight w:val="none"/>
                    </w:rPr>
                    <w:t>能力</w:t>
                  </w:r>
                </w:p>
              </w:tc>
              <w:tc>
                <w:tcPr>
                  <w:tcW w:w="798" w:type="dxa"/>
                  <w:noWrap w:val="0"/>
                  <w:vAlign w:val="center"/>
                </w:tcPr>
                <w:p>
                  <w:pPr>
                    <w:topLinePunct/>
                    <w:adjustRightInd w:val="0"/>
                    <w:snapToGrid w:val="0"/>
                    <w:jc w:val="center"/>
                    <w:rPr>
                      <w:color w:val="auto"/>
                      <w:kern w:val="0"/>
                      <w:szCs w:val="21"/>
                      <w:highlight w:val="none"/>
                    </w:rPr>
                  </w:pPr>
                  <w:r>
                    <w:rPr>
                      <w:color w:val="auto"/>
                      <w:kern w:val="0"/>
                      <w:szCs w:val="21"/>
                      <w:highlight w:val="none"/>
                    </w:rPr>
                    <w:t>贮存</w:t>
                  </w:r>
                </w:p>
                <w:p>
                  <w:pPr>
                    <w:topLinePunct/>
                    <w:adjustRightInd w:val="0"/>
                    <w:snapToGrid w:val="0"/>
                    <w:jc w:val="center"/>
                    <w:rPr>
                      <w:color w:val="auto"/>
                      <w:kern w:val="0"/>
                      <w:szCs w:val="21"/>
                      <w:highlight w:val="none"/>
                    </w:rPr>
                  </w:pPr>
                  <w:r>
                    <w:rPr>
                      <w:color w:val="auto"/>
                      <w:kern w:val="0"/>
                      <w:szCs w:val="21"/>
                      <w:highlight w:val="none"/>
                    </w:rPr>
                    <w:t>周期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26" w:type="dxa"/>
                  <w:noWrap w:val="0"/>
                  <w:vAlign w:val="center"/>
                </w:tcPr>
                <w:p>
                  <w:pPr>
                    <w:topLinePunct/>
                    <w:adjustRightInd w:val="0"/>
                    <w:snapToGrid w:val="0"/>
                    <w:jc w:val="center"/>
                    <w:rPr>
                      <w:color w:val="auto"/>
                      <w:kern w:val="0"/>
                      <w:szCs w:val="21"/>
                      <w:highlight w:val="none"/>
                    </w:rPr>
                  </w:pPr>
                  <w:r>
                    <w:rPr>
                      <w:color w:val="auto"/>
                      <w:kern w:val="0"/>
                      <w:szCs w:val="21"/>
                      <w:highlight w:val="none"/>
                    </w:rPr>
                    <w:t>1</w:t>
                  </w:r>
                </w:p>
              </w:tc>
              <w:tc>
                <w:tcPr>
                  <w:tcW w:w="984" w:type="dxa"/>
                  <w:noWrap w:val="0"/>
                  <w:vAlign w:val="center"/>
                </w:tcPr>
                <w:p>
                  <w:pPr>
                    <w:topLinePunct/>
                    <w:adjustRightInd w:val="0"/>
                    <w:snapToGrid w:val="0"/>
                    <w:jc w:val="center"/>
                    <w:rPr>
                      <w:color w:val="auto"/>
                      <w:kern w:val="0"/>
                      <w:szCs w:val="21"/>
                      <w:highlight w:val="none"/>
                    </w:rPr>
                  </w:pPr>
                  <w:r>
                    <w:rPr>
                      <w:color w:val="auto"/>
                      <w:kern w:val="0"/>
                      <w:szCs w:val="21"/>
                      <w:highlight w:val="none"/>
                    </w:rPr>
                    <w:t>危废暂存间</w:t>
                  </w:r>
                </w:p>
              </w:tc>
              <w:tc>
                <w:tcPr>
                  <w:tcW w:w="966" w:type="dxa"/>
                  <w:noWrap w:val="0"/>
                  <w:vAlign w:val="center"/>
                </w:tcPr>
                <w:p>
                  <w:pPr>
                    <w:topLinePunct/>
                    <w:adjustRightInd w:val="0"/>
                    <w:snapToGrid w:val="0"/>
                    <w:jc w:val="center"/>
                    <w:rPr>
                      <w:color w:val="auto"/>
                      <w:kern w:val="0"/>
                      <w:szCs w:val="21"/>
                      <w:highlight w:val="none"/>
                    </w:rPr>
                  </w:pPr>
                  <w:r>
                    <w:rPr>
                      <w:color w:val="auto"/>
                      <w:kern w:val="0"/>
                      <w:szCs w:val="21"/>
                      <w:highlight w:val="none"/>
                      <w:lang w:bidi="ar"/>
                    </w:rPr>
                    <w:t>废机油</w:t>
                  </w:r>
                </w:p>
              </w:tc>
              <w:tc>
                <w:tcPr>
                  <w:tcW w:w="1034" w:type="dxa"/>
                  <w:noWrap w:val="0"/>
                  <w:vAlign w:val="center"/>
                </w:tcPr>
                <w:p>
                  <w:pPr>
                    <w:topLinePunct/>
                    <w:adjustRightInd w:val="0"/>
                    <w:snapToGrid w:val="0"/>
                    <w:jc w:val="center"/>
                    <w:rPr>
                      <w:color w:val="auto"/>
                      <w:kern w:val="0"/>
                      <w:szCs w:val="21"/>
                      <w:highlight w:val="none"/>
                    </w:rPr>
                  </w:pPr>
                  <w:r>
                    <w:rPr>
                      <w:rFonts w:hint="eastAsia"/>
                      <w:snapToGrid w:val="0"/>
                      <w:color w:val="auto"/>
                      <w:kern w:val="0"/>
                      <w:szCs w:val="21"/>
                      <w:highlight w:val="none"/>
                    </w:rPr>
                    <w:t>HW08废矿物油与含矿物油废物</w:t>
                  </w:r>
                </w:p>
              </w:tc>
              <w:tc>
                <w:tcPr>
                  <w:tcW w:w="1196" w:type="dxa"/>
                  <w:noWrap w:val="0"/>
                  <w:vAlign w:val="center"/>
                </w:tcPr>
                <w:p>
                  <w:pPr>
                    <w:topLinePunct/>
                    <w:adjustRightInd w:val="0"/>
                    <w:snapToGrid w:val="0"/>
                    <w:jc w:val="center"/>
                    <w:rPr>
                      <w:color w:val="auto"/>
                      <w:kern w:val="0"/>
                      <w:szCs w:val="21"/>
                      <w:highlight w:val="none"/>
                    </w:rPr>
                  </w:pPr>
                  <w:r>
                    <w:rPr>
                      <w:color w:val="auto"/>
                      <w:kern w:val="0"/>
                      <w:szCs w:val="21"/>
                      <w:highlight w:val="none"/>
                    </w:rPr>
                    <w:t>900-</w:t>
                  </w:r>
                  <w:r>
                    <w:rPr>
                      <w:rFonts w:hint="eastAsia"/>
                      <w:color w:val="auto"/>
                      <w:kern w:val="0"/>
                      <w:szCs w:val="21"/>
                      <w:highlight w:val="none"/>
                    </w:rPr>
                    <w:t>199</w:t>
                  </w:r>
                  <w:r>
                    <w:rPr>
                      <w:color w:val="auto"/>
                      <w:kern w:val="0"/>
                      <w:szCs w:val="21"/>
                      <w:highlight w:val="none"/>
                    </w:rPr>
                    <w:t>-</w:t>
                  </w:r>
                  <w:r>
                    <w:rPr>
                      <w:rFonts w:hint="eastAsia"/>
                      <w:color w:val="auto"/>
                      <w:kern w:val="0"/>
                      <w:szCs w:val="21"/>
                      <w:highlight w:val="none"/>
                    </w:rPr>
                    <w:t>08</w:t>
                  </w:r>
                </w:p>
              </w:tc>
              <w:tc>
                <w:tcPr>
                  <w:tcW w:w="928" w:type="dxa"/>
                  <w:noWrap w:val="0"/>
                  <w:vAlign w:val="center"/>
                </w:tcPr>
                <w:p>
                  <w:pPr>
                    <w:topLinePunct/>
                    <w:adjustRightInd w:val="0"/>
                    <w:snapToGrid w:val="0"/>
                    <w:jc w:val="center"/>
                    <w:rPr>
                      <w:color w:val="auto"/>
                      <w:kern w:val="0"/>
                      <w:szCs w:val="21"/>
                      <w:highlight w:val="none"/>
                    </w:rPr>
                  </w:pPr>
                  <w:r>
                    <w:rPr>
                      <w:rFonts w:hint="eastAsia"/>
                      <w:color w:val="auto"/>
                      <w:kern w:val="0"/>
                      <w:szCs w:val="21"/>
                      <w:highlight w:val="none"/>
                    </w:rPr>
                    <w:t>运输车</w:t>
                  </w:r>
                </w:p>
              </w:tc>
              <w:tc>
                <w:tcPr>
                  <w:tcW w:w="800" w:type="dxa"/>
                  <w:noWrap w:val="0"/>
                  <w:vAlign w:val="center"/>
                </w:tcPr>
                <w:p>
                  <w:pPr>
                    <w:topLinePunct/>
                    <w:adjustRightInd w:val="0"/>
                    <w:snapToGrid w:val="0"/>
                    <w:jc w:val="center"/>
                    <w:rPr>
                      <w:color w:val="auto"/>
                      <w:kern w:val="0"/>
                      <w:szCs w:val="21"/>
                      <w:highlight w:val="none"/>
                    </w:rPr>
                  </w:pPr>
                  <w:r>
                    <w:rPr>
                      <w:color w:val="auto"/>
                      <w:kern w:val="0"/>
                      <w:szCs w:val="21"/>
                      <w:highlight w:val="none"/>
                    </w:rPr>
                    <w:t>5m</w:t>
                  </w:r>
                  <w:r>
                    <w:rPr>
                      <w:color w:val="auto"/>
                      <w:kern w:val="0"/>
                      <w:szCs w:val="21"/>
                      <w:highlight w:val="none"/>
                      <w:vertAlign w:val="superscript"/>
                    </w:rPr>
                    <w:t>2</w:t>
                  </w:r>
                </w:p>
              </w:tc>
              <w:tc>
                <w:tcPr>
                  <w:tcW w:w="636" w:type="dxa"/>
                  <w:noWrap w:val="0"/>
                  <w:vAlign w:val="center"/>
                </w:tcPr>
                <w:p>
                  <w:pPr>
                    <w:topLinePunct/>
                    <w:adjustRightInd w:val="0"/>
                    <w:snapToGrid w:val="0"/>
                    <w:jc w:val="center"/>
                    <w:rPr>
                      <w:color w:val="auto"/>
                      <w:kern w:val="0"/>
                      <w:szCs w:val="21"/>
                      <w:highlight w:val="none"/>
                    </w:rPr>
                  </w:pPr>
                  <w:r>
                    <w:rPr>
                      <w:color w:val="auto"/>
                      <w:kern w:val="0"/>
                      <w:szCs w:val="21"/>
                      <w:highlight w:val="none"/>
                    </w:rPr>
                    <w:t>桶装</w:t>
                  </w:r>
                </w:p>
              </w:tc>
              <w:tc>
                <w:tcPr>
                  <w:tcW w:w="722" w:type="dxa"/>
                  <w:noWrap w:val="0"/>
                  <w:vAlign w:val="center"/>
                </w:tcPr>
                <w:p>
                  <w:pPr>
                    <w:topLinePunct/>
                    <w:adjustRightInd w:val="0"/>
                    <w:snapToGrid w:val="0"/>
                    <w:jc w:val="center"/>
                    <w:rPr>
                      <w:color w:val="auto"/>
                      <w:kern w:val="0"/>
                      <w:szCs w:val="21"/>
                      <w:highlight w:val="none"/>
                    </w:rPr>
                  </w:pPr>
                  <w:r>
                    <w:rPr>
                      <w:rFonts w:hint="eastAsia"/>
                      <w:color w:val="auto"/>
                      <w:kern w:val="0"/>
                      <w:szCs w:val="21"/>
                      <w:highlight w:val="none"/>
                    </w:rPr>
                    <w:t>0.5</w:t>
                  </w:r>
                  <w:r>
                    <w:rPr>
                      <w:color w:val="auto"/>
                      <w:kern w:val="0"/>
                      <w:szCs w:val="21"/>
                      <w:highlight w:val="none"/>
                    </w:rPr>
                    <w:t>t</w:t>
                  </w:r>
                </w:p>
              </w:tc>
              <w:tc>
                <w:tcPr>
                  <w:tcW w:w="798" w:type="dxa"/>
                  <w:noWrap w:val="0"/>
                  <w:vAlign w:val="center"/>
                </w:tcPr>
                <w:p>
                  <w:pPr>
                    <w:topLinePunct/>
                    <w:adjustRightInd w:val="0"/>
                    <w:snapToGrid w:val="0"/>
                    <w:jc w:val="center"/>
                    <w:rPr>
                      <w:color w:val="auto"/>
                      <w:kern w:val="0"/>
                      <w:szCs w:val="21"/>
                      <w:highlight w:val="none"/>
                    </w:rPr>
                  </w:pPr>
                  <w:r>
                    <w:rPr>
                      <w:color w:val="auto"/>
                      <w:kern w:val="0"/>
                      <w:szCs w:val="21"/>
                      <w:highlight w:val="none"/>
                    </w:rPr>
                    <w:t>1年</w:t>
                  </w:r>
                </w:p>
              </w:tc>
            </w:tr>
          </w:tbl>
          <w:p>
            <w:pPr>
              <w:adjustRightInd w:val="0"/>
              <w:snapToGrid w:val="0"/>
              <w:spacing w:line="360" w:lineRule="auto"/>
              <w:rPr>
                <w:rFonts w:hint="eastAsia" w:ascii="黑体" w:hAnsi="黑体" w:eastAsia="黑体" w:cs="黑体"/>
                <w:bCs/>
                <w:color w:val="auto"/>
                <w:spacing w:val="-10"/>
                <w:sz w:val="24"/>
                <w:highlight w:val="none"/>
              </w:rPr>
            </w:pPr>
            <w:r>
              <w:rPr>
                <w:rFonts w:hint="eastAsia" w:ascii="黑体" w:hAnsi="黑体" w:eastAsia="黑体" w:cs="黑体"/>
                <w:bCs/>
                <w:color w:val="auto"/>
                <w:spacing w:val="-10"/>
                <w:sz w:val="24"/>
                <w:highlight w:val="none"/>
              </w:rPr>
              <w:t>五、地下水</w:t>
            </w:r>
          </w:p>
          <w:p>
            <w:pPr>
              <w:spacing w:line="360" w:lineRule="auto"/>
              <w:ind w:firstLine="480" w:firstLineChars="200"/>
              <w:rPr>
                <w:color w:val="auto"/>
                <w:kern w:val="0"/>
                <w:sz w:val="24"/>
                <w:highlight w:val="none"/>
              </w:rPr>
            </w:pPr>
            <w:r>
              <w:rPr>
                <w:rFonts w:hint="eastAsia"/>
                <w:color w:val="auto"/>
                <w:kern w:val="0"/>
                <w:sz w:val="24"/>
                <w:highlight w:val="none"/>
              </w:rPr>
              <w:t>1、地下水污染途径</w:t>
            </w:r>
          </w:p>
          <w:p>
            <w:pPr>
              <w:spacing w:line="360" w:lineRule="auto"/>
              <w:ind w:firstLine="480" w:firstLineChars="200"/>
              <w:rPr>
                <w:color w:val="auto"/>
                <w:kern w:val="0"/>
                <w:sz w:val="24"/>
                <w:highlight w:val="none"/>
              </w:rPr>
            </w:pPr>
            <w:r>
              <w:rPr>
                <w:color w:val="auto"/>
                <w:kern w:val="0"/>
                <w:sz w:val="24"/>
                <w:highlight w:val="none"/>
              </w:rPr>
              <w:t>污染物进入地下水环境的途径主要是废水排放或原料泄漏等通过垂直渗透进入包气带，进入包气带的污染物在物理、化学和生物作用下经吸附、转化、迁移和分解后输入地下水。根据本项目特点，营运期因渗漏可能产生的污染地下水环节有：</w:t>
            </w:r>
          </w:p>
          <w:p>
            <w:pPr>
              <w:spacing w:line="360" w:lineRule="auto"/>
              <w:ind w:firstLine="480" w:firstLineChars="200"/>
              <w:rPr>
                <w:color w:val="auto"/>
                <w:kern w:val="0"/>
                <w:sz w:val="24"/>
                <w:highlight w:val="none"/>
              </w:rPr>
            </w:pPr>
            <w:r>
              <w:rPr>
                <w:rFonts w:hint="eastAsia"/>
                <w:color w:val="auto"/>
                <w:kern w:val="0"/>
                <w:sz w:val="24"/>
                <w:highlight w:val="none"/>
              </w:rPr>
              <w:t>（1）</w:t>
            </w:r>
            <w:r>
              <w:rPr>
                <w:color w:val="auto"/>
                <w:kern w:val="0"/>
                <w:sz w:val="24"/>
                <w:highlight w:val="none"/>
              </w:rPr>
              <w:t>污水管网、</w:t>
            </w:r>
            <w:r>
              <w:rPr>
                <w:rFonts w:hint="eastAsia"/>
                <w:color w:val="auto"/>
                <w:kern w:val="0"/>
                <w:sz w:val="24"/>
                <w:highlight w:val="none"/>
              </w:rPr>
              <w:t>堆场及沥青储罐渗漏</w:t>
            </w:r>
            <w:r>
              <w:rPr>
                <w:color w:val="auto"/>
                <w:kern w:val="0"/>
                <w:sz w:val="24"/>
                <w:highlight w:val="none"/>
              </w:rPr>
              <w:t>使污染物进入地下水环境。</w:t>
            </w:r>
          </w:p>
          <w:p>
            <w:pPr>
              <w:spacing w:line="360" w:lineRule="auto"/>
              <w:ind w:firstLine="480" w:firstLineChars="200"/>
              <w:rPr>
                <w:color w:val="auto"/>
                <w:kern w:val="0"/>
                <w:sz w:val="24"/>
                <w:highlight w:val="none"/>
              </w:rPr>
            </w:pPr>
            <w:r>
              <w:rPr>
                <w:rFonts w:hint="eastAsia"/>
                <w:color w:val="auto"/>
                <w:kern w:val="0"/>
                <w:sz w:val="24"/>
                <w:highlight w:val="none"/>
              </w:rPr>
              <w:t>（2）</w:t>
            </w:r>
            <w:r>
              <w:rPr>
                <w:color w:val="auto"/>
                <w:kern w:val="0"/>
                <w:sz w:val="24"/>
                <w:highlight w:val="none"/>
              </w:rPr>
              <w:t>突发环境风险事故导致污水等污染物外溢，进入地下水环境。</w:t>
            </w:r>
          </w:p>
          <w:p>
            <w:pPr>
              <w:spacing w:line="360" w:lineRule="auto"/>
              <w:ind w:firstLine="480" w:firstLineChars="200"/>
              <w:rPr>
                <w:rFonts w:hint="eastAsia"/>
                <w:color w:val="auto"/>
                <w:kern w:val="0"/>
                <w:sz w:val="24"/>
                <w:highlight w:val="none"/>
              </w:rPr>
            </w:pPr>
            <w:r>
              <w:rPr>
                <w:rFonts w:hint="eastAsia"/>
                <w:color w:val="auto"/>
                <w:kern w:val="0"/>
                <w:sz w:val="24"/>
                <w:highlight w:val="none"/>
              </w:rPr>
              <w:t>2、拟采取的防治措施</w:t>
            </w:r>
          </w:p>
          <w:p>
            <w:pPr>
              <w:spacing w:line="360" w:lineRule="auto"/>
              <w:ind w:firstLine="480" w:firstLineChars="200"/>
              <w:rPr>
                <w:rFonts w:hint="eastAsia"/>
                <w:color w:val="auto"/>
                <w:kern w:val="0"/>
                <w:sz w:val="24"/>
                <w:highlight w:val="none"/>
              </w:rPr>
            </w:pPr>
            <w:r>
              <w:rPr>
                <w:rFonts w:hint="eastAsia"/>
                <w:color w:val="auto"/>
                <w:kern w:val="0"/>
                <w:sz w:val="24"/>
                <w:highlight w:val="none"/>
              </w:rPr>
              <w:t>（1）加强环境管理，污水管道等选用做防渗、防腐处理的管道，将污染物“跑、冒、滴、漏”降到最低程度。</w:t>
            </w:r>
          </w:p>
          <w:p>
            <w:pPr>
              <w:spacing w:line="360" w:lineRule="auto"/>
              <w:ind w:firstLine="480" w:firstLineChars="200"/>
              <w:rPr>
                <w:rFonts w:hint="eastAsia"/>
                <w:color w:val="auto"/>
                <w:kern w:val="0"/>
                <w:sz w:val="24"/>
                <w:highlight w:val="none"/>
              </w:rPr>
            </w:pPr>
            <w:r>
              <w:rPr>
                <w:rFonts w:hint="eastAsia"/>
                <w:color w:val="auto"/>
                <w:kern w:val="0"/>
                <w:sz w:val="24"/>
                <w:highlight w:val="none"/>
              </w:rPr>
              <w:t>（2）分区防渗措施：根据《环境影响评价技术导则 地下水环境》（HJ610-2016）防渗分区原则，将本项目划分为重点防渗区、一般防渗区和简单防渗区，划分区域如下：</w:t>
            </w:r>
          </w:p>
          <w:p>
            <w:pPr>
              <w:spacing w:line="360" w:lineRule="auto"/>
              <w:ind w:firstLine="480" w:firstLineChars="200"/>
              <w:rPr>
                <w:rFonts w:hint="eastAsia"/>
                <w:color w:val="auto"/>
                <w:kern w:val="0"/>
                <w:sz w:val="24"/>
                <w:highlight w:val="none"/>
              </w:rPr>
            </w:pPr>
            <w:r>
              <w:rPr>
                <w:rFonts w:hint="eastAsia"/>
                <w:color w:val="auto"/>
                <w:kern w:val="0"/>
                <w:sz w:val="24"/>
                <w:highlight w:val="none"/>
              </w:rPr>
              <w:t>①重点防渗区：拟采取防渗混凝土+2mm厚HDPE防渗层进行防渗、防腐处理，确保防渗性能与6.0m厚黏土防渗层，防渗系数满足K≤1×10-7cm/s。</w:t>
            </w:r>
          </w:p>
          <w:p>
            <w:pPr>
              <w:spacing w:line="360" w:lineRule="auto"/>
              <w:ind w:firstLine="480" w:firstLineChars="200"/>
              <w:rPr>
                <w:rFonts w:hint="eastAsia"/>
                <w:color w:val="auto"/>
                <w:kern w:val="0"/>
                <w:sz w:val="24"/>
                <w:highlight w:val="none"/>
              </w:rPr>
            </w:pPr>
            <w:r>
              <w:rPr>
                <w:rFonts w:hint="eastAsia"/>
                <w:color w:val="auto"/>
                <w:kern w:val="0"/>
                <w:sz w:val="24"/>
                <w:highlight w:val="none"/>
              </w:rPr>
              <w:t>②一般防渗区：拟采取防渗层结构为夯实粘土层+15cm厚P8抗渗混凝土硬化，防渗技术要求为等效黏土防渗层Mb≥1.5m，确保防渗系数K≤10-7cm/s。</w:t>
            </w:r>
          </w:p>
          <w:p>
            <w:pPr>
              <w:spacing w:line="360" w:lineRule="auto"/>
              <w:ind w:firstLine="480" w:firstLineChars="200"/>
              <w:rPr>
                <w:rFonts w:hint="eastAsia"/>
                <w:color w:val="auto"/>
                <w:kern w:val="0"/>
                <w:sz w:val="24"/>
                <w:highlight w:val="none"/>
              </w:rPr>
            </w:pPr>
            <w:r>
              <w:rPr>
                <w:rFonts w:hint="eastAsia"/>
                <w:color w:val="auto"/>
                <w:kern w:val="0"/>
                <w:sz w:val="24"/>
                <w:highlight w:val="none"/>
              </w:rPr>
              <w:t>③简单防渗区：包括道路，防渗技术要求为一般地面硬化。</w:t>
            </w:r>
          </w:p>
          <w:p>
            <w:pPr>
              <w:spacing w:line="360" w:lineRule="auto"/>
              <w:ind w:firstLine="480" w:firstLineChars="200"/>
              <w:rPr>
                <w:rFonts w:hint="eastAsia"/>
                <w:color w:val="auto"/>
                <w:kern w:val="0"/>
                <w:sz w:val="24"/>
                <w:highlight w:val="none"/>
              </w:rPr>
            </w:pPr>
            <w:r>
              <w:rPr>
                <w:rFonts w:hint="eastAsia"/>
                <w:color w:val="auto"/>
                <w:kern w:val="0"/>
                <w:sz w:val="24"/>
                <w:highlight w:val="none"/>
              </w:rPr>
              <w:t>（3）废水管网防渗</w:t>
            </w:r>
          </w:p>
          <w:p>
            <w:pPr>
              <w:spacing w:line="360" w:lineRule="auto"/>
              <w:ind w:firstLine="480" w:firstLineChars="200"/>
              <w:rPr>
                <w:rFonts w:hint="eastAsia"/>
                <w:color w:val="auto"/>
                <w:kern w:val="0"/>
                <w:sz w:val="24"/>
                <w:highlight w:val="none"/>
              </w:rPr>
            </w:pPr>
            <w:r>
              <w:rPr>
                <w:rFonts w:hint="eastAsia"/>
                <w:color w:val="auto"/>
                <w:kern w:val="0"/>
                <w:sz w:val="24"/>
                <w:highlight w:val="none"/>
              </w:rPr>
              <w:t>①排水管道必须具有足够的强度，以承受外部荷载和内部水压，外部荷载包括土压力形成的静荷载和由车辆运行所造成的动荷载。重力流排水管道在发生淤塞，也会形成内部水压，因此重力流排水管道也需适当考虑承受内压力。</w:t>
            </w:r>
          </w:p>
          <w:p>
            <w:pPr>
              <w:spacing w:line="360" w:lineRule="auto"/>
              <w:ind w:firstLine="480" w:firstLineChars="200"/>
              <w:rPr>
                <w:rFonts w:hint="eastAsia"/>
                <w:color w:val="auto"/>
                <w:kern w:val="0"/>
                <w:sz w:val="24"/>
                <w:highlight w:val="none"/>
              </w:rPr>
            </w:pPr>
            <w:r>
              <w:rPr>
                <w:rFonts w:hint="eastAsia"/>
                <w:color w:val="auto"/>
                <w:kern w:val="0"/>
                <w:sz w:val="24"/>
                <w:highlight w:val="none"/>
              </w:rPr>
              <w:t>②排水管渠除具有抗废水中杂质的冲刷和磨损的作用外，还应该具有一定的抗腐蚀的性能，以免受废水或地下水的侵蚀作用而损坏。</w:t>
            </w:r>
          </w:p>
          <w:p>
            <w:pPr>
              <w:spacing w:line="360" w:lineRule="auto"/>
              <w:ind w:firstLine="480" w:firstLineChars="200"/>
              <w:rPr>
                <w:rFonts w:hint="eastAsia"/>
                <w:color w:val="auto"/>
                <w:kern w:val="0"/>
                <w:sz w:val="24"/>
                <w:highlight w:val="none"/>
              </w:rPr>
            </w:pPr>
            <w:r>
              <w:rPr>
                <w:rFonts w:hint="eastAsia"/>
                <w:color w:val="auto"/>
                <w:kern w:val="0"/>
                <w:sz w:val="24"/>
                <w:highlight w:val="none"/>
              </w:rPr>
              <w:t>③排水管道应具有良好的防渗漏性能，以防止废水渗出或地下水渗入。废水从管道渗出。不仅会污染地下水或水体，还可能导致破坏管道及附近建筑物的基础；而地下水渗入污水管道，将降低管道的排水能力，增大污水泵站及处理构筑物的水力负荷。</w:t>
            </w:r>
          </w:p>
          <w:p>
            <w:pPr>
              <w:spacing w:line="360" w:lineRule="auto"/>
              <w:ind w:firstLine="480" w:firstLineChars="200"/>
              <w:rPr>
                <w:rFonts w:hint="eastAsia"/>
                <w:color w:val="auto"/>
                <w:kern w:val="0"/>
                <w:sz w:val="24"/>
                <w:highlight w:val="none"/>
              </w:rPr>
            </w:pPr>
            <w:r>
              <w:rPr>
                <w:rFonts w:hint="eastAsia"/>
                <w:color w:val="auto"/>
                <w:kern w:val="0"/>
                <w:sz w:val="24"/>
                <w:highlight w:val="none"/>
              </w:rPr>
              <w:t>④排水管渠的内壁应光滑，以尽量减小管道输水的阻力损失。</w:t>
            </w:r>
          </w:p>
          <w:p>
            <w:pPr>
              <w:spacing w:line="360" w:lineRule="auto"/>
              <w:ind w:firstLine="480" w:firstLineChars="200"/>
              <w:rPr>
                <w:rFonts w:hint="eastAsia"/>
                <w:color w:val="auto"/>
                <w:kern w:val="0"/>
                <w:sz w:val="24"/>
                <w:highlight w:val="none"/>
              </w:rPr>
            </w:pPr>
            <w:r>
              <w:rPr>
                <w:rFonts w:hint="eastAsia"/>
                <w:color w:val="auto"/>
                <w:kern w:val="0"/>
                <w:sz w:val="24"/>
                <w:highlight w:val="none"/>
              </w:rPr>
              <w:t>⑤对沥青搅拌楼主楼以及危险废物暂存间地面进行硬化和用HDPE高密度聚乙烯材料作防渗处理，避免渗漏废水泄漏进入地下水体，造成对地下水体的污染。</w:t>
            </w:r>
          </w:p>
          <w:p>
            <w:pPr>
              <w:spacing w:line="360" w:lineRule="auto"/>
              <w:ind w:firstLine="480" w:firstLineChars="200"/>
              <w:rPr>
                <w:rFonts w:hint="eastAsia"/>
                <w:color w:val="auto"/>
                <w:kern w:val="0"/>
                <w:sz w:val="24"/>
                <w:highlight w:val="none"/>
              </w:rPr>
            </w:pPr>
            <w:r>
              <w:rPr>
                <w:rFonts w:hint="eastAsia"/>
                <w:color w:val="auto"/>
                <w:kern w:val="0"/>
                <w:sz w:val="24"/>
                <w:highlight w:val="none"/>
              </w:rPr>
              <w:t>⑥加强施工质量管理，对管道和施工技术质量要求进行严格控制。</w:t>
            </w:r>
          </w:p>
          <w:p>
            <w:pPr>
              <w:spacing w:line="360" w:lineRule="auto"/>
              <w:ind w:firstLine="480" w:firstLineChars="200"/>
              <w:rPr>
                <w:rFonts w:hint="eastAsia"/>
                <w:color w:val="auto"/>
                <w:kern w:val="0"/>
                <w:sz w:val="24"/>
                <w:highlight w:val="none"/>
              </w:rPr>
            </w:pPr>
            <w:r>
              <w:rPr>
                <w:rFonts w:hint="eastAsia"/>
                <w:color w:val="auto"/>
                <w:kern w:val="0"/>
                <w:sz w:val="24"/>
                <w:highlight w:val="none"/>
              </w:rPr>
              <w:t>（4）管理措施</w:t>
            </w:r>
          </w:p>
          <w:p>
            <w:pPr>
              <w:spacing w:line="360" w:lineRule="auto"/>
              <w:ind w:firstLine="480" w:firstLineChars="200"/>
              <w:rPr>
                <w:color w:val="auto"/>
                <w:kern w:val="0"/>
                <w:sz w:val="24"/>
                <w:highlight w:val="none"/>
              </w:rPr>
            </w:pPr>
            <w:r>
              <w:rPr>
                <w:rFonts w:hint="eastAsia"/>
                <w:color w:val="auto"/>
                <w:kern w:val="0"/>
                <w:sz w:val="24"/>
                <w:highlight w:val="none"/>
              </w:rPr>
              <w:t>①加强环境管理，危废暂存间按照《危险废物贮存污染控制标准》等规范标准规范化建设。</w:t>
            </w:r>
          </w:p>
          <w:p>
            <w:pPr>
              <w:spacing w:line="360" w:lineRule="auto"/>
              <w:ind w:firstLine="480" w:firstLineChars="200"/>
              <w:rPr>
                <w:rFonts w:hint="eastAsia"/>
                <w:color w:val="auto"/>
                <w:kern w:val="0"/>
                <w:sz w:val="24"/>
                <w:highlight w:val="none"/>
              </w:rPr>
            </w:pPr>
            <w:r>
              <w:rPr>
                <w:rFonts w:hint="eastAsia"/>
                <w:color w:val="auto"/>
                <w:kern w:val="0"/>
                <w:sz w:val="24"/>
                <w:highlight w:val="none"/>
              </w:rPr>
              <w:t>②落实防渗措施，严格按照分区防渗措施进行防渗处理，防渗工程设计使用年限宜按50年进行设计，防渗材料必须符合防渗系数要求。</w:t>
            </w:r>
          </w:p>
          <w:p>
            <w:pPr>
              <w:spacing w:line="360" w:lineRule="auto"/>
              <w:ind w:firstLine="480" w:firstLineChars="200"/>
              <w:rPr>
                <w:rFonts w:hint="eastAsia"/>
                <w:color w:val="auto"/>
                <w:kern w:val="0"/>
                <w:sz w:val="24"/>
                <w:highlight w:val="none"/>
              </w:rPr>
            </w:pPr>
            <w:r>
              <w:rPr>
                <w:rFonts w:hint="eastAsia"/>
                <w:color w:val="auto"/>
                <w:kern w:val="0"/>
                <w:sz w:val="24"/>
                <w:highlight w:val="none"/>
              </w:rPr>
              <w:t>本项目地下水污染防治分区防渗表如下：</w:t>
            </w:r>
          </w:p>
          <w:p>
            <w:pPr>
              <w:tabs>
                <w:tab w:val="left" w:pos="0"/>
              </w:tabs>
              <w:adjustRightInd w:val="0"/>
              <w:snapToGrid w:val="0"/>
              <w:jc w:val="center"/>
              <w:rPr>
                <w:rFonts w:hint="eastAsia" w:eastAsia="黑体"/>
                <w:snapToGrid w:val="0"/>
                <w:color w:val="auto"/>
                <w:kern w:val="0"/>
                <w:szCs w:val="21"/>
                <w:highlight w:val="none"/>
              </w:rPr>
            </w:pPr>
            <w:r>
              <w:rPr>
                <w:rFonts w:hint="eastAsia" w:eastAsia="黑体"/>
                <w:snapToGrid w:val="0"/>
                <w:color w:val="auto"/>
                <w:kern w:val="0"/>
                <w:szCs w:val="21"/>
                <w:highlight w:val="none"/>
              </w:rPr>
              <w:t>表4-2</w:t>
            </w:r>
            <w:r>
              <w:rPr>
                <w:rFonts w:hint="eastAsia" w:eastAsia="黑体"/>
                <w:snapToGrid w:val="0"/>
                <w:color w:val="auto"/>
                <w:kern w:val="0"/>
                <w:szCs w:val="21"/>
                <w:highlight w:val="none"/>
                <w:lang w:val="en-US" w:eastAsia="zh-CN"/>
              </w:rPr>
              <w:t>5</w:t>
            </w:r>
            <w:r>
              <w:rPr>
                <w:rFonts w:hint="eastAsia" w:eastAsia="黑体"/>
                <w:snapToGrid w:val="0"/>
                <w:color w:val="auto"/>
                <w:kern w:val="0"/>
                <w:szCs w:val="21"/>
                <w:highlight w:val="none"/>
              </w:rPr>
              <w:t xml:space="preserve"> 地下水污染防治分区防渗表</w:t>
            </w:r>
          </w:p>
          <w:tbl>
            <w:tblPr>
              <w:tblStyle w:val="39"/>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56"/>
              <w:gridCol w:w="1540"/>
              <w:gridCol w:w="3460"/>
              <w:gridCol w:w="244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97" w:hRule="atLeast"/>
                <w:jc w:val="center"/>
              </w:trPr>
              <w:tc>
                <w:tcPr>
                  <w:tcW w:w="656" w:type="dxa"/>
                  <w:noWrap w:val="0"/>
                  <w:vAlign w:val="center"/>
                </w:tcPr>
                <w:p>
                  <w:pPr>
                    <w:pStyle w:val="22"/>
                    <w:tabs>
                      <w:tab w:val="left" w:pos="0"/>
                    </w:tabs>
                    <w:spacing w:line="240" w:lineRule="auto"/>
                    <w:ind w:firstLine="0" w:firstLineChars="0"/>
                    <w:jc w:val="center"/>
                    <w:rPr>
                      <w:rFonts w:ascii="Times New Roman" w:hAnsi="Times New Roman"/>
                      <w:b/>
                      <w:bCs/>
                      <w:color w:val="auto"/>
                      <w:szCs w:val="21"/>
                      <w:highlight w:val="none"/>
                    </w:rPr>
                  </w:pPr>
                  <w:r>
                    <w:rPr>
                      <w:rFonts w:ascii="Times New Roman" w:hAnsi="Times New Roman"/>
                      <w:b/>
                      <w:bCs/>
                      <w:color w:val="auto"/>
                      <w:szCs w:val="21"/>
                      <w:highlight w:val="none"/>
                    </w:rPr>
                    <w:t>防渗分区</w:t>
                  </w:r>
                </w:p>
              </w:tc>
              <w:tc>
                <w:tcPr>
                  <w:tcW w:w="1540" w:type="dxa"/>
                  <w:noWrap w:val="0"/>
                  <w:vAlign w:val="center"/>
                </w:tcPr>
                <w:p>
                  <w:pPr>
                    <w:pStyle w:val="22"/>
                    <w:tabs>
                      <w:tab w:val="left" w:pos="0"/>
                    </w:tabs>
                    <w:spacing w:line="240" w:lineRule="auto"/>
                    <w:ind w:firstLine="0" w:firstLineChars="0"/>
                    <w:jc w:val="center"/>
                    <w:rPr>
                      <w:rFonts w:ascii="Times New Roman" w:hAnsi="Times New Roman"/>
                      <w:b/>
                      <w:bCs/>
                      <w:color w:val="auto"/>
                      <w:szCs w:val="21"/>
                      <w:highlight w:val="none"/>
                    </w:rPr>
                  </w:pPr>
                  <w:r>
                    <w:rPr>
                      <w:rFonts w:ascii="Times New Roman" w:hAnsi="Times New Roman"/>
                      <w:b/>
                      <w:bCs/>
                      <w:color w:val="auto"/>
                      <w:szCs w:val="21"/>
                      <w:highlight w:val="none"/>
                    </w:rPr>
                    <w:t>位置</w:t>
                  </w:r>
                </w:p>
              </w:tc>
              <w:tc>
                <w:tcPr>
                  <w:tcW w:w="3460" w:type="dxa"/>
                  <w:noWrap w:val="0"/>
                  <w:vAlign w:val="center"/>
                </w:tcPr>
                <w:p>
                  <w:pPr>
                    <w:pStyle w:val="22"/>
                    <w:tabs>
                      <w:tab w:val="left" w:pos="0"/>
                    </w:tabs>
                    <w:spacing w:line="240" w:lineRule="auto"/>
                    <w:ind w:firstLine="0" w:firstLineChars="0"/>
                    <w:jc w:val="center"/>
                    <w:rPr>
                      <w:rFonts w:ascii="Times New Roman" w:hAnsi="Times New Roman"/>
                      <w:b/>
                      <w:bCs/>
                      <w:color w:val="auto"/>
                      <w:szCs w:val="21"/>
                      <w:highlight w:val="none"/>
                    </w:rPr>
                  </w:pPr>
                  <w:r>
                    <w:rPr>
                      <w:rFonts w:ascii="Times New Roman" w:hAnsi="Times New Roman"/>
                      <w:b/>
                      <w:bCs/>
                      <w:color w:val="auto"/>
                      <w:szCs w:val="21"/>
                      <w:highlight w:val="none"/>
                    </w:rPr>
                    <w:t>防渗措施</w:t>
                  </w:r>
                </w:p>
              </w:tc>
              <w:tc>
                <w:tcPr>
                  <w:tcW w:w="2442" w:type="dxa"/>
                  <w:noWrap w:val="0"/>
                  <w:vAlign w:val="center"/>
                </w:tcPr>
                <w:p>
                  <w:pPr>
                    <w:pStyle w:val="22"/>
                    <w:tabs>
                      <w:tab w:val="left" w:pos="0"/>
                    </w:tabs>
                    <w:spacing w:line="240" w:lineRule="auto"/>
                    <w:ind w:firstLine="0" w:firstLineChars="0"/>
                    <w:jc w:val="center"/>
                    <w:rPr>
                      <w:rFonts w:ascii="Times New Roman" w:hAnsi="Times New Roman"/>
                      <w:b/>
                      <w:bCs/>
                      <w:color w:val="auto"/>
                      <w:szCs w:val="21"/>
                      <w:highlight w:val="none"/>
                    </w:rPr>
                  </w:pPr>
                  <w:r>
                    <w:rPr>
                      <w:rFonts w:ascii="Times New Roman" w:hAnsi="Times New Roman"/>
                      <w:b/>
                      <w:bCs/>
                      <w:color w:val="auto"/>
                      <w:szCs w:val="21"/>
                      <w:highlight w:val="none"/>
                    </w:rPr>
                    <w:t>技术要求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656" w:type="dxa"/>
                  <w:noWrap w:val="0"/>
                  <w:vAlign w:val="center"/>
                </w:tcPr>
                <w:p>
                  <w:pPr>
                    <w:pStyle w:val="22"/>
                    <w:tabs>
                      <w:tab w:val="left" w:pos="0"/>
                    </w:tabs>
                    <w:spacing w:line="240" w:lineRule="auto"/>
                    <w:ind w:firstLine="0" w:firstLineChars="0"/>
                    <w:jc w:val="center"/>
                    <w:rPr>
                      <w:rFonts w:ascii="Times New Roman" w:hAnsi="Times New Roman"/>
                      <w:color w:val="auto"/>
                      <w:szCs w:val="21"/>
                      <w:highlight w:val="none"/>
                    </w:rPr>
                  </w:pPr>
                  <w:r>
                    <w:rPr>
                      <w:rFonts w:ascii="Times New Roman" w:hAnsi="Times New Roman"/>
                      <w:color w:val="auto"/>
                      <w:szCs w:val="21"/>
                      <w:highlight w:val="none"/>
                    </w:rPr>
                    <w:t>重点防渗区</w:t>
                  </w:r>
                </w:p>
              </w:tc>
              <w:tc>
                <w:tcPr>
                  <w:tcW w:w="1540" w:type="dxa"/>
                  <w:noWrap w:val="0"/>
                  <w:vAlign w:val="center"/>
                </w:tcPr>
                <w:p>
                  <w:pPr>
                    <w:pStyle w:val="22"/>
                    <w:tabs>
                      <w:tab w:val="left" w:pos="0"/>
                    </w:tabs>
                    <w:spacing w:line="240" w:lineRule="auto"/>
                    <w:ind w:firstLine="0" w:firstLineChars="0"/>
                    <w:jc w:val="center"/>
                    <w:rPr>
                      <w:rFonts w:ascii="Times New Roman" w:hAnsi="Times New Roman"/>
                      <w:color w:val="auto"/>
                      <w:szCs w:val="21"/>
                      <w:highlight w:val="none"/>
                    </w:rPr>
                  </w:pPr>
                  <w:r>
                    <w:rPr>
                      <w:rFonts w:ascii="Times New Roman" w:hAnsi="Times New Roman"/>
                      <w:color w:val="auto"/>
                      <w:szCs w:val="21"/>
                      <w:highlight w:val="none"/>
                    </w:rPr>
                    <w:t>沥青储罐、危废暂存间、柴油储存区</w:t>
                  </w:r>
                </w:p>
              </w:tc>
              <w:tc>
                <w:tcPr>
                  <w:tcW w:w="3460" w:type="dxa"/>
                  <w:noWrap w:val="0"/>
                  <w:vAlign w:val="center"/>
                </w:tcPr>
                <w:p>
                  <w:pPr>
                    <w:pStyle w:val="22"/>
                    <w:tabs>
                      <w:tab w:val="left" w:pos="0"/>
                    </w:tabs>
                    <w:spacing w:line="240" w:lineRule="auto"/>
                    <w:ind w:firstLine="0" w:firstLineChars="0"/>
                    <w:jc w:val="center"/>
                    <w:rPr>
                      <w:rFonts w:ascii="Times New Roman" w:hAnsi="Times New Roman"/>
                      <w:color w:val="auto"/>
                      <w:szCs w:val="21"/>
                      <w:highlight w:val="none"/>
                    </w:rPr>
                  </w:pPr>
                  <w:r>
                    <w:rPr>
                      <w:rFonts w:ascii="Times New Roman" w:hAnsi="Times New Roman"/>
                      <w:color w:val="auto"/>
                      <w:szCs w:val="21"/>
                      <w:highlight w:val="none"/>
                    </w:rPr>
                    <w:t>可采取防渗混凝土+2mm厚HDPE防渗层进行防渗、防腐处理，确保防渗性能与6.0m厚黏土防渗层，其中医疗垃圾房防渗系数满足K≤1×10</w:t>
                  </w:r>
                  <w:r>
                    <w:rPr>
                      <w:rFonts w:ascii="Times New Roman" w:hAnsi="Times New Roman"/>
                      <w:color w:val="auto"/>
                      <w:szCs w:val="21"/>
                      <w:highlight w:val="none"/>
                      <w:vertAlign w:val="superscript"/>
                    </w:rPr>
                    <w:t>-10</w:t>
                  </w:r>
                  <w:r>
                    <w:rPr>
                      <w:rFonts w:ascii="Times New Roman" w:hAnsi="Times New Roman"/>
                      <w:color w:val="auto"/>
                      <w:szCs w:val="21"/>
                      <w:highlight w:val="none"/>
                    </w:rPr>
                    <w:t>cm/s，其他防渗系数满足K≤1×10</w:t>
                  </w:r>
                  <w:r>
                    <w:rPr>
                      <w:rFonts w:ascii="Times New Roman" w:hAnsi="Times New Roman"/>
                      <w:color w:val="auto"/>
                      <w:szCs w:val="21"/>
                      <w:highlight w:val="none"/>
                      <w:vertAlign w:val="superscript"/>
                    </w:rPr>
                    <w:t>-7</w:t>
                  </w:r>
                  <w:r>
                    <w:rPr>
                      <w:rFonts w:ascii="Times New Roman" w:hAnsi="Times New Roman"/>
                      <w:color w:val="auto"/>
                      <w:szCs w:val="21"/>
                      <w:highlight w:val="none"/>
                    </w:rPr>
                    <w:t>cm/s。同时，医疗垃圾房设置10~20cm高防渗围堰，且液态危险废物下方设置托盘；柴油发电机房及储油间四周设置10~20cm防渗围堰，设置空桶作为备用收容设施</w:t>
                  </w:r>
                </w:p>
              </w:tc>
              <w:tc>
                <w:tcPr>
                  <w:tcW w:w="2442" w:type="dxa"/>
                  <w:noWrap w:val="0"/>
                  <w:vAlign w:val="center"/>
                </w:tcPr>
                <w:p>
                  <w:pPr>
                    <w:pStyle w:val="22"/>
                    <w:tabs>
                      <w:tab w:val="left" w:pos="0"/>
                    </w:tabs>
                    <w:spacing w:line="240" w:lineRule="auto"/>
                    <w:ind w:firstLine="0" w:firstLineChars="0"/>
                    <w:jc w:val="center"/>
                    <w:rPr>
                      <w:rFonts w:ascii="Times New Roman" w:hAnsi="Times New Roman"/>
                      <w:color w:val="auto"/>
                      <w:szCs w:val="21"/>
                      <w:highlight w:val="none"/>
                    </w:rPr>
                  </w:pPr>
                  <w:r>
                    <w:rPr>
                      <w:rFonts w:ascii="Times New Roman" w:hAnsi="Times New Roman"/>
                      <w:color w:val="auto"/>
                      <w:szCs w:val="21"/>
                      <w:highlight w:val="none"/>
                    </w:rPr>
                    <w:t>《危险废物贮存污染控制标准》（GB18597-2001）要求，等效粘土防渗层Mb=6.0m，K=10</w:t>
                  </w:r>
                  <w:r>
                    <w:rPr>
                      <w:rFonts w:ascii="Times New Roman" w:hAnsi="Times New Roman"/>
                      <w:color w:val="auto"/>
                      <w:szCs w:val="21"/>
                      <w:highlight w:val="none"/>
                      <w:vertAlign w:val="superscript"/>
                    </w:rPr>
                    <w:t>-10</w:t>
                  </w:r>
                  <w:r>
                    <w:rPr>
                      <w:rFonts w:ascii="Times New Roman" w:hAnsi="Times New Roman"/>
                      <w:color w:val="auto"/>
                      <w:szCs w:val="21"/>
                      <w:highlight w:val="none"/>
                    </w:rPr>
                    <w:t>cm/s</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60" w:hRule="atLeast"/>
                <w:jc w:val="center"/>
              </w:trPr>
              <w:tc>
                <w:tcPr>
                  <w:tcW w:w="656" w:type="dxa"/>
                  <w:noWrap w:val="0"/>
                  <w:vAlign w:val="center"/>
                </w:tcPr>
                <w:p>
                  <w:pPr>
                    <w:pStyle w:val="22"/>
                    <w:tabs>
                      <w:tab w:val="left" w:pos="0"/>
                    </w:tabs>
                    <w:spacing w:line="240" w:lineRule="auto"/>
                    <w:ind w:firstLine="0" w:firstLineChars="0"/>
                    <w:jc w:val="center"/>
                    <w:rPr>
                      <w:rFonts w:ascii="Times New Roman" w:hAnsi="Times New Roman"/>
                      <w:color w:val="auto"/>
                      <w:szCs w:val="21"/>
                      <w:highlight w:val="none"/>
                    </w:rPr>
                  </w:pPr>
                  <w:r>
                    <w:rPr>
                      <w:rFonts w:ascii="Times New Roman" w:hAnsi="Times New Roman"/>
                      <w:color w:val="auto"/>
                      <w:szCs w:val="21"/>
                      <w:highlight w:val="none"/>
                    </w:rPr>
                    <w:t>一般防渗区</w:t>
                  </w:r>
                </w:p>
              </w:tc>
              <w:tc>
                <w:tcPr>
                  <w:tcW w:w="1540" w:type="dxa"/>
                  <w:noWrap w:val="0"/>
                  <w:vAlign w:val="center"/>
                </w:tcPr>
                <w:p>
                  <w:pPr>
                    <w:pStyle w:val="22"/>
                    <w:tabs>
                      <w:tab w:val="left" w:pos="0"/>
                    </w:tabs>
                    <w:spacing w:line="240" w:lineRule="auto"/>
                    <w:ind w:firstLine="0" w:firstLineChars="0"/>
                    <w:jc w:val="center"/>
                    <w:rPr>
                      <w:rFonts w:hint="eastAsia" w:ascii="Times New Roman" w:hAnsi="Times New Roman"/>
                      <w:color w:val="auto"/>
                      <w:szCs w:val="21"/>
                      <w:highlight w:val="none"/>
                    </w:rPr>
                  </w:pPr>
                  <w:r>
                    <w:rPr>
                      <w:rFonts w:ascii="Times New Roman" w:hAnsi="Times New Roman"/>
                      <w:color w:val="auto"/>
                      <w:szCs w:val="21"/>
                      <w:highlight w:val="none"/>
                    </w:rPr>
                    <w:t>其他办公生产用房</w:t>
                  </w:r>
                  <w:r>
                    <w:rPr>
                      <w:rFonts w:hint="eastAsia" w:ascii="Times New Roman" w:hAnsi="Times New Roman"/>
                      <w:color w:val="auto"/>
                      <w:szCs w:val="21"/>
                      <w:highlight w:val="none"/>
                    </w:rPr>
                    <w:t>、</w:t>
                  </w:r>
                  <w:r>
                    <w:rPr>
                      <w:rFonts w:ascii="Times New Roman" w:hAnsi="Times New Roman"/>
                      <w:color w:val="auto"/>
                      <w:szCs w:val="21"/>
                      <w:highlight w:val="none"/>
                    </w:rPr>
                    <w:t>天然气供气站</w:t>
                  </w:r>
                </w:p>
              </w:tc>
              <w:tc>
                <w:tcPr>
                  <w:tcW w:w="3460" w:type="dxa"/>
                  <w:noWrap w:val="0"/>
                  <w:vAlign w:val="center"/>
                </w:tcPr>
                <w:p>
                  <w:pPr>
                    <w:pStyle w:val="22"/>
                    <w:tabs>
                      <w:tab w:val="left" w:pos="0"/>
                    </w:tabs>
                    <w:spacing w:line="240" w:lineRule="auto"/>
                    <w:ind w:firstLine="0" w:firstLineChars="0"/>
                    <w:jc w:val="center"/>
                    <w:rPr>
                      <w:rFonts w:ascii="Times New Roman" w:hAnsi="Times New Roman"/>
                      <w:color w:val="auto"/>
                      <w:szCs w:val="21"/>
                      <w:highlight w:val="none"/>
                    </w:rPr>
                  </w:pPr>
                  <w:r>
                    <w:rPr>
                      <w:rFonts w:ascii="Times New Roman" w:hAnsi="Times New Roman"/>
                      <w:color w:val="auto"/>
                      <w:szCs w:val="21"/>
                      <w:highlight w:val="none"/>
                    </w:rPr>
                    <w:t>夯实粘土层+15cm厚P8抗渗混凝土硬化</w:t>
                  </w:r>
                </w:p>
              </w:tc>
              <w:tc>
                <w:tcPr>
                  <w:tcW w:w="2442" w:type="dxa"/>
                  <w:noWrap w:val="0"/>
                  <w:vAlign w:val="center"/>
                </w:tcPr>
                <w:p>
                  <w:pPr>
                    <w:pStyle w:val="22"/>
                    <w:tabs>
                      <w:tab w:val="left" w:pos="0"/>
                    </w:tabs>
                    <w:spacing w:line="240" w:lineRule="auto"/>
                    <w:ind w:firstLine="0" w:firstLineChars="0"/>
                    <w:jc w:val="center"/>
                    <w:rPr>
                      <w:rFonts w:ascii="Times New Roman" w:hAnsi="Times New Roman"/>
                      <w:color w:val="auto"/>
                      <w:szCs w:val="21"/>
                      <w:highlight w:val="none"/>
                    </w:rPr>
                  </w:pPr>
                  <w:r>
                    <w:rPr>
                      <w:rFonts w:ascii="Times New Roman" w:hAnsi="Times New Roman"/>
                      <w:color w:val="auto"/>
                      <w:szCs w:val="21"/>
                      <w:highlight w:val="none"/>
                    </w:rPr>
                    <w:t>等效黏土防渗层Mb≥1.5m，确保防渗系数K≤10</w:t>
                  </w:r>
                  <w:r>
                    <w:rPr>
                      <w:rFonts w:ascii="Times New Roman" w:hAnsi="Times New Roman"/>
                      <w:color w:val="auto"/>
                      <w:szCs w:val="21"/>
                      <w:highlight w:val="none"/>
                      <w:vertAlign w:val="superscript"/>
                    </w:rPr>
                    <w:t>-7</w:t>
                  </w:r>
                  <w:r>
                    <w:rPr>
                      <w:rFonts w:ascii="Times New Roman" w:hAnsi="Times New Roman"/>
                      <w:color w:val="auto"/>
                      <w:szCs w:val="21"/>
                      <w:highlight w:val="none"/>
                    </w:rPr>
                    <w:t>cm/s</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656" w:type="dxa"/>
                  <w:noWrap w:val="0"/>
                  <w:vAlign w:val="center"/>
                </w:tcPr>
                <w:p>
                  <w:pPr>
                    <w:pStyle w:val="22"/>
                    <w:tabs>
                      <w:tab w:val="left" w:pos="0"/>
                    </w:tabs>
                    <w:spacing w:line="240" w:lineRule="auto"/>
                    <w:ind w:firstLine="0" w:firstLineChars="0"/>
                    <w:jc w:val="center"/>
                    <w:rPr>
                      <w:rFonts w:ascii="Times New Roman" w:hAnsi="Times New Roman"/>
                      <w:color w:val="auto"/>
                      <w:szCs w:val="21"/>
                      <w:highlight w:val="none"/>
                    </w:rPr>
                  </w:pPr>
                  <w:r>
                    <w:rPr>
                      <w:rFonts w:ascii="Times New Roman" w:hAnsi="Times New Roman"/>
                      <w:color w:val="auto"/>
                      <w:szCs w:val="21"/>
                      <w:highlight w:val="none"/>
                    </w:rPr>
                    <w:t>简单防渗区</w:t>
                  </w:r>
                </w:p>
              </w:tc>
              <w:tc>
                <w:tcPr>
                  <w:tcW w:w="1540" w:type="dxa"/>
                  <w:noWrap w:val="0"/>
                  <w:vAlign w:val="center"/>
                </w:tcPr>
                <w:p>
                  <w:pPr>
                    <w:pStyle w:val="22"/>
                    <w:tabs>
                      <w:tab w:val="left" w:pos="0"/>
                    </w:tabs>
                    <w:spacing w:line="240" w:lineRule="auto"/>
                    <w:ind w:firstLine="0" w:firstLineChars="0"/>
                    <w:jc w:val="center"/>
                    <w:rPr>
                      <w:rFonts w:ascii="Times New Roman" w:hAnsi="Times New Roman"/>
                      <w:color w:val="auto"/>
                      <w:szCs w:val="21"/>
                      <w:highlight w:val="none"/>
                    </w:rPr>
                  </w:pPr>
                  <w:r>
                    <w:rPr>
                      <w:rFonts w:ascii="Times New Roman" w:hAnsi="Times New Roman"/>
                      <w:color w:val="auto"/>
                      <w:szCs w:val="21"/>
                      <w:highlight w:val="none"/>
                    </w:rPr>
                    <w:t>道路</w:t>
                  </w:r>
                </w:p>
              </w:tc>
              <w:tc>
                <w:tcPr>
                  <w:tcW w:w="3460" w:type="dxa"/>
                  <w:noWrap w:val="0"/>
                  <w:vAlign w:val="center"/>
                </w:tcPr>
                <w:p>
                  <w:pPr>
                    <w:pStyle w:val="22"/>
                    <w:tabs>
                      <w:tab w:val="left" w:pos="0"/>
                    </w:tabs>
                    <w:spacing w:line="240" w:lineRule="auto"/>
                    <w:ind w:firstLine="0" w:firstLineChars="0"/>
                    <w:jc w:val="center"/>
                    <w:rPr>
                      <w:rFonts w:ascii="Times New Roman" w:hAnsi="Times New Roman"/>
                      <w:color w:val="auto"/>
                      <w:szCs w:val="21"/>
                      <w:highlight w:val="none"/>
                    </w:rPr>
                  </w:pPr>
                  <w:r>
                    <w:rPr>
                      <w:rFonts w:ascii="Times New Roman" w:hAnsi="Times New Roman"/>
                      <w:color w:val="auto"/>
                      <w:szCs w:val="21"/>
                      <w:highlight w:val="none"/>
                    </w:rPr>
                    <w:t>水泥硬化</w:t>
                  </w:r>
                </w:p>
              </w:tc>
              <w:tc>
                <w:tcPr>
                  <w:tcW w:w="2442" w:type="dxa"/>
                  <w:noWrap w:val="0"/>
                  <w:vAlign w:val="center"/>
                </w:tcPr>
                <w:p>
                  <w:pPr>
                    <w:pStyle w:val="22"/>
                    <w:tabs>
                      <w:tab w:val="left" w:pos="0"/>
                    </w:tabs>
                    <w:spacing w:line="240" w:lineRule="auto"/>
                    <w:ind w:firstLine="0" w:firstLineChars="0"/>
                    <w:jc w:val="center"/>
                    <w:rPr>
                      <w:rFonts w:ascii="Times New Roman" w:hAnsi="Times New Roman"/>
                      <w:color w:val="auto"/>
                      <w:szCs w:val="21"/>
                      <w:highlight w:val="none"/>
                    </w:rPr>
                  </w:pPr>
                  <w:r>
                    <w:rPr>
                      <w:rFonts w:ascii="Times New Roman" w:hAnsi="Times New Roman"/>
                      <w:color w:val="auto"/>
                      <w:szCs w:val="21"/>
                      <w:highlight w:val="none"/>
                    </w:rPr>
                    <w:t>一般地面硬化</w:t>
                  </w:r>
                </w:p>
              </w:tc>
            </w:tr>
          </w:tbl>
          <w:p>
            <w:pPr>
              <w:adjustRightInd w:val="0"/>
              <w:snapToGrid w:val="0"/>
              <w:spacing w:line="360" w:lineRule="auto"/>
              <w:ind w:firstLine="480" w:firstLineChars="200"/>
              <w:rPr>
                <w:rFonts w:hint="eastAsia"/>
                <w:color w:val="auto"/>
                <w:kern w:val="0"/>
                <w:sz w:val="24"/>
                <w:highlight w:val="none"/>
              </w:rPr>
            </w:pPr>
            <w:r>
              <w:rPr>
                <w:rFonts w:hint="eastAsia"/>
                <w:color w:val="auto"/>
                <w:kern w:val="0"/>
                <w:sz w:val="24"/>
                <w:highlight w:val="none"/>
              </w:rPr>
              <w:t>根据以上分析，本项目营运期采取以上地下水防治措施后，不会对项目区域地下水水质产生影响。</w:t>
            </w:r>
          </w:p>
          <w:p>
            <w:pPr>
              <w:adjustRightInd w:val="0"/>
              <w:snapToGrid w:val="0"/>
              <w:spacing w:line="360" w:lineRule="auto"/>
              <w:rPr>
                <w:rFonts w:hint="eastAsia" w:ascii="黑体" w:hAnsi="黑体" w:eastAsia="黑体" w:cs="黑体"/>
                <w:bCs/>
                <w:color w:val="auto"/>
                <w:spacing w:val="-10"/>
                <w:sz w:val="24"/>
                <w:highlight w:val="none"/>
              </w:rPr>
            </w:pPr>
            <w:r>
              <w:rPr>
                <w:rFonts w:hint="eastAsia" w:ascii="黑体" w:hAnsi="黑体" w:eastAsia="黑体" w:cs="黑体"/>
                <w:bCs/>
                <w:color w:val="auto"/>
                <w:spacing w:val="-10"/>
                <w:sz w:val="24"/>
                <w:highlight w:val="none"/>
              </w:rPr>
              <w:t>六、土壤</w:t>
            </w:r>
          </w:p>
          <w:p>
            <w:pPr>
              <w:widowControl/>
              <w:spacing w:line="360" w:lineRule="auto"/>
              <w:ind w:firstLine="482"/>
              <w:rPr>
                <w:color w:val="auto"/>
                <w:kern w:val="0"/>
                <w:sz w:val="24"/>
                <w:highlight w:val="none"/>
              </w:rPr>
            </w:pPr>
            <w:r>
              <w:rPr>
                <w:rFonts w:hint="eastAsia"/>
                <w:color w:val="auto"/>
                <w:kern w:val="0"/>
                <w:sz w:val="24"/>
                <w:highlight w:val="none"/>
              </w:rPr>
              <w:t>1</w:t>
            </w:r>
            <w:r>
              <w:rPr>
                <w:color w:val="auto"/>
                <w:kern w:val="0"/>
                <w:sz w:val="24"/>
                <w:highlight w:val="none"/>
              </w:rPr>
              <w:t>、土壤环境影响途径识别</w:t>
            </w:r>
          </w:p>
          <w:p>
            <w:pPr>
              <w:widowControl/>
              <w:spacing w:line="360" w:lineRule="auto"/>
              <w:ind w:firstLine="482"/>
              <w:rPr>
                <w:rFonts w:hint="eastAsia"/>
                <w:color w:val="auto"/>
                <w:kern w:val="0"/>
                <w:sz w:val="24"/>
                <w:highlight w:val="none"/>
              </w:rPr>
            </w:pPr>
            <w:r>
              <w:rPr>
                <w:color w:val="auto"/>
                <w:kern w:val="0"/>
                <w:sz w:val="24"/>
                <w:highlight w:val="none"/>
              </w:rPr>
              <w:t>运行期间项目</w:t>
            </w:r>
            <w:r>
              <w:rPr>
                <w:rFonts w:hint="eastAsia"/>
                <w:color w:val="auto"/>
                <w:kern w:val="0"/>
                <w:sz w:val="24"/>
                <w:highlight w:val="none"/>
              </w:rPr>
              <w:t>对土壤的影响及影响因子见下表</w:t>
            </w:r>
            <w:r>
              <w:rPr>
                <w:color w:val="auto"/>
                <w:kern w:val="0"/>
                <w:sz w:val="24"/>
                <w:highlight w:val="none"/>
              </w:rPr>
              <w:t>主要为</w:t>
            </w:r>
            <w:r>
              <w:rPr>
                <w:rFonts w:hint="eastAsia"/>
                <w:color w:val="auto"/>
                <w:kern w:val="0"/>
                <w:sz w:val="24"/>
                <w:highlight w:val="none"/>
              </w:rPr>
              <w:t>：</w:t>
            </w:r>
          </w:p>
          <w:p>
            <w:pPr>
              <w:pStyle w:val="16"/>
              <w:spacing w:before="0" w:after="0" w:line="240" w:lineRule="auto"/>
              <w:ind w:right="0"/>
              <w:jc w:val="center"/>
              <w:rPr>
                <w:rFonts w:hint="eastAsia"/>
                <w:b/>
                <w:bCs/>
                <w:color w:val="auto"/>
                <w:sz w:val="24"/>
                <w:szCs w:val="24"/>
                <w:highlight w:val="none"/>
              </w:rPr>
            </w:pPr>
            <w:r>
              <w:rPr>
                <w:rFonts w:hint="eastAsia"/>
                <w:b/>
                <w:bCs/>
                <w:color w:val="auto"/>
                <w:sz w:val="24"/>
                <w:szCs w:val="24"/>
                <w:highlight w:val="none"/>
              </w:rPr>
              <w:t>表4-2</w:t>
            </w:r>
            <w:r>
              <w:rPr>
                <w:rFonts w:hint="eastAsia"/>
                <w:b/>
                <w:bCs/>
                <w:color w:val="auto"/>
                <w:sz w:val="24"/>
                <w:szCs w:val="24"/>
                <w:highlight w:val="none"/>
                <w:lang w:val="en-US" w:eastAsia="zh-CN"/>
              </w:rPr>
              <w:t>6</w:t>
            </w:r>
            <w:r>
              <w:rPr>
                <w:rFonts w:hint="eastAsia"/>
                <w:b/>
                <w:bCs/>
                <w:color w:val="auto"/>
                <w:sz w:val="24"/>
                <w:szCs w:val="24"/>
                <w:highlight w:val="none"/>
              </w:rPr>
              <w:t xml:space="preserve"> 项目土壤环境影响源及影响因子识别表</w:t>
            </w:r>
          </w:p>
          <w:tbl>
            <w:tblPr>
              <w:tblStyle w:val="39"/>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24"/>
              <w:gridCol w:w="1324"/>
              <w:gridCol w:w="1324"/>
              <w:gridCol w:w="1324"/>
              <w:gridCol w:w="1325"/>
              <w:gridCol w:w="132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324" w:type="dxa"/>
                  <w:noWrap w:val="0"/>
                  <w:vAlign w:val="center"/>
                </w:tcPr>
                <w:p>
                  <w:pPr>
                    <w:jc w:val="center"/>
                    <w:rPr>
                      <w:b/>
                      <w:bCs/>
                      <w:color w:val="auto"/>
                      <w:szCs w:val="21"/>
                      <w:highlight w:val="none"/>
                    </w:rPr>
                  </w:pPr>
                  <w:r>
                    <w:rPr>
                      <w:b/>
                      <w:bCs/>
                      <w:color w:val="auto"/>
                      <w:szCs w:val="21"/>
                      <w:highlight w:val="none"/>
                    </w:rPr>
                    <w:t>污染源</w:t>
                  </w:r>
                </w:p>
              </w:tc>
              <w:tc>
                <w:tcPr>
                  <w:tcW w:w="1324" w:type="dxa"/>
                  <w:noWrap w:val="0"/>
                  <w:vAlign w:val="center"/>
                </w:tcPr>
                <w:p>
                  <w:pPr>
                    <w:jc w:val="center"/>
                    <w:rPr>
                      <w:b/>
                      <w:bCs/>
                      <w:color w:val="auto"/>
                      <w:szCs w:val="21"/>
                      <w:highlight w:val="none"/>
                    </w:rPr>
                  </w:pPr>
                  <w:r>
                    <w:rPr>
                      <w:b/>
                      <w:bCs/>
                      <w:color w:val="auto"/>
                      <w:szCs w:val="21"/>
                      <w:highlight w:val="none"/>
                    </w:rPr>
                    <w:t>工艺流程/节点</w:t>
                  </w:r>
                </w:p>
              </w:tc>
              <w:tc>
                <w:tcPr>
                  <w:tcW w:w="1324" w:type="dxa"/>
                  <w:noWrap w:val="0"/>
                  <w:vAlign w:val="center"/>
                </w:tcPr>
                <w:p>
                  <w:pPr>
                    <w:jc w:val="center"/>
                    <w:rPr>
                      <w:b/>
                      <w:bCs/>
                      <w:color w:val="auto"/>
                      <w:szCs w:val="21"/>
                      <w:highlight w:val="none"/>
                    </w:rPr>
                  </w:pPr>
                  <w:r>
                    <w:rPr>
                      <w:b/>
                      <w:bCs/>
                      <w:color w:val="auto"/>
                      <w:szCs w:val="21"/>
                      <w:highlight w:val="none"/>
                    </w:rPr>
                    <w:t>污染途径</w:t>
                  </w:r>
                </w:p>
              </w:tc>
              <w:tc>
                <w:tcPr>
                  <w:tcW w:w="1324" w:type="dxa"/>
                  <w:noWrap w:val="0"/>
                  <w:vAlign w:val="center"/>
                </w:tcPr>
                <w:p>
                  <w:pPr>
                    <w:jc w:val="center"/>
                    <w:rPr>
                      <w:b/>
                      <w:bCs/>
                      <w:color w:val="auto"/>
                      <w:szCs w:val="21"/>
                      <w:highlight w:val="none"/>
                    </w:rPr>
                  </w:pPr>
                  <w:r>
                    <w:rPr>
                      <w:b/>
                      <w:bCs/>
                      <w:color w:val="auto"/>
                      <w:szCs w:val="21"/>
                      <w:highlight w:val="none"/>
                    </w:rPr>
                    <w:t>污染物指标</w:t>
                  </w:r>
                  <w:r>
                    <w:rPr>
                      <w:rFonts w:hint="eastAsia"/>
                      <w:b/>
                      <w:bCs/>
                      <w:color w:val="auto"/>
                      <w:szCs w:val="21"/>
                      <w:highlight w:val="none"/>
                    </w:rPr>
                    <w:t>a</w:t>
                  </w:r>
                </w:p>
              </w:tc>
              <w:tc>
                <w:tcPr>
                  <w:tcW w:w="1325" w:type="dxa"/>
                  <w:noWrap w:val="0"/>
                  <w:vAlign w:val="center"/>
                </w:tcPr>
                <w:p>
                  <w:pPr>
                    <w:jc w:val="center"/>
                    <w:rPr>
                      <w:b/>
                      <w:bCs/>
                      <w:color w:val="auto"/>
                      <w:szCs w:val="21"/>
                      <w:highlight w:val="none"/>
                    </w:rPr>
                  </w:pPr>
                  <w:r>
                    <w:rPr>
                      <w:b/>
                      <w:bCs/>
                      <w:color w:val="auto"/>
                      <w:szCs w:val="21"/>
                      <w:highlight w:val="none"/>
                    </w:rPr>
                    <w:t>特征因子</w:t>
                  </w:r>
                </w:p>
              </w:tc>
              <w:tc>
                <w:tcPr>
                  <w:tcW w:w="1325" w:type="dxa"/>
                  <w:noWrap w:val="0"/>
                  <w:vAlign w:val="center"/>
                </w:tcPr>
                <w:p>
                  <w:pPr>
                    <w:jc w:val="center"/>
                    <w:rPr>
                      <w:b/>
                      <w:bCs/>
                      <w:color w:val="auto"/>
                      <w:szCs w:val="21"/>
                      <w:highlight w:val="none"/>
                    </w:rPr>
                  </w:pPr>
                  <w:r>
                    <w:rPr>
                      <w:b/>
                      <w:bCs/>
                      <w:color w:val="auto"/>
                      <w:szCs w:val="21"/>
                      <w:highlight w:val="none"/>
                    </w:rPr>
                    <w:t>备注</w:t>
                  </w:r>
                  <w:r>
                    <w:rPr>
                      <w:rFonts w:hint="eastAsia"/>
                      <w:b/>
                      <w:bCs/>
                      <w:color w:val="auto"/>
                      <w:szCs w:val="21"/>
                      <w:highlight w:val="none"/>
                    </w:rPr>
                    <w:t>b</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324" w:type="dxa"/>
                  <w:vMerge w:val="restart"/>
                  <w:noWrap w:val="0"/>
                  <w:vAlign w:val="center"/>
                </w:tcPr>
                <w:p>
                  <w:pPr>
                    <w:jc w:val="center"/>
                    <w:rPr>
                      <w:color w:val="auto"/>
                      <w:szCs w:val="21"/>
                      <w:highlight w:val="none"/>
                    </w:rPr>
                  </w:pPr>
                  <w:r>
                    <w:rPr>
                      <w:color w:val="auto"/>
                      <w:szCs w:val="21"/>
                      <w:highlight w:val="none"/>
                    </w:rPr>
                    <w:t>搅拌楼</w:t>
                  </w:r>
                </w:p>
              </w:tc>
              <w:tc>
                <w:tcPr>
                  <w:tcW w:w="1324" w:type="dxa"/>
                  <w:noWrap w:val="0"/>
                  <w:vAlign w:val="center"/>
                </w:tcPr>
                <w:p>
                  <w:pPr>
                    <w:jc w:val="center"/>
                    <w:rPr>
                      <w:color w:val="auto"/>
                      <w:szCs w:val="21"/>
                      <w:highlight w:val="none"/>
                    </w:rPr>
                  </w:pPr>
                  <w:r>
                    <w:rPr>
                      <w:color w:val="auto"/>
                      <w:szCs w:val="21"/>
                      <w:highlight w:val="none"/>
                    </w:rPr>
                    <w:t>搅拌杠（成品）卸料口</w:t>
                  </w:r>
                </w:p>
              </w:tc>
              <w:tc>
                <w:tcPr>
                  <w:tcW w:w="1324" w:type="dxa"/>
                  <w:vMerge w:val="restart"/>
                  <w:noWrap w:val="0"/>
                  <w:vAlign w:val="center"/>
                </w:tcPr>
                <w:p>
                  <w:pPr>
                    <w:jc w:val="center"/>
                    <w:rPr>
                      <w:color w:val="auto"/>
                      <w:szCs w:val="21"/>
                      <w:highlight w:val="none"/>
                    </w:rPr>
                  </w:pPr>
                  <w:r>
                    <w:rPr>
                      <w:color w:val="auto"/>
                      <w:szCs w:val="21"/>
                      <w:highlight w:val="none"/>
                    </w:rPr>
                    <w:t>大气沉降</w:t>
                  </w:r>
                </w:p>
              </w:tc>
              <w:tc>
                <w:tcPr>
                  <w:tcW w:w="1324" w:type="dxa"/>
                  <w:vMerge w:val="restart"/>
                  <w:noWrap w:val="0"/>
                  <w:vAlign w:val="center"/>
                </w:tcPr>
                <w:p>
                  <w:pPr>
                    <w:jc w:val="center"/>
                    <w:rPr>
                      <w:color w:val="auto"/>
                      <w:szCs w:val="21"/>
                      <w:highlight w:val="none"/>
                    </w:rPr>
                  </w:pPr>
                  <w:r>
                    <w:rPr>
                      <w:color w:val="auto"/>
                      <w:szCs w:val="21"/>
                      <w:highlight w:val="none"/>
                    </w:rPr>
                    <w:t>沥青烟（含苯并芘）</w:t>
                  </w:r>
                </w:p>
              </w:tc>
              <w:tc>
                <w:tcPr>
                  <w:tcW w:w="1325" w:type="dxa"/>
                  <w:vMerge w:val="restart"/>
                  <w:noWrap w:val="0"/>
                  <w:vAlign w:val="center"/>
                </w:tcPr>
                <w:p>
                  <w:pPr>
                    <w:jc w:val="center"/>
                    <w:rPr>
                      <w:color w:val="auto"/>
                      <w:szCs w:val="21"/>
                      <w:highlight w:val="none"/>
                    </w:rPr>
                  </w:pPr>
                  <w:r>
                    <w:rPr>
                      <w:color w:val="auto"/>
                      <w:szCs w:val="21"/>
                      <w:highlight w:val="none"/>
                    </w:rPr>
                    <w:t>沥青烟（含苯并芘）</w:t>
                  </w:r>
                </w:p>
              </w:tc>
              <w:tc>
                <w:tcPr>
                  <w:tcW w:w="1325" w:type="dxa"/>
                  <w:noWrap w:val="0"/>
                  <w:vAlign w:val="center"/>
                </w:tcPr>
                <w:p>
                  <w:pPr>
                    <w:jc w:val="center"/>
                    <w:rPr>
                      <w:color w:val="auto"/>
                      <w:szCs w:val="21"/>
                      <w:highlight w:val="none"/>
                    </w:rPr>
                  </w:pPr>
                  <w:r>
                    <w:rPr>
                      <w:color w:val="auto"/>
                      <w:szCs w:val="21"/>
                      <w:highlight w:val="none"/>
                    </w:rPr>
                    <w:t>间接/事故</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324" w:type="dxa"/>
                  <w:vMerge w:val="continue"/>
                  <w:noWrap w:val="0"/>
                  <w:vAlign w:val="center"/>
                </w:tcPr>
                <w:p>
                  <w:pPr>
                    <w:jc w:val="center"/>
                    <w:rPr>
                      <w:color w:val="auto"/>
                      <w:szCs w:val="21"/>
                      <w:highlight w:val="none"/>
                    </w:rPr>
                  </w:pPr>
                </w:p>
              </w:tc>
              <w:tc>
                <w:tcPr>
                  <w:tcW w:w="1324" w:type="dxa"/>
                  <w:noWrap w:val="0"/>
                  <w:vAlign w:val="center"/>
                </w:tcPr>
                <w:p>
                  <w:pPr>
                    <w:jc w:val="center"/>
                    <w:rPr>
                      <w:color w:val="auto"/>
                      <w:szCs w:val="21"/>
                      <w:highlight w:val="none"/>
                    </w:rPr>
                  </w:pPr>
                  <w:r>
                    <w:rPr>
                      <w:color w:val="auto"/>
                      <w:szCs w:val="21"/>
                      <w:highlight w:val="none"/>
                    </w:rPr>
                    <w:t>沥青罐呼吸阀排口</w:t>
                  </w:r>
                </w:p>
              </w:tc>
              <w:tc>
                <w:tcPr>
                  <w:tcW w:w="1324" w:type="dxa"/>
                  <w:vMerge w:val="continue"/>
                  <w:noWrap w:val="0"/>
                  <w:vAlign w:val="center"/>
                </w:tcPr>
                <w:p>
                  <w:pPr>
                    <w:jc w:val="center"/>
                    <w:rPr>
                      <w:color w:val="auto"/>
                      <w:szCs w:val="21"/>
                      <w:highlight w:val="none"/>
                    </w:rPr>
                  </w:pPr>
                </w:p>
              </w:tc>
              <w:tc>
                <w:tcPr>
                  <w:tcW w:w="1324" w:type="dxa"/>
                  <w:vMerge w:val="continue"/>
                  <w:noWrap w:val="0"/>
                  <w:vAlign w:val="center"/>
                </w:tcPr>
                <w:p>
                  <w:pPr>
                    <w:jc w:val="center"/>
                    <w:rPr>
                      <w:color w:val="auto"/>
                      <w:szCs w:val="21"/>
                      <w:highlight w:val="none"/>
                    </w:rPr>
                  </w:pPr>
                </w:p>
              </w:tc>
              <w:tc>
                <w:tcPr>
                  <w:tcW w:w="1325" w:type="dxa"/>
                  <w:vMerge w:val="continue"/>
                  <w:noWrap w:val="0"/>
                  <w:vAlign w:val="center"/>
                </w:tcPr>
                <w:p>
                  <w:pPr>
                    <w:jc w:val="center"/>
                    <w:rPr>
                      <w:color w:val="auto"/>
                      <w:szCs w:val="21"/>
                      <w:highlight w:val="none"/>
                    </w:rPr>
                  </w:pPr>
                </w:p>
              </w:tc>
              <w:tc>
                <w:tcPr>
                  <w:tcW w:w="1325" w:type="dxa"/>
                  <w:noWrap w:val="0"/>
                  <w:vAlign w:val="center"/>
                </w:tcPr>
                <w:p>
                  <w:pPr>
                    <w:jc w:val="center"/>
                    <w:rPr>
                      <w:color w:val="auto"/>
                      <w:szCs w:val="21"/>
                      <w:highlight w:val="none"/>
                    </w:rPr>
                  </w:pPr>
                  <w:r>
                    <w:rPr>
                      <w:color w:val="auto"/>
                      <w:szCs w:val="21"/>
                      <w:highlight w:val="none"/>
                    </w:rPr>
                    <w:t>间接/事故</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324" w:type="dxa"/>
                  <w:vMerge w:val="continue"/>
                  <w:noWrap w:val="0"/>
                  <w:vAlign w:val="center"/>
                </w:tcPr>
                <w:p>
                  <w:pPr>
                    <w:jc w:val="center"/>
                    <w:rPr>
                      <w:color w:val="auto"/>
                      <w:szCs w:val="21"/>
                      <w:highlight w:val="none"/>
                    </w:rPr>
                  </w:pPr>
                </w:p>
              </w:tc>
              <w:tc>
                <w:tcPr>
                  <w:tcW w:w="1324" w:type="dxa"/>
                  <w:noWrap w:val="0"/>
                  <w:vAlign w:val="center"/>
                </w:tcPr>
                <w:p>
                  <w:pPr>
                    <w:jc w:val="center"/>
                    <w:rPr>
                      <w:color w:val="auto"/>
                      <w:szCs w:val="21"/>
                      <w:highlight w:val="none"/>
                    </w:rPr>
                  </w:pPr>
                  <w:r>
                    <w:rPr>
                      <w:color w:val="auto"/>
                      <w:szCs w:val="21"/>
                      <w:highlight w:val="none"/>
                    </w:rPr>
                    <w:t>接卸槽呼吸阀排口</w:t>
                  </w:r>
                </w:p>
              </w:tc>
              <w:tc>
                <w:tcPr>
                  <w:tcW w:w="1324" w:type="dxa"/>
                  <w:vMerge w:val="continue"/>
                  <w:noWrap w:val="0"/>
                  <w:vAlign w:val="center"/>
                </w:tcPr>
                <w:p>
                  <w:pPr>
                    <w:jc w:val="center"/>
                    <w:rPr>
                      <w:color w:val="auto"/>
                      <w:szCs w:val="21"/>
                      <w:highlight w:val="none"/>
                    </w:rPr>
                  </w:pPr>
                </w:p>
              </w:tc>
              <w:tc>
                <w:tcPr>
                  <w:tcW w:w="1324" w:type="dxa"/>
                  <w:vMerge w:val="continue"/>
                  <w:noWrap w:val="0"/>
                  <w:vAlign w:val="center"/>
                </w:tcPr>
                <w:p>
                  <w:pPr>
                    <w:jc w:val="center"/>
                    <w:rPr>
                      <w:color w:val="auto"/>
                      <w:szCs w:val="21"/>
                      <w:highlight w:val="none"/>
                    </w:rPr>
                  </w:pPr>
                </w:p>
              </w:tc>
              <w:tc>
                <w:tcPr>
                  <w:tcW w:w="1325" w:type="dxa"/>
                  <w:vMerge w:val="continue"/>
                  <w:noWrap w:val="0"/>
                  <w:vAlign w:val="center"/>
                </w:tcPr>
                <w:p>
                  <w:pPr>
                    <w:jc w:val="center"/>
                    <w:rPr>
                      <w:color w:val="auto"/>
                      <w:szCs w:val="21"/>
                      <w:highlight w:val="none"/>
                    </w:rPr>
                  </w:pPr>
                </w:p>
              </w:tc>
              <w:tc>
                <w:tcPr>
                  <w:tcW w:w="1325" w:type="dxa"/>
                  <w:noWrap w:val="0"/>
                  <w:vAlign w:val="center"/>
                </w:tcPr>
                <w:p>
                  <w:pPr>
                    <w:jc w:val="center"/>
                    <w:rPr>
                      <w:color w:val="auto"/>
                      <w:szCs w:val="21"/>
                      <w:highlight w:val="none"/>
                    </w:rPr>
                  </w:pPr>
                  <w:r>
                    <w:rPr>
                      <w:color w:val="auto"/>
                      <w:szCs w:val="21"/>
                      <w:highlight w:val="none"/>
                    </w:rPr>
                    <w:t>间接/事故</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324" w:type="dxa"/>
                  <w:vMerge w:val="restart"/>
                  <w:noWrap w:val="0"/>
                  <w:vAlign w:val="center"/>
                </w:tcPr>
                <w:p>
                  <w:pPr>
                    <w:jc w:val="center"/>
                    <w:rPr>
                      <w:color w:val="auto"/>
                      <w:szCs w:val="21"/>
                      <w:highlight w:val="none"/>
                    </w:rPr>
                  </w:pPr>
                  <w:r>
                    <w:rPr>
                      <w:color w:val="auto"/>
                      <w:szCs w:val="21"/>
                      <w:highlight w:val="none"/>
                    </w:rPr>
                    <w:t>沥青储罐区</w:t>
                  </w:r>
                </w:p>
              </w:tc>
              <w:tc>
                <w:tcPr>
                  <w:tcW w:w="1324" w:type="dxa"/>
                  <w:vMerge w:val="restart"/>
                  <w:noWrap w:val="0"/>
                  <w:vAlign w:val="center"/>
                </w:tcPr>
                <w:p>
                  <w:pPr>
                    <w:jc w:val="center"/>
                    <w:rPr>
                      <w:color w:val="auto"/>
                      <w:szCs w:val="21"/>
                      <w:highlight w:val="none"/>
                    </w:rPr>
                  </w:pPr>
                  <w:r>
                    <w:rPr>
                      <w:color w:val="auto"/>
                      <w:szCs w:val="21"/>
                      <w:highlight w:val="none"/>
                    </w:rPr>
                    <w:t>沥青储罐</w:t>
                  </w:r>
                </w:p>
              </w:tc>
              <w:tc>
                <w:tcPr>
                  <w:tcW w:w="1324" w:type="dxa"/>
                  <w:noWrap w:val="0"/>
                  <w:vAlign w:val="center"/>
                </w:tcPr>
                <w:p>
                  <w:pPr>
                    <w:jc w:val="center"/>
                    <w:rPr>
                      <w:color w:val="auto"/>
                      <w:szCs w:val="21"/>
                      <w:highlight w:val="none"/>
                    </w:rPr>
                  </w:pPr>
                  <w:r>
                    <w:rPr>
                      <w:color w:val="auto"/>
                      <w:szCs w:val="21"/>
                      <w:highlight w:val="none"/>
                    </w:rPr>
                    <w:t>地面漫流</w:t>
                  </w:r>
                </w:p>
              </w:tc>
              <w:tc>
                <w:tcPr>
                  <w:tcW w:w="1324" w:type="dxa"/>
                  <w:vMerge w:val="continue"/>
                  <w:noWrap w:val="0"/>
                  <w:vAlign w:val="center"/>
                </w:tcPr>
                <w:p>
                  <w:pPr>
                    <w:jc w:val="center"/>
                    <w:rPr>
                      <w:color w:val="auto"/>
                      <w:szCs w:val="21"/>
                      <w:highlight w:val="none"/>
                    </w:rPr>
                  </w:pPr>
                </w:p>
              </w:tc>
              <w:tc>
                <w:tcPr>
                  <w:tcW w:w="1325" w:type="dxa"/>
                  <w:vMerge w:val="continue"/>
                  <w:noWrap w:val="0"/>
                  <w:vAlign w:val="center"/>
                </w:tcPr>
                <w:p>
                  <w:pPr>
                    <w:jc w:val="center"/>
                    <w:rPr>
                      <w:color w:val="auto"/>
                      <w:szCs w:val="21"/>
                      <w:highlight w:val="none"/>
                    </w:rPr>
                  </w:pPr>
                </w:p>
              </w:tc>
              <w:tc>
                <w:tcPr>
                  <w:tcW w:w="1325" w:type="dxa"/>
                  <w:noWrap w:val="0"/>
                  <w:vAlign w:val="center"/>
                </w:tcPr>
                <w:p>
                  <w:pPr>
                    <w:jc w:val="center"/>
                    <w:rPr>
                      <w:color w:val="auto"/>
                      <w:szCs w:val="21"/>
                      <w:highlight w:val="none"/>
                    </w:rPr>
                  </w:pPr>
                  <w:r>
                    <w:rPr>
                      <w:color w:val="auto"/>
                      <w:szCs w:val="21"/>
                      <w:highlight w:val="none"/>
                    </w:rPr>
                    <w:t>间接/事故</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324" w:type="dxa"/>
                  <w:vMerge w:val="continue"/>
                  <w:noWrap w:val="0"/>
                  <w:vAlign w:val="center"/>
                </w:tcPr>
                <w:p>
                  <w:pPr>
                    <w:jc w:val="center"/>
                    <w:rPr>
                      <w:color w:val="auto"/>
                      <w:szCs w:val="21"/>
                      <w:highlight w:val="none"/>
                    </w:rPr>
                  </w:pPr>
                </w:p>
              </w:tc>
              <w:tc>
                <w:tcPr>
                  <w:tcW w:w="1324" w:type="dxa"/>
                  <w:vMerge w:val="continue"/>
                  <w:noWrap w:val="0"/>
                  <w:vAlign w:val="center"/>
                </w:tcPr>
                <w:p>
                  <w:pPr>
                    <w:jc w:val="center"/>
                    <w:rPr>
                      <w:color w:val="auto"/>
                      <w:szCs w:val="21"/>
                      <w:highlight w:val="none"/>
                    </w:rPr>
                  </w:pPr>
                </w:p>
              </w:tc>
              <w:tc>
                <w:tcPr>
                  <w:tcW w:w="1324" w:type="dxa"/>
                  <w:noWrap w:val="0"/>
                  <w:vAlign w:val="center"/>
                </w:tcPr>
                <w:p>
                  <w:pPr>
                    <w:jc w:val="center"/>
                    <w:rPr>
                      <w:color w:val="auto"/>
                      <w:szCs w:val="21"/>
                      <w:highlight w:val="none"/>
                    </w:rPr>
                  </w:pPr>
                  <w:r>
                    <w:rPr>
                      <w:color w:val="auto"/>
                      <w:szCs w:val="21"/>
                      <w:highlight w:val="none"/>
                    </w:rPr>
                    <w:t>垂直入渗</w:t>
                  </w:r>
                </w:p>
              </w:tc>
              <w:tc>
                <w:tcPr>
                  <w:tcW w:w="1324" w:type="dxa"/>
                  <w:vMerge w:val="continue"/>
                  <w:noWrap w:val="0"/>
                  <w:vAlign w:val="center"/>
                </w:tcPr>
                <w:p>
                  <w:pPr>
                    <w:jc w:val="center"/>
                    <w:rPr>
                      <w:color w:val="auto"/>
                      <w:szCs w:val="21"/>
                      <w:highlight w:val="none"/>
                    </w:rPr>
                  </w:pPr>
                </w:p>
              </w:tc>
              <w:tc>
                <w:tcPr>
                  <w:tcW w:w="1325" w:type="dxa"/>
                  <w:vMerge w:val="continue"/>
                  <w:noWrap w:val="0"/>
                  <w:vAlign w:val="center"/>
                </w:tcPr>
                <w:p>
                  <w:pPr>
                    <w:jc w:val="center"/>
                    <w:rPr>
                      <w:color w:val="auto"/>
                      <w:szCs w:val="21"/>
                      <w:highlight w:val="none"/>
                    </w:rPr>
                  </w:pPr>
                </w:p>
              </w:tc>
              <w:tc>
                <w:tcPr>
                  <w:tcW w:w="1325" w:type="dxa"/>
                  <w:noWrap w:val="0"/>
                  <w:vAlign w:val="center"/>
                </w:tcPr>
                <w:p>
                  <w:pPr>
                    <w:jc w:val="center"/>
                    <w:rPr>
                      <w:color w:val="auto"/>
                      <w:szCs w:val="21"/>
                      <w:highlight w:val="none"/>
                    </w:rPr>
                  </w:pPr>
                  <w:r>
                    <w:rPr>
                      <w:color w:val="auto"/>
                      <w:szCs w:val="21"/>
                      <w:highlight w:val="none"/>
                    </w:rPr>
                    <w:t>间接/事故</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946" w:type="dxa"/>
                  <w:gridSpan w:val="6"/>
                  <w:noWrap w:val="0"/>
                  <w:vAlign w:val="center"/>
                </w:tcPr>
                <w:p>
                  <w:pPr>
                    <w:jc w:val="left"/>
                    <w:rPr>
                      <w:rFonts w:hint="eastAsia"/>
                      <w:color w:val="auto"/>
                      <w:highlight w:val="none"/>
                    </w:rPr>
                  </w:pPr>
                  <w:r>
                    <w:rPr>
                      <w:rFonts w:hint="eastAsia"/>
                      <w:color w:val="auto"/>
                      <w:highlight w:val="none"/>
                    </w:rPr>
                    <w:t>a根据工程分析结果填写</w:t>
                  </w:r>
                </w:p>
                <w:p>
                  <w:pPr>
                    <w:pStyle w:val="16"/>
                    <w:spacing w:before="0" w:after="0" w:line="240" w:lineRule="auto"/>
                    <w:ind w:right="0"/>
                    <w:jc w:val="left"/>
                    <w:rPr>
                      <w:color w:val="auto"/>
                      <w:highlight w:val="none"/>
                    </w:rPr>
                  </w:pPr>
                  <w:r>
                    <w:rPr>
                      <w:rFonts w:hint="eastAsia"/>
                      <w:color w:val="auto"/>
                      <w:sz w:val="21"/>
                      <w:szCs w:val="21"/>
                      <w:highlight w:val="none"/>
                    </w:rPr>
                    <w:t>b应描述污染源特征，如联系、间断、正常、事故等；涉及大气沉降途径的，已识别建设项目周边的土壤环境敏感目标。</w:t>
                  </w:r>
                </w:p>
              </w:tc>
            </w:tr>
          </w:tbl>
          <w:p>
            <w:pPr>
              <w:rPr>
                <w:color w:val="auto"/>
                <w:highlight w:val="none"/>
              </w:rPr>
            </w:pPr>
          </w:p>
          <w:p>
            <w:pPr>
              <w:widowControl/>
              <w:spacing w:line="360" w:lineRule="auto"/>
              <w:ind w:firstLine="482"/>
              <w:rPr>
                <w:color w:val="auto"/>
                <w:kern w:val="0"/>
                <w:sz w:val="24"/>
                <w:highlight w:val="none"/>
              </w:rPr>
            </w:pPr>
            <w:r>
              <w:rPr>
                <w:color w:val="auto"/>
                <w:kern w:val="0"/>
                <w:sz w:val="24"/>
                <w:highlight w:val="none"/>
              </w:rPr>
              <w:t>2、土壤环境影响分析</w:t>
            </w:r>
          </w:p>
          <w:p>
            <w:pPr>
              <w:widowControl/>
              <w:spacing w:line="360" w:lineRule="auto"/>
              <w:ind w:firstLine="482"/>
              <w:rPr>
                <w:color w:val="auto"/>
                <w:kern w:val="0"/>
                <w:sz w:val="24"/>
                <w:highlight w:val="none"/>
              </w:rPr>
            </w:pPr>
            <w:r>
              <w:rPr>
                <w:color w:val="auto"/>
                <w:kern w:val="0"/>
                <w:sz w:val="24"/>
                <w:highlight w:val="none"/>
              </w:rPr>
              <w:t>项目对土壤的影响具体体现在以下方面：</w:t>
            </w:r>
          </w:p>
          <w:p>
            <w:pPr>
              <w:widowControl/>
              <w:spacing w:line="360" w:lineRule="auto"/>
              <w:ind w:firstLine="482"/>
              <w:rPr>
                <w:color w:val="auto"/>
                <w:kern w:val="0"/>
                <w:sz w:val="24"/>
                <w:highlight w:val="none"/>
              </w:rPr>
            </w:pPr>
            <w:r>
              <w:rPr>
                <w:rFonts w:hint="eastAsia"/>
                <w:color w:val="auto"/>
                <w:kern w:val="0"/>
                <w:sz w:val="24"/>
                <w:highlight w:val="none"/>
              </w:rPr>
              <w:t>（1）</w:t>
            </w:r>
            <w:r>
              <w:rPr>
                <w:color w:val="auto"/>
                <w:kern w:val="0"/>
                <w:sz w:val="24"/>
                <w:highlight w:val="none"/>
              </w:rPr>
              <w:t>垂直入渗定性分析</w:t>
            </w:r>
          </w:p>
          <w:p>
            <w:pPr>
              <w:widowControl/>
              <w:spacing w:line="360" w:lineRule="auto"/>
              <w:ind w:firstLine="482"/>
              <w:rPr>
                <w:color w:val="auto"/>
                <w:kern w:val="0"/>
                <w:sz w:val="24"/>
                <w:highlight w:val="none"/>
              </w:rPr>
            </w:pPr>
            <w:r>
              <w:rPr>
                <w:color w:val="auto"/>
                <w:kern w:val="0"/>
                <w:sz w:val="24"/>
                <w:highlight w:val="none"/>
              </w:rPr>
              <w:t>项目垂直入渗途径主要由沥青（液)料入渗迁移至土壤环境中，造成项目范围内外的土壤污染范围垂向扩大的影响途径。项目对沥青储罐区，在事故情况下会造成沥青（液)料的泄漏，通过垂直入渗途径污染土壤。项目设置了分区防渗措施，将沥青储罐区划分为重点防渗区，在全面落实分区防渗措施的情况下，物料或污染物的垂直入渗对土壤影响较小。</w:t>
            </w:r>
          </w:p>
          <w:p>
            <w:pPr>
              <w:widowControl/>
              <w:spacing w:line="360" w:lineRule="auto"/>
              <w:ind w:firstLine="482"/>
              <w:rPr>
                <w:rFonts w:hint="eastAsia"/>
                <w:color w:val="auto"/>
                <w:kern w:val="0"/>
                <w:sz w:val="24"/>
                <w:highlight w:val="none"/>
              </w:rPr>
            </w:pPr>
            <w:r>
              <w:rPr>
                <w:rFonts w:hint="eastAsia"/>
                <w:color w:val="auto"/>
                <w:kern w:val="0"/>
                <w:sz w:val="24"/>
                <w:highlight w:val="none"/>
              </w:rPr>
              <w:t>（2）地面漫流定性分析</w:t>
            </w:r>
          </w:p>
          <w:p>
            <w:pPr>
              <w:widowControl/>
              <w:spacing w:line="360" w:lineRule="auto"/>
              <w:ind w:firstLine="482"/>
              <w:rPr>
                <w:color w:val="auto"/>
                <w:kern w:val="0"/>
                <w:sz w:val="24"/>
                <w:highlight w:val="none"/>
              </w:rPr>
            </w:pPr>
            <w:r>
              <w:rPr>
                <w:rFonts w:hint="eastAsia"/>
                <w:color w:val="auto"/>
                <w:kern w:val="0"/>
                <w:sz w:val="24"/>
                <w:highlight w:val="none"/>
              </w:rPr>
              <w:t>项目地面漫流途径主要为沥青（液）料的泄露周围地面上，后被雨水淋溶至土壤环境中，导致沥青水平扩散造成土壤污染范围水平扩大的影响途径。项目将沥青储罐区划分为重点防渗区，在全面落实分区防渗措施的情况下，沥青（液）料的地面漫流对土壤影响较小。</w:t>
            </w:r>
          </w:p>
          <w:p>
            <w:pPr>
              <w:widowControl/>
              <w:spacing w:line="360" w:lineRule="auto"/>
              <w:ind w:firstLine="482"/>
              <w:rPr>
                <w:rFonts w:hint="eastAsia"/>
                <w:color w:val="auto"/>
                <w:kern w:val="0"/>
                <w:sz w:val="24"/>
                <w:highlight w:val="none"/>
              </w:rPr>
            </w:pPr>
            <w:r>
              <w:rPr>
                <w:color w:val="auto"/>
                <w:kern w:val="0"/>
                <w:sz w:val="24"/>
                <w:highlight w:val="none"/>
              </w:rPr>
              <w:t>（</w:t>
            </w:r>
            <w:r>
              <w:rPr>
                <w:rFonts w:hint="eastAsia"/>
                <w:color w:val="auto"/>
                <w:kern w:val="0"/>
                <w:sz w:val="24"/>
                <w:highlight w:val="none"/>
              </w:rPr>
              <w:t>3</w:t>
            </w:r>
            <w:r>
              <w:rPr>
                <w:color w:val="auto"/>
                <w:kern w:val="0"/>
                <w:sz w:val="24"/>
                <w:highlight w:val="none"/>
              </w:rPr>
              <w:t>）</w:t>
            </w:r>
            <w:r>
              <w:rPr>
                <w:rFonts w:hint="eastAsia"/>
                <w:color w:val="auto"/>
                <w:kern w:val="0"/>
                <w:sz w:val="24"/>
                <w:highlight w:val="none"/>
              </w:rPr>
              <w:t>大气沉降定性分析</w:t>
            </w:r>
          </w:p>
          <w:p>
            <w:pPr>
              <w:widowControl/>
              <w:spacing w:line="360" w:lineRule="auto"/>
              <w:ind w:firstLine="482"/>
              <w:rPr>
                <w:color w:val="auto"/>
                <w:kern w:val="0"/>
                <w:sz w:val="24"/>
                <w:highlight w:val="none"/>
              </w:rPr>
            </w:pPr>
            <w:r>
              <w:rPr>
                <w:color w:val="auto"/>
                <w:kern w:val="0"/>
                <w:sz w:val="24"/>
                <w:highlight w:val="none"/>
              </w:rPr>
              <w:t>运营期间项目产生的废气苯并芘，随着雨水降落渗入土壤中，对土壤环境有一定的影响；项目废气进入大气环境中通过降雨、扩散或重力作用降至地面进入土壤中，容易导致土壤</w:t>
            </w:r>
            <w:r>
              <w:rPr>
                <w:rFonts w:hint="eastAsia"/>
                <w:color w:val="auto"/>
                <w:kern w:val="0"/>
                <w:sz w:val="24"/>
                <w:highlight w:val="none"/>
              </w:rPr>
              <w:t>中苯并芘超标</w:t>
            </w:r>
            <w:r>
              <w:rPr>
                <w:color w:val="auto"/>
                <w:kern w:val="0"/>
                <w:sz w:val="24"/>
                <w:highlight w:val="none"/>
              </w:rPr>
              <w:t>，</w:t>
            </w:r>
            <w:r>
              <w:rPr>
                <w:rFonts w:hint="eastAsia"/>
                <w:color w:val="auto"/>
                <w:kern w:val="0"/>
                <w:sz w:val="24"/>
                <w:highlight w:val="none"/>
              </w:rPr>
              <w:t>从而对土壤污染</w:t>
            </w:r>
            <w:r>
              <w:rPr>
                <w:color w:val="auto"/>
                <w:kern w:val="0"/>
                <w:sz w:val="24"/>
                <w:highlight w:val="none"/>
              </w:rPr>
              <w:t>成破坏。本项目废气</w:t>
            </w:r>
            <w:r>
              <w:rPr>
                <w:rFonts w:hint="eastAsia"/>
                <w:color w:val="auto"/>
                <w:sz w:val="24"/>
                <w:highlight w:val="none"/>
              </w:rPr>
              <w:t>沥青烟气收集后引入烘干滚筒燃烧器中燃烧后跟燃气废气一并从1#排气筒排放，燃烧处理效率达90%，可</w:t>
            </w:r>
            <w:r>
              <w:rPr>
                <w:color w:val="auto"/>
                <w:kern w:val="0"/>
                <w:sz w:val="24"/>
                <w:highlight w:val="none"/>
              </w:rPr>
              <w:t>达标排放，对土壤影响较小。</w:t>
            </w:r>
          </w:p>
          <w:p>
            <w:pPr>
              <w:widowControl/>
              <w:spacing w:line="360" w:lineRule="auto"/>
              <w:ind w:firstLine="482"/>
              <w:rPr>
                <w:rFonts w:hint="eastAsia"/>
                <w:color w:val="auto"/>
                <w:kern w:val="0"/>
                <w:sz w:val="24"/>
                <w:highlight w:val="none"/>
              </w:rPr>
            </w:pPr>
            <w:r>
              <w:rPr>
                <w:rFonts w:hint="eastAsia"/>
                <w:color w:val="auto"/>
                <w:kern w:val="0"/>
                <w:sz w:val="24"/>
                <w:highlight w:val="none"/>
              </w:rPr>
              <w:t>本次评价从以下几个方面提出防治措施：</w:t>
            </w:r>
          </w:p>
          <w:p>
            <w:pPr>
              <w:widowControl/>
              <w:spacing w:line="360" w:lineRule="auto"/>
              <w:ind w:firstLine="482"/>
              <w:rPr>
                <w:color w:val="auto"/>
                <w:kern w:val="0"/>
                <w:sz w:val="24"/>
                <w:highlight w:val="none"/>
              </w:rPr>
            </w:pPr>
            <w:r>
              <w:rPr>
                <w:rFonts w:hint="eastAsia"/>
                <w:color w:val="auto"/>
                <w:kern w:val="0"/>
                <w:sz w:val="24"/>
                <w:highlight w:val="none"/>
              </w:rPr>
              <w:t>（1）</w:t>
            </w:r>
            <w:r>
              <w:rPr>
                <w:color w:val="auto"/>
                <w:kern w:val="0"/>
                <w:sz w:val="24"/>
                <w:highlight w:val="none"/>
              </w:rPr>
              <w:t xml:space="preserve">源头控制措施 </w:t>
            </w:r>
          </w:p>
          <w:p>
            <w:pPr>
              <w:widowControl/>
              <w:spacing w:line="360" w:lineRule="auto"/>
              <w:ind w:firstLine="482"/>
              <w:rPr>
                <w:color w:val="auto"/>
                <w:kern w:val="0"/>
                <w:sz w:val="24"/>
                <w:highlight w:val="none"/>
              </w:rPr>
            </w:pPr>
            <w:r>
              <w:rPr>
                <w:color w:val="auto"/>
                <w:kern w:val="0"/>
                <w:sz w:val="24"/>
                <w:highlight w:val="none"/>
              </w:rPr>
              <w:t>从原料和产品储存、装卸、运输、生产过程、污染处理装置等全过程控制各种涉及污染的原辅材料输送及装卸过程中污水泄漏（含跑、冒、滴、漏），同时对污染物质可能泄漏到地面的区域采取防渗措施，阻止其进入土壤中，即从源头到末端全方位采取控制措施，防止项目的建设对土壤造成污染。</w:t>
            </w:r>
          </w:p>
          <w:p>
            <w:pPr>
              <w:widowControl/>
              <w:spacing w:line="360" w:lineRule="auto"/>
              <w:ind w:firstLine="482"/>
              <w:rPr>
                <w:color w:val="auto"/>
                <w:kern w:val="0"/>
                <w:sz w:val="24"/>
                <w:highlight w:val="none"/>
              </w:rPr>
            </w:pPr>
            <w:r>
              <w:rPr>
                <w:color w:val="auto"/>
                <w:kern w:val="0"/>
                <w:sz w:val="24"/>
                <w:highlight w:val="none"/>
              </w:rPr>
              <w:t>从生产过程入手，在工艺、管道、构筑物结构、给排水等方面尽可能地采取泄漏控制措施，对危废等污染物贮存区采取防渗结构，从源头最大限度降低污染物质泄漏的可能性和泄漏量，使项目区污染物对土壤的影响降至最低，一旦出现泄漏等即可由区域内的各种配套措施进行收集、处置，同时经过硬化处理的地面有效阻止污染物的下渗。</w:t>
            </w:r>
          </w:p>
          <w:p>
            <w:pPr>
              <w:widowControl/>
              <w:spacing w:line="360" w:lineRule="auto"/>
              <w:ind w:firstLine="482"/>
              <w:rPr>
                <w:color w:val="auto"/>
                <w:kern w:val="0"/>
                <w:sz w:val="24"/>
                <w:highlight w:val="none"/>
              </w:rPr>
            </w:pPr>
            <w:r>
              <w:rPr>
                <w:rFonts w:hint="eastAsia"/>
                <w:color w:val="auto"/>
                <w:kern w:val="0"/>
                <w:sz w:val="24"/>
                <w:highlight w:val="none"/>
              </w:rPr>
              <w:t>（2）</w:t>
            </w:r>
            <w:r>
              <w:rPr>
                <w:color w:val="auto"/>
                <w:kern w:val="0"/>
                <w:sz w:val="24"/>
                <w:highlight w:val="none"/>
              </w:rPr>
              <w:t>过程控制措施</w:t>
            </w:r>
          </w:p>
          <w:p>
            <w:pPr>
              <w:widowControl/>
              <w:spacing w:line="360" w:lineRule="auto"/>
              <w:ind w:firstLine="482"/>
              <w:rPr>
                <w:color w:val="auto"/>
                <w:kern w:val="0"/>
                <w:sz w:val="24"/>
                <w:highlight w:val="none"/>
              </w:rPr>
            </w:pPr>
            <w:r>
              <w:rPr>
                <w:color w:val="auto"/>
                <w:kern w:val="0"/>
                <w:sz w:val="24"/>
                <w:highlight w:val="none"/>
              </w:rPr>
              <w:t>本项目应根据产污特点按照相关技术要求采取过程阻断、污染削减和分区防渗控制措施。一般主要从大气沉降、地面漫流、垂直入渗三个途径分别进行控制。</w:t>
            </w:r>
          </w:p>
          <w:p>
            <w:pPr>
              <w:widowControl/>
              <w:spacing w:line="360" w:lineRule="auto"/>
              <w:ind w:firstLine="482"/>
              <w:rPr>
                <w:color w:val="auto"/>
                <w:kern w:val="0"/>
                <w:sz w:val="24"/>
                <w:highlight w:val="none"/>
              </w:rPr>
            </w:pPr>
            <w:r>
              <w:rPr>
                <w:color w:val="auto"/>
                <w:kern w:val="0"/>
                <w:sz w:val="24"/>
                <w:highlight w:val="none"/>
              </w:rPr>
              <w:t>①大气沉降污染途径治理措施及效果</w:t>
            </w:r>
          </w:p>
          <w:p>
            <w:pPr>
              <w:widowControl/>
              <w:spacing w:line="360" w:lineRule="auto"/>
              <w:ind w:firstLine="482"/>
              <w:rPr>
                <w:color w:val="auto"/>
                <w:kern w:val="0"/>
                <w:sz w:val="24"/>
                <w:highlight w:val="none"/>
              </w:rPr>
            </w:pPr>
            <w:r>
              <w:rPr>
                <w:color w:val="auto"/>
                <w:kern w:val="0"/>
                <w:sz w:val="24"/>
                <w:highlight w:val="none"/>
              </w:rPr>
              <w:t>本项目针对各类废气污染物均采取了对应的治理措施，确保污染物达标排放，废气污染物排放对土壤影响较小。</w:t>
            </w:r>
          </w:p>
          <w:p>
            <w:pPr>
              <w:widowControl/>
              <w:spacing w:line="360" w:lineRule="auto"/>
              <w:ind w:firstLine="482"/>
              <w:rPr>
                <w:color w:val="auto"/>
                <w:kern w:val="0"/>
                <w:sz w:val="24"/>
                <w:highlight w:val="none"/>
              </w:rPr>
            </w:pPr>
            <w:r>
              <w:rPr>
                <w:color w:val="auto"/>
                <w:kern w:val="0"/>
                <w:sz w:val="24"/>
                <w:highlight w:val="none"/>
              </w:rPr>
              <w:t xml:space="preserve">②地面漫流污染途径治理措施及效果 </w:t>
            </w:r>
          </w:p>
          <w:p>
            <w:pPr>
              <w:widowControl/>
              <w:spacing w:line="360" w:lineRule="auto"/>
              <w:ind w:firstLine="482"/>
              <w:rPr>
                <w:color w:val="auto"/>
                <w:kern w:val="0"/>
                <w:sz w:val="24"/>
                <w:highlight w:val="none"/>
              </w:rPr>
            </w:pPr>
            <w:r>
              <w:rPr>
                <w:color w:val="auto"/>
                <w:kern w:val="0"/>
                <w:sz w:val="24"/>
                <w:highlight w:val="none"/>
              </w:rPr>
              <w:t>厂区未经建筑物覆盖的地面均设置为绿化及硬化地面。</w:t>
            </w:r>
          </w:p>
          <w:p>
            <w:pPr>
              <w:widowControl/>
              <w:spacing w:line="360" w:lineRule="auto"/>
              <w:ind w:firstLine="482"/>
              <w:rPr>
                <w:color w:val="auto"/>
                <w:kern w:val="0"/>
                <w:sz w:val="24"/>
                <w:highlight w:val="none"/>
              </w:rPr>
            </w:pPr>
            <w:r>
              <w:rPr>
                <w:color w:val="auto"/>
                <w:kern w:val="0"/>
                <w:sz w:val="24"/>
                <w:highlight w:val="none"/>
              </w:rPr>
              <w:t>固废贮存设施、污水收集处理设施均进行相应的防渗处理，此外项目固废暂存区均进行了防渗漏、防流失、防雨淋处理。</w:t>
            </w:r>
          </w:p>
          <w:p>
            <w:pPr>
              <w:widowControl/>
              <w:spacing w:line="360" w:lineRule="auto"/>
              <w:ind w:firstLine="482"/>
              <w:rPr>
                <w:color w:val="auto"/>
                <w:kern w:val="0"/>
                <w:sz w:val="24"/>
                <w:highlight w:val="none"/>
              </w:rPr>
            </w:pPr>
            <w:r>
              <w:rPr>
                <w:color w:val="auto"/>
                <w:kern w:val="0"/>
                <w:sz w:val="24"/>
                <w:highlight w:val="none"/>
              </w:rPr>
              <w:t>因此，项目发生地面漫流的几率较小，对环境的影响较小。</w:t>
            </w:r>
          </w:p>
          <w:p>
            <w:pPr>
              <w:widowControl/>
              <w:spacing w:line="360" w:lineRule="auto"/>
              <w:ind w:firstLine="482"/>
              <w:rPr>
                <w:color w:val="auto"/>
                <w:kern w:val="0"/>
                <w:sz w:val="24"/>
                <w:highlight w:val="none"/>
              </w:rPr>
            </w:pPr>
            <w:r>
              <w:rPr>
                <w:color w:val="auto"/>
                <w:kern w:val="0"/>
                <w:sz w:val="24"/>
                <w:highlight w:val="none"/>
              </w:rPr>
              <w:t xml:space="preserve">3、垂直入渗污染途径治理措施 </w:t>
            </w:r>
          </w:p>
          <w:p>
            <w:pPr>
              <w:widowControl/>
              <w:spacing w:line="360" w:lineRule="auto"/>
              <w:ind w:firstLine="482"/>
              <w:rPr>
                <w:color w:val="auto"/>
                <w:kern w:val="0"/>
                <w:sz w:val="24"/>
                <w:highlight w:val="none"/>
              </w:rPr>
            </w:pPr>
            <w:r>
              <w:rPr>
                <w:color w:val="auto"/>
                <w:kern w:val="0"/>
                <w:sz w:val="24"/>
                <w:highlight w:val="none"/>
              </w:rPr>
              <w:t>项目按重点防渗区、一般防渗区、简单防渗区分别采取不同等级的防渗措施。</w:t>
            </w:r>
          </w:p>
          <w:p>
            <w:pPr>
              <w:widowControl/>
              <w:spacing w:line="360" w:lineRule="auto"/>
              <w:ind w:firstLine="482"/>
              <w:rPr>
                <w:color w:val="auto"/>
                <w:kern w:val="0"/>
                <w:sz w:val="24"/>
                <w:highlight w:val="none"/>
              </w:rPr>
            </w:pPr>
            <w:r>
              <w:rPr>
                <w:color w:val="auto"/>
                <w:kern w:val="0"/>
                <w:sz w:val="24"/>
                <w:highlight w:val="none"/>
              </w:rPr>
              <w:t>对重点防渗区如</w:t>
            </w:r>
            <w:r>
              <w:rPr>
                <w:rFonts w:hint="eastAsia"/>
                <w:color w:val="auto"/>
                <w:kern w:val="0"/>
                <w:sz w:val="24"/>
                <w:highlight w:val="none"/>
              </w:rPr>
              <w:t>沥青拌合楼</w:t>
            </w:r>
            <w:r>
              <w:rPr>
                <w:color w:val="auto"/>
                <w:kern w:val="0"/>
                <w:sz w:val="24"/>
                <w:highlight w:val="none"/>
              </w:rPr>
              <w:t>、</w:t>
            </w:r>
            <w:r>
              <w:rPr>
                <w:rFonts w:hint="eastAsia"/>
                <w:color w:val="auto"/>
                <w:kern w:val="0"/>
                <w:sz w:val="24"/>
                <w:highlight w:val="none"/>
              </w:rPr>
              <w:t>储罐区</w:t>
            </w:r>
            <w:r>
              <w:rPr>
                <w:color w:val="auto"/>
                <w:kern w:val="0"/>
                <w:sz w:val="24"/>
                <w:highlight w:val="none"/>
              </w:rPr>
              <w:t>、危废储存场所等单元防渗层拟采取防渗措施为采取粘土铺底，再在上层铺设10</w:t>
            </w:r>
            <w:r>
              <w:rPr>
                <w:color w:val="auto"/>
                <w:kern w:val="0"/>
                <w:sz w:val="24"/>
                <w:highlight w:val="none"/>
                <w:vertAlign w:val="superscript"/>
              </w:rPr>
              <w:t>-15</w:t>
            </w:r>
            <w:r>
              <w:rPr>
                <w:color w:val="auto"/>
                <w:kern w:val="0"/>
                <w:sz w:val="24"/>
                <w:highlight w:val="none"/>
              </w:rPr>
              <w:t>cm的水泥进行硬化，全池涂高密度聚乙烯防腐防渗，通过上述措施可使重点污染区各单元防渗层渗透系数可以满足≤10</w:t>
            </w:r>
            <w:r>
              <w:rPr>
                <w:color w:val="auto"/>
                <w:kern w:val="0"/>
                <w:sz w:val="24"/>
                <w:highlight w:val="none"/>
                <w:vertAlign w:val="superscript"/>
              </w:rPr>
              <w:t>-7</w:t>
            </w:r>
            <w:r>
              <w:rPr>
                <w:color w:val="auto"/>
                <w:kern w:val="0"/>
                <w:sz w:val="24"/>
                <w:highlight w:val="none"/>
              </w:rPr>
              <w:t>cm/s；</w:t>
            </w:r>
          </w:p>
          <w:p>
            <w:pPr>
              <w:widowControl/>
              <w:spacing w:line="360" w:lineRule="auto"/>
              <w:ind w:firstLine="482"/>
              <w:rPr>
                <w:color w:val="auto"/>
                <w:kern w:val="0"/>
                <w:sz w:val="24"/>
                <w:highlight w:val="none"/>
              </w:rPr>
            </w:pPr>
            <w:r>
              <w:rPr>
                <w:color w:val="auto"/>
                <w:kern w:val="0"/>
                <w:sz w:val="24"/>
                <w:highlight w:val="none"/>
              </w:rPr>
              <w:t>一般防渗区如其它生产车间、原料仓库、产品仓库等，拟设计为采取粘土铺底，再在上层铺10~15cm的水泥进行硬化，通过上述措施可使一般污染区各单元防渗层渗透系数≤10</w:t>
            </w:r>
            <w:r>
              <w:rPr>
                <w:color w:val="auto"/>
                <w:kern w:val="0"/>
                <w:sz w:val="24"/>
                <w:highlight w:val="none"/>
                <w:vertAlign w:val="superscript"/>
              </w:rPr>
              <w:t>-7</w:t>
            </w:r>
            <w:r>
              <w:rPr>
                <w:color w:val="auto"/>
                <w:kern w:val="0"/>
                <w:sz w:val="24"/>
                <w:highlight w:val="none"/>
              </w:rPr>
              <w:t>cm/s；</w:t>
            </w:r>
          </w:p>
          <w:p>
            <w:pPr>
              <w:widowControl/>
              <w:spacing w:line="360" w:lineRule="auto"/>
              <w:ind w:firstLine="482"/>
              <w:rPr>
                <w:color w:val="auto"/>
                <w:kern w:val="0"/>
                <w:sz w:val="24"/>
                <w:highlight w:val="none"/>
              </w:rPr>
            </w:pPr>
            <w:r>
              <w:rPr>
                <w:color w:val="auto"/>
                <w:kern w:val="0"/>
                <w:sz w:val="24"/>
                <w:highlight w:val="none"/>
              </w:rPr>
              <w:t>简单防渗区如厂区道路，则只需要进行地面硬化处理。同时建设单位应在管理方面加强管理，采取相应防渗措施可防治污染物在暂存或输送过程中对区域土壤环境造成污染。</w:t>
            </w:r>
          </w:p>
          <w:p>
            <w:pPr>
              <w:widowControl/>
              <w:spacing w:line="360" w:lineRule="auto"/>
              <w:ind w:firstLine="482"/>
              <w:rPr>
                <w:color w:val="auto"/>
                <w:kern w:val="0"/>
                <w:sz w:val="24"/>
                <w:highlight w:val="none"/>
              </w:rPr>
            </w:pPr>
            <w:r>
              <w:rPr>
                <w:color w:val="auto"/>
                <w:kern w:val="0"/>
                <w:sz w:val="24"/>
                <w:highlight w:val="none"/>
              </w:rPr>
              <w:t>4、土壤环境跟踪监测</w:t>
            </w:r>
          </w:p>
          <w:p>
            <w:pPr>
              <w:widowControl/>
              <w:spacing w:line="360" w:lineRule="auto"/>
              <w:ind w:firstLine="482"/>
              <w:rPr>
                <w:color w:val="auto"/>
                <w:kern w:val="0"/>
                <w:sz w:val="24"/>
                <w:highlight w:val="none"/>
              </w:rPr>
            </w:pPr>
            <w:r>
              <w:rPr>
                <w:color w:val="auto"/>
                <w:kern w:val="0"/>
                <w:sz w:val="24"/>
                <w:highlight w:val="none"/>
              </w:rPr>
              <w:t>本次环评不对项目土壤环境跟踪监测作要求。</w:t>
            </w:r>
          </w:p>
          <w:p>
            <w:pPr>
              <w:widowControl/>
              <w:spacing w:line="360" w:lineRule="auto"/>
              <w:ind w:firstLine="482"/>
              <w:rPr>
                <w:color w:val="auto"/>
                <w:kern w:val="0"/>
                <w:sz w:val="24"/>
                <w:highlight w:val="none"/>
              </w:rPr>
            </w:pPr>
            <w:r>
              <w:rPr>
                <w:color w:val="auto"/>
                <w:kern w:val="0"/>
                <w:sz w:val="24"/>
                <w:highlight w:val="none"/>
              </w:rPr>
              <w:t>综上，项目运营期做好场区废水的收集及相关防渗措施；对废气、废水进行削减措施，实现达标排放；固体废物合理处置。通过采取分区管控措施，能够有效阻止污染物进入土壤环境，最大限度的减缓项目对周边土壤环境的影响。</w:t>
            </w:r>
          </w:p>
          <w:p>
            <w:pPr>
              <w:adjustRightInd w:val="0"/>
              <w:snapToGrid w:val="0"/>
              <w:spacing w:line="360" w:lineRule="auto"/>
              <w:rPr>
                <w:rFonts w:hint="eastAsia" w:ascii="黑体" w:hAnsi="黑体" w:eastAsia="黑体" w:cs="黑体"/>
                <w:color w:val="auto"/>
                <w:kern w:val="0"/>
                <w:sz w:val="24"/>
                <w:highlight w:val="none"/>
              </w:rPr>
            </w:pPr>
            <w:r>
              <w:rPr>
                <w:rFonts w:hint="eastAsia" w:ascii="黑体" w:hAnsi="黑体" w:eastAsia="黑体" w:cs="黑体"/>
                <w:color w:val="auto"/>
                <w:kern w:val="0"/>
                <w:sz w:val="24"/>
                <w:highlight w:val="none"/>
              </w:rPr>
              <w:t>七、环境风险</w:t>
            </w:r>
          </w:p>
          <w:p>
            <w:pPr>
              <w:pStyle w:val="22"/>
              <w:rPr>
                <w:color w:val="auto"/>
                <w:kern w:val="2"/>
                <w:sz w:val="24"/>
                <w:highlight w:val="none"/>
              </w:rPr>
            </w:pPr>
            <w:r>
              <w:rPr>
                <w:color w:val="auto"/>
                <w:kern w:val="2"/>
                <w:sz w:val="24"/>
                <w:highlight w:val="none"/>
              </w:rPr>
              <w:t>环境风险是指突发性事故对环境（或健康）的危害程度。建设项目环境风险评价的目的是分析和预测建设项目存在的潜在危险、有害因素，项目建设和运行期间可能发生的突发性事件或事故（一般不包括人为破坏及自然灾害），引起有毒有害和易燃易爆等物质泄漏，或突发事件产生的新的有毒有害物质，所造成的人身安全与环境影响和损害程度进行评估，提出合理可行的防范、应急与减缓措施，以使项目事故率、损失和环境影响达到可接受水平。</w:t>
            </w:r>
          </w:p>
          <w:p>
            <w:pPr>
              <w:pStyle w:val="22"/>
              <w:rPr>
                <w:color w:val="auto"/>
                <w:sz w:val="24"/>
                <w:highlight w:val="none"/>
              </w:rPr>
            </w:pPr>
            <w:r>
              <w:rPr>
                <w:color w:val="auto"/>
                <w:kern w:val="2"/>
                <w:sz w:val="24"/>
                <w:highlight w:val="none"/>
              </w:rPr>
              <w:t>1、</w:t>
            </w:r>
            <w:r>
              <w:rPr>
                <w:rFonts w:hint="eastAsia"/>
                <w:color w:val="auto"/>
                <w:kern w:val="2"/>
                <w:sz w:val="24"/>
                <w:highlight w:val="none"/>
              </w:rPr>
              <w:t>危险物质</w:t>
            </w:r>
          </w:p>
          <w:p>
            <w:pPr>
              <w:pStyle w:val="6"/>
              <w:tabs>
                <w:tab w:val="left" w:pos="709"/>
              </w:tabs>
              <w:ind w:firstLine="480"/>
              <w:rPr>
                <w:color w:val="auto"/>
                <w:sz w:val="24"/>
                <w:szCs w:val="24"/>
                <w:highlight w:val="none"/>
              </w:rPr>
            </w:pPr>
            <w:r>
              <w:rPr>
                <w:color w:val="auto"/>
                <w:sz w:val="24"/>
                <w:szCs w:val="24"/>
                <w:highlight w:val="none"/>
              </w:rPr>
              <w:t>根据调查，</w:t>
            </w:r>
            <w:r>
              <w:rPr>
                <w:rFonts w:hint="eastAsia"/>
                <w:color w:val="auto"/>
                <w:sz w:val="24"/>
                <w:szCs w:val="24"/>
                <w:highlight w:val="none"/>
              </w:rPr>
              <w:t>本项目的危险物质为柴油等，</w:t>
            </w:r>
            <w:r>
              <w:rPr>
                <w:color w:val="auto"/>
                <w:sz w:val="24"/>
                <w:szCs w:val="24"/>
                <w:highlight w:val="none"/>
              </w:rPr>
              <w:t>危险物料储存情况见下表。</w:t>
            </w:r>
          </w:p>
          <w:p>
            <w:pPr>
              <w:tabs>
                <w:tab w:val="left" w:pos="0"/>
              </w:tabs>
              <w:adjustRightInd w:val="0"/>
              <w:snapToGrid w:val="0"/>
              <w:jc w:val="center"/>
              <w:rPr>
                <w:rFonts w:hint="eastAsia" w:eastAsia="黑体"/>
                <w:snapToGrid w:val="0"/>
                <w:color w:val="auto"/>
                <w:kern w:val="0"/>
                <w:szCs w:val="21"/>
                <w:highlight w:val="none"/>
              </w:rPr>
            </w:pPr>
            <w:r>
              <w:rPr>
                <w:rFonts w:hint="eastAsia" w:eastAsia="黑体"/>
                <w:snapToGrid w:val="0"/>
                <w:color w:val="auto"/>
                <w:kern w:val="0"/>
                <w:szCs w:val="21"/>
                <w:highlight w:val="none"/>
              </w:rPr>
              <w:t>表4-2</w:t>
            </w:r>
            <w:r>
              <w:rPr>
                <w:rFonts w:hint="eastAsia" w:eastAsia="黑体"/>
                <w:snapToGrid w:val="0"/>
                <w:color w:val="auto"/>
                <w:kern w:val="0"/>
                <w:szCs w:val="21"/>
                <w:highlight w:val="none"/>
                <w:lang w:val="en-US" w:eastAsia="zh-CN"/>
              </w:rPr>
              <w:t>7</w:t>
            </w:r>
            <w:r>
              <w:rPr>
                <w:rFonts w:hint="eastAsia" w:eastAsia="黑体"/>
                <w:snapToGrid w:val="0"/>
                <w:color w:val="auto"/>
                <w:kern w:val="0"/>
                <w:szCs w:val="21"/>
                <w:highlight w:val="none"/>
              </w:rPr>
              <w:t xml:space="preserve"> 物料存储情况</w:t>
            </w:r>
          </w:p>
          <w:tbl>
            <w:tblPr>
              <w:tblStyle w:val="39"/>
              <w:tblW w:w="8496"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94"/>
              <w:gridCol w:w="1071"/>
              <w:gridCol w:w="852"/>
              <w:gridCol w:w="1630"/>
              <w:gridCol w:w="1483"/>
              <w:gridCol w:w="1483"/>
              <w:gridCol w:w="148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noWrap w:val="0"/>
                  <w:vAlign w:val="center"/>
                </w:tcPr>
                <w:p>
                  <w:pPr>
                    <w:pStyle w:val="6"/>
                    <w:tabs>
                      <w:tab w:val="left" w:pos="709"/>
                    </w:tabs>
                    <w:spacing w:line="240" w:lineRule="auto"/>
                    <w:jc w:val="center"/>
                    <w:rPr>
                      <w:color w:val="auto"/>
                      <w:sz w:val="21"/>
                      <w:szCs w:val="21"/>
                      <w:highlight w:val="none"/>
                    </w:rPr>
                  </w:pPr>
                  <w:r>
                    <w:rPr>
                      <w:color w:val="auto"/>
                      <w:sz w:val="21"/>
                      <w:szCs w:val="21"/>
                      <w:highlight w:val="none"/>
                    </w:rPr>
                    <w:t>序号</w:t>
                  </w:r>
                </w:p>
              </w:tc>
              <w:tc>
                <w:tcPr>
                  <w:tcW w:w="1071" w:type="dxa"/>
                  <w:noWrap w:val="0"/>
                  <w:vAlign w:val="center"/>
                </w:tcPr>
                <w:p>
                  <w:pPr>
                    <w:pStyle w:val="6"/>
                    <w:tabs>
                      <w:tab w:val="left" w:pos="709"/>
                    </w:tabs>
                    <w:spacing w:line="240" w:lineRule="auto"/>
                    <w:jc w:val="center"/>
                    <w:rPr>
                      <w:color w:val="auto"/>
                      <w:sz w:val="21"/>
                      <w:szCs w:val="21"/>
                      <w:highlight w:val="none"/>
                    </w:rPr>
                  </w:pPr>
                  <w:r>
                    <w:rPr>
                      <w:color w:val="auto"/>
                      <w:sz w:val="21"/>
                      <w:szCs w:val="21"/>
                      <w:highlight w:val="none"/>
                    </w:rPr>
                    <w:t>物质名称</w:t>
                  </w:r>
                </w:p>
              </w:tc>
              <w:tc>
                <w:tcPr>
                  <w:tcW w:w="852" w:type="dxa"/>
                  <w:noWrap w:val="0"/>
                  <w:vAlign w:val="center"/>
                </w:tcPr>
                <w:p>
                  <w:pPr>
                    <w:pStyle w:val="6"/>
                    <w:tabs>
                      <w:tab w:val="left" w:pos="709"/>
                    </w:tabs>
                    <w:spacing w:line="240" w:lineRule="auto"/>
                    <w:jc w:val="center"/>
                    <w:rPr>
                      <w:color w:val="auto"/>
                      <w:sz w:val="21"/>
                      <w:szCs w:val="21"/>
                      <w:highlight w:val="none"/>
                    </w:rPr>
                  </w:pPr>
                  <w:r>
                    <w:rPr>
                      <w:color w:val="auto"/>
                      <w:sz w:val="21"/>
                      <w:szCs w:val="21"/>
                      <w:highlight w:val="none"/>
                    </w:rPr>
                    <w:t>CAS号</w:t>
                  </w:r>
                </w:p>
              </w:tc>
              <w:tc>
                <w:tcPr>
                  <w:tcW w:w="1630" w:type="dxa"/>
                  <w:noWrap w:val="0"/>
                  <w:vAlign w:val="center"/>
                </w:tcPr>
                <w:p>
                  <w:pPr>
                    <w:pStyle w:val="6"/>
                    <w:tabs>
                      <w:tab w:val="left" w:pos="709"/>
                    </w:tabs>
                    <w:spacing w:line="240" w:lineRule="auto"/>
                    <w:jc w:val="center"/>
                    <w:rPr>
                      <w:color w:val="auto"/>
                      <w:sz w:val="21"/>
                      <w:szCs w:val="21"/>
                      <w:highlight w:val="none"/>
                    </w:rPr>
                  </w:pPr>
                  <w:r>
                    <w:rPr>
                      <w:color w:val="auto"/>
                      <w:sz w:val="21"/>
                      <w:szCs w:val="21"/>
                      <w:highlight w:val="none"/>
                    </w:rPr>
                    <w:t>场所实际</w:t>
                  </w:r>
                  <w:r>
                    <w:rPr>
                      <w:rFonts w:hint="eastAsia"/>
                      <w:color w:val="auto"/>
                      <w:sz w:val="21"/>
                      <w:szCs w:val="21"/>
                      <w:highlight w:val="none"/>
                    </w:rPr>
                    <w:t>最大</w:t>
                  </w:r>
                  <w:r>
                    <w:rPr>
                      <w:color w:val="auto"/>
                      <w:sz w:val="21"/>
                      <w:szCs w:val="21"/>
                      <w:highlight w:val="none"/>
                    </w:rPr>
                    <w:t>存储量（t）</w:t>
                  </w:r>
                </w:p>
              </w:tc>
              <w:tc>
                <w:tcPr>
                  <w:tcW w:w="1483" w:type="dxa"/>
                  <w:noWrap w:val="0"/>
                  <w:vAlign w:val="center"/>
                </w:tcPr>
                <w:p>
                  <w:pPr>
                    <w:pStyle w:val="6"/>
                    <w:tabs>
                      <w:tab w:val="left" w:pos="709"/>
                    </w:tabs>
                    <w:spacing w:line="240" w:lineRule="auto"/>
                    <w:jc w:val="center"/>
                    <w:rPr>
                      <w:color w:val="auto"/>
                      <w:sz w:val="21"/>
                      <w:szCs w:val="21"/>
                      <w:highlight w:val="none"/>
                    </w:rPr>
                  </w:pPr>
                  <w:r>
                    <w:rPr>
                      <w:color w:val="auto"/>
                      <w:sz w:val="21"/>
                      <w:szCs w:val="21"/>
                      <w:highlight w:val="none"/>
                    </w:rPr>
                    <w:t>储存位置</w:t>
                  </w:r>
                </w:p>
              </w:tc>
              <w:tc>
                <w:tcPr>
                  <w:tcW w:w="1483" w:type="dxa"/>
                  <w:noWrap w:val="0"/>
                  <w:vAlign w:val="center"/>
                </w:tcPr>
                <w:p>
                  <w:pPr>
                    <w:pStyle w:val="6"/>
                    <w:tabs>
                      <w:tab w:val="left" w:pos="709"/>
                    </w:tabs>
                    <w:spacing w:line="240" w:lineRule="auto"/>
                    <w:jc w:val="center"/>
                    <w:rPr>
                      <w:color w:val="auto"/>
                      <w:sz w:val="21"/>
                      <w:szCs w:val="21"/>
                      <w:highlight w:val="none"/>
                    </w:rPr>
                  </w:pPr>
                  <w:r>
                    <w:rPr>
                      <w:rFonts w:hint="eastAsia"/>
                      <w:color w:val="auto"/>
                      <w:sz w:val="21"/>
                      <w:szCs w:val="21"/>
                      <w:highlight w:val="none"/>
                    </w:rPr>
                    <w:t>临界量</w:t>
                  </w:r>
                </w:p>
              </w:tc>
              <w:tc>
                <w:tcPr>
                  <w:tcW w:w="1483" w:type="dxa"/>
                  <w:noWrap w:val="0"/>
                  <w:vAlign w:val="center"/>
                </w:tcPr>
                <w:p>
                  <w:pPr>
                    <w:pStyle w:val="6"/>
                    <w:tabs>
                      <w:tab w:val="left" w:pos="709"/>
                    </w:tabs>
                    <w:spacing w:line="240" w:lineRule="auto"/>
                    <w:jc w:val="center"/>
                    <w:rPr>
                      <w:color w:val="auto"/>
                      <w:sz w:val="21"/>
                      <w:szCs w:val="21"/>
                      <w:highlight w:val="none"/>
                    </w:rPr>
                  </w:pPr>
                  <w:r>
                    <w:rPr>
                      <w:rFonts w:hint="eastAsia"/>
                      <w:color w:val="auto"/>
                      <w:sz w:val="21"/>
                      <w:szCs w:val="21"/>
                      <w:highlight w:val="none"/>
                    </w:rPr>
                    <w:t>Q值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noWrap w:val="0"/>
                  <w:vAlign w:val="center"/>
                </w:tcPr>
                <w:p>
                  <w:pPr>
                    <w:pStyle w:val="6"/>
                    <w:tabs>
                      <w:tab w:val="left" w:pos="709"/>
                    </w:tabs>
                    <w:spacing w:line="240" w:lineRule="auto"/>
                    <w:jc w:val="center"/>
                    <w:rPr>
                      <w:rFonts w:hint="eastAsia"/>
                      <w:color w:val="auto"/>
                      <w:sz w:val="21"/>
                      <w:szCs w:val="21"/>
                      <w:highlight w:val="none"/>
                    </w:rPr>
                  </w:pPr>
                  <w:r>
                    <w:rPr>
                      <w:rFonts w:hint="eastAsia"/>
                      <w:color w:val="auto"/>
                      <w:sz w:val="21"/>
                      <w:szCs w:val="21"/>
                      <w:highlight w:val="none"/>
                    </w:rPr>
                    <w:t>1</w:t>
                  </w:r>
                </w:p>
              </w:tc>
              <w:tc>
                <w:tcPr>
                  <w:tcW w:w="1071" w:type="dxa"/>
                  <w:noWrap w:val="0"/>
                  <w:vAlign w:val="center"/>
                </w:tcPr>
                <w:p>
                  <w:pPr>
                    <w:pStyle w:val="6"/>
                    <w:tabs>
                      <w:tab w:val="left" w:pos="709"/>
                    </w:tabs>
                    <w:spacing w:line="240" w:lineRule="auto"/>
                    <w:jc w:val="center"/>
                    <w:rPr>
                      <w:color w:val="auto"/>
                      <w:sz w:val="21"/>
                      <w:szCs w:val="21"/>
                      <w:highlight w:val="none"/>
                    </w:rPr>
                  </w:pPr>
                  <w:r>
                    <w:rPr>
                      <w:rFonts w:hint="eastAsia"/>
                      <w:color w:val="auto"/>
                      <w:sz w:val="21"/>
                      <w:szCs w:val="21"/>
                      <w:highlight w:val="none"/>
                    </w:rPr>
                    <w:t>柴油</w:t>
                  </w:r>
                </w:p>
              </w:tc>
              <w:tc>
                <w:tcPr>
                  <w:tcW w:w="852" w:type="dxa"/>
                  <w:noWrap w:val="0"/>
                  <w:vAlign w:val="center"/>
                </w:tcPr>
                <w:p>
                  <w:pPr>
                    <w:pStyle w:val="6"/>
                    <w:tabs>
                      <w:tab w:val="left" w:pos="709"/>
                    </w:tabs>
                    <w:spacing w:line="240" w:lineRule="auto"/>
                    <w:jc w:val="center"/>
                    <w:rPr>
                      <w:color w:val="auto"/>
                      <w:sz w:val="21"/>
                      <w:szCs w:val="21"/>
                      <w:highlight w:val="none"/>
                    </w:rPr>
                  </w:pPr>
                  <w:r>
                    <w:rPr>
                      <w:rFonts w:hint="eastAsia"/>
                      <w:color w:val="auto"/>
                      <w:sz w:val="21"/>
                      <w:szCs w:val="21"/>
                      <w:highlight w:val="none"/>
                    </w:rPr>
                    <w:t>/</w:t>
                  </w:r>
                </w:p>
              </w:tc>
              <w:tc>
                <w:tcPr>
                  <w:tcW w:w="1630" w:type="dxa"/>
                  <w:noWrap w:val="0"/>
                  <w:vAlign w:val="center"/>
                </w:tcPr>
                <w:p>
                  <w:pPr>
                    <w:pStyle w:val="6"/>
                    <w:tabs>
                      <w:tab w:val="left" w:pos="709"/>
                    </w:tabs>
                    <w:spacing w:line="240" w:lineRule="auto"/>
                    <w:jc w:val="center"/>
                    <w:rPr>
                      <w:rFonts w:hint="eastAsia"/>
                      <w:color w:val="auto"/>
                      <w:sz w:val="21"/>
                      <w:szCs w:val="21"/>
                      <w:highlight w:val="none"/>
                    </w:rPr>
                  </w:pPr>
                  <w:r>
                    <w:rPr>
                      <w:rFonts w:hint="eastAsia"/>
                      <w:color w:val="auto"/>
                      <w:sz w:val="21"/>
                      <w:szCs w:val="21"/>
                      <w:highlight w:val="none"/>
                    </w:rPr>
                    <w:t>4</w:t>
                  </w:r>
                </w:p>
              </w:tc>
              <w:tc>
                <w:tcPr>
                  <w:tcW w:w="1483" w:type="dxa"/>
                  <w:noWrap w:val="0"/>
                  <w:vAlign w:val="center"/>
                </w:tcPr>
                <w:p>
                  <w:pPr>
                    <w:pStyle w:val="6"/>
                    <w:tabs>
                      <w:tab w:val="left" w:pos="709"/>
                    </w:tabs>
                    <w:spacing w:line="240" w:lineRule="auto"/>
                    <w:jc w:val="center"/>
                    <w:rPr>
                      <w:rFonts w:hint="eastAsia"/>
                      <w:color w:val="auto"/>
                      <w:sz w:val="21"/>
                      <w:szCs w:val="21"/>
                      <w:highlight w:val="none"/>
                    </w:rPr>
                  </w:pPr>
                  <w:r>
                    <w:rPr>
                      <w:rFonts w:hint="eastAsia"/>
                      <w:color w:val="auto"/>
                      <w:sz w:val="21"/>
                      <w:szCs w:val="21"/>
                      <w:highlight w:val="none"/>
                    </w:rPr>
                    <w:t>辅助材料库房</w:t>
                  </w:r>
                </w:p>
              </w:tc>
              <w:tc>
                <w:tcPr>
                  <w:tcW w:w="1483" w:type="dxa"/>
                  <w:noWrap w:val="0"/>
                  <w:vAlign w:val="center"/>
                </w:tcPr>
                <w:p>
                  <w:pPr>
                    <w:pStyle w:val="6"/>
                    <w:tabs>
                      <w:tab w:val="left" w:pos="709"/>
                    </w:tabs>
                    <w:spacing w:line="240" w:lineRule="auto"/>
                    <w:jc w:val="center"/>
                    <w:rPr>
                      <w:color w:val="auto"/>
                      <w:sz w:val="21"/>
                      <w:szCs w:val="21"/>
                      <w:highlight w:val="none"/>
                    </w:rPr>
                  </w:pPr>
                  <w:r>
                    <w:rPr>
                      <w:rFonts w:hint="eastAsia"/>
                      <w:color w:val="auto"/>
                      <w:sz w:val="21"/>
                      <w:szCs w:val="21"/>
                      <w:highlight w:val="none"/>
                    </w:rPr>
                    <w:t>2500t</w:t>
                  </w:r>
                </w:p>
              </w:tc>
              <w:tc>
                <w:tcPr>
                  <w:tcW w:w="1483" w:type="dxa"/>
                  <w:noWrap w:val="0"/>
                  <w:vAlign w:val="center"/>
                </w:tcPr>
                <w:p>
                  <w:pPr>
                    <w:pStyle w:val="6"/>
                    <w:tabs>
                      <w:tab w:val="left" w:pos="709"/>
                    </w:tabs>
                    <w:spacing w:line="240" w:lineRule="auto"/>
                    <w:jc w:val="center"/>
                    <w:rPr>
                      <w:color w:val="auto"/>
                      <w:sz w:val="21"/>
                      <w:szCs w:val="21"/>
                      <w:highlight w:val="none"/>
                    </w:rPr>
                  </w:pPr>
                  <w:r>
                    <w:rPr>
                      <w:rFonts w:hint="eastAsia"/>
                      <w:color w:val="auto"/>
                      <w:sz w:val="21"/>
                      <w:szCs w:val="21"/>
                      <w:highlight w:val="none"/>
                    </w:rPr>
                    <w:t>0.0016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noWrap w:val="0"/>
                  <w:vAlign w:val="center"/>
                </w:tcPr>
                <w:p>
                  <w:pPr>
                    <w:pStyle w:val="6"/>
                    <w:tabs>
                      <w:tab w:val="left" w:pos="709"/>
                    </w:tabs>
                    <w:spacing w:line="240" w:lineRule="auto"/>
                    <w:jc w:val="center"/>
                    <w:rPr>
                      <w:rFonts w:hint="eastAsia"/>
                      <w:color w:val="auto"/>
                      <w:sz w:val="21"/>
                      <w:szCs w:val="21"/>
                      <w:highlight w:val="none"/>
                    </w:rPr>
                  </w:pPr>
                  <w:r>
                    <w:rPr>
                      <w:rFonts w:hint="eastAsia"/>
                      <w:color w:val="auto"/>
                      <w:sz w:val="21"/>
                      <w:szCs w:val="21"/>
                      <w:highlight w:val="none"/>
                    </w:rPr>
                    <w:t>2</w:t>
                  </w:r>
                </w:p>
              </w:tc>
              <w:tc>
                <w:tcPr>
                  <w:tcW w:w="1071" w:type="dxa"/>
                  <w:noWrap w:val="0"/>
                  <w:vAlign w:val="center"/>
                </w:tcPr>
                <w:p>
                  <w:pPr>
                    <w:pStyle w:val="6"/>
                    <w:tabs>
                      <w:tab w:val="left" w:pos="709"/>
                    </w:tabs>
                    <w:spacing w:line="240" w:lineRule="auto"/>
                    <w:jc w:val="center"/>
                    <w:rPr>
                      <w:color w:val="auto"/>
                      <w:sz w:val="21"/>
                      <w:szCs w:val="21"/>
                      <w:highlight w:val="none"/>
                    </w:rPr>
                  </w:pPr>
                  <w:r>
                    <w:rPr>
                      <w:rFonts w:hint="eastAsia"/>
                      <w:color w:val="auto"/>
                      <w:sz w:val="21"/>
                      <w:szCs w:val="21"/>
                      <w:highlight w:val="none"/>
                    </w:rPr>
                    <w:t>天然气</w:t>
                  </w:r>
                </w:p>
              </w:tc>
              <w:tc>
                <w:tcPr>
                  <w:tcW w:w="852" w:type="dxa"/>
                  <w:noWrap w:val="0"/>
                  <w:vAlign w:val="center"/>
                </w:tcPr>
                <w:p>
                  <w:pPr>
                    <w:pStyle w:val="6"/>
                    <w:tabs>
                      <w:tab w:val="left" w:pos="709"/>
                    </w:tabs>
                    <w:spacing w:line="240" w:lineRule="auto"/>
                    <w:jc w:val="center"/>
                    <w:rPr>
                      <w:rFonts w:hint="eastAsia"/>
                      <w:color w:val="auto"/>
                      <w:sz w:val="21"/>
                      <w:szCs w:val="21"/>
                      <w:highlight w:val="none"/>
                    </w:rPr>
                  </w:pPr>
                  <w:r>
                    <w:rPr>
                      <w:rFonts w:hint="eastAsia"/>
                      <w:color w:val="auto"/>
                      <w:sz w:val="21"/>
                      <w:szCs w:val="21"/>
                      <w:highlight w:val="none"/>
                    </w:rPr>
                    <w:t>/</w:t>
                  </w:r>
                </w:p>
              </w:tc>
              <w:tc>
                <w:tcPr>
                  <w:tcW w:w="1630" w:type="dxa"/>
                  <w:noWrap w:val="0"/>
                  <w:vAlign w:val="center"/>
                </w:tcPr>
                <w:p>
                  <w:pPr>
                    <w:pStyle w:val="6"/>
                    <w:tabs>
                      <w:tab w:val="left" w:pos="709"/>
                    </w:tabs>
                    <w:spacing w:line="240" w:lineRule="auto"/>
                    <w:jc w:val="center"/>
                    <w:rPr>
                      <w:color w:val="auto"/>
                      <w:sz w:val="21"/>
                      <w:szCs w:val="21"/>
                      <w:highlight w:val="none"/>
                    </w:rPr>
                  </w:pPr>
                  <w:r>
                    <w:rPr>
                      <w:rFonts w:hint="eastAsia"/>
                      <w:color w:val="auto"/>
                      <w:sz w:val="21"/>
                      <w:szCs w:val="21"/>
                      <w:highlight w:val="none"/>
                    </w:rPr>
                    <w:t>2.87</w:t>
                  </w:r>
                </w:p>
              </w:tc>
              <w:tc>
                <w:tcPr>
                  <w:tcW w:w="1483" w:type="dxa"/>
                  <w:noWrap w:val="0"/>
                  <w:vAlign w:val="center"/>
                </w:tcPr>
                <w:p>
                  <w:pPr>
                    <w:pStyle w:val="6"/>
                    <w:tabs>
                      <w:tab w:val="left" w:pos="709"/>
                    </w:tabs>
                    <w:spacing w:line="240" w:lineRule="auto"/>
                    <w:jc w:val="center"/>
                    <w:rPr>
                      <w:rFonts w:hint="eastAsia"/>
                      <w:color w:val="auto"/>
                      <w:sz w:val="21"/>
                      <w:szCs w:val="21"/>
                      <w:highlight w:val="none"/>
                    </w:rPr>
                  </w:pPr>
                  <w:r>
                    <w:rPr>
                      <w:rFonts w:hint="eastAsia"/>
                      <w:color w:val="auto"/>
                      <w:sz w:val="21"/>
                      <w:szCs w:val="21"/>
                      <w:highlight w:val="none"/>
                    </w:rPr>
                    <w:t>燃气供应站</w:t>
                  </w:r>
                </w:p>
              </w:tc>
              <w:tc>
                <w:tcPr>
                  <w:tcW w:w="1483" w:type="dxa"/>
                  <w:noWrap w:val="0"/>
                  <w:vAlign w:val="center"/>
                </w:tcPr>
                <w:p>
                  <w:pPr>
                    <w:pStyle w:val="6"/>
                    <w:tabs>
                      <w:tab w:val="left" w:pos="709"/>
                    </w:tabs>
                    <w:spacing w:line="240" w:lineRule="auto"/>
                    <w:jc w:val="center"/>
                    <w:rPr>
                      <w:color w:val="auto"/>
                      <w:sz w:val="21"/>
                      <w:szCs w:val="21"/>
                      <w:highlight w:val="none"/>
                    </w:rPr>
                  </w:pPr>
                  <w:r>
                    <w:rPr>
                      <w:rFonts w:hint="eastAsia"/>
                      <w:color w:val="auto"/>
                      <w:sz w:val="21"/>
                      <w:szCs w:val="21"/>
                      <w:highlight w:val="none"/>
                    </w:rPr>
                    <w:t>50t</w:t>
                  </w:r>
                </w:p>
              </w:tc>
              <w:tc>
                <w:tcPr>
                  <w:tcW w:w="1483" w:type="dxa"/>
                  <w:noWrap w:val="0"/>
                  <w:vAlign w:val="center"/>
                </w:tcPr>
                <w:p>
                  <w:pPr>
                    <w:pStyle w:val="6"/>
                    <w:tabs>
                      <w:tab w:val="left" w:pos="709"/>
                    </w:tabs>
                    <w:spacing w:line="240" w:lineRule="auto"/>
                    <w:jc w:val="center"/>
                    <w:rPr>
                      <w:color w:val="auto"/>
                      <w:sz w:val="21"/>
                      <w:szCs w:val="21"/>
                      <w:highlight w:val="none"/>
                    </w:rPr>
                  </w:pPr>
                  <w:r>
                    <w:rPr>
                      <w:rFonts w:hint="eastAsia"/>
                      <w:color w:val="auto"/>
                      <w:sz w:val="21"/>
                      <w:szCs w:val="21"/>
                      <w:highlight w:val="none"/>
                    </w:rPr>
                    <w:t>0.0574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013" w:type="dxa"/>
                  <w:gridSpan w:val="6"/>
                  <w:noWrap w:val="0"/>
                  <w:vAlign w:val="center"/>
                </w:tcPr>
                <w:p>
                  <w:pPr>
                    <w:pStyle w:val="6"/>
                    <w:tabs>
                      <w:tab w:val="left" w:pos="709"/>
                    </w:tabs>
                    <w:spacing w:line="240" w:lineRule="auto"/>
                    <w:jc w:val="center"/>
                    <w:rPr>
                      <w:color w:val="auto"/>
                      <w:sz w:val="21"/>
                      <w:szCs w:val="21"/>
                      <w:highlight w:val="none"/>
                    </w:rPr>
                  </w:pPr>
                  <w:r>
                    <w:rPr>
                      <w:rFonts w:hint="eastAsia"/>
                      <w:color w:val="auto"/>
                      <w:sz w:val="21"/>
                      <w:szCs w:val="21"/>
                      <w:highlight w:val="none"/>
                    </w:rPr>
                    <w:t>Q值</w:t>
                  </w:r>
                </w:p>
              </w:tc>
              <w:tc>
                <w:tcPr>
                  <w:tcW w:w="1483" w:type="dxa"/>
                  <w:noWrap w:val="0"/>
                  <w:vAlign w:val="center"/>
                </w:tcPr>
                <w:p>
                  <w:pPr>
                    <w:pStyle w:val="6"/>
                    <w:tabs>
                      <w:tab w:val="left" w:pos="709"/>
                    </w:tabs>
                    <w:spacing w:line="240" w:lineRule="auto"/>
                    <w:jc w:val="center"/>
                    <w:rPr>
                      <w:color w:val="auto"/>
                      <w:sz w:val="21"/>
                      <w:szCs w:val="21"/>
                      <w:highlight w:val="none"/>
                    </w:rPr>
                  </w:pPr>
                  <w:r>
                    <w:rPr>
                      <w:rFonts w:hint="eastAsia"/>
                      <w:color w:val="auto"/>
                      <w:sz w:val="21"/>
                      <w:szCs w:val="21"/>
                      <w:highlight w:val="none"/>
                    </w:rPr>
                    <w:t>0.059&lt;1</w:t>
                  </w:r>
                </w:p>
              </w:tc>
            </w:tr>
          </w:tbl>
          <w:p>
            <w:pPr>
              <w:spacing w:line="360" w:lineRule="auto"/>
              <w:ind w:firstLine="480" w:firstLineChars="200"/>
              <w:jc w:val="left"/>
              <w:rPr>
                <w:color w:val="auto"/>
                <w:sz w:val="24"/>
                <w:highlight w:val="none"/>
              </w:rPr>
            </w:pPr>
            <w:r>
              <w:rPr>
                <w:rFonts w:hint="eastAsia"/>
                <w:color w:val="auto"/>
                <w:sz w:val="24"/>
                <w:highlight w:val="none"/>
              </w:rPr>
              <w:t>因此，项目为简单分析。</w:t>
            </w:r>
          </w:p>
          <w:p>
            <w:pPr>
              <w:spacing w:line="360" w:lineRule="auto"/>
              <w:ind w:firstLine="480" w:firstLineChars="200"/>
              <w:jc w:val="left"/>
              <w:rPr>
                <w:color w:val="auto"/>
                <w:sz w:val="24"/>
                <w:highlight w:val="none"/>
              </w:rPr>
            </w:pPr>
            <w:r>
              <w:rPr>
                <w:rFonts w:hint="eastAsia"/>
                <w:color w:val="auto"/>
                <w:sz w:val="24"/>
                <w:highlight w:val="none"/>
              </w:rPr>
              <w:t>2、</w:t>
            </w:r>
            <w:r>
              <w:rPr>
                <w:color w:val="auto"/>
                <w:sz w:val="24"/>
                <w:highlight w:val="none"/>
              </w:rPr>
              <w:t>环境风险识别</w:t>
            </w:r>
          </w:p>
          <w:p>
            <w:pPr>
              <w:pStyle w:val="22"/>
              <w:ind w:firstLine="420"/>
              <w:rPr>
                <w:rFonts w:hint="eastAsia"/>
                <w:color w:val="auto"/>
                <w:kern w:val="2"/>
                <w:highlight w:val="none"/>
              </w:rPr>
            </w:pPr>
            <w:r>
              <w:rPr>
                <w:rFonts w:hint="eastAsia"/>
                <w:color w:val="auto"/>
                <w:kern w:val="2"/>
                <w:highlight w:val="none"/>
              </w:rPr>
              <w:t>根据本项目污水处理设施的生产运行情况和原辅料暂存使用情况，并结合国内同类生产装置的类比调查，列出运营过程中的潜在危险种类、事故原因、易发场所详见下表所示。</w:t>
            </w:r>
          </w:p>
          <w:p>
            <w:pPr>
              <w:tabs>
                <w:tab w:val="left" w:pos="0"/>
              </w:tabs>
              <w:adjustRightInd w:val="0"/>
              <w:snapToGrid w:val="0"/>
              <w:jc w:val="center"/>
              <w:rPr>
                <w:rFonts w:hint="eastAsia" w:eastAsia="黑体"/>
                <w:snapToGrid w:val="0"/>
                <w:color w:val="auto"/>
                <w:kern w:val="0"/>
                <w:szCs w:val="21"/>
                <w:highlight w:val="none"/>
              </w:rPr>
            </w:pPr>
            <w:r>
              <w:rPr>
                <w:rFonts w:hint="eastAsia" w:eastAsia="黑体"/>
                <w:snapToGrid w:val="0"/>
                <w:color w:val="auto"/>
                <w:kern w:val="0"/>
                <w:szCs w:val="21"/>
                <w:highlight w:val="none"/>
              </w:rPr>
              <w:t>表4-2</w:t>
            </w:r>
            <w:r>
              <w:rPr>
                <w:rFonts w:hint="eastAsia" w:eastAsia="黑体"/>
                <w:snapToGrid w:val="0"/>
                <w:color w:val="auto"/>
                <w:kern w:val="0"/>
                <w:szCs w:val="21"/>
                <w:highlight w:val="none"/>
                <w:lang w:val="en-US" w:eastAsia="zh-CN"/>
              </w:rPr>
              <w:t>8</w:t>
            </w:r>
            <w:r>
              <w:rPr>
                <w:rFonts w:hint="eastAsia" w:eastAsia="黑体"/>
                <w:snapToGrid w:val="0"/>
                <w:color w:val="auto"/>
                <w:kern w:val="0"/>
                <w:szCs w:val="21"/>
                <w:highlight w:val="none"/>
              </w:rPr>
              <w:t xml:space="preserve"> 项目环境风险识别</w:t>
            </w:r>
          </w:p>
          <w:tbl>
            <w:tblPr>
              <w:tblStyle w:val="39"/>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26"/>
              <w:gridCol w:w="1331"/>
              <w:gridCol w:w="1468"/>
              <w:gridCol w:w="1281"/>
              <w:gridCol w:w="1054"/>
              <w:gridCol w:w="1101"/>
              <w:gridCol w:w="145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426" w:type="dxa"/>
                  <w:noWrap w:val="0"/>
                  <w:vAlign w:val="center"/>
                </w:tcPr>
                <w:p>
                  <w:pPr>
                    <w:tabs>
                      <w:tab w:val="left" w:pos="0"/>
                    </w:tabs>
                    <w:jc w:val="center"/>
                    <w:rPr>
                      <w:rFonts w:hint="eastAsia" w:ascii="黑体" w:hAnsi="黑体" w:eastAsia="黑体" w:cs="黑体"/>
                      <w:color w:val="auto"/>
                      <w:szCs w:val="21"/>
                      <w:highlight w:val="none"/>
                    </w:rPr>
                  </w:pPr>
                  <w:r>
                    <w:rPr>
                      <w:rFonts w:hint="eastAsia" w:ascii="黑体" w:hAnsi="黑体" w:eastAsia="黑体" w:cs="黑体"/>
                      <w:color w:val="auto"/>
                      <w:szCs w:val="21"/>
                      <w:highlight w:val="none"/>
                    </w:rPr>
                    <w:t>序号</w:t>
                  </w:r>
                </w:p>
              </w:tc>
              <w:tc>
                <w:tcPr>
                  <w:tcW w:w="1331" w:type="dxa"/>
                  <w:noWrap w:val="0"/>
                  <w:vAlign w:val="center"/>
                </w:tcPr>
                <w:p>
                  <w:pPr>
                    <w:tabs>
                      <w:tab w:val="left" w:pos="0"/>
                    </w:tabs>
                    <w:jc w:val="center"/>
                    <w:rPr>
                      <w:rFonts w:hint="eastAsia" w:ascii="黑体" w:hAnsi="黑体" w:eastAsia="黑体" w:cs="黑体"/>
                      <w:color w:val="auto"/>
                      <w:szCs w:val="21"/>
                      <w:highlight w:val="none"/>
                    </w:rPr>
                  </w:pPr>
                  <w:r>
                    <w:rPr>
                      <w:rFonts w:hint="eastAsia" w:ascii="黑体" w:hAnsi="黑体" w:eastAsia="黑体" w:cs="黑体"/>
                      <w:color w:val="auto"/>
                      <w:szCs w:val="21"/>
                      <w:highlight w:val="none"/>
                    </w:rPr>
                    <w:t>危险单元</w:t>
                  </w:r>
                </w:p>
              </w:tc>
              <w:tc>
                <w:tcPr>
                  <w:tcW w:w="1468" w:type="dxa"/>
                  <w:noWrap w:val="0"/>
                  <w:vAlign w:val="center"/>
                </w:tcPr>
                <w:p>
                  <w:pPr>
                    <w:tabs>
                      <w:tab w:val="left" w:pos="0"/>
                    </w:tabs>
                    <w:jc w:val="center"/>
                    <w:rPr>
                      <w:rFonts w:hint="eastAsia" w:ascii="黑体" w:hAnsi="黑体" w:eastAsia="黑体" w:cs="黑体"/>
                      <w:color w:val="auto"/>
                      <w:szCs w:val="21"/>
                      <w:highlight w:val="none"/>
                    </w:rPr>
                  </w:pPr>
                  <w:r>
                    <w:rPr>
                      <w:rFonts w:hint="eastAsia" w:ascii="黑体" w:hAnsi="黑体" w:eastAsia="黑体" w:cs="黑体"/>
                      <w:color w:val="auto"/>
                      <w:szCs w:val="21"/>
                      <w:highlight w:val="none"/>
                    </w:rPr>
                    <w:t>风险源</w:t>
                  </w:r>
                </w:p>
              </w:tc>
              <w:tc>
                <w:tcPr>
                  <w:tcW w:w="1281" w:type="dxa"/>
                  <w:noWrap w:val="0"/>
                  <w:vAlign w:val="center"/>
                </w:tcPr>
                <w:p>
                  <w:pPr>
                    <w:tabs>
                      <w:tab w:val="left" w:pos="0"/>
                    </w:tabs>
                    <w:jc w:val="center"/>
                    <w:rPr>
                      <w:rFonts w:hint="eastAsia" w:ascii="黑体" w:hAnsi="黑体" w:eastAsia="黑体" w:cs="黑体"/>
                      <w:color w:val="auto"/>
                      <w:szCs w:val="21"/>
                      <w:highlight w:val="none"/>
                    </w:rPr>
                  </w:pPr>
                  <w:r>
                    <w:rPr>
                      <w:rFonts w:hint="eastAsia" w:ascii="黑体" w:hAnsi="黑体" w:eastAsia="黑体" w:cs="黑体"/>
                      <w:color w:val="auto"/>
                      <w:szCs w:val="21"/>
                      <w:highlight w:val="none"/>
                    </w:rPr>
                    <w:t>主要危险物质</w:t>
                  </w:r>
                </w:p>
              </w:tc>
              <w:tc>
                <w:tcPr>
                  <w:tcW w:w="1054" w:type="dxa"/>
                  <w:noWrap w:val="0"/>
                  <w:vAlign w:val="center"/>
                </w:tcPr>
                <w:p>
                  <w:pPr>
                    <w:tabs>
                      <w:tab w:val="left" w:pos="0"/>
                    </w:tabs>
                    <w:jc w:val="center"/>
                    <w:rPr>
                      <w:rFonts w:hint="eastAsia" w:ascii="黑体" w:hAnsi="黑体" w:eastAsia="黑体" w:cs="黑体"/>
                      <w:color w:val="auto"/>
                      <w:szCs w:val="21"/>
                      <w:highlight w:val="none"/>
                    </w:rPr>
                  </w:pPr>
                  <w:r>
                    <w:rPr>
                      <w:rFonts w:hint="eastAsia" w:ascii="黑体" w:hAnsi="黑体" w:eastAsia="黑体" w:cs="黑体"/>
                      <w:color w:val="auto"/>
                      <w:szCs w:val="21"/>
                      <w:highlight w:val="none"/>
                    </w:rPr>
                    <w:t>环境风险类型</w:t>
                  </w:r>
                </w:p>
              </w:tc>
              <w:tc>
                <w:tcPr>
                  <w:tcW w:w="1101" w:type="dxa"/>
                  <w:noWrap w:val="0"/>
                  <w:vAlign w:val="center"/>
                </w:tcPr>
                <w:p>
                  <w:pPr>
                    <w:tabs>
                      <w:tab w:val="left" w:pos="0"/>
                    </w:tabs>
                    <w:jc w:val="center"/>
                    <w:rPr>
                      <w:rFonts w:hint="eastAsia" w:ascii="黑体" w:hAnsi="黑体" w:eastAsia="黑体" w:cs="黑体"/>
                      <w:color w:val="auto"/>
                      <w:szCs w:val="21"/>
                      <w:highlight w:val="none"/>
                    </w:rPr>
                  </w:pPr>
                  <w:r>
                    <w:rPr>
                      <w:rFonts w:hint="eastAsia" w:ascii="黑体" w:hAnsi="黑体" w:eastAsia="黑体" w:cs="黑体"/>
                      <w:color w:val="auto"/>
                      <w:szCs w:val="21"/>
                      <w:highlight w:val="none"/>
                    </w:rPr>
                    <w:t>环境影响途径</w:t>
                  </w:r>
                </w:p>
              </w:tc>
              <w:tc>
                <w:tcPr>
                  <w:tcW w:w="1456" w:type="dxa"/>
                  <w:noWrap w:val="0"/>
                  <w:vAlign w:val="center"/>
                </w:tcPr>
                <w:p>
                  <w:pPr>
                    <w:tabs>
                      <w:tab w:val="left" w:pos="0"/>
                    </w:tabs>
                    <w:jc w:val="center"/>
                    <w:rPr>
                      <w:rFonts w:hint="eastAsia" w:ascii="黑体" w:hAnsi="黑体" w:eastAsia="黑体" w:cs="黑体"/>
                      <w:color w:val="auto"/>
                      <w:szCs w:val="21"/>
                      <w:highlight w:val="none"/>
                    </w:rPr>
                  </w:pPr>
                  <w:r>
                    <w:rPr>
                      <w:rFonts w:hint="eastAsia" w:ascii="黑体" w:hAnsi="黑体" w:eastAsia="黑体" w:cs="黑体"/>
                      <w:color w:val="auto"/>
                      <w:szCs w:val="21"/>
                      <w:highlight w:val="none"/>
                    </w:rPr>
                    <w:t>可能受影响的环境敏感目标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24" w:hRule="atLeast"/>
                <w:jc w:val="center"/>
              </w:trPr>
              <w:tc>
                <w:tcPr>
                  <w:tcW w:w="426" w:type="dxa"/>
                  <w:noWrap w:val="0"/>
                  <w:vAlign w:val="center"/>
                </w:tcPr>
                <w:p>
                  <w:pPr>
                    <w:tabs>
                      <w:tab w:val="left" w:pos="0"/>
                    </w:tabs>
                    <w:jc w:val="center"/>
                    <w:rPr>
                      <w:rFonts w:hint="eastAsia"/>
                      <w:color w:val="auto"/>
                      <w:szCs w:val="21"/>
                      <w:highlight w:val="none"/>
                    </w:rPr>
                  </w:pPr>
                  <w:r>
                    <w:rPr>
                      <w:rFonts w:hint="eastAsia"/>
                      <w:color w:val="auto"/>
                      <w:szCs w:val="21"/>
                      <w:highlight w:val="none"/>
                    </w:rPr>
                    <w:t>1</w:t>
                  </w:r>
                </w:p>
              </w:tc>
              <w:tc>
                <w:tcPr>
                  <w:tcW w:w="1331" w:type="dxa"/>
                  <w:noWrap w:val="0"/>
                  <w:vAlign w:val="center"/>
                </w:tcPr>
                <w:p>
                  <w:pPr>
                    <w:tabs>
                      <w:tab w:val="left" w:pos="0"/>
                    </w:tabs>
                    <w:jc w:val="center"/>
                    <w:rPr>
                      <w:color w:val="auto"/>
                      <w:szCs w:val="21"/>
                      <w:highlight w:val="none"/>
                    </w:rPr>
                  </w:pPr>
                  <w:r>
                    <w:rPr>
                      <w:rFonts w:hint="eastAsia"/>
                      <w:color w:val="auto"/>
                      <w:szCs w:val="21"/>
                      <w:highlight w:val="none"/>
                    </w:rPr>
                    <w:t>辅助材料库房</w:t>
                  </w:r>
                </w:p>
              </w:tc>
              <w:tc>
                <w:tcPr>
                  <w:tcW w:w="1468" w:type="dxa"/>
                  <w:noWrap w:val="0"/>
                  <w:vAlign w:val="center"/>
                </w:tcPr>
                <w:p>
                  <w:pPr>
                    <w:tabs>
                      <w:tab w:val="left" w:pos="0"/>
                    </w:tabs>
                    <w:jc w:val="center"/>
                    <w:rPr>
                      <w:color w:val="auto"/>
                      <w:szCs w:val="21"/>
                      <w:highlight w:val="none"/>
                    </w:rPr>
                  </w:pPr>
                  <w:r>
                    <w:rPr>
                      <w:rFonts w:hint="eastAsia"/>
                      <w:color w:val="auto"/>
                      <w:szCs w:val="21"/>
                      <w:highlight w:val="none"/>
                    </w:rPr>
                    <w:t>柴油</w:t>
                  </w:r>
                </w:p>
              </w:tc>
              <w:tc>
                <w:tcPr>
                  <w:tcW w:w="1281" w:type="dxa"/>
                  <w:noWrap w:val="0"/>
                  <w:vAlign w:val="center"/>
                </w:tcPr>
                <w:p>
                  <w:pPr>
                    <w:tabs>
                      <w:tab w:val="left" w:pos="0"/>
                    </w:tabs>
                    <w:jc w:val="center"/>
                    <w:rPr>
                      <w:color w:val="auto"/>
                      <w:szCs w:val="21"/>
                      <w:highlight w:val="none"/>
                    </w:rPr>
                  </w:pPr>
                  <w:r>
                    <w:rPr>
                      <w:rFonts w:hint="eastAsia"/>
                      <w:color w:val="auto"/>
                      <w:szCs w:val="21"/>
                      <w:highlight w:val="none"/>
                    </w:rPr>
                    <w:t>柴油</w:t>
                  </w:r>
                </w:p>
              </w:tc>
              <w:tc>
                <w:tcPr>
                  <w:tcW w:w="1054" w:type="dxa"/>
                  <w:noWrap w:val="0"/>
                  <w:vAlign w:val="center"/>
                </w:tcPr>
                <w:p>
                  <w:pPr>
                    <w:tabs>
                      <w:tab w:val="left" w:pos="0"/>
                    </w:tabs>
                    <w:jc w:val="center"/>
                    <w:rPr>
                      <w:color w:val="auto"/>
                      <w:szCs w:val="21"/>
                      <w:highlight w:val="none"/>
                    </w:rPr>
                  </w:pPr>
                  <w:r>
                    <w:rPr>
                      <w:rFonts w:hint="eastAsia"/>
                      <w:color w:val="auto"/>
                      <w:szCs w:val="21"/>
                      <w:highlight w:val="none"/>
                    </w:rPr>
                    <w:t>火灾、泄漏</w:t>
                  </w:r>
                </w:p>
              </w:tc>
              <w:tc>
                <w:tcPr>
                  <w:tcW w:w="1101" w:type="dxa"/>
                  <w:noWrap w:val="0"/>
                  <w:vAlign w:val="center"/>
                </w:tcPr>
                <w:p>
                  <w:pPr>
                    <w:tabs>
                      <w:tab w:val="left" w:pos="0"/>
                    </w:tabs>
                    <w:jc w:val="center"/>
                    <w:rPr>
                      <w:color w:val="auto"/>
                      <w:szCs w:val="21"/>
                      <w:highlight w:val="none"/>
                    </w:rPr>
                  </w:pPr>
                  <w:r>
                    <w:rPr>
                      <w:rFonts w:hint="eastAsia"/>
                      <w:color w:val="auto"/>
                      <w:szCs w:val="21"/>
                      <w:highlight w:val="none"/>
                    </w:rPr>
                    <w:t>地表水、环境空气</w:t>
                  </w:r>
                </w:p>
              </w:tc>
              <w:tc>
                <w:tcPr>
                  <w:tcW w:w="1456" w:type="dxa"/>
                  <w:noWrap w:val="0"/>
                  <w:vAlign w:val="center"/>
                </w:tcPr>
                <w:p>
                  <w:pPr>
                    <w:tabs>
                      <w:tab w:val="left" w:pos="0"/>
                    </w:tabs>
                    <w:jc w:val="center"/>
                    <w:rPr>
                      <w:color w:val="auto"/>
                      <w:szCs w:val="21"/>
                      <w:highlight w:val="none"/>
                    </w:rPr>
                  </w:pPr>
                  <w:r>
                    <w:rPr>
                      <w:rFonts w:hint="eastAsia"/>
                      <w:color w:val="auto"/>
                      <w:szCs w:val="21"/>
                      <w:highlight w:val="none"/>
                    </w:rPr>
                    <w:t>青衣江、居民</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24" w:hRule="atLeast"/>
                <w:jc w:val="center"/>
              </w:trPr>
              <w:tc>
                <w:tcPr>
                  <w:tcW w:w="426" w:type="dxa"/>
                  <w:noWrap w:val="0"/>
                  <w:vAlign w:val="center"/>
                </w:tcPr>
                <w:p>
                  <w:pPr>
                    <w:tabs>
                      <w:tab w:val="left" w:pos="0"/>
                    </w:tabs>
                    <w:jc w:val="center"/>
                    <w:rPr>
                      <w:rFonts w:hint="eastAsia"/>
                      <w:color w:val="auto"/>
                      <w:szCs w:val="21"/>
                      <w:highlight w:val="none"/>
                    </w:rPr>
                  </w:pPr>
                  <w:r>
                    <w:rPr>
                      <w:rFonts w:hint="eastAsia"/>
                      <w:color w:val="auto"/>
                      <w:szCs w:val="21"/>
                      <w:highlight w:val="none"/>
                    </w:rPr>
                    <w:t>2</w:t>
                  </w:r>
                </w:p>
              </w:tc>
              <w:tc>
                <w:tcPr>
                  <w:tcW w:w="1331" w:type="dxa"/>
                  <w:noWrap w:val="0"/>
                  <w:vAlign w:val="center"/>
                </w:tcPr>
                <w:p>
                  <w:pPr>
                    <w:tabs>
                      <w:tab w:val="left" w:pos="0"/>
                    </w:tabs>
                    <w:jc w:val="center"/>
                    <w:rPr>
                      <w:rFonts w:hint="eastAsia"/>
                      <w:color w:val="auto"/>
                      <w:szCs w:val="21"/>
                      <w:highlight w:val="none"/>
                    </w:rPr>
                  </w:pPr>
                  <w:r>
                    <w:rPr>
                      <w:rFonts w:hint="eastAsia"/>
                      <w:color w:val="auto"/>
                      <w:szCs w:val="21"/>
                      <w:highlight w:val="none"/>
                    </w:rPr>
                    <w:t>燃气供应站</w:t>
                  </w:r>
                </w:p>
              </w:tc>
              <w:tc>
                <w:tcPr>
                  <w:tcW w:w="1468" w:type="dxa"/>
                  <w:noWrap w:val="0"/>
                  <w:vAlign w:val="center"/>
                </w:tcPr>
                <w:p>
                  <w:pPr>
                    <w:tabs>
                      <w:tab w:val="left" w:pos="0"/>
                    </w:tabs>
                    <w:jc w:val="center"/>
                    <w:rPr>
                      <w:rFonts w:hint="eastAsia"/>
                      <w:color w:val="auto"/>
                      <w:szCs w:val="21"/>
                      <w:highlight w:val="none"/>
                    </w:rPr>
                  </w:pPr>
                  <w:r>
                    <w:rPr>
                      <w:rFonts w:hint="eastAsia"/>
                      <w:color w:val="auto"/>
                      <w:szCs w:val="21"/>
                      <w:highlight w:val="none"/>
                    </w:rPr>
                    <w:t>天然气</w:t>
                  </w:r>
                </w:p>
              </w:tc>
              <w:tc>
                <w:tcPr>
                  <w:tcW w:w="1281" w:type="dxa"/>
                  <w:noWrap w:val="0"/>
                  <w:vAlign w:val="center"/>
                </w:tcPr>
                <w:p>
                  <w:pPr>
                    <w:tabs>
                      <w:tab w:val="left" w:pos="0"/>
                    </w:tabs>
                    <w:jc w:val="center"/>
                    <w:rPr>
                      <w:rFonts w:hint="eastAsia"/>
                      <w:color w:val="auto"/>
                      <w:szCs w:val="21"/>
                      <w:highlight w:val="none"/>
                    </w:rPr>
                  </w:pPr>
                  <w:r>
                    <w:rPr>
                      <w:rFonts w:hint="eastAsia"/>
                      <w:color w:val="auto"/>
                      <w:szCs w:val="21"/>
                      <w:highlight w:val="none"/>
                    </w:rPr>
                    <w:t>天然气</w:t>
                  </w:r>
                </w:p>
              </w:tc>
              <w:tc>
                <w:tcPr>
                  <w:tcW w:w="1054" w:type="dxa"/>
                  <w:noWrap w:val="0"/>
                  <w:vAlign w:val="center"/>
                </w:tcPr>
                <w:p>
                  <w:pPr>
                    <w:tabs>
                      <w:tab w:val="left" w:pos="0"/>
                    </w:tabs>
                    <w:jc w:val="center"/>
                    <w:rPr>
                      <w:color w:val="auto"/>
                      <w:szCs w:val="21"/>
                      <w:highlight w:val="none"/>
                    </w:rPr>
                  </w:pPr>
                  <w:r>
                    <w:rPr>
                      <w:rFonts w:hint="eastAsia"/>
                      <w:color w:val="auto"/>
                      <w:szCs w:val="21"/>
                      <w:highlight w:val="none"/>
                    </w:rPr>
                    <w:t>火灾、泄露</w:t>
                  </w:r>
                </w:p>
              </w:tc>
              <w:tc>
                <w:tcPr>
                  <w:tcW w:w="1101" w:type="dxa"/>
                  <w:noWrap w:val="0"/>
                  <w:vAlign w:val="center"/>
                </w:tcPr>
                <w:p>
                  <w:pPr>
                    <w:tabs>
                      <w:tab w:val="left" w:pos="0"/>
                    </w:tabs>
                    <w:jc w:val="center"/>
                    <w:rPr>
                      <w:rFonts w:hint="eastAsia"/>
                      <w:color w:val="auto"/>
                      <w:szCs w:val="21"/>
                      <w:highlight w:val="none"/>
                    </w:rPr>
                  </w:pPr>
                  <w:r>
                    <w:rPr>
                      <w:rFonts w:hint="eastAsia"/>
                      <w:color w:val="auto"/>
                      <w:szCs w:val="21"/>
                      <w:highlight w:val="none"/>
                    </w:rPr>
                    <w:t>地表水、环境空气</w:t>
                  </w:r>
                </w:p>
              </w:tc>
              <w:tc>
                <w:tcPr>
                  <w:tcW w:w="1456" w:type="dxa"/>
                  <w:noWrap w:val="0"/>
                  <w:vAlign w:val="center"/>
                </w:tcPr>
                <w:p>
                  <w:pPr>
                    <w:tabs>
                      <w:tab w:val="left" w:pos="0"/>
                    </w:tabs>
                    <w:jc w:val="center"/>
                    <w:rPr>
                      <w:rFonts w:hint="eastAsia"/>
                      <w:color w:val="auto"/>
                      <w:szCs w:val="21"/>
                      <w:highlight w:val="none"/>
                    </w:rPr>
                  </w:pPr>
                  <w:r>
                    <w:rPr>
                      <w:rFonts w:hint="eastAsia"/>
                      <w:color w:val="auto"/>
                      <w:szCs w:val="21"/>
                      <w:highlight w:val="none"/>
                    </w:rPr>
                    <w:t>青衣江、居民</w:t>
                  </w:r>
                </w:p>
              </w:tc>
            </w:tr>
          </w:tbl>
          <w:p>
            <w:pPr>
              <w:pStyle w:val="22"/>
              <w:ind w:firstLine="420"/>
              <w:rPr>
                <w:color w:val="auto"/>
                <w:kern w:val="2"/>
                <w:highlight w:val="none"/>
              </w:rPr>
            </w:pPr>
            <w:r>
              <w:rPr>
                <w:rFonts w:hint="eastAsia"/>
                <w:color w:val="auto"/>
                <w:kern w:val="2"/>
                <w:highlight w:val="none"/>
              </w:rPr>
              <w:t>本项目危险物质性质一览表详见下表所示：</w:t>
            </w:r>
          </w:p>
          <w:p>
            <w:pPr>
              <w:tabs>
                <w:tab w:val="left" w:pos="0"/>
              </w:tabs>
              <w:adjustRightInd w:val="0"/>
              <w:snapToGrid w:val="0"/>
              <w:jc w:val="center"/>
              <w:rPr>
                <w:rFonts w:eastAsia="黑体"/>
                <w:snapToGrid w:val="0"/>
                <w:color w:val="auto"/>
                <w:kern w:val="0"/>
                <w:szCs w:val="21"/>
                <w:highlight w:val="none"/>
              </w:rPr>
            </w:pPr>
            <w:r>
              <w:rPr>
                <w:rFonts w:hint="eastAsia" w:eastAsia="黑体"/>
                <w:snapToGrid w:val="0"/>
                <w:color w:val="auto"/>
                <w:kern w:val="0"/>
                <w:szCs w:val="21"/>
                <w:highlight w:val="none"/>
              </w:rPr>
              <w:t>表4-2</w:t>
            </w:r>
            <w:r>
              <w:rPr>
                <w:rFonts w:hint="eastAsia" w:eastAsia="黑体"/>
                <w:snapToGrid w:val="0"/>
                <w:color w:val="auto"/>
                <w:kern w:val="0"/>
                <w:szCs w:val="21"/>
                <w:highlight w:val="none"/>
                <w:lang w:val="en-US" w:eastAsia="zh-CN"/>
              </w:rPr>
              <w:t>9</w:t>
            </w:r>
            <w:r>
              <w:rPr>
                <w:rFonts w:hint="eastAsia" w:eastAsia="黑体"/>
                <w:snapToGrid w:val="0"/>
                <w:color w:val="auto"/>
                <w:kern w:val="0"/>
                <w:szCs w:val="21"/>
                <w:highlight w:val="none"/>
              </w:rPr>
              <w:t xml:space="preserve"> 危险物质性质一览表</w:t>
            </w:r>
          </w:p>
          <w:tbl>
            <w:tblPr>
              <w:tblStyle w:val="39"/>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91"/>
              <w:gridCol w:w="3368"/>
              <w:gridCol w:w="361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91" w:type="dxa"/>
                  <w:noWrap w:val="0"/>
                  <w:vAlign w:val="center"/>
                </w:tcPr>
                <w:p>
                  <w:pPr>
                    <w:tabs>
                      <w:tab w:val="left" w:pos="0"/>
                    </w:tabs>
                    <w:adjustRightInd w:val="0"/>
                    <w:snapToGrid w:val="0"/>
                    <w:jc w:val="center"/>
                    <w:rPr>
                      <w:rFonts w:hint="eastAsia" w:ascii="黑体" w:hAnsi="黑体" w:eastAsia="黑体" w:cs="黑体"/>
                      <w:snapToGrid w:val="0"/>
                      <w:color w:val="auto"/>
                      <w:kern w:val="0"/>
                      <w:szCs w:val="21"/>
                      <w:highlight w:val="none"/>
                    </w:rPr>
                  </w:pPr>
                  <w:r>
                    <w:rPr>
                      <w:rFonts w:hint="eastAsia" w:ascii="黑体" w:hAnsi="黑体" w:eastAsia="黑体" w:cs="黑体"/>
                      <w:snapToGrid w:val="0"/>
                      <w:color w:val="auto"/>
                      <w:kern w:val="0"/>
                      <w:szCs w:val="21"/>
                      <w:highlight w:val="none"/>
                    </w:rPr>
                    <w:t>物质名称</w:t>
                  </w:r>
                </w:p>
              </w:tc>
              <w:tc>
                <w:tcPr>
                  <w:tcW w:w="3368" w:type="dxa"/>
                  <w:noWrap w:val="0"/>
                  <w:vAlign w:val="center"/>
                </w:tcPr>
                <w:p>
                  <w:pPr>
                    <w:tabs>
                      <w:tab w:val="left" w:pos="0"/>
                    </w:tabs>
                    <w:adjustRightInd w:val="0"/>
                    <w:snapToGrid w:val="0"/>
                    <w:jc w:val="center"/>
                    <w:rPr>
                      <w:rFonts w:hint="eastAsia" w:ascii="黑体" w:hAnsi="黑体" w:eastAsia="黑体" w:cs="黑体"/>
                      <w:snapToGrid w:val="0"/>
                      <w:color w:val="auto"/>
                      <w:kern w:val="0"/>
                      <w:szCs w:val="21"/>
                      <w:highlight w:val="none"/>
                    </w:rPr>
                  </w:pPr>
                  <w:r>
                    <w:rPr>
                      <w:rFonts w:hint="eastAsia" w:ascii="黑体" w:hAnsi="黑体" w:eastAsia="黑体" w:cs="黑体"/>
                      <w:snapToGrid w:val="0"/>
                      <w:color w:val="auto"/>
                      <w:kern w:val="0"/>
                      <w:szCs w:val="21"/>
                      <w:highlight w:val="none"/>
                    </w:rPr>
                    <w:t>物化性质</w:t>
                  </w:r>
                </w:p>
              </w:tc>
              <w:tc>
                <w:tcPr>
                  <w:tcW w:w="3612" w:type="dxa"/>
                  <w:noWrap w:val="0"/>
                  <w:vAlign w:val="center"/>
                </w:tcPr>
                <w:p>
                  <w:pPr>
                    <w:tabs>
                      <w:tab w:val="left" w:pos="0"/>
                    </w:tabs>
                    <w:adjustRightInd w:val="0"/>
                    <w:snapToGrid w:val="0"/>
                    <w:jc w:val="center"/>
                    <w:rPr>
                      <w:rFonts w:hint="eastAsia" w:ascii="黑体" w:hAnsi="黑体" w:eastAsia="黑体" w:cs="黑体"/>
                      <w:snapToGrid w:val="0"/>
                      <w:color w:val="auto"/>
                      <w:kern w:val="0"/>
                      <w:szCs w:val="21"/>
                      <w:highlight w:val="none"/>
                    </w:rPr>
                  </w:pPr>
                  <w:r>
                    <w:rPr>
                      <w:rFonts w:hint="eastAsia" w:ascii="黑体" w:hAnsi="黑体" w:eastAsia="黑体" w:cs="黑体"/>
                      <w:snapToGrid w:val="0"/>
                      <w:color w:val="auto"/>
                      <w:kern w:val="0"/>
                      <w:szCs w:val="21"/>
                      <w:highlight w:val="none"/>
                    </w:rPr>
                    <w:t>危险特性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jc w:val="center"/>
              </w:trPr>
              <w:tc>
                <w:tcPr>
                  <w:tcW w:w="1091" w:type="dxa"/>
                  <w:noWrap w:val="0"/>
                  <w:vAlign w:val="center"/>
                </w:tcPr>
                <w:p>
                  <w:pPr>
                    <w:pStyle w:val="6"/>
                    <w:tabs>
                      <w:tab w:val="left" w:pos="709"/>
                    </w:tabs>
                    <w:spacing w:line="240" w:lineRule="auto"/>
                    <w:jc w:val="center"/>
                    <w:rPr>
                      <w:color w:val="auto"/>
                      <w:sz w:val="21"/>
                      <w:szCs w:val="21"/>
                      <w:highlight w:val="none"/>
                    </w:rPr>
                  </w:pPr>
                  <w:r>
                    <w:rPr>
                      <w:rFonts w:hint="eastAsia"/>
                      <w:color w:val="auto"/>
                      <w:sz w:val="21"/>
                      <w:szCs w:val="21"/>
                      <w:highlight w:val="none"/>
                    </w:rPr>
                    <w:t>柴油</w:t>
                  </w:r>
                </w:p>
              </w:tc>
              <w:tc>
                <w:tcPr>
                  <w:tcW w:w="3368" w:type="dxa"/>
                  <w:noWrap w:val="0"/>
                  <w:vAlign w:val="center"/>
                </w:tcPr>
                <w:p>
                  <w:pPr>
                    <w:tabs>
                      <w:tab w:val="left" w:pos="0"/>
                    </w:tabs>
                    <w:adjustRightInd w:val="0"/>
                    <w:snapToGrid w:val="0"/>
                    <w:jc w:val="center"/>
                    <w:rPr>
                      <w:snapToGrid w:val="0"/>
                      <w:color w:val="auto"/>
                      <w:kern w:val="0"/>
                      <w:szCs w:val="21"/>
                      <w:highlight w:val="none"/>
                    </w:rPr>
                  </w:pPr>
                  <w:r>
                    <w:rPr>
                      <w:rFonts w:hint="eastAsia"/>
                      <w:snapToGrid w:val="0"/>
                      <w:color w:val="auto"/>
                      <w:kern w:val="0"/>
                      <w:szCs w:val="21"/>
                      <w:highlight w:val="none"/>
                    </w:rPr>
                    <w:t>稍有粘性的棕色液体，熔点-18℃</w:t>
                  </w:r>
                </w:p>
              </w:tc>
              <w:tc>
                <w:tcPr>
                  <w:tcW w:w="3612" w:type="dxa"/>
                  <w:noWrap w:val="0"/>
                  <w:vAlign w:val="center"/>
                </w:tcPr>
                <w:p>
                  <w:pPr>
                    <w:tabs>
                      <w:tab w:val="left" w:pos="0"/>
                    </w:tabs>
                    <w:adjustRightInd w:val="0"/>
                    <w:snapToGrid w:val="0"/>
                    <w:jc w:val="center"/>
                    <w:rPr>
                      <w:snapToGrid w:val="0"/>
                      <w:color w:val="auto"/>
                      <w:kern w:val="0"/>
                      <w:szCs w:val="21"/>
                      <w:highlight w:val="none"/>
                    </w:rPr>
                  </w:pPr>
                  <w:r>
                    <w:rPr>
                      <w:rFonts w:hint="eastAsia"/>
                      <w:snapToGrid w:val="0"/>
                      <w:color w:val="auto"/>
                      <w:kern w:val="0"/>
                      <w:szCs w:val="21"/>
                      <w:highlight w:val="none"/>
                    </w:rPr>
                    <w:t>易燃，具有刺激性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91" w:type="dxa"/>
                  <w:noWrap w:val="0"/>
                  <w:vAlign w:val="center"/>
                </w:tcPr>
                <w:p>
                  <w:pPr>
                    <w:pStyle w:val="6"/>
                    <w:tabs>
                      <w:tab w:val="left" w:pos="709"/>
                    </w:tabs>
                    <w:spacing w:line="240" w:lineRule="auto"/>
                    <w:jc w:val="center"/>
                    <w:rPr>
                      <w:rFonts w:hint="eastAsia"/>
                      <w:color w:val="auto"/>
                      <w:sz w:val="21"/>
                      <w:szCs w:val="21"/>
                      <w:highlight w:val="none"/>
                    </w:rPr>
                  </w:pPr>
                  <w:r>
                    <w:rPr>
                      <w:rFonts w:hint="eastAsia"/>
                      <w:color w:val="auto"/>
                      <w:sz w:val="21"/>
                      <w:szCs w:val="21"/>
                      <w:highlight w:val="none"/>
                    </w:rPr>
                    <w:t>天然气</w:t>
                  </w:r>
                </w:p>
              </w:tc>
              <w:tc>
                <w:tcPr>
                  <w:tcW w:w="3368" w:type="dxa"/>
                  <w:noWrap w:val="0"/>
                  <w:vAlign w:val="center"/>
                </w:tcPr>
                <w:p>
                  <w:pPr>
                    <w:tabs>
                      <w:tab w:val="left" w:pos="0"/>
                    </w:tabs>
                    <w:adjustRightInd w:val="0"/>
                    <w:snapToGrid w:val="0"/>
                    <w:jc w:val="center"/>
                    <w:rPr>
                      <w:rFonts w:hint="eastAsia"/>
                      <w:snapToGrid w:val="0"/>
                      <w:color w:val="auto"/>
                      <w:kern w:val="0"/>
                      <w:szCs w:val="21"/>
                      <w:highlight w:val="none"/>
                    </w:rPr>
                  </w:pPr>
                  <w:r>
                    <w:rPr>
                      <w:rFonts w:hint="eastAsia"/>
                      <w:snapToGrid w:val="0"/>
                      <w:color w:val="auto"/>
                      <w:kern w:val="0"/>
                      <w:szCs w:val="21"/>
                      <w:highlight w:val="none"/>
                    </w:rPr>
                    <w:t>天然气主要成分烷烃，其中甲烷占绝大多数，另有少量的乙烷、丙烷和丁烷，此外一般有硫化氢、二氧化碳、氮和水气和少量一氧化碳及微量的稀有气体，如氦和氩等。天然气在送到最终用户之前，为助于泄漏检测，还要用硫醇、四氢噻吩等来给天然气添加气味。</w:t>
                  </w:r>
                </w:p>
              </w:tc>
              <w:tc>
                <w:tcPr>
                  <w:tcW w:w="3612" w:type="dxa"/>
                  <w:noWrap w:val="0"/>
                  <w:vAlign w:val="center"/>
                </w:tcPr>
                <w:p>
                  <w:pPr>
                    <w:tabs>
                      <w:tab w:val="left" w:pos="0"/>
                    </w:tabs>
                    <w:adjustRightInd w:val="0"/>
                    <w:snapToGrid w:val="0"/>
                    <w:jc w:val="center"/>
                    <w:rPr>
                      <w:rFonts w:hint="eastAsia"/>
                      <w:snapToGrid w:val="0"/>
                      <w:color w:val="auto"/>
                      <w:kern w:val="0"/>
                      <w:szCs w:val="21"/>
                      <w:highlight w:val="none"/>
                    </w:rPr>
                  </w:pPr>
                  <w:r>
                    <w:rPr>
                      <w:rFonts w:hint="eastAsia"/>
                      <w:snapToGrid w:val="0"/>
                      <w:color w:val="auto"/>
                      <w:kern w:val="0"/>
                      <w:szCs w:val="21"/>
                      <w:highlight w:val="none"/>
                    </w:rPr>
                    <w:t>天然气在空气中含量达到一定程度后会使人窒息。天然气不像一氧化碳那样具有毒性，它本质上是对人体无害的。不过如果天然气处于高浓度的状态，并使空气中的氧气不足以维持生命的话，还是会致人死亡的，毕竟天然气不能用于人类呼吸。作为燃料，天然气也会因发生爆炸而造成伤亡。</w:t>
                  </w:r>
                </w:p>
                <w:p>
                  <w:pPr>
                    <w:tabs>
                      <w:tab w:val="left" w:pos="0"/>
                    </w:tabs>
                    <w:adjustRightInd w:val="0"/>
                    <w:snapToGrid w:val="0"/>
                    <w:jc w:val="center"/>
                    <w:rPr>
                      <w:rFonts w:hint="eastAsia"/>
                      <w:snapToGrid w:val="0"/>
                      <w:color w:val="auto"/>
                      <w:kern w:val="0"/>
                      <w:szCs w:val="21"/>
                      <w:highlight w:val="none"/>
                    </w:rPr>
                  </w:pPr>
                  <w:r>
                    <w:rPr>
                      <w:rFonts w:hint="eastAsia"/>
                      <w:snapToGrid w:val="0"/>
                      <w:color w:val="auto"/>
                      <w:kern w:val="0"/>
                      <w:szCs w:val="21"/>
                      <w:highlight w:val="none"/>
                    </w:rPr>
                    <w:t>虽然天然气比空气轻而容易发散，但是当天然气在房屋或帐篷等封闭环境里聚集的情况下，达到一定的比例时，就会触发威力巨大的爆炸。爆炸可能会夷平整座房屋，甚至殃及邻近的建筑。甲烷在空气中的爆炸极限下限为5%，上限为15%。</w:t>
                  </w:r>
                </w:p>
              </w:tc>
            </w:tr>
          </w:tbl>
          <w:p>
            <w:pPr>
              <w:pStyle w:val="22"/>
              <w:rPr>
                <w:rFonts w:hint="eastAsia"/>
                <w:color w:val="auto"/>
                <w:kern w:val="2"/>
                <w:sz w:val="24"/>
                <w:highlight w:val="none"/>
              </w:rPr>
            </w:pPr>
            <w:r>
              <w:rPr>
                <w:rFonts w:hint="eastAsia"/>
                <w:color w:val="auto"/>
                <w:kern w:val="2"/>
                <w:sz w:val="24"/>
                <w:highlight w:val="none"/>
              </w:rPr>
              <w:t>项目辅助材料库房内存放有柴油、燃气供应站存放天然气，其蒸气与空气形成爆炸性混合物，遇明火、高热能引起燃烧爆炸，与氧化剂能发生强烈反应。若遇高热，容器内压增大，有开裂和爆炸的危险。若发生火灾和爆炸时，产生的燃烧废气进入大气环境或者消防废水携带危险物质会对外界水环境产生影响。</w:t>
            </w:r>
          </w:p>
          <w:p>
            <w:pPr>
              <w:pStyle w:val="22"/>
              <w:rPr>
                <w:rFonts w:hint="eastAsia"/>
                <w:color w:val="auto"/>
                <w:kern w:val="2"/>
                <w:sz w:val="24"/>
                <w:highlight w:val="none"/>
              </w:rPr>
            </w:pPr>
            <w:r>
              <w:rPr>
                <w:rFonts w:hint="eastAsia"/>
                <w:color w:val="auto"/>
                <w:kern w:val="2"/>
                <w:sz w:val="24"/>
                <w:highlight w:val="none"/>
              </w:rPr>
              <w:t>3、环境风险防范措施</w:t>
            </w:r>
          </w:p>
          <w:p>
            <w:pPr>
              <w:pStyle w:val="22"/>
              <w:ind w:left="480" w:leftChars="200" w:firstLine="0" w:firstLineChars="0"/>
              <w:rPr>
                <w:rFonts w:hint="eastAsia"/>
                <w:color w:val="auto"/>
                <w:kern w:val="2"/>
                <w:sz w:val="24"/>
                <w:highlight w:val="none"/>
              </w:rPr>
            </w:pPr>
            <w:r>
              <w:rPr>
                <w:rFonts w:hint="eastAsia"/>
                <w:color w:val="auto"/>
                <w:kern w:val="2"/>
                <w:sz w:val="24"/>
                <w:highlight w:val="none"/>
              </w:rPr>
              <w:t>（1）柴油储存、管理不当引起的泄露或火灾风险防范措施</w:t>
            </w:r>
          </w:p>
          <w:p>
            <w:pPr>
              <w:pStyle w:val="22"/>
              <w:rPr>
                <w:rFonts w:hint="eastAsia"/>
                <w:color w:val="auto"/>
                <w:kern w:val="2"/>
                <w:sz w:val="24"/>
                <w:highlight w:val="none"/>
              </w:rPr>
            </w:pPr>
            <w:r>
              <w:rPr>
                <w:rFonts w:hint="eastAsia"/>
                <w:color w:val="auto"/>
                <w:kern w:val="2"/>
                <w:sz w:val="24"/>
                <w:highlight w:val="none"/>
              </w:rPr>
              <w:t>①将柴油、天然气分别贮存于辅助材料库房及燃气供应站，柴油贮存处及燃气供应站应与配电设施独立分开隔断。禁止将明火带入柴油贮存处及燃气供应站，且将柴油罐、燃气储罐远离热源、火源。</w:t>
            </w:r>
          </w:p>
          <w:p>
            <w:pPr>
              <w:pStyle w:val="22"/>
              <w:rPr>
                <w:rFonts w:hint="eastAsia"/>
                <w:color w:val="auto"/>
                <w:kern w:val="2"/>
                <w:sz w:val="24"/>
                <w:highlight w:val="none"/>
              </w:rPr>
            </w:pPr>
            <w:r>
              <w:rPr>
                <w:rFonts w:hint="eastAsia"/>
                <w:color w:val="auto"/>
                <w:kern w:val="2"/>
                <w:sz w:val="24"/>
                <w:highlight w:val="none"/>
              </w:rPr>
              <w:t>②辅助材料库房及燃气供应站的地面应做重点防渗处理，且在周围设置10~20cm围堰，并设置空桶作为备用收容设施。</w:t>
            </w:r>
          </w:p>
          <w:p>
            <w:pPr>
              <w:pStyle w:val="22"/>
              <w:rPr>
                <w:color w:val="auto"/>
                <w:kern w:val="2"/>
                <w:sz w:val="24"/>
                <w:highlight w:val="none"/>
              </w:rPr>
            </w:pPr>
            <w:r>
              <w:rPr>
                <w:rFonts w:hint="eastAsia"/>
                <w:color w:val="auto"/>
                <w:kern w:val="2"/>
                <w:sz w:val="24"/>
                <w:highlight w:val="none"/>
              </w:rPr>
              <w:t>③加强对柴油、天然气的贮存和使用的管理，安排专人定期检查柴油、天然气储存情况，以便及时发现潜在风险。</w:t>
            </w:r>
          </w:p>
          <w:p>
            <w:pPr>
              <w:pStyle w:val="22"/>
              <w:rPr>
                <w:rFonts w:hint="eastAsia"/>
                <w:color w:val="auto"/>
                <w:kern w:val="2"/>
                <w:sz w:val="24"/>
                <w:highlight w:val="none"/>
              </w:rPr>
            </w:pPr>
            <w:r>
              <w:rPr>
                <w:rFonts w:hint="eastAsia"/>
                <w:color w:val="auto"/>
                <w:kern w:val="2"/>
                <w:sz w:val="24"/>
                <w:highlight w:val="none"/>
              </w:rPr>
              <w:t>（2）危险物质环境风险措施</w:t>
            </w:r>
          </w:p>
          <w:p>
            <w:pPr>
              <w:pStyle w:val="22"/>
              <w:rPr>
                <w:color w:val="auto"/>
                <w:kern w:val="2"/>
                <w:sz w:val="24"/>
                <w:highlight w:val="none"/>
              </w:rPr>
            </w:pPr>
            <w:r>
              <w:rPr>
                <w:rFonts w:hint="eastAsia"/>
                <w:color w:val="auto"/>
                <w:kern w:val="2"/>
                <w:sz w:val="24"/>
                <w:highlight w:val="none"/>
              </w:rPr>
              <w:t>柴油、天然气</w:t>
            </w:r>
          </w:p>
          <w:p>
            <w:pPr>
              <w:pStyle w:val="22"/>
              <w:rPr>
                <w:rFonts w:hint="eastAsia"/>
                <w:color w:val="auto"/>
                <w:kern w:val="2"/>
                <w:sz w:val="24"/>
                <w:highlight w:val="none"/>
              </w:rPr>
            </w:pPr>
            <w:r>
              <w:rPr>
                <w:rFonts w:hint="eastAsia"/>
                <w:color w:val="auto"/>
                <w:kern w:val="2"/>
                <w:sz w:val="24"/>
                <w:highlight w:val="none"/>
              </w:rPr>
              <w:t>a：防护措施：消防人员着特殊防护设备，如呼吸器；</w:t>
            </w:r>
          </w:p>
          <w:p>
            <w:pPr>
              <w:pStyle w:val="22"/>
              <w:rPr>
                <w:rFonts w:hint="eastAsia"/>
                <w:color w:val="auto"/>
                <w:kern w:val="2"/>
                <w:sz w:val="24"/>
                <w:highlight w:val="none"/>
              </w:rPr>
            </w:pPr>
            <w:r>
              <w:rPr>
                <w:rFonts w:hint="eastAsia"/>
                <w:color w:val="auto"/>
                <w:kern w:val="2"/>
                <w:sz w:val="24"/>
                <w:highlight w:val="none"/>
              </w:rPr>
              <w:t>b：灭火措施：适用灭火剂：干粉、雾状水、二氧化碳、泡沫、砂土。</w:t>
            </w:r>
          </w:p>
          <w:p>
            <w:pPr>
              <w:pStyle w:val="22"/>
              <w:rPr>
                <w:color w:val="auto"/>
                <w:kern w:val="2"/>
                <w:sz w:val="24"/>
                <w:highlight w:val="none"/>
              </w:rPr>
            </w:pPr>
            <w:r>
              <w:rPr>
                <w:rFonts w:hint="eastAsia"/>
                <w:color w:val="auto"/>
                <w:kern w:val="2"/>
                <w:sz w:val="24"/>
                <w:highlight w:val="none"/>
              </w:rPr>
              <w:t>c：泄露应急处理：发生泄露时迅速切断火源，尽可能切断泄露源。防止进入下水道、排洪沟等限制性空间。小量泄露时用沙土吸收。</w:t>
            </w:r>
          </w:p>
          <w:p>
            <w:pPr>
              <w:pStyle w:val="22"/>
              <w:rPr>
                <w:color w:val="auto"/>
                <w:kern w:val="2"/>
                <w:sz w:val="24"/>
                <w:highlight w:val="none"/>
              </w:rPr>
            </w:pPr>
            <w:r>
              <w:rPr>
                <w:rFonts w:hint="eastAsia"/>
                <w:color w:val="auto"/>
                <w:kern w:val="2"/>
                <w:sz w:val="24"/>
                <w:highlight w:val="none"/>
              </w:rPr>
              <w:t>（3）其他风险防范措施</w:t>
            </w:r>
          </w:p>
          <w:p>
            <w:pPr>
              <w:pStyle w:val="22"/>
              <w:rPr>
                <w:rFonts w:hint="eastAsia"/>
                <w:color w:val="auto"/>
                <w:kern w:val="2"/>
                <w:sz w:val="24"/>
                <w:highlight w:val="none"/>
              </w:rPr>
            </w:pPr>
            <w:r>
              <w:rPr>
                <w:rFonts w:hint="eastAsia"/>
                <w:color w:val="auto"/>
                <w:kern w:val="2"/>
                <w:sz w:val="24"/>
                <w:highlight w:val="none"/>
              </w:rPr>
              <w:t>①</w:t>
            </w:r>
            <w:r>
              <w:rPr>
                <w:color w:val="auto"/>
                <w:kern w:val="2"/>
                <w:sz w:val="24"/>
                <w:highlight w:val="none"/>
              </w:rPr>
              <w:t>派专人定期检查柴油存放点，严防跑、冒、漏、滴情况出现</w:t>
            </w:r>
            <w:r>
              <w:rPr>
                <w:rFonts w:hint="eastAsia"/>
                <w:color w:val="auto"/>
                <w:kern w:val="2"/>
                <w:sz w:val="24"/>
                <w:highlight w:val="none"/>
              </w:rPr>
              <w:t>。</w:t>
            </w:r>
          </w:p>
          <w:p>
            <w:pPr>
              <w:pStyle w:val="22"/>
              <w:rPr>
                <w:rFonts w:hint="eastAsia"/>
                <w:color w:val="auto"/>
                <w:kern w:val="2"/>
                <w:sz w:val="24"/>
                <w:highlight w:val="none"/>
              </w:rPr>
            </w:pPr>
            <w:r>
              <w:rPr>
                <w:rFonts w:hint="eastAsia"/>
                <w:color w:val="auto"/>
                <w:kern w:val="2"/>
                <w:sz w:val="24"/>
                <w:highlight w:val="none"/>
              </w:rPr>
              <w:t>②</w:t>
            </w:r>
            <w:r>
              <w:rPr>
                <w:color w:val="auto"/>
                <w:kern w:val="2"/>
                <w:sz w:val="24"/>
                <w:highlight w:val="none"/>
              </w:rPr>
              <w:t>不得随意增大危险化学品储存量或使用量，项目不得构成重大危险源</w:t>
            </w:r>
            <w:r>
              <w:rPr>
                <w:rFonts w:hint="eastAsia"/>
                <w:color w:val="auto"/>
                <w:kern w:val="2"/>
                <w:sz w:val="24"/>
                <w:highlight w:val="none"/>
              </w:rPr>
              <w:t>。</w:t>
            </w:r>
          </w:p>
          <w:p>
            <w:pPr>
              <w:pStyle w:val="22"/>
              <w:rPr>
                <w:rFonts w:hint="eastAsia"/>
                <w:color w:val="auto"/>
                <w:kern w:val="2"/>
                <w:sz w:val="24"/>
                <w:highlight w:val="none"/>
              </w:rPr>
            </w:pPr>
            <w:r>
              <w:rPr>
                <w:rFonts w:hint="eastAsia"/>
                <w:color w:val="auto"/>
                <w:kern w:val="2"/>
                <w:sz w:val="24"/>
                <w:highlight w:val="none"/>
              </w:rPr>
              <w:t>③</w:t>
            </w:r>
            <w:r>
              <w:rPr>
                <w:color w:val="auto"/>
                <w:kern w:val="2"/>
                <w:sz w:val="24"/>
                <w:highlight w:val="none"/>
              </w:rPr>
              <w:t>建立完善整个</w:t>
            </w:r>
            <w:r>
              <w:rPr>
                <w:rFonts w:hint="eastAsia"/>
                <w:color w:val="auto"/>
                <w:kern w:val="2"/>
                <w:sz w:val="24"/>
                <w:highlight w:val="none"/>
              </w:rPr>
              <w:t>厂区</w:t>
            </w:r>
            <w:r>
              <w:rPr>
                <w:color w:val="auto"/>
                <w:kern w:val="2"/>
                <w:sz w:val="24"/>
                <w:highlight w:val="none"/>
              </w:rPr>
              <w:t>的风险管理制度；对于项目危险废物，项目方应严格按照国家《</w:t>
            </w:r>
            <w:r>
              <w:rPr>
                <w:rFonts w:hint="eastAsia"/>
                <w:color w:val="auto"/>
                <w:kern w:val="2"/>
                <w:sz w:val="24"/>
                <w:highlight w:val="none"/>
              </w:rPr>
              <w:t>危险</w:t>
            </w:r>
            <w:r>
              <w:rPr>
                <w:color w:val="auto"/>
                <w:kern w:val="2"/>
                <w:sz w:val="24"/>
                <w:highlight w:val="none"/>
              </w:rPr>
              <w:t>废物分类名录》、《</w:t>
            </w:r>
            <w:r>
              <w:rPr>
                <w:rFonts w:hint="eastAsia"/>
                <w:color w:val="auto"/>
                <w:kern w:val="2"/>
                <w:sz w:val="24"/>
                <w:highlight w:val="none"/>
              </w:rPr>
              <w:t>危险废物贮存污染控制标准</w:t>
            </w:r>
            <w:r>
              <w:rPr>
                <w:color w:val="auto"/>
                <w:kern w:val="2"/>
                <w:sz w:val="24"/>
                <w:highlight w:val="none"/>
              </w:rPr>
              <w:t>》</w:t>
            </w:r>
            <w:r>
              <w:rPr>
                <w:rFonts w:hint="eastAsia"/>
                <w:color w:val="auto"/>
                <w:kern w:val="2"/>
                <w:sz w:val="24"/>
                <w:highlight w:val="none"/>
              </w:rPr>
              <w:t>等</w:t>
            </w:r>
            <w:r>
              <w:rPr>
                <w:color w:val="auto"/>
                <w:kern w:val="2"/>
                <w:sz w:val="24"/>
                <w:highlight w:val="none"/>
              </w:rPr>
              <w:t>要求进行分类收集、处理；做好</w:t>
            </w:r>
            <w:r>
              <w:rPr>
                <w:rFonts w:hint="eastAsia"/>
                <w:color w:val="auto"/>
                <w:kern w:val="2"/>
                <w:sz w:val="24"/>
                <w:highlight w:val="none"/>
              </w:rPr>
              <w:t>危废</w:t>
            </w:r>
            <w:r>
              <w:rPr>
                <w:color w:val="auto"/>
                <w:kern w:val="2"/>
                <w:sz w:val="24"/>
                <w:highlight w:val="none"/>
              </w:rPr>
              <w:t>暂存间密闭和防渗漏工作，严格防止地下水污染和土壤污染</w:t>
            </w:r>
            <w:r>
              <w:rPr>
                <w:rFonts w:hint="eastAsia"/>
                <w:color w:val="auto"/>
                <w:kern w:val="2"/>
                <w:sz w:val="24"/>
                <w:highlight w:val="none"/>
              </w:rPr>
              <w:t>。</w:t>
            </w:r>
          </w:p>
          <w:p>
            <w:pPr>
              <w:pStyle w:val="22"/>
              <w:rPr>
                <w:color w:val="auto"/>
                <w:kern w:val="2"/>
                <w:sz w:val="24"/>
                <w:highlight w:val="none"/>
              </w:rPr>
            </w:pPr>
            <w:r>
              <w:rPr>
                <w:rFonts w:hint="eastAsia"/>
                <w:color w:val="auto"/>
                <w:kern w:val="2"/>
                <w:sz w:val="24"/>
                <w:highlight w:val="none"/>
              </w:rPr>
              <w:t>④</w:t>
            </w:r>
            <w:r>
              <w:rPr>
                <w:color w:val="auto"/>
                <w:kern w:val="2"/>
                <w:sz w:val="24"/>
                <w:highlight w:val="none"/>
              </w:rPr>
              <w:t>做好</w:t>
            </w:r>
            <w:r>
              <w:rPr>
                <w:rFonts w:hint="eastAsia"/>
                <w:color w:val="auto"/>
                <w:kern w:val="2"/>
                <w:sz w:val="24"/>
                <w:highlight w:val="none"/>
              </w:rPr>
              <w:t>危险废物</w:t>
            </w:r>
            <w:r>
              <w:rPr>
                <w:color w:val="auto"/>
                <w:kern w:val="2"/>
                <w:sz w:val="24"/>
                <w:highlight w:val="none"/>
              </w:rPr>
              <w:t>暂存和运出处理的管理工作，避免产生二次污染</w:t>
            </w:r>
            <w:r>
              <w:rPr>
                <w:rFonts w:hint="eastAsia"/>
                <w:color w:val="auto"/>
                <w:kern w:val="2"/>
                <w:sz w:val="24"/>
                <w:highlight w:val="none"/>
              </w:rPr>
              <w:t>。</w:t>
            </w:r>
          </w:p>
          <w:p>
            <w:pPr>
              <w:pStyle w:val="22"/>
              <w:rPr>
                <w:color w:val="auto"/>
                <w:kern w:val="2"/>
                <w:sz w:val="24"/>
                <w:highlight w:val="none"/>
              </w:rPr>
            </w:pPr>
            <w:r>
              <w:rPr>
                <w:rFonts w:hint="eastAsia"/>
                <w:color w:val="auto"/>
                <w:kern w:val="2"/>
                <w:sz w:val="24"/>
                <w:highlight w:val="none"/>
              </w:rPr>
              <w:t>4</w:t>
            </w:r>
            <w:r>
              <w:rPr>
                <w:color w:val="auto"/>
                <w:kern w:val="2"/>
                <w:sz w:val="24"/>
                <w:highlight w:val="none"/>
              </w:rPr>
              <w:t>、</w:t>
            </w:r>
            <w:r>
              <w:rPr>
                <w:rFonts w:hint="eastAsia"/>
                <w:color w:val="auto"/>
                <w:kern w:val="2"/>
                <w:sz w:val="24"/>
                <w:highlight w:val="none"/>
              </w:rPr>
              <w:t>风险应急预案</w:t>
            </w:r>
          </w:p>
          <w:p>
            <w:pPr>
              <w:pStyle w:val="22"/>
              <w:rPr>
                <w:color w:val="auto"/>
                <w:kern w:val="2"/>
                <w:sz w:val="24"/>
                <w:highlight w:val="none"/>
              </w:rPr>
            </w:pPr>
            <w:r>
              <w:rPr>
                <w:rFonts w:hint="eastAsia"/>
                <w:color w:val="auto"/>
                <w:kern w:val="2"/>
                <w:sz w:val="24"/>
                <w:highlight w:val="none"/>
              </w:rPr>
              <w:t>（1）应急预案</w:t>
            </w:r>
          </w:p>
          <w:p>
            <w:pPr>
              <w:pStyle w:val="22"/>
              <w:rPr>
                <w:color w:val="auto"/>
                <w:kern w:val="2"/>
                <w:sz w:val="24"/>
                <w:highlight w:val="none"/>
              </w:rPr>
            </w:pPr>
            <w:r>
              <w:rPr>
                <w:color w:val="auto"/>
                <w:kern w:val="2"/>
                <w:sz w:val="24"/>
                <w:highlight w:val="none"/>
              </w:rPr>
              <w:t>严格按照环境风险评价要求加强风险防范措施，</w:t>
            </w:r>
            <w:r>
              <w:rPr>
                <w:rFonts w:hint="eastAsia"/>
                <w:color w:val="auto"/>
                <w:kern w:val="2"/>
                <w:sz w:val="24"/>
                <w:highlight w:val="none"/>
              </w:rPr>
              <w:t>项目</w:t>
            </w:r>
            <w:r>
              <w:rPr>
                <w:color w:val="auto"/>
                <w:kern w:val="2"/>
                <w:sz w:val="24"/>
                <w:highlight w:val="none"/>
              </w:rPr>
              <w:t>应及时按环保部门的要求编制专门的环境风险应急预案并报环保部门备案，并在</w:t>
            </w:r>
            <w:r>
              <w:rPr>
                <w:rFonts w:hint="eastAsia"/>
                <w:color w:val="auto"/>
                <w:kern w:val="2"/>
                <w:sz w:val="24"/>
                <w:highlight w:val="none"/>
              </w:rPr>
              <w:t>营运期</w:t>
            </w:r>
            <w:r>
              <w:rPr>
                <w:color w:val="auto"/>
                <w:kern w:val="2"/>
                <w:sz w:val="24"/>
                <w:highlight w:val="none"/>
              </w:rPr>
              <w:t>进一步落实和完善应急预案。应急预案应包括以下的内容和要求：</w:t>
            </w:r>
          </w:p>
          <w:p>
            <w:pPr>
              <w:pStyle w:val="22"/>
              <w:rPr>
                <w:color w:val="auto"/>
                <w:kern w:val="2"/>
                <w:sz w:val="24"/>
                <w:highlight w:val="none"/>
              </w:rPr>
            </w:pPr>
            <w:r>
              <w:rPr>
                <w:rFonts w:hint="eastAsia"/>
                <w:color w:val="auto"/>
                <w:kern w:val="2"/>
                <w:sz w:val="24"/>
                <w:highlight w:val="none"/>
              </w:rPr>
              <w:t>①建立</w:t>
            </w:r>
            <w:r>
              <w:rPr>
                <w:color w:val="auto"/>
                <w:kern w:val="2"/>
                <w:sz w:val="24"/>
                <w:highlight w:val="none"/>
              </w:rPr>
              <w:t>联防应急组织机构，并配备相应的人员。</w:t>
            </w:r>
          </w:p>
          <w:p>
            <w:pPr>
              <w:pStyle w:val="22"/>
              <w:rPr>
                <w:color w:val="auto"/>
                <w:kern w:val="2"/>
                <w:sz w:val="24"/>
                <w:highlight w:val="none"/>
              </w:rPr>
            </w:pPr>
            <w:r>
              <w:rPr>
                <w:rFonts w:hint="eastAsia"/>
                <w:color w:val="auto"/>
                <w:kern w:val="2"/>
                <w:sz w:val="24"/>
                <w:highlight w:val="none"/>
              </w:rPr>
              <w:t>②</w:t>
            </w:r>
            <w:r>
              <w:rPr>
                <w:color w:val="auto"/>
                <w:kern w:val="2"/>
                <w:sz w:val="24"/>
                <w:highlight w:val="none"/>
              </w:rPr>
              <w:t>规定预案的级别及分级响应程序，并设置应急设施，设备与器材等。</w:t>
            </w:r>
          </w:p>
          <w:p>
            <w:pPr>
              <w:pStyle w:val="22"/>
              <w:rPr>
                <w:color w:val="auto"/>
                <w:kern w:val="2"/>
                <w:sz w:val="24"/>
                <w:highlight w:val="none"/>
              </w:rPr>
            </w:pPr>
            <w:r>
              <w:rPr>
                <w:rFonts w:hint="eastAsia"/>
                <w:color w:val="auto"/>
                <w:kern w:val="2"/>
                <w:sz w:val="24"/>
                <w:highlight w:val="none"/>
              </w:rPr>
              <w:t>③</w:t>
            </w:r>
            <w:r>
              <w:rPr>
                <w:color w:val="auto"/>
                <w:kern w:val="2"/>
                <w:sz w:val="24"/>
                <w:highlight w:val="none"/>
              </w:rPr>
              <w:t>规定应急状态下的报警通讯方式、通知方式和交通保障、管制。</w:t>
            </w:r>
          </w:p>
          <w:p>
            <w:pPr>
              <w:pStyle w:val="22"/>
              <w:rPr>
                <w:color w:val="auto"/>
                <w:kern w:val="2"/>
                <w:sz w:val="24"/>
                <w:highlight w:val="none"/>
              </w:rPr>
            </w:pPr>
            <w:r>
              <w:rPr>
                <w:rFonts w:hint="eastAsia"/>
                <w:color w:val="auto"/>
                <w:kern w:val="2"/>
                <w:sz w:val="24"/>
                <w:highlight w:val="none"/>
              </w:rPr>
              <w:t>④</w:t>
            </w:r>
            <w:r>
              <w:rPr>
                <w:color w:val="auto"/>
                <w:kern w:val="2"/>
                <w:sz w:val="24"/>
                <w:highlight w:val="none"/>
              </w:rPr>
              <w:t>由专业队伍负责对事故现场进行侦察监测，对事故性质、参数与后果进行评估，为指挥部门提供决策依据。组织人员成立抢险队，及时拦截危险品泄漏至水体或打捞落入水体中的物件，同时采取相应的处置措施，最大限度地减轻影响范围和程度。</w:t>
            </w:r>
          </w:p>
          <w:p>
            <w:pPr>
              <w:pStyle w:val="22"/>
              <w:rPr>
                <w:color w:val="auto"/>
                <w:kern w:val="2"/>
                <w:sz w:val="24"/>
                <w:highlight w:val="none"/>
              </w:rPr>
            </w:pPr>
            <w:r>
              <w:rPr>
                <w:rFonts w:hint="eastAsia"/>
                <w:color w:val="auto"/>
                <w:kern w:val="2"/>
                <w:sz w:val="24"/>
                <w:highlight w:val="none"/>
              </w:rPr>
              <w:t>⑤</w:t>
            </w:r>
            <w:r>
              <w:rPr>
                <w:color w:val="auto"/>
                <w:kern w:val="2"/>
                <w:sz w:val="24"/>
                <w:highlight w:val="none"/>
              </w:rPr>
              <w:t>应急检测、防护措施、清除泄漏措施和器材。</w:t>
            </w:r>
          </w:p>
          <w:p>
            <w:pPr>
              <w:pStyle w:val="22"/>
              <w:rPr>
                <w:color w:val="auto"/>
                <w:kern w:val="2"/>
                <w:sz w:val="24"/>
                <w:highlight w:val="none"/>
              </w:rPr>
            </w:pPr>
            <w:r>
              <w:rPr>
                <w:rFonts w:hint="eastAsia"/>
                <w:color w:val="auto"/>
                <w:kern w:val="2"/>
                <w:sz w:val="24"/>
                <w:highlight w:val="none"/>
              </w:rPr>
              <w:t>⑥</w:t>
            </w:r>
            <w:r>
              <w:rPr>
                <w:color w:val="auto"/>
                <w:kern w:val="2"/>
                <w:sz w:val="24"/>
                <w:highlight w:val="none"/>
              </w:rPr>
              <w:t>事故现场、</w:t>
            </w:r>
            <w:r>
              <w:rPr>
                <w:rFonts w:hint="eastAsia"/>
                <w:color w:val="auto"/>
                <w:kern w:val="2"/>
                <w:sz w:val="24"/>
                <w:highlight w:val="none"/>
              </w:rPr>
              <w:t>厂区</w:t>
            </w:r>
            <w:r>
              <w:rPr>
                <w:color w:val="auto"/>
                <w:kern w:val="2"/>
                <w:sz w:val="24"/>
                <w:highlight w:val="none"/>
              </w:rPr>
              <w:t>邻近区、受事故影响的区域人员及公众对毒物应急剂量控制规定，撤离组织计划及救护，医疗救护与公众健康。</w:t>
            </w:r>
          </w:p>
          <w:p>
            <w:pPr>
              <w:pStyle w:val="22"/>
              <w:rPr>
                <w:color w:val="auto"/>
                <w:kern w:val="2"/>
                <w:sz w:val="24"/>
                <w:highlight w:val="none"/>
              </w:rPr>
            </w:pPr>
            <w:r>
              <w:rPr>
                <w:rFonts w:hint="eastAsia"/>
                <w:color w:val="auto"/>
                <w:kern w:val="2"/>
                <w:sz w:val="24"/>
                <w:highlight w:val="none"/>
              </w:rPr>
              <w:t>⑦</w:t>
            </w:r>
            <w:r>
              <w:rPr>
                <w:color w:val="auto"/>
                <w:kern w:val="2"/>
                <w:sz w:val="24"/>
                <w:highlight w:val="none"/>
              </w:rPr>
              <w:t>规定应急状态终止程序，事故现场善后处理，恢复措施，邻近区域解除事故警戒及善后恢复措施。</w:t>
            </w:r>
          </w:p>
          <w:p>
            <w:pPr>
              <w:pStyle w:val="22"/>
              <w:rPr>
                <w:color w:val="auto"/>
                <w:kern w:val="2"/>
                <w:sz w:val="24"/>
                <w:highlight w:val="none"/>
              </w:rPr>
            </w:pPr>
            <w:r>
              <w:rPr>
                <w:rFonts w:hint="eastAsia"/>
                <w:color w:val="auto"/>
                <w:kern w:val="2"/>
                <w:sz w:val="24"/>
                <w:highlight w:val="none"/>
              </w:rPr>
              <w:t>⑧</w:t>
            </w:r>
            <w:r>
              <w:rPr>
                <w:color w:val="auto"/>
                <w:kern w:val="2"/>
                <w:sz w:val="24"/>
                <w:highlight w:val="none"/>
              </w:rPr>
              <w:t>应急计划制定后，平时安排人员培训与演练。</w:t>
            </w:r>
          </w:p>
          <w:p>
            <w:pPr>
              <w:pStyle w:val="22"/>
              <w:rPr>
                <w:color w:val="auto"/>
                <w:kern w:val="2"/>
                <w:sz w:val="24"/>
                <w:highlight w:val="none"/>
              </w:rPr>
            </w:pPr>
            <w:r>
              <w:rPr>
                <w:rFonts w:hint="eastAsia"/>
                <w:color w:val="auto"/>
                <w:kern w:val="2"/>
                <w:sz w:val="24"/>
                <w:highlight w:val="none"/>
              </w:rPr>
              <w:t>⑨</w:t>
            </w:r>
            <w:r>
              <w:rPr>
                <w:color w:val="auto"/>
                <w:kern w:val="2"/>
                <w:sz w:val="24"/>
                <w:highlight w:val="none"/>
              </w:rPr>
              <w:t>对</w:t>
            </w:r>
            <w:r>
              <w:rPr>
                <w:rFonts w:hint="eastAsia"/>
                <w:color w:val="auto"/>
                <w:kern w:val="2"/>
                <w:sz w:val="24"/>
                <w:highlight w:val="none"/>
              </w:rPr>
              <w:t>厂区</w:t>
            </w:r>
            <w:r>
              <w:rPr>
                <w:color w:val="auto"/>
                <w:kern w:val="2"/>
                <w:sz w:val="24"/>
                <w:highlight w:val="none"/>
              </w:rPr>
              <w:t>邻近地区开展公众教育、培训和发布有关信息。</w:t>
            </w:r>
          </w:p>
          <w:p>
            <w:pPr>
              <w:pStyle w:val="22"/>
              <w:numPr>
                <w:ilvl w:val="0"/>
                <w:numId w:val="11"/>
              </w:numPr>
              <w:rPr>
                <w:rFonts w:hint="eastAsia"/>
                <w:color w:val="auto"/>
                <w:kern w:val="2"/>
                <w:sz w:val="24"/>
                <w:highlight w:val="none"/>
              </w:rPr>
            </w:pPr>
            <w:r>
              <w:rPr>
                <w:rFonts w:hint="eastAsia"/>
                <w:color w:val="auto"/>
                <w:kern w:val="2"/>
                <w:sz w:val="24"/>
                <w:highlight w:val="none"/>
              </w:rPr>
              <w:t>事故上报流程</w:t>
            </w:r>
          </w:p>
          <w:p>
            <w:pPr>
              <w:pStyle w:val="22"/>
              <w:rPr>
                <w:color w:val="auto"/>
                <w:kern w:val="2"/>
                <w:sz w:val="24"/>
                <w:highlight w:val="none"/>
              </w:rPr>
            </w:pPr>
            <w:r>
              <w:rPr>
                <w:rFonts w:hint="eastAsia"/>
                <w:color w:val="auto"/>
                <w:kern w:val="2"/>
                <w:sz w:val="24"/>
                <w:highlight w:val="none"/>
              </w:rPr>
              <w:t>一旦发生事故，建设单位应及时向上级主管部门进行汇报，可参照以下流程：事故单位→厂区应急指挥机构→区县生态环境局→乐山市政府、市安监局、市生态环境局→四川省政府、省安监局、省生态环境厅。</w:t>
            </w:r>
          </w:p>
          <w:p>
            <w:pPr>
              <w:pStyle w:val="22"/>
              <w:numPr>
                <w:ilvl w:val="0"/>
                <w:numId w:val="11"/>
              </w:numPr>
              <w:rPr>
                <w:color w:val="auto"/>
                <w:kern w:val="2"/>
                <w:sz w:val="24"/>
                <w:highlight w:val="none"/>
              </w:rPr>
            </w:pPr>
            <w:r>
              <w:rPr>
                <w:color w:val="auto"/>
                <w:kern w:val="2"/>
                <w:sz w:val="24"/>
                <w:highlight w:val="none"/>
              </w:rPr>
              <w:t>紧急安全疏散</w:t>
            </w:r>
          </w:p>
          <w:p>
            <w:pPr>
              <w:pStyle w:val="22"/>
              <w:rPr>
                <w:b/>
                <w:bCs/>
                <w:color w:val="auto"/>
                <w:kern w:val="2"/>
                <w:sz w:val="24"/>
                <w:highlight w:val="none"/>
              </w:rPr>
            </w:pPr>
            <w:r>
              <w:rPr>
                <w:color w:val="auto"/>
                <w:kern w:val="2"/>
                <w:sz w:val="24"/>
                <w:highlight w:val="none"/>
              </w:rPr>
              <w:t>在发生重大危险事故，可能对</w:t>
            </w:r>
            <w:r>
              <w:rPr>
                <w:rFonts w:hint="eastAsia"/>
                <w:color w:val="auto"/>
                <w:kern w:val="2"/>
                <w:sz w:val="24"/>
                <w:highlight w:val="none"/>
              </w:rPr>
              <w:t>厂区</w:t>
            </w:r>
            <w:r>
              <w:rPr>
                <w:color w:val="auto"/>
                <w:kern w:val="2"/>
                <w:sz w:val="24"/>
                <w:highlight w:val="none"/>
              </w:rPr>
              <w:t>内外人群安全构成威胁时，必须在指挥部统一指挥下，对与事故应急救援无关的人员进行紧急疏散。</w:t>
            </w:r>
            <w:r>
              <w:rPr>
                <w:rFonts w:hint="eastAsia"/>
                <w:color w:val="auto"/>
                <w:kern w:val="2"/>
                <w:sz w:val="24"/>
                <w:highlight w:val="none"/>
              </w:rPr>
              <w:t>厂区</w:t>
            </w:r>
            <w:r>
              <w:rPr>
                <w:color w:val="auto"/>
                <w:kern w:val="2"/>
                <w:sz w:val="24"/>
                <w:highlight w:val="none"/>
              </w:rPr>
              <w:t>在最高建筑物上应设立“风向标”，疏散的方向、距离和集中地点，必须根据不同事故，做出具体规定，总的原则是疏散安全点处于当时的上风向。对可能威胁到</w:t>
            </w:r>
            <w:r>
              <w:rPr>
                <w:rFonts w:hint="eastAsia"/>
                <w:color w:val="auto"/>
                <w:kern w:val="2"/>
                <w:sz w:val="24"/>
                <w:highlight w:val="none"/>
              </w:rPr>
              <w:t>厂区</w:t>
            </w:r>
            <w:r>
              <w:rPr>
                <w:color w:val="auto"/>
                <w:kern w:val="2"/>
                <w:sz w:val="24"/>
                <w:highlight w:val="none"/>
              </w:rPr>
              <w:t>风险评价范围内居民（包括友邻单位人员）安全时，指挥部应立即和地方有关部门联系，引导居民迅速撤离到安全地点。</w:t>
            </w:r>
          </w:p>
          <w:p>
            <w:pPr>
              <w:adjustRightInd w:val="0"/>
              <w:snapToGrid w:val="0"/>
              <w:spacing w:line="360" w:lineRule="auto"/>
              <w:ind w:firstLine="480" w:firstLineChars="200"/>
              <w:rPr>
                <w:rFonts w:hint="eastAsia"/>
                <w:color w:val="auto"/>
                <w:kern w:val="0"/>
                <w:sz w:val="24"/>
                <w:highlight w:val="none"/>
              </w:rPr>
            </w:pPr>
            <w:r>
              <w:rPr>
                <w:rFonts w:hint="eastAsia"/>
                <w:color w:val="auto"/>
                <w:kern w:val="0"/>
                <w:sz w:val="24"/>
                <w:highlight w:val="none"/>
              </w:rPr>
              <w:t>综上所述，营运期落实本报告提出的各项措施、建立和落实各项风险预警防范措施和事故应急计划，杜绝重大安全事故和重大环境污染事故的发生，可使项目建成后风险水平处于可接受程度。</w:t>
            </w:r>
          </w:p>
          <w:p>
            <w:pPr>
              <w:pStyle w:val="186"/>
              <w:rPr>
                <w:rFonts w:hint="eastAsia" w:ascii="Times New Roman" w:hAnsi="Times New Roman" w:eastAsia="宋体"/>
                <w:b/>
                <w:color w:val="auto"/>
                <w:szCs w:val="22"/>
                <w:highlight w:val="none"/>
              </w:rPr>
            </w:pPr>
            <w:r>
              <w:rPr>
                <w:rFonts w:hint="eastAsia" w:ascii="Times New Roman" w:hAnsi="Times New Roman" w:eastAsia="宋体"/>
                <w:b/>
                <w:color w:val="auto"/>
                <w:szCs w:val="22"/>
                <w:highlight w:val="none"/>
              </w:rPr>
              <w:t>表4-</w:t>
            </w:r>
            <w:r>
              <w:rPr>
                <w:rFonts w:hint="eastAsia" w:ascii="Times New Roman" w:hAnsi="Times New Roman" w:eastAsia="宋体"/>
                <w:b/>
                <w:color w:val="auto"/>
                <w:szCs w:val="22"/>
                <w:highlight w:val="none"/>
                <w:lang w:val="en-US" w:eastAsia="zh-CN"/>
              </w:rPr>
              <w:t>30</w:t>
            </w:r>
            <w:r>
              <w:rPr>
                <w:rFonts w:hint="eastAsia" w:ascii="Times New Roman" w:hAnsi="Times New Roman" w:eastAsia="宋体"/>
                <w:b/>
                <w:color w:val="auto"/>
                <w:szCs w:val="22"/>
                <w:highlight w:val="none"/>
              </w:rPr>
              <w:t xml:space="preserve"> 建设项目环境风险简单分析内容表</w:t>
            </w:r>
          </w:p>
          <w:tbl>
            <w:tblPr>
              <w:tblStyle w:val="39"/>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405"/>
              <w:gridCol w:w="1276"/>
              <w:gridCol w:w="1335"/>
              <w:gridCol w:w="1500"/>
              <w:gridCol w:w="178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405" w:type="dxa"/>
                  <w:noWrap w:val="0"/>
                  <w:vAlign w:val="center"/>
                </w:tcPr>
                <w:p>
                  <w:pPr>
                    <w:jc w:val="center"/>
                    <w:rPr>
                      <w:rFonts w:hint="eastAsia"/>
                      <w:b/>
                      <w:color w:val="auto"/>
                      <w:szCs w:val="21"/>
                      <w:highlight w:val="none"/>
                    </w:rPr>
                  </w:pPr>
                  <w:r>
                    <w:rPr>
                      <w:rFonts w:hint="eastAsia"/>
                      <w:b/>
                      <w:color w:val="auto"/>
                      <w:szCs w:val="21"/>
                      <w:highlight w:val="none"/>
                    </w:rPr>
                    <w:t>建设项目名称</w:t>
                  </w:r>
                </w:p>
              </w:tc>
              <w:tc>
                <w:tcPr>
                  <w:tcW w:w="5892" w:type="dxa"/>
                  <w:gridSpan w:val="4"/>
                  <w:noWrap w:val="0"/>
                  <w:vAlign w:val="center"/>
                </w:tcPr>
                <w:p>
                  <w:pPr>
                    <w:jc w:val="center"/>
                    <w:rPr>
                      <w:rFonts w:hint="eastAsia"/>
                      <w:b/>
                      <w:color w:val="auto"/>
                      <w:szCs w:val="21"/>
                      <w:highlight w:val="none"/>
                    </w:rPr>
                  </w:pPr>
                  <w:r>
                    <w:rPr>
                      <w:rFonts w:hint="eastAsia"/>
                      <w:b/>
                      <w:color w:val="auto"/>
                      <w:szCs w:val="21"/>
                      <w:highlight w:val="none"/>
                    </w:rPr>
                    <w:t xml:space="preserve">年产1万吨沥青混凝土拌合站  </w:t>
                  </w:r>
                </w:p>
                <w:p>
                  <w:pPr>
                    <w:jc w:val="center"/>
                    <w:rPr>
                      <w:rFonts w:hint="eastAsia"/>
                      <w:b/>
                      <w:color w:val="auto"/>
                      <w:szCs w:val="21"/>
                      <w:highlight w:val="none"/>
                    </w:rPr>
                  </w:pPr>
                  <w:r>
                    <w:rPr>
                      <w:rFonts w:hint="eastAsia"/>
                      <w:b/>
                      <w:color w:val="auto"/>
                      <w:szCs w:val="21"/>
                      <w:highlight w:val="none"/>
                    </w:rPr>
                    <w:t>改建工程项目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405" w:type="dxa"/>
                  <w:noWrap w:val="0"/>
                  <w:vAlign w:val="center"/>
                </w:tcPr>
                <w:p>
                  <w:pPr>
                    <w:jc w:val="center"/>
                    <w:rPr>
                      <w:rFonts w:hint="eastAsia"/>
                      <w:color w:val="auto"/>
                      <w:szCs w:val="21"/>
                      <w:highlight w:val="none"/>
                    </w:rPr>
                  </w:pPr>
                  <w:r>
                    <w:rPr>
                      <w:rFonts w:hint="eastAsia"/>
                      <w:color w:val="auto"/>
                      <w:szCs w:val="21"/>
                      <w:highlight w:val="none"/>
                    </w:rPr>
                    <w:t>建设地点</w:t>
                  </w:r>
                </w:p>
              </w:tc>
              <w:tc>
                <w:tcPr>
                  <w:tcW w:w="1276" w:type="dxa"/>
                  <w:noWrap w:val="0"/>
                  <w:vAlign w:val="center"/>
                </w:tcPr>
                <w:p>
                  <w:pPr>
                    <w:jc w:val="center"/>
                    <w:rPr>
                      <w:rFonts w:hint="eastAsia"/>
                      <w:color w:val="auto"/>
                      <w:szCs w:val="21"/>
                      <w:highlight w:val="none"/>
                    </w:rPr>
                  </w:pPr>
                  <w:r>
                    <w:rPr>
                      <w:rFonts w:hint="eastAsia"/>
                      <w:color w:val="auto"/>
                      <w:szCs w:val="21"/>
                      <w:highlight w:val="none"/>
                    </w:rPr>
                    <w:t>（四川）省</w:t>
                  </w:r>
                </w:p>
              </w:tc>
              <w:tc>
                <w:tcPr>
                  <w:tcW w:w="1335" w:type="dxa"/>
                  <w:noWrap w:val="0"/>
                  <w:vAlign w:val="center"/>
                </w:tcPr>
                <w:p>
                  <w:pPr>
                    <w:jc w:val="center"/>
                    <w:rPr>
                      <w:rFonts w:hint="eastAsia"/>
                      <w:color w:val="auto"/>
                      <w:szCs w:val="21"/>
                      <w:highlight w:val="none"/>
                    </w:rPr>
                  </w:pPr>
                  <w:r>
                    <w:rPr>
                      <w:rFonts w:hint="eastAsia"/>
                      <w:color w:val="auto"/>
                      <w:szCs w:val="21"/>
                      <w:highlight w:val="none"/>
                    </w:rPr>
                    <w:t>（乐山）市</w:t>
                  </w:r>
                </w:p>
              </w:tc>
              <w:tc>
                <w:tcPr>
                  <w:tcW w:w="1500" w:type="dxa"/>
                  <w:noWrap w:val="0"/>
                  <w:vAlign w:val="center"/>
                </w:tcPr>
                <w:p>
                  <w:pPr>
                    <w:jc w:val="center"/>
                    <w:rPr>
                      <w:rFonts w:hint="eastAsia"/>
                      <w:color w:val="auto"/>
                      <w:szCs w:val="21"/>
                      <w:highlight w:val="none"/>
                    </w:rPr>
                  </w:pPr>
                  <w:r>
                    <w:rPr>
                      <w:rFonts w:hint="eastAsia"/>
                      <w:color w:val="auto"/>
                      <w:szCs w:val="21"/>
                      <w:highlight w:val="none"/>
                    </w:rPr>
                    <w:t>（市中）区</w:t>
                  </w:r>
                </w:p>
              </w:tc>
              <w:tc>
                <w:tcPr>
                  <w:tcW w:w="1781" w:type="dxa"/>
                  <w:noWrap w:val="0"/>
                  <w:vAlign w:val="center"/>
                </w:tcPr>
                <w:p>
                  <w:pPr>
                    <w:jc w:val="center"/>
                    <w:rPr>
                      <w:rFonts w:hint="eastAsia"/>
                      <w:color w:val="auto"/>
                      <w:szCs w:val="21"/>
                      <w:highlight w:val="none"/>
                    </w:rPr>
                  </w:pPr>
                  <w:r>
                    <w:rPr>
                      <w:rFonts w:hint="eastAsia"/>
                      <w:color w:val="auto"/>
                      <w:szCs w:val="21"/>
                      <w:highlight w:val="none"/>
                    </w:rPr>
                    <w:t>冷水寺村一组</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405" w:type="dxa"/>
                  <w:noWrap w:val="0"/>
                  <w:vAlign w:val="center"/>
                </w:tcPr>
                <w:p>
                  <w:pPr>
                    <w:jc w:val="center"/>
                    <w:rPr>
                      <w:rFonts w:hint="eastAsia"/>
                      <w:color w:val="auto"/>
                      <w:szCs w:val="21"/>
                      <w:highlight w:val="none"/>
                    </w:rPr>
                  </w:pPr>
                  <w:r>
                    <w:rPr>
                      <w:rFonts w:hint="eastAsia"/>
                      <w:color w:val="auto"/>
                      <w:szCs w:val="21"/>
                      <w:highlight w:val="none"/>
                    </w:rPr>
                    <w:t>地理坐标</w:t>
                  </w:r>
                </w:p>
              </w:tc>
              <w:tc>
                <w:tcPr>
                  <w:tcW w:w="1276" w:type="dxa"/>
                  <w:noWrap w:val="0"/>
                  <w:vAlign w:val="center"/>
                </w:tcPr>
                <w:p>
                  <w:pPr>
                    <w:jc w:val="center"/>
                    <w:rPr>
                      <w:rFonts w:hint="eastAsia"/>
                      <w:color w:val="auto"/>
                      <w:szCs w:val="21"/>
                      <w:highlight w:val="none"/>
                    </w:rPr>
                  </w:pPr>
                  <w:r>
                    <w:rPr>
                      <w:rFonts w:hint="eastAsia"/>
                      <w:color w:val="auto"/>
                      <w:szCs w:val="21"/>
                      <w:highlight w:val="none"/>
                    </w:rPr>
                    <w:t>经度</w:t>
                  </w:r>
                </w:p>
              </w:tc>
              <w:tc>
                <w:tcPr>
                  <w:tcW w:w="1335" w:type="dxa"/>
                  <w:noWrap w:val="0"/>
                  <w:vAlign w:val="center"/>
                </w:tcPr>
                <w:p>
                  <w:pPr>
                    <w:jc w:val="center"/>
                    <w:rPr>
                      <w:rFonts w:hint="eastAsia"/>
                      <w:color w:val="auto"/>
                      <w:szCs w:val="21"/>
                      <w:highlight w:val="none"/>
                    </w:rPr>
                  </w:pPr>
                  <w:r>
                    <w:rPr>
                      <w:rFonts w:hint="eastAsia"/>
                      <w:color w:val="auto"/>
                      <w:szCs w:val="21"/>
                      <w:highlight w:val="none"/>
                    </w:rPr>
                    <w:t>103度40分57秒</w:t>
                  </w:r>
                </w:p>
              </w:tc>
              <w:tc>
                <w:tcPr>
                  <w:tcW w:w="1500" w:type="dxa"/>
                  <w:noWrap w:val="0"/>
                  <w:vAlign w:val="center"/>
                </w:tcPr>
                <w:p>
                  <w:pPr>
                    <w:jc w:val="center"/>
                    <w:rPr>
                      <w:rFonts w:hint="eastAsia"/>
                      <w:color w:val="auto"/>
                      <w:szCs w:val="21"/>
                      <w:highlight w:val="none"/>
                    </w:rPr>
                  </w:pPr>
                  <w:r>
                    <w:rPr>
                      <w:rFonts w:hint="eastAsia"/>
                      <w:color w:val="auto"/>
                      <w:szCs w:val="21"/>
                      <w:highlight w:val="none"/>
                    </w:rPr>
                    <w:t>纬度</w:t>
                  </w:r>
                </w:p>
              </w:tc>
              <w:tc>
                <w:tcPr>
                  <w:tcW w:w="1781" w:type="dxa"/>
                  <w:noWrap w:val="0"/>
                  <w:vAlign w:val="center"/>
                </w:tcPr>
                <w:p>
                  <w:pPr>
                    <w:jc w:val="center"/>
                    <w:rPr>
                      <w:rFonts w:hint="eastAsia"/>
                      <w:color w:val="auto"/>
                      <w:szCs w:val="21"/>
                      <w:highlight w:val="none"/>
                    </w:rPr>
                  </w:pPr>
                  <w:r>
                    <w:rPr>
                      <w:rFonts w:hint="eastAsia"/>
                      <w:color w:val="auto"/>
                      <w:szCs w:val="21"/>
                      <w:highlight w:val="none"/>
                    </w:rPr>
                    <w:t>29度39分47秒</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405" w:type="dxa"/>
                  <w:noWrap w:val="0"/>
                  <w:vAlign w:val="center"/>
                </w:tcPr>
                <w:p>
                  <w:pPr>
                    <w:jc w:val="center"/>
                    <w:rPr>
                      <w:rFonts w:hint="eastAsia"/>
                      <w:color w:val="auto"/>
                      <w:szCs w:val="21"/>
                      <w:highlight w:val="none"/>
                    </w:rPr>
                  </w:pPr>
                  <w:r>
                    <w:rPr>
                      <w:rFonts w:hint="eastAsia"/>
                      <w:color w:val="auto"/>
                      <w:szCs w:val="21"/>
                      <w:highlight w:val="none"/>
                    </w:rPr>
                    <w:t>主要危险物质及分布</w:t>
                  </w:r>
                </w:p>
              </w:tc>
              <w:tc>
                <w:tcPr>
                  <w:tcW w:w="5892" w:type="dxa"/>
                  <w:gridSpan w:val="4"/>
                  <w:noWrap w:val="0"/>
                  <w:vAlign w:val="center"/>
                </w:tcPr>
                <w:p>
                  <w:pPr>
                    <w:jc w:val="center"/>
                    <w:rPr>
                      <w:color w:val="auto"/>
                      <w:szCs w:val="21"/>
                      <w:highlight w:val="none"/>
                    </w:rPr>
                  </w:pPr>
                  <w:r>
                    <w:rPr>
                      <w:rFonts w:hint="eastAsia"/>
                      <w:color w:val="auto"/>
                      <w:szCs w:val="21"/>
                      <w:highlight w:val="none"/>
                    </w:rPr>
                    <w:t>柴油（辅助材料库房）、天然气（燃气供应站）</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405" w:type="dxa"/>
                  <w:noWrap w:val="0"/>
                  <w:vAlign w:val="center"/>
                </w:tcPr>
                <w:p>
                  <w:pPr>
                    <w:jc w:val="center"/>
                    <w:rPr>
                      <w:rFonts w:hint="eastAsia"/>
                      <w:color w:val="auto"/>
                      <w:szCs w:val="21"/>
                      <w:highlight w:val="none"/>
                    </w:rPr>
                  </w:pPr>
                  <w:r>
                    <w:rPr>
                      <w:rFonts w:hint="eastAsia"/>
                      <w:color w:val="auto"/>
                      <w:szCs w:val="21"/>
                      <w:highlight w:val="none"/>
                    </w:rPr>
                    <w:t>环境影响途径及危害后果（大气、地表水、地下水等）</w:t>
                  </w:r>
                </w:p>
              </w:tc>
              <w:tc>
                <w:tcPr>
                  <w:tcW w:w="5892" w:type="dxa"/>
                  <w:gridSpan w:val="4"/>
                  <w:noWrap w:val="0"/>
                  <w:vAlign w:val="center"/>
                </w:tcPr>
                <w:p>
                  <w:pPr>
                    <w:jc w:val="center"/>
                    <w:rPr>
                      <w:rFonts w:hint="eastAsia"/>
                      <w:color w:val="auto"/>
                      <w:szCs w:val="21"/>
                      <w:highlight w:val="none"/>
                    </w:rPr>
                  </w:pPr>
                  <w:r>
                    <w:rPr>
                      <w:rFonts w:hint="eastAsia"/>
                      <w:color w:val="auto"/>
                      <w:szCs w:val="21"/>
                      <w:highlight w:val="none"/>
                    </w:rPr>
                    <w:t>主要有泄漏、火灾（爆炸）两大类，可能水大气、地表水、地下水环境造成污染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405" w:type="dxa"/>
                  <w:noWrap w:val="0"/>
                  <w:vAlign w:val="center"/>
                </w:tcPr>
                <w:p>
                  <w:pPr>
                    <w:jc w:val="center"/>
                    <w:rPr>
                      <w:rFonts w:hint="eastAsia"/>
                      <w:color w:val="auto"/>
                      <w:szCs w:val="21"/>
                      <w:highlight w:val="none"/>
                    </w:rPr>
                  </w:pPr>
                  <w:r>
                    <w:rPr>
                      <w:rFonts w:hint="eastAsia"/>
                      <w:color w:val="auto"/>
                      <w:szCs w:val="21"/>
                      <w:highlight w:val="none"/>
                    </w:rPr>
                    <w:t>风险防范措施要求</w:t>
                  </w:r>
                </w:p>
              </w:tc>
              <w:tc>
                <w:tcPr>
                  <w:tcW w:w="5892" w:type="dxa"/>
                  <w:gridSpan w:val="4"/>
                  <w:noWrap w:val="0"/>
                  <w:vAlign w:val="center"/>
                </w:tcPr>
                <w:p>
                  <w:pPr>
                    <w:adjustRightInd w:val="0"/>
                    <w:snapToGrid w:val="0"/>
                    <w:ind w:firstLine="480" w:firstLineChars="200"/>
                    <w:jc w:val="left"/>
                    <w:rPr>
                      <w:rFonts w:hint="eastAsia" w:ascii="宋体" w:hAnsi="宋体" w:cs="宋体"/>
                      <w:color w:val="auto"/>
                      <w:szCs w:val="21"/>
                      <w:highlight w:val="none"/>
                    </w:rPr>
                  </w:pPr>
                  <w:r>
                    <w:rPr>
                      <w:rFonts w:hint="eastAsia" w:ascii="宋体" w:hAnsi="宋体" w:cs="宋体"/>
                      <w:color w:val="auto"/>
                      <w:szCs w:val="21"/>
                      <w:highlight w:val="none"/>
                    </w:rPr>
                    <w:t>（1）柴油、天然气储存、管理不当引起的泄露或火灾风险防范措施</w:t>
                  </w:r>
                </w:p>
                <w:p>
                  <w:pPr>
                    <w:adjustRightInd w:val="0"/>
                    <w:snapToGrid w:val="0"/>
                    <w:ind w:firstLine="480" w:firstLineChars="200"/>
                    <w:jc w:val="left"/>
                    <w:rPr>
                      <w:rFonts w:hint="eastAsia" w:ascii="宋体" w:hAnsi="宋体" w:cs="宋体"/>
                      <w:color w:val="auto"/>
                      <w:szCs w:val="21"/>
                      <w:highlight w:val="none"/>
                    </w:rPr>
                  </w:pPr>
                  <w:r>
                    <w:rPr>
                      <w:rFonts w:hint="eastAsia" w:ascii="宋体" w:hAnsi="宋体" w:cs="宋体"/>
                      <w:color w:val="auto"/>
                      <w:szCs w:val="21"/>
                      <w:highlight w:val="none"/>
                    </w:rPr>
                    <w:t>①将柴油、天然气分别贮存于辅助材料库房及燃气供应站，柴油贮存处及燃气供应站应与配电设施独立分开隔断。禁止将明火带入柴油贮存处及燃气供应站，且将柴油罐、燃气储罐远离热源、火源。</w:t>
                  </w:r>
                </w:p>
                <w:p>
                  <w:pPr>
                    <w:adjustRightInd w:val="0"/>
                    <w:snapToGrid w:val="0"/>
                    <w:ind w:firstLine="480" w:firstLineChars="200"/>
                    <w:jc w:val="left"/>
                    <w:rPr>
                      <w:rFonts w:hint="eastAsia" w:ascii="宋体" w:hAnsi="宋体" w:cs="宋体"/>
                      <w:color w:val="auto"/>
                      <w:szCs w:val="21"/>
                      <w:highlight w:val="none"/>
                    </w:rPr>
                  </w:pPr>
                  <w:r>
                    <w:rPr>
                      <w:rFonts w:hint="eastAsia" w:ascii="宋体" w:hAnsi="宋体" w:cs="宋体"/>
                      <w:color w:val="auto"/>
                      <w:szCs w:val="21"/>
                      <w:highlight w:val="none"/>
                    </w:rPr>
                    <w:t>②辅助材料库房及燃气供应站的地面应做重点防渗处理，且在周围设置10~20cm围堰，并设置空桶作为备用收容设施。</w:t>
                  </w:r>
                </w:p>
                <w:p>
                  <w:pPr>
                    <w:adjustRightInd w:val="0"/>
                    <w:snapToGrid w:val="0"/>
                    <w:ind w:firstLine="480" w:firstLineChars="200"/>
                    <w:jc w:val="left"/>
                    <w:rPr>
                      <w:rFonts w:hint="eastAsia" w:ascii="宋体" w:hAnsi="宋体" w:cs="宋体"/>
                      <w:color w:val="auto"/>
                      <w:szCs w:val="21"/>
                      <w:highlight w:val="none"/>
                    </w:rPr>
                  </w:pPr>
                  <w:r>
                    <w:rPr>
                      <w:rFonts w:hint="eastAsia" w:ascii="宋体" w:hAnsi="宋体" w:cs="宋体"/>
                      <w:color w:val="auto"/>
                      <w:szCs w:val="21"/>
                      <w:highlight w:val="none"/>
                    </w:rPr>
                    <w:t>③加强对柴油、天然气的贮存和使用的管理，安排专人定期检查柴油、天然气储存情况，以便及时发现潜在风险。</w:t>
                  </w:r>
                </w:p>
                <w:p>
                  <w:pPr>
                    <w:adjustRightInd w:val="0"/>
                    <w:snapToGrid w:val="0"/>
                    <w:jc w:val="left"/>
                    <w:rPr>
                      <w:rFonts w:hint="eastAsia" w:ascii="宋体" w:hAnsi="宋体" w:cs="宋体"/>
                      <w:color w:val="auto"/>
                      <w:szCs w:val="21"/>
                      <w:highlight w:val="none"/>
                    </w:rPr>
                  </w:pPr>
                  <w:r>
                    <w:rPr>
                      <w:rFonts w:hint="eastAsia" w:ascii="宋体" w:hAnsi="宋体" w:cs="宋体"/>
                      <w:color w:val="auto"/>
                      <w:szCs w:val="21"/>
                      <w:highlight w:val="none"/>
                    </w:rPr>
                    <w:t>（2）危险物质环境风险措施</w:t>
                  </w:r>
                </w:p>
                <w:p>
                  <w:pPr>
                    <w:adjustRightInd w:val="0"/>
                    <w:snapToGrid w:val="0"/>
                    <w:ind w:firstLine="480" w:firstLineChars="200"/>
                    <w:jc w:val="left"/>
                    <w:rPr>
                      <w:rFonts w:ascii="宋体" w:hAnsi="宋体" w:cs="宋体"/>
                      <w:color w:val="auto"/>
                      <w:szCs w:val="21"/>
                      <w:highlight w:val="none"/>
                    </w:rPr>
                  </w:pPr>
                  <w:r>
                    <w:rPr>
                      <w:rFonts w:hint="eastAsia" w:ascii="宋体" w:hAnsi="宋体" w:cs="宋体"/>
                      <w:color w:val="auto"/>
                      <w:szCs w:val="21"/>
                      <w:highlight w:val="none"/>
                    </w:rPr>
                    <w:t>柴油、天然气</w:t>
                  </w:r>
                </w:p>
                <w:p>
                  <w:pPr>
                    <w:adjustRightInd w:val="0"/>
                    <w:snapToGrid w:val="0"/>
                    <w:ind w:firstLine="480" w:firstLineChars="200"/>
                    <w:jc w:val="left"/>
                    <w:rPr>
                      <w:rFonts w:hint="eastAsia" w:ascii="宋体" w:hAnsi="宋体" w:cs="宋体"/>
                      <w:color w:val="auto"/>
                      <w:szCs w:val="21"/>
                      <w:highlight w:val="none"/>
                    </w:rPr>
                  </w:pPr>
                  <w:r>
                    <w:rPr>
                      <w:rFonts w:hint="eastAsia" w:ascii="宋体" w:hAnsi="宋体" w:cs="宋体"/>
                      <w:color w:val="auto"/>
                      <w:szCs w:val="21"/>
                      <w:highlight w:val="none"/>
                    </w:rPr>
                    <w:t>a：防护措施：消防人员着特殊防护设备，如呼吸器；</w:t>
                  </w:r>
                </w:p>
                <w:p>
                  <w:pPr>
                    <w:adjustRightInd w:val="0"/>
                    <w:snapToGrid w:val="0"/>
                    <w:ind w:firstLine="480" w:firstLineChars="200"/>
                    <w:jc w:val="left"/>
                    <w:rPr>
                      <w:rFonts w:hint="eastAsia" w:ascii="宋体" w:hAnsi="宋体" w:cs="宋体"/>
                      <w:color w:val="auto"/>
                      <w:szCs w:val="21"/>
                      <w:highlight w:val="none"/>
                    </w:rPr>
                  </w:pPr>
                  <w:r>
                    <w:rPr>
                      <w:rFonts w:hint="eastAsia" w:ascii="宋体" w:hAnsi="宋体" w:cs="宋体"/>
                      <w:color w:val="auto"/>
                      <w:szCs w:val="21"/>
                      <w:highlight w:val="none"/>
                    </w:rPr>
                    <w:t>b：灭火措施：适用灭火剂：干粉、雾状水、二氧化碳、泡沫、砂土。</w:t>
                  </w:r>
                </w:p>
                <w:p>
                  <w:pPr>
                    <w:adjustRightInd w:val="0"/>
                    <w:snapToGrid w:val="0"/>
                    <w:ind w:firstLine="480" w:firstLineChars="200"/>
                    <w:jc w:val="left"/>
                    <w:rPr>
                      <w:rFonts w:hint="eastAsia" w:ascii="宋体" w:hAnsi="宋体" w:cs="宋体"/>
                      <w:color w:val="auto"/>
                      <w:szCs w:val="21"/>
                      <w:highlight w:val="none"/>
                    </w:rPr>
                  </w:pPr>
                  <w:r>
                    <w:rPr>
                      <w:rFonts w:hint="eastAsia" w:ascii="宋体" w:hAnsi="宋体" w:cs="宋体"/>
                      <w:color w:val="auto"/>
                      <w:szCs w:val="21"/>
                      <w:highlight w:val="none"/>
                    </w:rPr>
                    <w:t>c：泄露应急处理：发生泄露时迅速切断火源，尽可能切断泄露源。防止进入下水道、排洪沟等限制性空间。小量泄露时用沙土吸收。</w:t>
                  </w:r>
                </w:p>
                <w:p>
                  <w:pPr>
                    <w:adjustRightInd w:val="0"/>
                    <w:snapToGrid w:val="0"/>
                    <w:ind w:firstLine="480" w:firstLineChars="200"/>
                    <w:jc w:val="left"/>
                    <w:rPr>
                      <w:rFonts w:hint="eastAsia" w:ascii="宋体" w:hAnsi="宋体" w:cs="宋体"/>
                      <w:color w:val="auto"/>
                      <w:szCs w:val="21"/>
                      <w:highlight w:val="none"/>
                    </w:rPr>
                  </w:pPr>
                  <w:r>
                    <w:rPr>
                      <w:rFonts w:hint="eastAsia" w:ascii="宋体" w:hAnsi="宋体" w:cs="宋体"/>
                      <w:color w:val="auto"/>
                      <w:szCs w:val="21"/>
                      <w:highlight w:val="none"/>
                    </w:rPr>
                    <w:t>（3）其他风险防范措施</w:t>
                  </w:r>
                </w:p>
                <w:p>
                  <w:pPr>
                    <w:adjustRightInd w:val="0"/>
                    <w:snapToGrid w:val="0"/>
                    <w:ind w:firstLine="480" w:firstLineChars="200"/>
                    <w:jc w:val="left"/>
                    <w:rPr>
                      <w:rFonts w:hint="eastAsia" w:ascii="宋体" w:hAnsi="宋体" w:cs="宋体"/>
                      <w:color w:val="auto"/>
                      <w:szCs w:val="21"/>
                      <w:highlight w:val="none"/>
                    </w:rPr>
                  </w:pPr>
                  <w:r>
                    <w:rPr>
                      <w:rFonts w:hint="eastAsia" w:ascii="宋体" w:hAnsi="宋体" w:cs="宋体"/>
                      <w:color w:val="auto"/>
                      <w:szCs w:val="21"/>
                      <w:highlight w:val="none"/>
                    </w:rPr>
                    <w:t>①派专人定期检查柴油存放点，严防跑、冒、漏、滴情况出现。</w:t>
                  </w:r>
                </w:p>
                <w:p>
                  <w:pPr>
                    <w:adjustRightInd w:val="0"/>
                    <w:snapToGrid w:val="0"/>
                    <w:ind w:firstLine="480" w:firstLineChars="200"/>
                    <w:jc w:val="left"/>
                    <w:rPr>
                      <w:rFonts w:hint="eastAsia" w:ascii="宋体" w:hAnsi="宋体" w:cs="宋体"/>
                      <w:color w:val="auto"/>
                      <w:szCs w:val="21"/>
                      <w:highlight w:val="none"/>
                    </w:rPr>
                  </w:pPr>
                  <w:r>
                    <w:rPr>
                      <w:rFonts w:hint="eastAsia" w:ascii="宋体" w:hAnsi="宋体" w:cs="宋体"/>
                      <w:color w:val="auto"/>
                      <w:szCs w:val="21"/>
                      <w:highlight w:val="none"/>
                    </w:rPr>
                    <w:t>②不得随意增大危险化学品储存量或使用量，项目不得构成重大危险源。</w:t>
                  </w:r>
                </w:p>
                <w:p>
                  <w:pPr>
                    <w:adjustRightInd w:val="0"/>
                    <w:snapToGrid w:val="0"/>
                    <w:ind w:firstLine="480" w:firstLineChars="200"/>
                    <w:jc w:val="left"/>
                    <w:rPr>
                      <w:rFonts w:hint="eastAsia" w:ascii="宋体" w:hAnsi="宋体" w:cs="宋体"/>
                      <w:color w:val="auto"/>
                      <w:szCs w:val="21"/>
                      <w:highlight w:val="none"/>
                    </w:rPr>
                  </w:pPr>
                  <w:r>
                    <w:rPr>
                      <w:rFonts w:hint="eastAsia" w:ascii="宋体" w:hAnsi="宋体" w:cs="宋体"/>
                      <w:color w:val="auto"/>
                      <w:szCs w:val="21"/>
                      <w:highlight w:val="none"/>
                    </w:rPr>
                    <w:t>③建立完善整个厂区的风险管理制度；对于项目危险废物，项目方应严格按照国家《危险废物分类名录》、《危险废物贮存污染控制标准》等要求进行分类收集、处理；做好危废暂存间密闭和防渗漏工作，严格防止地下水污染和土壤污染。</w:t>
                  </w:r>
                </w:p>
                <w:p>
                  <w:pPr>
                    <w:ind w:firstLine="480" w:firstLineChars="200"/>
                    <w:jc w:val="left"/>
                    <w:rPr>
                      <w:rFonts w:hint="eastAsia"/>
                      <w:color w:val="auto"/>
                      <w:szCs w:val="21"/>
                      <w:highlight w:val="none"/>
                    </w:rPr>
                  </w:pPr>
                  <w:r>
                    <w:rPr>
                      <w:rFonts w:hint="eastAsia" w:ascii="宋体" w:hAnsi="宋体" w:cs="宋体"/>
                      <w:color w:val="auto"/>
                      <w:szCs w:val="21"/>
                      <w:highlight w:val="none"/>
                    </w:rPr>
                    <w:t>④做好危险废物暂存和运出处理的管理工作，避免产生二次污染。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297" w:type="dxa"/>
                  <w:gridSpan w:val="5"/>
                  <w:noWrap w:val="0"/>
                  <w:vAlign w:val="center"/>
                </w:tcPr>
                <w:p>
                  <w:pPr>
                    <w:jc w:val="left"/>
                    <w:rPr>
                      <w:rFonts w:hint="eastAsia"/>
                      <w:color w:val="auto"/>
                      <w:szCs w:val="21"/>
                      <w:highlight w:val="none"/>
                    </w:rPr>
                  </w:pPr>
                  <w:r>
                    <w:rPr>
                      <w:rFonts w:hint="eastAsia"/>
                      <w:color w:val="auto"/>
                      <w:szCs w:val="21"/>
                      <w:highlight w:val="none"/>
                    </w:rPr>
                    <w:t>填表说明 （列出项目相关信 息及评价说明 ）：</w:t>
                  </w:r>
                </w:p>
                <w:p>
                  <w:pPr>
                    <w:jc w:val="left"/>
                    <w:rPr>
                      <w:rFonts w:hint="eastAsia"/>
                      <w:color w:val="auto"/>
                      <w:szCs w:val="21"/>
                      <w:highlight w:val="none"/>
                    </w:rPr>
                  </w:pPr>
                  <w:r>
                    <w:rPr>
                      <w:rFonts w:hint="eastAsia"/>
                      <w:color w:val="auto"/>
                      <w:szCs w:val="21"/>
                      <w:highlight w:val="none"/>
                    </w:rPr>
                    <w:t>本项目涉及有毒 、有害危险物质贮存，但项目</w:t>
                  </w:r>
                  <w:r>
                    <w:rPr>
                      <w:rFonts w:hint="eastAsia"/>
                      <w:color w:val="auto"/>
                      <w:highlight w:val="none"/>
                    </w:rPr>
                    <w:t>危险物质数量与临界量比值（Q）&lt;1，</w:t>
                  </w:r>
                  <w:r>
                    <w:rPr>
                      <w:rFonts w:hint="eastAsia"/>
                      <w:color w:val="auto"/>
                      <w:szCs w:val="21"/>
                      <w:highlight w:val="none"/>
                    </w:rPr>
                    <w:t>项目环境风险潜势为 I，评价等级为简单分析，在落实环提出的风险防范措施后，环境可控。</w:t>
                  </w:r>
                </w:p>
              </w:tc>
            </w:tr>
          </w:tbl>
          <w:p>
            <w:pPr>
              <w:pStyle w:val="16"/>
              <w:rPr>
                <w:rFonts w:hint="eastAsia"/>
                <w:color w:val="auto"/>
                <w:highlight w:val="none"/>
              </w:rPr>
            </w:pPr>
          </w:p>
          <w:p>
            <w:pPr>
              <w:adjustRightInd w:val="0"/>
              <w:snapToGrid w:val="0"/>
              <w:spacing w:line="360" w:lineRule="auto"/>
              <w:rPr>
                <w:rFonts w:ascii="黑体" w:hAnsi="黑体" w:eastAsia="黑体" w:cs="黑体"/>
                <w:color w:val="auto"/>
                <w:kern w:val="0"/>
                <w:sz w:val="24"/>
                <w:highlight w:val="none"/>
              </w:rPr>
            </w:pPr>
            <w:r>
              <w:rPr>
                <w:rFonts w:hint="eastAsia" w:ascii="黑体" w:hAnsi="黑体" w:eastAsia="黑体" w:cs="黑体"/>
                <w:color w:val="auto"/>
                <w:kern w:val="0"/>
                <w:sz w:val="24"/>
                <w:highlight w:val="none"/>
              </w:rPr>
              <w:t>八、电磁辐射</w:t>
            </w:r>
          </w:p>
          <w:p>
            <w:pPr>
              <w:adjustRightInd w:val="0"/>
              <w:snapToGrid w:val="0"/>
              <w:spacing w:line="360" w:lineRule="auto"/>
              <w:ind w:firstLine="480" w:firstLineChars="200"/>
              <w:rPr>
                <w:rFonts w:hint="eastAsia"/>
                <w:color w:val="auto"/>
                <w:kern w:val="0"/>
                <w:sz w:val="24"/>
                <w:highlight w:val="none"/>
              </w:rPr>
            </w:pPr>
            <w:r>
              <w:rPr>
                <w:rFonts w:hint="eastAsia"/>
                <w:color w:val="auto"/>
                <w:kern w:val="0"/>
                <w:sz w:val="24"/>
                <w:highlight w:val="none"/>
              </w:rPr>
              <w:t>本项目不涉及电磁辐射。</w:t>
            </w:r>
          </w:p>
          <w:p>
            <w:pPr>
              <w:pStyle w:val="31"/>
              <w:ind w:firstLine="560"/>
              <w:rPr>
                <w:rFonts w:hint="eastAsia"/>
                <w:color w:val="auto"/>
                <w:szCs w:val="28"/>
                <w:highlight w:val="none"/>
              </w:rPr>
            </w:pPr>
          </w:p>
          <w:p>
            <w:pPr>
              <w:adjustRightInd w:val="0"/>
              <w:snapToGrid w:val="0"/>
              <w:jc w:val="left"/>
              <w:rPr>
                <w:rFonts w:hint="eastAsia" w:ascii="宋体" w:hAnsi="宋体" w:cs="宋体"/>
                <w:bCs/>
                <w:color w:val="auto"/>
                <w:spacing w:val="-10"/>
                <w:sz w:val="24"/>
                <w:highlight w:val="none"/>
              </w:rPr>
            </w:pPr>
          </w:p>
        </w:tc>
      </w:tr>
    </w:tbl>
    <w:p>
      <w:pPr>
        <w:adjustRightInd w:val="0"/>
        <w:snapToGrid w:val="0"/>
        <w:spacing w:line="360" w:lineRule="auto"/>
        <w:rPr>
          <w:rFonts w:hint="eastAsia" w:ascii="宋体" w:cs="宋体"/>
          <w:b/>
          <w:color w:val="auto"/>
          <w:kern w:val="0"/>
          <w:sz w:val="28"/>
          <w:szCs w:val="28"/>
          <w:highlight w:val="none"/>
        </w:rPr>
        <w:sectPr>
          <w:pgSz w:w="11907" w:h="16840"/>
          <w:pgMar w:top="1701" w:right="1531" w:bottom="2127" w:left="1531" w:header="851" w:footer="851" w:gutter="0"/>
          <w:pgBorders>
            <w:top w:val="none" w:sz="0" w:space="0"/>
            <w:left w:val="none" w:sz="0" w:space="0"/>
            <w:bottom w:val="none" w:sz="0" w:space="0"/>
            <w:right w:val="none" w:sz="0" w:space="0"/>
          </w:pgBorders>
          <w:cols w:space="720" w:num="1"/>
          <w:docGrid w:linePitch="312" w:charSpace="0"/>
        </w:sectPr>
      </w:pPr>
    </w:p>
    <w:p>
      <w:pPr>
        <w:pStyle w:val="35"/>
        <w:jc w:val="center"/>
        <w:outlineLvl w:val="0"/>
        <w:rPr>
          <w:rFonts w:ascii="黑体" w:hAnsi="黑体" w:eastAsia="黑体"/>
          <w:snapToGrid w:val="0"/>
          <w:color w:val="auto"/>
          <w:sz w:val="30"/>
          <w:szCs w:val="30"/>
          <w:highlight w:val="none"/>
        </w:rPr>
      </w:pPr>
      <w:r>
        <w:rPr>
          <w:rFonts w:hint="eastAsia" w:ascii="黑体" w:hAnsi="黑体" w:eastAsia="黑体"/>
          <w:snapToGrid w:val="0"/>
          <w:color w:val="auto"/>
          <w:sz w:val="30"/>
          <w:szCs w:val="30"/>
          <w:highlight w:val="none"/>
        </w:rPr>
        <w:t>五、</w:t>
      </w:r>
      <w:bookmarkStart w:id="15" w:name="_Hlk54167917"/>
      <w:r>
        <w:rPr>
          <w:rFonts w:hint="eastAsia" w:ascii="黑体" w:hAnsi="黑体" w:eastAsia="黑体"/>
          <w:snapToGrid w:val="0"/>
          <w:color w:val="auto"/>
          <w:sz w:val="30"/>
          <w:szCs w:val="30"/>
          <w:highlight w:val="none"/>
        </w:rPr>
        <w:t>环境保护措施监督检查清单</w:t>
      </w:r>
      <w:bookmarkEnd w:id="15"/>
    </w:p>
    <w:tbl>
      <w:tblPr>
        <w:tblStyle w:val="39"/>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778"/>
        <w:gridCol w:w="1755"/>
        <w:gridCol w:w="1755"/>
        <w:gridCol w:w="1755"/>
        <w:gridCol w:w="175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78" w:type="dxa"/>
            <w:tcBorders>
              <w:tl2br w:val="single" w:color="auto" w:sz="4" w:space="0"/>
            </w:tcBorders>
            <w:noWrap w:val="0"/>
            <w:vAlign w:val="top"/>
          </w:tcPr>
          <w:p>
            <w:pPr>
              <w:adjustRightInd w:val="0"/>
              <w:snapToGrid w:val="0"/>
              <w:ind w:firstLine="840"/>
              <w:rPr>
                <w:color w:val="auto"/>
                <w:szCs w:val="21"/>
                <w:highlight w:val="none"/>
              </w:rPr>
            </w:pPr>
            <w:r>
              <w:rPr>
                <w:color w:val="auto"/>
                <w:szCs w:val="21"/>
                <w:highlight w:val="none"/>
              </w:rPr>
              <w:t>内容</w:t>
            </w:r>
          </w:p>
          <w:p>
            <w:pPr>
              <w:adjustRightInd w:val="0"/>
              <w:snapToGrid w:val="0"/>
              <w:rPr>
                <w:color w:val="auto"/>
                <w:szCs w:val="21"/>
                <w:highlight w:val="none"/>
              </w:rPr>
            </w:pPr>
            <w:r>
              <w:rPr>
                <w:color w:val="auto"/>
                <w:szCs w:val="21"/>
                <w:highlight w:val="none"/>
              </w:rPr>
              <w:t>要素</w:t>
            </w:r>
          </w:p>
        </w:tc>
        <w:tc>
          <w:tcPr>
            <w:tcW w:w="1755" w:type="dxa"/>
            <w:noWrap w:val="0"/>
            <w:vAlign w:val="center"/>
          </w:tcPr>
          <w:p>
            <w:pPr>
              <w:adjustRightInd w:val="0"/>
              <w:snapToGrid w:val="0"/>
              <w:jc w:val="center"/>
              <w:rPr>
                <w:color w:val="auto"/>
                <w:szCs w:val="21"/>
                <w:highlight w:val="none"/>
              </w:rPr>
            </w:pPr>
            <w:r>
              <w:rPr>
                <w:color w:val="auto"/>
                <w:szCs w:val="21"/>
                <w:highlight w:val="none"/>
              </w:rPr>
              <w:t>排放口(编号、</w:t>
            </w:r>
          </w:p>
          <w:p>
            <w:pPr>
              <w:adjustRightInd w:val="0"/>
              <w:snapToGrid w:val="0"/>
              <w:jc w:val="center"/>
              <w:rPr>
                <w:color w:val="auto"/>
                <w:szCs w:val="21"/>
                <w:highlight w:val="none"/>
              </w:rPr>
            </w:pPr>
            <w:r>
              <w:rPr>
                <w:color w:val="auto"/>
                <w:szCs w:val="21"/>
                <w:highlight w:val="none"/>
              </w:rPr>
              <w:t>名称)/污染源</w:t>
            </w:r>
          </w:p>
        </w:tc>
        <w:tc>
          <w:tcPr>
            <w:tcW w:w="1755" w:type="dxa"/>
            <w:noWrap w:val="0"/>
            <w:vAlign w:val="center"/>
          </w:tcPr>
          <w:p>
            <w:pPr>
              <w:adjustRightInd w:val="0"/>
              <w:snapToGrid w:val="0"/>
              <w:jc w:val="center"/>
              <w:rPr>
                <w:color w:val="auto"/>
                <w:szCs w:val="21"/>
                <w:highlight w:val="none"/>
              </w:rPr>
            </w:pPr>
            <w:r>
              <w:rPr>
                <w:color w:val="auto"/>
                <w:szCs w:val="21"/>
                <w:highlight w:val="none"/>
              </w:rPr>
              <w:t>污染物项目</w:t>
            </w:r>
          </w:p>
        </w:tc>
        <w:tc>
          <w:tcPr>
            <w:tcW w:w="1755" w:type="dxa"/>
            <w:noWrap w:val="0"/>
            <w:vAlign w:val="center"/>
          </w:tcPr>
          <w:p>
            <w:pPr>
              <w:adjustRightInd w:val="0"/>
              <w:snapToGrid w:val="0"/>
              <w:jc w:val="center"/>
              <w:rPr>
                <w:color w:val="auto"/>
                <w:szCs w:val="21"/>
                <w:highlight w:val="none"/>
              </w:rPr>
            </w:pPr>
            <w:r>
              <w:rPr>
                <w:color w:val="auto"/>
                <w:szCs w:val="21"/>
                <w:highlight w:val="none"/>
              </w:rPr>
              <w:t>环境保护措施</w:t>
            </w:r>
          </w:p>
        </w:tc>
        <w:tc>
          <w:tcPr>
            <w:tcW w:w="1757" w:type="dxa"/>
            <w:noWrap w:val="0"/>
            <w:vAlign w:val="center"/>
          </w:tcPr>
          <w:p>
            <w:pPr>
              <w:adjustRightInd w:val="0"/>
              <w:snapToGrid w:val="0"/>
              <w:jc w:val="center"/>
              <w:rPr>
                <w:color w:val="auto"/>
                <w:szCs w:val="21"/>
                <w:highlight w:val="none"/>
              </w:rPr>
            </w:pPr>
            <w:r>
              <w:rPr>
                <w:color w:val="auto"/>
                <w:szCs w:val="21"/>
                <w:highlight w:val="none"/>
              </w:rPr>
              <w:t>执行标准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9" w:hRule="atLeast"/>
          <w:jc w:val="center"/>
        </w:trPr>
        <w:tc>
          <w:tcPr>
            <w:tcW w:w="1778" w:type="dxa"/>
            <w:vMerge w:val="restart"/>
            <w:noWrap w:val="0"/>
            <w:vAlign w:val="center"/>
          </w:tcPr>
          <w:p>
            <w:pPr>
              <w:adjustRightInd w:val="0"/>
              <w:snapToGrid w:val="0"/>
              <w:jc w:val="center"/>
              <w:rPr>
                <w:color w:val="auto"/>
                <w:szCs w:val="21"/>
                <w:highlight w:val="none"/>
              </w:rPr>
            </w:pPr>
            <w:r>
              <w:rPr>
                <w:color w:val="auto"/>
                <w:szCs w:val="21"/>
                <w:highlight w:val="none"/>
              </w:rPr>
              <w:t>大气环境</w:t>
            </w:r>
          </w:p>
        </w:tc>
        <w:tc>
          <w:tcPr>
            <w:tcW w:w="1755" w:type="dxa"/>
            <w:vMerge w:val="restart"/>
            <w:noWrap w:val="0"/>
            <w:vAlign w:val="center"/>
          </w:tcPr>
          <w:p>
            <w:pPr>
              <w:adjustRightInd w:val="0"/>
              <w:snapToGrid w:val="0"/>
              <w:jc w:val="center"/>
              <w:rPr>
                <w:color w:val="auto"/>
                <w:szCs w:val="21"/>
                <w:highlight w:val="none"/>
              </w:rPr>
            </w:pPr>
            <w:r>
              <w:rPr>
                <w:color w:val="auto"/>
                <w:szCs w:val="21"/>
                <w:highlight w:val="none"/>
              </w:rPr>
              <w:t>G1</w:t>
            </w:r>
            <w:r>
              <w:rPr>
                <w:rFonts w:hint="eastAsia"/>
                <w:color w:val="auto"/>
                <w:szCs w:val="21"/>
                <w:highlight w:val="none"/>
              </w:rPr>
              <w:t>排口</w:t>
            </w:r>
          </w:p>
        </w:tc>
        <w:tc>
          <w:tcPr>
            <w:tcW w:w="1755" w:type="dxa"/>
            <w:noWrap w:val="0"/>
            <w:vAlign w:val="center"/>
          </w:tcPr>
          <w:p>
            <w:pPr>
              <w:tabs>
                <w:tab w:val="left" w:pos="105"/>
              </w:tabs>
              <w:spacing w:line="240" w:lineRule="exact"/>
              <w:ind w:left="-120" w:leftChars="-50" w:right="-120" w:rightChars="-50"/>
              <w:jc w:val="center"/>
              <w:rPr>
                <w:color w:val="auto"/>
                <w:szCs w:val="21"/>
                <w:highlight w:val="none"/>
              </w:rPr>
            </w:pPr>
            <w:r>
              <w:rPr>
                <w:color w:val="auto"/>
                <w:szCs w:val="21"/>
                <w:highlight w:val="none"/>
              </w:rPr>
              <w:t>SO</w:t>
            </w:r>
            <w:r>
              <w:rPr>
                <w:color w:val="auto"/>
                <w:szCs w:val="21"/>
                <w:highlight w:val="none"/>
                <w:vertAlign w:val="subscript"/>
              </w:rPr>
              <w:t>2</w:t>
            </w:r>
          </w:p>
        </w:tc>
        <w:tc>
          <w:tcPr>
            <w:tcW w:w="1755" w:type="dxa"/>
            <w:vMerge w:val="restart"/>
            <w:noWrap w:val="0"/>
            <w:vAlign w:val="center"/>
          </w:tcPr>
          <w:p>
            <w:pPr>
              <w:snapToGrid w:val="0"/>
              <w:ind w:left="-30" w:right="-30"/>
              <w:jc w:val="center"/>
              <w:rPr>
                <w:color w:val="auto"/>
                <w:szCs w:val="21"/>
                <w:highlight w:val="none"/>
              </w:rPr>
            </w:pPr>
            <w:r>
              <w:rPr>
                <w:color w:val="auto"/>
                <w:szCs w:val="21"/>
                <w:highlight w:val="none"/>
              </w:rPr>
              <w:t>①烘干滚筒骨料加热产生的粉尘和燃气烟气等混合废气通过引风机（风量105000m3/h）引入二级除尘系统（第一级惯性除尘，第二级分室反吹袋式除尘，惯性除尘效率为50%，布袋除尘效率为99.</w:t>
            </w:r>
            <w:r>
              <w:rPr>
                <w:rFonts w:hint="eastAsia"/>
                <w:color w:val="auto"/>
                <w:szCs w:val="21"/>
                <w:highlight w:val="none"/>
              </w:rPr>
              <w:t>5</w:t>
            </w:r>
            <w:r>
              <w:rPr>
                <w:color w:val="auto"/>
                <w:szCs w:val="21"/>
                <w:highlight w:val="none"/>
              </w:rPr>
              <w:t>%），除尘后的废气经过一根15m排气筒（1#排气筒）排放。</w:t>
            </w:r>
          </w:p>
          <w:p>
            <w:pPr>
              <w:snapToGrid w:val="0"/>
              <w:ind w:left="-30" w:right="-30"/>
              <w:jc w:val="center"/>
              <w:rPr>
                <w:color w:val="auto"/>
                <w:szCs w:val="21"/>
                <w:highlight w:val="none"/>
              </w:rPr>
            </w:pPr>
            <w:r>
              <w:rPr>
                <w:color w:val="auto"/>
                <w:szCs w:val="21"/>
                <w:highlight w:val="none"/>
              </w:rPr>
              <w:t>②沥青混凝土出料口处安装集气罩，沥青混凝土卸料过程中产生的沥青烟气通过设置的环形集气罩收集后引入总集气管道;搅拌缸内沥青烟气由风管引入总集气管道，沥青烟气收集后引入烘干滚筒燃烧器中燃烧后跟燃气废气一并从1#排气简排放，燃烧处理效率达90%。</w:t>
            </w:r>
          </w:p>
        </w:tc>
        <w:tc>
          <w:tcPr>
            <w:tcW w:w="1757" w:type="dxa"/>
            <w:vMerge w:val="restart"/>
            <w:noWrap w:val="0"/>
            <w:vAlign w:val="center"/>
          </w:tcPr>
          <w:p>
            <w:pPr>
              <w:adjustRightInd w:val="0"/>
              <w:snapToGrid w:val="0"/>
              <w:jc w:val="center"/>
              <w:rPr>
                <w:color w:val="auto"/>
                <w:szCs w:val="21"/>
                <w:highlight w:val="none"/>
              </w:rPr>
            </w:pPr>
            <w:r>
              <w:rPr>
                <w:color w:val="auto"/>
                <w:szCs w:val="21"/>
                <w:highlight w:val="none"/>
              </w:rPr>
              <w:t>《大气污染物综合排放标准》(GB16297-1996）中二级标准；《锅炉大气污染物排放标准》(GB13271-2014)表3中燃气(天然气）锅炉大气污染物排放标准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9" w:hRule="atLeast"/>
          <w:jc w:val="center"/>
        </w:trPr>
        <w:tc>
          <w:tcPr>
            <w:tcW w:w="1778" w:type="dxa"/>
            <w:vMerge w:val="continue"/>
            <w:noWrap w:val="0"/>
            <w:vAlign w:val="center"/>
          </w:tcPr>
          <w:p>
            <w:pPr>
              <w:adjustRightInd w:val="0"/>
              <w:snapToGrid w:val="0"/>
              <w:jc w:val="center"/>
              <w:rPr>
                <w:color w:val="auto"/>
                <w:szCs w:val="21"/>
                <w:highlight w:val="none"/>
              </w:rPr>
            </w:pPr>
          </w:p>
        </w:tc>
        <w:tc>
          <w:tcPr>
            <w:tcW w:w="1755" w:type="dxa"/>
            <w:vMerge w:val="continue"/>
            <w:noWrap w:val="0"/>
            <w:vAlign w:val="center"/>
          </w:tcPr>
          <w:p>
            <w:pPr>
              <w:adjustRightInd w:val="0"/>
              <w:snapToGrid w:val="0"/>
              <w:jc w:val="center"/>
              <w:rPr>
                <w:color w:val="auto"/>
                <w:szCs w:val="21"/>
                <w:highlight w:val="none"/>
              </w:rPr>
            </w:pPr>
          </w:p>
        </w:tc>
        <w:tc>
          <w:tcPr>
            <w:tcW w:w="1755" w:type="dxa"/>
            <w:noWrap w:val="0"/>
            <w:vAlign w:val="center"/>
          </w:tcPr>
          <w:p>
            <w:pPr>
              <w:tabs>
                <w:tab w:val="left" w:pos="105"/>
              </w:tabs>
              <w:spacing w:line="240" w:lineRule="exact"/>
              <w:ind w:left="-120" w:leftChars="-50" w:right="-120" w:rightChars="-50"/>
              <w:jc w:val="center"/>
              <w:rPr>
                <w:color w:val="auto"/>
                <w:szCs w:val="21"/>
                <w:highlight w:val="none"/>
              </w:rPr>
            </w:pPr>
            <w:r>
              <w:rPr>
                <w:color w:val="auto"/>
                <w:szCs w:val="21"/>
                <w:highlight w:val="none"/>
              </w:rPr>
              <w:t>NOx</w:t>
            </w:r>
          </w:p>
        </w:tc>
        <w:tc>
          <w:tcPr>
            <w:tcW w:w="1755" w:type="dxa"/>
            <w:vMerge w:val="continue"/>
            <w:noWrap w:val="0"/>
            <w:vAlign w:val="center"/>
          </w:tcPr>
          <w:p>
            <w:pPr>
              <w:adjustRightInd w:val="0"/>
              <w:snapToGrid w:val="0"/>
              <w:jc w:val="center"/>
              <w:rPr>
                <w:color w:val="auto"/>
                <w:szCs w:val="21"/>
                <w:highlight w:val="none"/>
              </w:rPr>
            </w:pPr>
          </w:p>
        </w:tc>
        <w:tc>
          <w:tcPr>
            <w:tcW w:w="1757" w:type="dxa"/>
            <w:vMerge w:val="continue"/>
            <w:noWrap w:val="0"/>
            <w:vAlign w:val="center"/>
          </w:tcPr>
          <w:p>
            <w:pPr>
              <w:adjustRightInd w:val="0"/>
              <w:snapToGrid w:val="0"/>
              <w:jc w:val="center"/>
              <w:rPr>
                <w:color w:val="auto"/>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9" w:hRule="atLeast"/>
          <w:jc w:val="center"/>
        </w:trPr>
        <w:tc>
          <w:tcPr>
            <w:tcW w:w="1778" w:type="dxa"/>
            <w:vMerge w:val="continue"/>
            <w:noWrap w:val="0"/>
            <w:vAlign w:val="center"/>
          </w:tcPr>
          <w:p>
            <w:pPr>
              <w:adjustRightInd w:val="0"/>
              <w:snapToGrid w:val="0"/>
              <w:jc w:val="center"/>
              <w:rPr>
                <w:color w:val="auto"/>
                <w:szCs w:val="21"/>
                <w:highlight w:val="none"/>
              </w:rPr>
            </w:pPr>
          </w:p>
        </w:tc>
        <w:tc>
          <w:tcPr>
            <w:tcW w:w="1755" w:type="dxa"/>
            <w:vMerge w:val="continue"/>
            <w:noWrap w:val="0"/>
            <w:vAlign w:val="center"/>
          </w:tcPr>
          <w:p>
            <w:pPr>
              <w:adjustRightInd w:val="0"/>
              <w:snapToGrid w:val="0"/>
              <w:jc w:val="center"/>
              <w:rPr>
                <w:color w:val="auto"/>
                <w:szCs w:val="21"/>
                <w:highlight w:val="none"/>
              </w:rPr>
            </w:pPr>
          </w:p>
        </w:tc>
        <w:tc>
          <w:tcPr>
            <w:tcW w:w="1755" w:type="dxa"/>
            <w:noWrap w:val="0"/>
            <w:vAlign w:val="center"/>
          </w:tcPr>
          <w:p>
            <w:pPr>
              <w:tabs>
                <w:tab w:val="left" w:pos="105"/>
              </w:tabs>
              <w:spacing w:line="240" w:lineRule="exact"/>
              <w:ind w:left="-120" w:leftChars="-50" w:right="-120" w:rightChars="-50"/>
              <w:jc w:val="center"/>
              <w:rPr>
                <w:color w:val="auto"/>
                <w:szCs w:val="21"/>
                <w:highlight w:val="none"/>
              </w:rPr>
            </w:pPr>
            <w:r>
              <w:rPr>
                <w:color w:val="auto"/>
                <w:szCs w:val="21"/>
                <w:highlight w:val="none"/>
              </w:rPr>
              <w:t>粉尘</w:t>
            </w:r>
          </w:p>
        </w:tc>
        <w:tc>
          <w:tcPr>
            <w:tcW w:w="1755" w:type="dxa"/>
            <w:vMerge w:val="continue"/>
            <w:noWrap w:val="0"/>
            <w:vAlign w:val="center"/>
          </w:tcPr>
          <w:p>
            <w:pPr>
              <w:adjustRightInd w:val="0"/>
              <w:snapToGrid w:val="0"/>
              <w:jc w:val="center"/>
              <w:rPr>
                <w:color w:val="auto"/>
                <w:szCs w:val="21"/>
                <w:highlight w:val="none"/>
              </w:rPr>
            </w:pPr>
          </w:p>
        </w:tc>
        <w:tc>
          <w:tcPr>
            <w:tcW w:w="1757" w:type="dxa"/>
            <w:vMerge w:val="continue"/>
            <w:noWrap w:val="0"/>
            <w:vAlign w:val="center"/>
          </w:tcPr>
          <w:p>
            <w:pPr>
              <w:adjustRightInd w:val="0"/>
              <w:snapToGrid w:val="0"/>
              <w:jc w:val="center"/>
              <w:rPr>
                <w:color w:val="auto"/>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9" w:hRule="atLeast"/>
          <w:jc w:val="center"/>
        </w:trPr>
        <w:tc>
          <w:tcPr>
            <w:tcW w:w="1778" w:type="dxa"/>
            <w:vMerge w:val="continue"/>
            <w:noWrap w:val="0"/>
            <w:vAlign w:val="center"/>
          </w:tcPr>
          <w:p>
            <w:pPr>
              <w:adjustRightInd w:val="0"/>
              <w:snapToGrid w:val="0"/>
              <w:jc w:val="center"/>
              <w:rPr>
                <w:color w:val="auto"/>
                <w:szCs w:val="21"/>
                <w:highlight w:val="none"/>
              </w:rPr>
            </w:pPr>
          </w:p>
        </w:tc>
        <w:tc>
          <w:tcPr>
            <w:tcW w:w="1755" w:type="dxa"/>
            <w:vMerge w:val="continue"/>
            <w:noWrap w:val="0"/>
            <w:vAlign w:val="center"/>
          </w:tcPr>
          <w:p>
            <w:pPr>
              <w:adjustRightInd w:val="0"/>
              <w:snapToGrid w:val="0"/>
              <w:jc w:val="center"/>
              <w:rPr>
                <w:color w:val="auto"/>
                <w:szCs w:val="21"/>
                <w:highlight w:val="none"/>
              </w:rPr>
            </w:pPr>
          </w:p>
        </w:tc>
        <w:tc>
          <w:tcPr>
            <w:tcW w:w="1755" w:type="dxa"/>
            <w:noWrap w:val="0"/>
            <w:vAlign w:val="center"/>
          </w:tcPr>
          <w:p>
            <w:pPr>
              <w:tabs>
                <w:tab w:val="left" w:pos="105"/>
              </w:tabs>
              <w:spacing w:line="240" w:lineRule="exact"/>
              <w:ind w:left="-120" w:leftChars="-50" w:right="-120" w:rightChars="-50"/>
              <w:jc w:val="center"/>
              <w:rPr>
                <w:color w:val="auto"/>
                <w:szCs w:val="21"/>
                <w:highlight w:val="none"/>
              </w:rPr>
            </w:pPr>
            <w:r>
              <w:rPr>
                <w:color w:val="auto"/>
                <w:szCs w:val="21"/>
                <w:highlight w:val="none"/>
              </w:rPr>
              <w:t>沥青烟气</w:t>
            </w:r>
          </w:p>
        </w:tc>
        <w:tc>
          <w:tcPr>
            <w:tcW w:w="1755" w:type="dxa"/>
            <w:vMerge w:val="continue"/>
            <w:noWrap w:val="0"/>
            <w:vAlign w:val="center"/>
          </w:tcPr>
          <w:p>
            <w:pPr>
              <w:adjustRightInd w:val="0"/>
              <w:snapToGrid w:val="0"/>
              <w:jc w:val="center"/>
              <w:rPr>
                <w:color w:val="auto"/>
                <w:szCs w:val="21"/>
                <w:highlight w:val="none"/>
              </w:rPr>
            </w:pPr>
          </w:p>
        </w:tc>
        <w:tc>
          <w:tcPr>
            <w:tcW w:w="1757" w:type="dxa"/>
            <w:vMerge w:val="continue"/>
            <w:noWrap w:val="0"/>
            <w:vAlign w:val="center"/>
          </w:tcPr>
          <w:p>
            <w:pPr>
              <w:adjustRightInd w:val="0"/>
              <w:snapToGrid w:val="0"/>
              <w:jc w:val="center"/>
              <w:rPr>
                <w:color w:val="auto"/>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9" w:hRule="atLeast"/>
          <w:jc w:val="center"/>
        </w:trPr>
        <w:tc>
          <w:tcPr>
            <w:tcW w:w="1778" w:type="dxa"/>
            <w:vMerge w:val="continue"/>
            <w:noWrap w:val="0"/>
            <w:vAlign w:val="center"/>
          </w:tcPr>
          <w:p>
            <w:pPr>
              <w:adjustRightInd w:val="0"/>
              <w:snapToGrid w:val="0"/>
              <w:jc w:val="center"/>
              <w:rPr>
                <w:color w:val="auto"/>
                <w:szCs w:val="21"/>
                <w:highlight w:val="none"/>
              </w:rPr>
            </w:pPr>
          </w:p>
        </w:tc>
        <w:tc>
          <w:tcPr>
            <w:tcW w:w="1755" w:type="dxa"/>
            <w:vMerge w:val="continue"/>
            <w:noWrap w:val="0"/>
            <w:vAlign w:val="center"/>
          </w:tcPr>
          <w:p>
            <w:pPr>
              <w:adjustRightInd w:val="0"/>
              <w:snapToGrid w:val="0"/>
              <w:jc w:val="center"/>
              <w:rPr>
                <w:color w:val="auto"/>
                <w:szCs w:val="21"/>
                <w:highlight w:val="none"/>
              </w:rPr>
            </w:pPr>
          </w:p>
        </w:tc>
        <w:tc>
          <w:tcPr>
            <w:tcW w:w="1755" w:type="dxa"/>
            <w:noWrap w:val="0"/>
            <w:vAlign w:val="center"/>
          </w:tcPr>
          <w:p>
            <w:pPr>
              <w:tabs>
                <w:tab w:val="left" w:pos="105"/>
              </w:tabs>
              <w:spacing w:line="240" w:lineRule="exact"/>
              <w:ind w:left="-120" w:leftChars="-50" w:right="-120" w:rightChars="-50"/>
              <w:jc w:val="center"/>
              <w:rPr>
                <w:color w:val="auto"/>
                <w:szCs w:val="21"/>
                <w:highlight w:val="none"/>
              </w:rPr>
            </w:pPr>
            <w:r>
              <w:rPr>
                <w:color w:val="auto"/>
                <w:szCs w:val="21"/>
                <w:highlight w:val="none"/>
              </w:rPr>
              <w:t>苯并[a]芘</w:t>
            </w:r>
          </w:p>
        </w:tc>
        <w:tc>
          <w:tcPr>
            <w:tcW w:w="1755" w:type="dxa"/>
            <w:vMerge w:val="continue"/>
            <w:noWrap w:val="0"/>
            <w:vAlign w:val="center"/>
          </w:tcPr>
          <w:p>
            <w:pPr>
              <w:adjustRightInd w:val="0"/>
              <w:snapToGrid w:val="0"/>
              <w:jc w:val="center"/>
              <w:rPr>
                <w:color w:val="auto"/>
                <w:szCs w:val="21"/>
                <w:highlight w:val="none"/>
              </w:rPr>
            </w:pPr>
          </w:p>
        </w:tc>
        <w:tc>
          <w:tcPr>
            <w:tcW w:w="1757" w:type="dxa"/>
            <w:vMerge w:val="continue"/>
            <w:noWrap w:val="0"/>
            <w:vAlign w:val="center"/>
          </w:tcPr>
          <w:p>
            <w:pPr>
              <w:adjustRightInd w:val="0"/>
              <w:snapToGrid w:val="0"/>
              <w:jc w:val="center"/>
              <w:rPr>
                <w:color w:val="auto"/>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9" w:hRule="atLeast"/>
          <w:jc w:val="center"/>
        </w:trPr>
        <w:tc>
          <w:tcPr>
            <w:tcW w:w="1778" w:type="dxa"/>
            <w:vMerge w:val="continue"/>
            <w:noWrap w:val="0"/>
            <w:vAlign w:val="center"/>
          </w:tcPr>
          <w:p>
            <w:pPr>
              <w:adjustRightInd w:val="0"/>
              <w:snapToGrid w:val="0"/>
              <w:jc w:val="center"/>
              <w:rPr>
                <w:color w:val="auto"/>
                <w:szCs w:val="21"/>
                <w:highlight w:val="none"/>
              </w:rPr>
            </w:pPr>
          </w:p>
        </w:tc>
        <w:tc>
          <w:tcPr>
            <w:tcW w:w="1755" w:type="dxa"/>
            <w:vMerge w:val="continue"/>
            <w:noWrap w:val="0"/>
            <w:vAlign w:val="center"/>
          </w:tcPr>
          <w:p>
            <w:pPr>
              <w:adjustRightInd w:val="0"/>
              <w:snapToGrid w:val="0"/>
              <w:jc w:val="center"/>
              <w:rPr>
                <w:color w:val="auto"/>
                <w:szCs w:val="21"/>
                <w:highlight w:val="none"/>
              </w:rPr>
            </w:pPr>
          </w:p>
        </w:tc>
        <w:tc>
          <w:tcPr>
            <w:tcW w:w="1755" w:type="dxa"/>
            <w:noWrap w:val="0"/>
            <w:vAlign w:val="center"/>
          </w:tcPr>
          <w:p>
            <w:pPr>
              <w:tabs>
                <w:tab w:val="left" w:pos="105"/>
              </w:tabs>
              <w:spacing w:line="240" w:lineRule="exact"/>
              <w:ind w:left="-120" w:leftChars="-50" w:right="-120" w:rightChars="-50"/>
              <w:jc w:val="center"/>
              <w:rPr>
                <w:color w:val="auto"/>
                <w:szCs w:val="21"/>
                <w:highlight w:val="none"/>
              </w:rPr>
            </w:pPr>
            <w:r>
              <w:rPr>
                <w:color w:val="auto"/>
                <w:szCs w:val="21"/>
                <w:highlight w:val="none"/>
              </w:rPr>
              <w:t>非甲烷总烃</w:t>
            </w:r>
          </w:p>
        </w:tc>
        <w:tc>
          <w:tcPr>
            <w:tcW w:w="1755" w:type="dxa"/>
            <w:vMerge w:val="continue"/>
            <w:noWrap w:val="0"/>
            <w:vAlign w:val="center"/>
          </w:tcPr>
          <w:p>
            <w:pPr>
              <w:adjustRightInd w:val="0"/>
              <w:snapToGrid w:val="0"/>
              <w:jc w:val="center"/>
              <w:rPr>
                <w:color w:val="auto"/>
                <w:szCs w:val="21"/>
                <w:highlight w:val="none"/>
              </w:rPr>
            </w:pPr>
          </w:p>
        </w:tc>
        <w:tc>
          <w:tcPr>
            <w:tcW w:w="1757" w:type="dxa"/>
            <w:vMerge w:val="continue"/>
            <w:noWrap w:val="0"/>
            <w:vAlign w:val="center"/>
          </w:tcPr>
          <w:p>
            <w:pPr>
              <w:adjustRightInd w:val="0"/>
              <w:snapToGrid w:val="0"/>
              <w:jc w:val="center"/>
              <w:rPr>
                <w:color w:val="auto"/>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1778" w:type="dxa"/>
            <w:vMerge w:val="continue"/>
            <w:noWrap w:val="0"/>
            <w:vAlign w:val="center"/>
          </w:tcPr>
          <w:p>
            <w:pPr>
              <w:adjustRightInd w:val="0"/>
              <w:snapToGrid w:val="0"/>
              <w:jc w:val="center"/>
              <w:rPr>
                <w:color w:val="auto"/>
                <w:szCs w:val="21"/>
                <w:highlight w:val="none"/>
              </w:rPr>
            </w:pPr>
          </w:p>
        </w:tc>
        <w:tc>
          <w:tcPr>
            <w:tcW w:w="1755" w:type="dxa"/>
            <w:vMerge w:val="restart"/>
            <w:noWrap w:val="0"/>
            <w:vAlign w:val="center"/>
          </w:tcPr>
          <w:p>
            <w:pPr>
              <w:adjustRightInd w:val="0"/>
              <w:snapToGrid w:val="0"/>
              <w:jc w:val="center"/>
              <w:rPr>
                <w:color w:val="auto"/>
                <w:szCs w:val="21"/>
                <w:highlight w:val="none"/>
              </w:rPr>
            </w:pPr>
            <w:r>
              <w:rPr>
                <w:color w:val="auto"/>
                <w:szCs w:val="21"/>
                <w:highlight w:val="none"/>
              </w:rPr>
              <w:t>G</w:t>
            </w:r>
            <w:r>
              <w:rPr>
                <w:rFonts w:hint="eastAsia"/>
                <w:color w:val="auto"/>
                <w:szCs w:val="21"/>
                <w:highlight w:val="none"/>
              </w:rPr>
              <w:t>2排口</w:t>
            </w:r>
          </w:p>
        </w:tc>
        <w:tc>
          <w:tcPr>
            <w:tcW w:w="1755" w:type="dxa"/>
            <w:noWrap w:val="0"/>
            <w:vAlign w:val="center"/>
          </w:tcPr>
          <w:p>
            <w:pPr>
              <w:tabs>
                <w:tab w:val="left" w:pos="105"/>
              </w:tabs>
              <w:spacing w:line="240" w:lineRule="exact"/>
              <w:ind w:left="-120" w:leftChars="-50" w:right="-120" w:rightChars="-50"/>
              <w:jc w:val="center"/>
              <w:rPr>
                <w:color w:val="auto"/>
                <w:szCs w:val="21"/>
                <w:highlight w:val="none"/>
              </w:rPr>
            </w:pPr>
            <w:r>
              <w:rPr>
                <w:color w:val="auto"/>
                <w:szCs w:val="21"/>
                <w:highlight w:val="none"/>
              </w:rPr>
              <w:t>SO</w:t>
            </w:r>
            <w:r>
              <w:rPr>
                <w:color w:val="auto"/>
                <w:szCs w:val="21"/>
                <w:highlight w:val="none"/>
                <w:vertAlign w:val="subscript"/>
              </w:rPr>
              <w:t>2</w:t>
            </w:r>
          </w:p>
        </w:tc>
        <w:tc>
          <w:tcPr>
            <w:tcW w:w="1755" w:type="dxa"/>
            <w:vMerge w:val="restart"/>
            <w:noWrap w:val="0"/>
            <w:vAlign w:val="center"/>
          </w:tcPr>
          <w:p>
            <w:pPr>
              <w:snapToGrid w:val="0"/>
              <w:ind w:left="-30" w:right="-30"/>
              <w:jc w:val="center"/>
              <w:rPr>
                <w:color w:val="auto"/>
                <w:szCs w:val="21"/>
                <w:highlight w:val="none"/>
              </w:rPr>
            </w:pPr>
            <w:r>
              <w:rPr>
                <w:color w:val="auto"/>
                <w:szCs w:val="21"/>
                <w:highlight w:val="none"/>
              </w:rPr>
              <w:t>加热油炉采用天然气为燃料，燃烧尾气经15m排气筒（2#）排放。</w:t>
            </w:r>
          </w:p>
        </w:tc>
        <w:tc>
          <w:tcPr>
            <w:tcW w:w="1757" w:type="dxa"/>
            <w:vMerge w:val="restart"/>
            <w:noWrap w:val="0"/>
            <w:vAlign w:val="center"/>
          </w:tcPr>
          <w:p>
            <w:pPr>
              <w:adjustRightInd w:val="0"/>
              <w:snapToGrid w:val="0"/>
              <w:jc w:val="center"/>
              <w:rPr>
                <w:color w:val="auto"/>
                <w:szCs w:val="21"/>
                <w:highlight w:val="none"/>
              </w:rPr>
            </w:pPr>
            <w:r>
              <w:rPr>
                <w:color w:val="auto"/>
                <w:szCs w:val="21"/>
                <w:highlight w:val="none"/>
              </w:rPr>
              <w:t>《锅炉大气污染物排放标准》(GB13271-2014)表3中燃气(天然气）锅炉大气污染物排放标准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1778" w:type="dxa"/>
            <w:vMerge w:val="continue"/>
            <w:noWrap w:val="0"/>
            <w:vAlign w:val="center"/>
          </w:tcPr>
          <w:p>
            <w:pPr>
              <w:adjustRightInd w:val="0"/>
              <w:snapToGrid w:val="0"/>
              <w:jc w:val="center"/>
              <w:rPr>
                <w:color w:val="auto"/>
                <w:highlight w:val="none"/>
              </w:rPr>
            </w:pPr>
          </w:p>
        </w:tc>
        <w:tc>
          <w:tcPr>
            <w:tcW w:w="1755" w:type="dxa"/>
            <w:vMerge w:val="continue"/>
            <w:noWrap w:val="0"/>
            <w:vAlign w:val="center"/>
          </w:tcPr>
          <w:p>
            <w:pPr>
              <w:adjustRightInd w:val="0"/>
              <w:snapToGrid w:val="0"/>
              <w:jc w:val="center"/>
              <w:rPr>
                <w:color w:val="auto"/>
                <w:highlight w:val="none"/>
              </w:rPr>
            </w:pPr>
          </w:p>
        </w:tc>
        <w:tc>
          <w:tcPr>
            <w:tcW w:w="1755" w:type="dxa"/>
            <w:noWrap w:val="0"/>
            <w:vAlign w:val="center"/>
          </w:tcPr>
          <w:p>
            <w:pPr>
              <w:tabs>
                <w:tab w:val="left" w:pos="105"/>
              </w:tabs>
              <w:spacing w:line="240" w:lineRule="exact"/>
              <w:ind w:left="-120" w:leftChars="-50" w:right="-120" w:rightChars="-50"/>
              <w:jc w:val="center"/>
              <w:rPr>
                <w:color w:val="auto"/>
                <w:szCs w:val="21"/>
                <w:highlight w:val="none"/>
              </w:rPr>
            </w:pPr>
            <w:r>
              <w:rPr>
                <w:color w:val="auto"/>
                <w:szCs w:val="21"/>
                <w:highlight w:val="none"/>
              </w:rPr>
              <w:t>NOx</w:t>
            </w:r>
          </w:p>
        </w:tc>
        <w:tc>
          <w:tcPr>
            <w:tcW w:w="1755" w:type="dxa"/>
            <w:vMerge w:val="continue"/>
            <w:noWrap w:val="0"/>
            <w:vAlign w:val="center"/>
          </w:tcPr>
          <w:p>
            <w:pPr>
              <w:adjustRightInd w:val="0"/>
              <w:snapToGrid w:val="0"/>
              <w:jc w:val="center"/>
              <w:rPr>
                <w:color w:val="auto"/>
                <w:szCs w:val="21"/>
                <w:highlight w:val="none"/>
              </w:rPr>
            </w:pPr>
          </w:p>
        </w:tc>
        <w:tc>
          <w:tcPr>
            <w:tcW w:w="1757" w:type="dxa"/>
            <w:vMerge w:val="continue"/>
            <w:noWrap w:val="0"/>
            <w:vAlign w:val="center"/>
          </w:tcPr>
          <w:p>
            <w:pPr>
              <w:adjustRightInd w:val="0"/>
              <w:snapToGrid w:val="0"/>
              <w:jc w:val="center"/>
              <w:rPr>
                <w:color w:val="auto"/>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1778" w:type="dxa"/>
            <w:vMerge w:val="continue"/>
            <w:noWrap w:val="0"/>
            <w:vAlign w:val="center"/>
          </w:tcPr>
          <w:p>
            <w:pPr>
              <w:adjustRightInd w:val="0"/>
              <w:snapToGrid w:val="0"/>
              <w:jc w:val="center"/>
              <w:rPr>
                <w:color w:val="auto"/>
                <w:szCs w:val="21"/>
                <w:highlight w:val="none"/>
              </w:rPr>
            </w:pPr>
          </w:p>
        </w:tc>
        <w:tc>
          <w:tcPr>
            <w:tcW w:w="1755" w:type="dxa"/>
            <w:vMerge w:val="continue"/>
            <w:noWrap w:val="0"/>
            <w:vAlign w:val="center"/>
          </w:tcPr>
          <w:p>
            <w:pPr>
              <w:adjustRightInd w:val="0"/>
              <w:snapToGrid w:val="0"/>
              <w:jc w:val="center"/>
              <w:rPr>
                <w:color w:val="auto"/>
                <w:szCs w:val="21"/>
                <w:highlight w:val="none"/>
              </w:rPr>
            </w:pPr>
          </w:p>
        </w:tc>
        <w:tc>
          <w:tcPr>
            <w:tcW w:w="1755" w:type="dxa"/>
            <w:noWrap w:val="0"/>
            <w:vAlign w:val="center"/>
          </w:tcPr>
          <w:p>
            <w:pPr>
              <w:tabs>
                <w:tab w:val="left" w:pos="105"/>
              </w:tabs>
              <w:spacing w:line="240" w:lineRule="exact"/>
              <w:ind w:left="-120" w:leftChars="-50" w:right="-120" w:rightChars="-50"/>
              <w:jc w:val="center"/>
              <w:rPr>
                <w:color w:val="auto"/>
                <w:szCs w:val="21"/>
                <w:highlight w:val="none"/>
              </w:rPr>
            </w:pPr>
            <w:r>
              <w:rPr>
                <w:color w:val="auto"/>
                <w:szCs w:val="21"/>
                <w:highlight w:val="none"/>
              </w:rPr>
              <w:t>粉尘</w:t>
            </w:r>
          </w:p>
        </w:tc>
        <w:tc>
          <w:tcPr>
            <w:tcW w:w="1755" w:type="dxa"/>
            <w:vMerge w:val="continue"/>
            <w:noWrap w:val="0"/>
            <w:vAlign w:val="center"/>
          </w:tcPr>
          <w:p>
            <w:pPr>
              <w:adjustRightInd w:val="0"/>
              <w:snapToGrid w:val="0"/>
              <w:jc w:val="center"/>
              <w:rPr>
                <w:color w:val="auto"/>
                <w:szCs w:val="21"/>
                <w:highlight w:val="none"/>
              </w:rPr>
            </w:pPr>
          </w:p>
        </w:tc>
        <w:tc>
          <w:tcPr>
            <w:tcW w:w="1757" w:type="dxa"/>
            <w:vMerge w:val="continue"/>
            <w:noWrap w:val="0"/>
            <w:vAlign w:val="center"/>
          </w:tcPr>
          <w:p>
            <w:pPr>
              <w:adjustRightInd w:val="0"/>
              <w:snapToGrid w:val="0"/>
              <w:jc w:val="center"/>
              <w:rPr>
                <w:color w:val="auto"/>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78" w:type="dxa"/>
            <w:vMerge w:val="continue"/>
            <w:noWrap w:val="0"/>
            <w:vAlign w:val="center"/>
          </w:tcPr>
          <w:p>
            <w:pPr>
              <w:adjustRightInd w:val="0"/>
              <w:snapToGrid w:val="0"/>
              <w:jc w:val="center"/>
              <w:rPr>
                <w:color w:val="auto"/>
                <w:szCs w:val="21"/>
                <w:highlight w:val="none"/>
              </w:rPr>
            </w:pPr>
          </w:p>
        </w:tc>
        <w:tc>
          <w:tcPr>
            <w:tcW w:w="1755" w:type="dxa"/>
            <w:noWrap w:val="0"/>
            <w:vAlign w:val="center"/>
          </w:tcPr>
          <w:p>
            <w:pPr>
              <w:adjustRightInd w:val="0"/>
              <w:snapToGrid w:val="0"/>
              <w:jc w:val="center"/>
              <w:rPr>
                <w:color w:val="auto"/>
                <w:szCs w:val="21"/>
                <w:highlight w:val="none"/>
              </w:rPr>
            </w:pPr>
            <w:r>
              <w:rPr>
                <w:rFonts w:hint="eastAsia"/>
                <w:color w:val="auto"/>
                <w:szCs w:val="21"/>
                <w:highlight w:val="none"/>
              </w:rPr>
              <w:t>原料堆场</w:t>
            </w:r>
          </w:p>
        </w:tc>
        <w:tc>
          <w:tcPr>
            <w:tcW w:w="1755" w:type="dxa"/>
            <w:noWrap w:val="0"/>
            <w:vAlign w:val="center"/>
          </w:tcPr>
          <w:p>
            <w:pPr>
              <w:adjustRightInd w:val="0"/>
              <w:snapToGrid w:val="0"/>
              <w:jc w:val="center"/>
              <w:rPr>
                <w:rFonts w:hint="eastAsia"/>
                <w:color w:val="auto"/>
                <w:szCs w:val="21"/>
                <w:highlight w:val="none"/>
              </w:rPr>
            </w:pPr>
            <w:r>
              <w:rPr>
                <w:rFonts w:hint="eastAsia"/>
                <w:color w:val="auto"/>
                <w:szCs w:val="21"/>
                <w:highlight w:val="none"/>
              </w:rPr>
              <w:t>TSP</w:t>
            </w:r>
          </w:p>
        </w:tc>
        <w:tc>
          <w:tcPr>
            <w:tcW w:w="1755" w:type="dxa"/>
            <w:noWrap w:val="0"/>
            <w:vAlign w:val="center"/>
          </w:tcPr>
          <w:p>
            <w:pPr>
              <w:adjustRightInd w:val="0"/>
              <w:snapToGrid w:val="0"/>
              <w:jc w:val="center"/>
              <w:rPr>
                <w:color w:val="auto"/>
                <w:szCs w:val="21"/>
                <w:highlight w:val="none"/>
              </w:rPr>
            </w:pPr>
            <w:r>
              <w:rPr>
                <w:color w:val="auto"/>
                <w:szCs w:val="21"/>
                <w:highlight w:val="none"/>
              </w:rPr>
              <w:t>骨料堆场调整为三面封闭，加装喷淋装置</w:t>
            </w:r>
            <w:r>
              <w:rPr>
                <w:rFonts w:hint="eastAsia"/>
                <w:color w:val="auto"/>
                <w:szCs w:val="21"/>
                <w:highlight w:val="none"/>
              </w:rPr>
              <w:t>；</w:t>
            </w:r>
            <w:r>
              <w:rPr>
                <w:color w:val="auto"/>
                <w:szCs w:val="21"/>
                <w:highlight w:val="none"/>
              </w:rPr>
              <w:t>厂区道路扬尘：道路进行硬化，同时进行洒水降尘；</w:t>
            </w:r>
          </w:p>
        </w:tc>
        <w:tc>
          <w:tcPr>
            <w:tcW w:w="1757" w:type="dxa"/>
            <w:noWrap w:val="0"/>
            <w:vAlign w:val="center"/>
          </w:tcPr>
          <w:p>
            <w:pPr>
              <w:adjustRightInd w:val="0"/>
              <w:snapToGrid w:val="0"/>
              <w:jc w:val="center"/>
              <w:rPr>
                <w:color w:val="auto"/>
                <w:szCs w:val="21"/>
                <w:highlight w:val="none"/>
              </w:rPr>
            </w:pPr>
            <w:r>
              <w:rPr>
                <w:color w:val="auto"/>
                <w:szCs w:val="21"/>
                <w:highlight w:val="none"/>
              </w:rPr>
              <w:t>《大气污染物综合排放标准》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78" w:type="dxa"/>
            <w:noWrap w:val="0"/>
            <w:vAlign w:val="center"/>
          </w:tcPr>
          <w:p>
            <w:pPr>
              <w:adjustRightInd w:val="0"/>
              <w:snapToGrid w:val="0"/>
              <w:jc w:val="center"/>
              <w:rPr>
                <w:color w:val="auto"/>
                <w:szCs w:val="21"/>
                <w:highlight w:val="none"/>
              </w:rPr>
            </w:pPr>
            <w:r>
              <w:rPr>
                <w:color w:val="auto"/>
                <w:szCs w:val="21"/>
                <w:highlight w:val="none"/>
              </w:rPr>
              <w:t>地表水环境</w:t>
            </w:r>
          </w:p>
        </w:tc>
        <w:tc>
          <w:tcPr>
            <w:tcW w:w="1755" w:type="dxa"/>
            <w:noWrap w:val="0"/>
            <w:vAlign w:val="center"/>
          </w:tcPr>
          <w:p>
            <w:pPr>
              <w:adjustRightInd w:val="0"/>
              <w:snapToGrid w:val="0"/>
              <w:jc w:val="center"/>
              <w:rPr>
                <w:rFonts w:hint="eastAsia"/>
                <w:color w:val="auto"/>
                <w:szCs w:val="21"/>
                <w:highlight w:val="none"/>
              </w:rPr>
            </w:pPr>
            <w:r>
              <w:rPr>
                <w:rFonts w:hint="eastAsia"/>
                <w:color w:val="auto"/>
                <w:szCs w:val="21"/>
                <w:highlight w:val="none"/>
              </w:rPr>
              <w:t>/</w:t>
            </w:r>
          </w:p>
        </w:tc>
        <w:tc>
          <w:tcPr>
            <w:tcW w:w="1755" w:type="dxa"/>
            <w:noWrap w:val="0"/>
            <w:vAlign w:val="center"/>
          </w:tcPr>
          <w:p>
            <w:pPr>
              <w:adjustRightInd w:val="0"/>
              <w:snapToGrid w:val="0"/>
              <w:jc w:val="center"/>
              <w:rPr>
                <w:color w:val="auto"/>
                <w:szCs w:val="21"/>
                <w:highlight w:val="none"/>
              </w:rPr>
            </w:pPr>
            <w:r>
              <w:rPr>
                <w:rFonts w:hint="eastAsia"/>
                <w:color w:val="auto"/>
                <w:szCs w:val="21"/>
                <w:highlight w:val="none"/>
              </w:rPr>
              <w:t>生活废水</w:t>
            </w:r>
          </w:p>
        </w:tc>
        <w:tc>
          <w:tcPr>
            <w:tcW w:w="1755" w:type="dxa"/>
            <w:noWrap w:val="0"/>
            <w:vAlign w:val="center"/>
          </w:tcPr>
          <w:p>
            <w:pPr>
              <w:adjustRightInd w:val="0"/>
              <w:snapToGrid w:val="0"/>
              <w:jc w:val="center"/>
              <w:rPr>
                <w:color w:val="auto"/>
                <w:szCs w:val="21"/>
                <w:highlight w:val="none"/>
              </w:rPr>
            </w:pPr>
            <w:r>
              <w:rPr>
                <w:rFonts w:hint="eastAsia" w:ascii="宋体" w:hAnsi="宋体" w:cs="宋体"/>
                <w:color w:val="auto"/>
                <w:szCs w:val="21"/>
                <w:highlight w:val="none"/>
              </w:rPr>
              <w:t>化粪池处理后，农田施肥</w:t>
            </w:r>
          </w:p>
        </w:tc>
        <w:tc>
          <w:tcPr>
            <w:tcW w:w="1757" w:type="dxa"/>
            <w:noWrap w:val="0"/>
            <w:vAlign w:val="center"/>
          </w:tcPr>
          <w:p>
            <w:pPr>
              <w:adjustRightInd w:val="0"/>
              <w:snapToGrid w:val="0"/>
              <w:jc w:val="center"/>
              <w:rPr>
                <w:rFonts w:hint="eastAsia"/>
                <w:color w:val="auto"/>
                <w:szCs w:val="21"/>
                <w:highlight w:val="none"/>
              </w:rPr>
            </w:pPr>
            <w:r>
              <w:rPr>
                <w:rFonts w:hint="eastAsia"/>
                <w:color w:val="auto"/>
                <w:szCs w:val="21"/>
                <w:highlight w:val="none"/>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78" w:type="dxa"/>
            <w:vMerge w:val="restart"/>
            <w:noWrap w:val="0"/>
            <w:vAlign w:val="center"/>
          </w:tcPr>
          <w:p>
            <w:pPr>
              <w:adjustRightInd w:val="0"/>
              <w:snapToGrid w:val="0"/>
              <w:jc w:val="center"/>
              <w:rPr>
                <w:color w:val="auto"/>
                <w:szCs w:val="21"/>
                <w:highlight w:val="none"/>
              </w:rPr>
            </w:pPr>
            <w:r>
              <w:rPr>
                <w:color w:val="auto"/>
                <w:szCs w:val="21"/>
                <w:highlight w:val="none"/>
              </w:rPr>
              <w:t>声环境</w:t>
            </w:r>
          </w:p>
        </w:tc>
        <w:tc>
          <w:tcPr>
            <w:tcW w:w="1755" w:type="dxa"/>
            <w:vMerge w:val="restart"/>
            <w:noWrap w:val="0"/>
            <w:vAlign w:val="center"/>
          </w:tcPr>
          <w:p>
            <w:pPr>
              <w:adjustRightInd w:val="0"/>
              <w:snapToGrid w:val="0"/>
              <w:jc w:val="center"/>
              <w:rPr>
                <w:color w:val="auto"/>
                <w:szCs w:val="21"/>
                <w:highlight w:val="none"/>
              </w:rPr>
            </w:pPr>
            <w:r>
              <w:rPr>
                <w:rFonts w:hint="eastAsia" w:ascii="宋体" w:hAnsi="宋体" w:cs="宋体"/>
                <w:color w:val="auto"/>
                <w:szCs w:val="21"/>
                <w:highlight w:val="none"/>
              </w:rPr>
              <w:t>N1厂区噪声排放</w:t>
            </w:r>
          </w:p>
        </w:tc>
        <w:tc>
          <w:tcPr>
            <w:tcW w:w="1755" w:type="dxa"/>
            <w:noWrap w:val="0"/>
            <w:vAlign w:val="center"/>
          </w:tcPr>
          <w:p>
            <w:pPr>
              <w:adjustRightInd w:val="0"/>
              <w:snapToGrid w:val="0"/>
              <w:jc w:val="center"/>
              <w:rPr>
                <w:color w:val="auto"/>
                <w:szCs w:val="21"/>
                <w:highlight w:val="none"/>
              </w:rPr>
            </w:pPr>
            <w:r>
              <w:rPr>
                <w:rFonts w:hint="eastAsia" w:ascii="宋体" w:hAnsi="宋体" w:cs="宋体"/>
                <w:color w:val="auto"/>
                <w:szCs w:val="21"/>
                <w:highlight w:val="none"/>
              </w:rPr>
              <w:t>设备噪声</w:t>
            </w:r>
          </w:p>
        </w:tc>
        <w:tc>
          <w:tcPr>
            <w:tcW w:w="1755" w:type="dxa"/>
            <w:noWrap w:val="0"/>
            <w:vAlign w:val="center"/>
          </w:tcPr>
          <w:p>
            <w:pPr>
              <w:adjustRightInd w:val="0"/>
              <w:snapToGrid w:val="0"/>
              <w:jc w:val="center"/>
              <w:rPr>
                <w:color w:val="auto"/>
                <w:szCs w:val="21"/>
                <w:highlight w:val="none"/>
              </w:rPr>
            </w:pPr>
            <w:r>
              <w:rPr>
                <w:rFonts w:hint="eastAsia" w:ascii="宋体" w:hAnsi="宋体" w:cs="宋体"/>
                <w:color w:val="auto"/>
                <w:szCs w:val="21"/>
                <w:highlight w:val="none"/>
              </w:rPr>
              <w:t>基础减震，选用低噪声设备等</w:t>
            </w:r>
          </w:p>
        </w:tc>
        <w:tc>
          <w:tcPr>
            <w:tcW w:w="1757" w:type="dxa"/>
            <w:vMerge w:val="restart"/>
            <w:noWrap w:val="0"/>
            <w:vAlign w:val="center"/>
          </w:tcPr>
          <w:p>
            <w:pPr>
              <w:adjustRightInd w:val="0"/>
              <w:snapToGrid w:val="0"/>
              <w:jc w:val="center"/>
              <w:rPr>
                <w:color w:val="auto"/>
                <w:szCs w:val="21"/>
                <w:highlight w:val="none"/>
              </w:rPr>
            </w:pPr>
            <w:r>
              <w:rPr>
                <w:snapToGrid w:val="0"/>
                <w:color w:val="auto"/>
                <w:kern w:val="0"/>
                <w:sz w:val="24"/>
                <w:highlight w:val="none"/>
              </w:rPr>
              <w:t>《工业企业厂界噪声排放标准》（GB12348-2008）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78" w:type="dxa"/>
            <w:vMerge w:val="continue"/>
            <w:noWrap w:val="0"/>
            <w:vAlign w:val="center"/>
          </w:tcPr>
          <w:p>
            <w:pPr>
              <w:adjustRightInd w:val="0"/>
              <w:snapToGrid w:val="0"/>
              <w:jc w:val="center"/>
              <w:rPr>
                <w:color w:val="auto"/>
                <w:szCs w:val="21"/>
                <w:highlight w:val="none"/>
              </w:rPr>
            </w:pPr>
          </w:p>
        </w:tc>
        <w:tc>
          <w:tcPr>
            <w:tcW w:w="1755" w:type="dxa"/>
            <w:vMerge w:val="continue"/>
            <w:noWrap w:val="0"/>
            <w:vAlign w:val="center"/>
          </w:tcPr>
          <w:p>
            <w:pPr>
              <w:adjustRightInd w:val="0"/>
              <w:snapToGrid w:val="0"/>
              <w:jc w:val="center"/>
              <w:rPr>
                <w:color w:val="auto"/>
                <w:szCs w:val="21"/>
                <w:highlight w:val="none"/>
              </w:rPr>
            </w:pPr>
          </w:p>
        </w:tc>
        <w:tc>
          <w:tcPr>
            <w:tcW w:w="1755" w:type="dxa"/>
            <w:noWrap w:val="0"/>
            <w:vAlign w:val="center"/>
          </w:tcPr>
          <w:p>
            <w:pPr>
              <w:adjustRightInd w:val="0"/>
              <w:snapToGrid w:val="0"/>
              <w:jc w:val="center"/>
              <w:rPr>
                <w:color w:val="auto"/>
                <w:szCs w:val="21"/>
                <w:highlight w:val="none"/>
              </w:rPr>
            </w:pPr>
            <w:r>
              <w:rPr>
                <w:rFonts w:hint="eastAsia" w:ascii="宋体" w:hAnsi="宋体" w:cs="宋体"/>
                <w:color w:val="auto"/>
                <w:szCs w:val="21"/>
                <w:highlight w:val="none"/>
              </w:rPr>
              <w:t>交通噪声</w:t>
            </w:r>
          </w:p>
        </w:tc>
        <w:tc>
          <w:tcPr>
            <w:tcW w:w="1755" w:type="dxa"/>
            <w:noWrap w:val="0"/>
            <w:vAlign w:val="center"/>
          </w:tcPr>
          <w:p>
            <w:pPr>
              <w:adjustRightInd w:val="0"/>
              <w:snapToGrid w:val="0"/>
              <w:jc w:val="center"/>
              <w:rPr>
                <w:color w:val="auto"/>
                <w:szCs w:val="21"/>
                <w:highlight w:val="none"/>
              </w:rPr>
            </w:pPr>
            <w:r>
              <w:rPr>
                <w:rFonts w:hint="eastAsia" w:ascii="宋体" w:hAnsi="宋体" w:cs="宋体"/>
                <w:color w:val="auto"/>
                <w:szCs w:val="21"/>
                <w:highlight w:val="none"/>
              </w:rPr>
              <w:t>加强管理，厂区禁止鸣笛，限制车速等</w:t>
            </w:r>
          </w:p>
        </w:tc>
        <w:tc>
          <w:tcPr>
            <w:tcW w:w="1757" w:type="dxa"/>
            <w:vMerge w:val="continue"/>
            <w:noWrap w:val="0"/>
            <w:vAlign w:val="center"/>
          </w:tcPr>
          <w:p>
            <w:pPr>
              <w:adjustRightInd w:val="0"/>
              <w:snapToGrid w:val="0"/>
              <w:jc w:val="center"/>
              <w:rPr>
                <w:color w:val="auto"/>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78" w:type="dxa"/>
            <w:vMerge w:val="continue"/>
            <w:noWrap w:val="0"/>
            <w:vAlign w:val="center"/>
          </w:tcPr>
          <w:p>
            <w:pPr>
              <w:adjustRightInd w:val="0"/>
              <w:snapToGrid w:val="0"/>
              <w:jc w:val="center"/>
              <w:rPr>
                <w:color w:val="auto"/>
                <w:szCs w:val="21"/>
                <w:highlight w:val="none"/>
              </w:rPr>
            </w:pPr>
          </w:p>
        </w:tc>
        <w:tc>
          <w:tcPr>
            <w:tcW w:w="1755" w:type="dxa"/>
            <w:vMerge w:val="continue"/>
            <w:noWrap w:val="0"/>
            <w:vAlign w:val="center"/>
          </w:tcPr>
          <w:p>
            <w:pPr>
              <w:adjustRightInd w:val="0"/>
              <w:snapToGrid w:val="0"/>
              <w:jc w:val="center"/>
              <w:rPr>
                <w:color w:val="auto"/>
                <w:szCs w:val="21"/>
                <w:highlight w:val="none"/>
              </w:rPr>
            </w:pPr>
          </w:p>
        </w:tc>
        <w:tc>
          <w:tcPr>
            <w:tcW w:w="1755" w:type="dxa"/>
            <w:noWrap w:val="0"/>
            <w:vAlign w:val="center"/>
          </w:tcPr>
          <w:p>
            <w:pPr>
              <w:adjustRightInd w:val="0"/>
              <w:snapToGrid w:val="0"/>
              <w:jc w:val="center"/>
              <w:rPr>
                <w:color w:val="auto"/>
                <w:szCs w:val="21"/>
                <w:highlight w:val="none"/>
              </w:rPr>
            </w:pPr>
            <w:r>
              <w:rPr>
                <w:rFonts w:hint="eastAsia" w:ascii="宋体" w:hAnsi="宋体" w:cs="宋体"/>
                <w:color w:val="auto"/>
                <w:szCs w:val="21"/>
                <w:highlight w:val="none"/>
              </w:rPr>
              <w:t>社会噪声</w:t>
            </w:r>
          </w:p>
        </w:tc>
        <w:tc>
          <w:tcPr>
            <w:tcW w:w="1755" w:type="dxa"/>
            <w:noWrap w:val="0"/>
            <w:vAlign w:val="center"/>
          </w:tcPr>
          <w:p>
            <w:pPr>
              <w:adjustRightInd w:val="0"/>
              <w:snapToGrid w:val="0"/>
              <w:jc w:val="center"/>
              <w:rPr>
                <w:color w:val="auto"/>
                <w:szCs w:val="21"/>
                <w:highlight w:val="none"/>
              </w:rPr>
            </w:pPr>
            <w:r>
              <w:rPr>
                <w:rFonts w:hint="eastAsia" w:ascii="宋体" w:hAnsi="宋体" w:cs="宋体"/>
                <w:color w:val="auto"/>
                <w:szCs w:val="21"/>
                <w:highlight w:val="none"/>
              </w:rPr>
              <w:t>加强管理，龚龚区域禁止大声喧哗等</w:t>
            </w:r>
          </w:p>
        </w:tc>
        <w:tc>
          <w:tcPr>
            <w:tcW w:w="1757" w:type="dxa"/>
            <w:vMerge w:val="continue"/>
            <w:noWrap w:val="0"/>
            <w:vAlign w:val="center"/>
          </w:tcPr>
          <w:p>
            <w:pPr>
              <w:adjustRightInd w:val="0"/>
              <w:snapToGrid w:val="0"/>
              <w:jc w:val="center"/>
              <w:rPr>
                <w:color w:val="auto"/>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45" w:hRule="atLeast"/>
          <w:jc w:val="center"/>
        </w:trPr>
        <w:tc>
          <w:tcPr>
            <w:tcW w:w="1778" w:type="dxa"/>
            <w:noWrap w:val="0"/>
            <w:vAlign w:val="center"/>
          </w:tcPr>
          <w:p>
            <w:pPr>
              <w:adjustRightInd w:val="0"/>
              <w:snapToGrid w:val="0"/>
              <w:jc w:val="center"/>
              <w:rPr>
                <w:color w:val="auto"/>
                <w:szCs w:val="21"/>
                <w:highlight w:val="none"/>
              </w:rPr>
            </w:pPr>
            <w:r>
              <w:rPr>
                <w:color w:val="auto"/>
                <w:szCs w:val="21"/>
                <w:highlight w:val="none"/>
              </w:rPr>
              <w:t>电磁辐射</w:t>
            </w:r>
          </w:p>
        </w:tc>
        <w:tc>
          <w:tcPr>
            <w:tcW w:w="7022" w:type="dxa"/>
            <w:gridSpan w:val="4"/>
            <w:noWrap w:val="0"/>
            <w:vAlign w:val="center"/>
          </w:tcPr>
          <w:p>
            <w:pPr>
              <w:adjustRightInd w:val="0"/>
              <w:snapToGrid w:val="0"/>
              <w:jc w:val="center"/>
              <w:rPr>
                <w:rFonts w:hint="eastAsia"/>
                <w:color w:val="auto"/>
                <w:szCs w:val="21"/>
                <w:highlight w:val="none"/>
              </w:rPr>
            </w:pPr>
            <w:r>
              <w:rPr>
                <w:rFonts w:hint="eastAsia"/>
                <w:color w:val="auto"/>
                <w:szCs w:val="21"/>
                <w:highlight w:val="none"/>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1778" w:type="dxa"/>
            <w:noWrap w:val="0"/>
            <w:vAlign w:val="center"/>
          </w:tcPr>
          <w:p>
            <w:pPr>
              <w:adjustRightInd w:val="0"/>
              <w:snapToGrid w:val="0"/>
              <w:jc w:val="center"/>
              <w:rPr>
                <w:color w:val="auto"/>
                <w:szCs w:val="21"/>
                <w:highlight w:val="none"/>
              </w:rPr>
            </w:pPr>
            <w:r>
              <w:rPr>
                <w:color w:val="auto"/>
                <w:szCs w:val="21"/>
                <w:highlight w:val="none"/>
              </w:rPr>
              <w:t>固体废物</w:t>
            </w:r>
          </w:p>
        </w:tc>
        <w:tc>
          <w:tcPr>
            <w:tcW w:w="7022" w:type="dxa"/>
            <w:gridSpan w:val="4"/>
            <w:noWrap w:val="0"/>
            <w:vAlign w:val="center"/>
          </w:tcPr>
          <w:tbl>
            <w:tblPr>
              <w:tblStyle w:val="39"/>
              <w:tblW w:w="0" w:type="auto"/>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15" w:type="dxa"/>
                <w:left w:w="15" w:type="dxa"/>
                <w:bottom w:w="15" w:type="dxa"/>
                <w:right w:w="15" w:type="dxa"/>
              </w:tblCellMar>
            </w:tblPr>
            <w:tblGrid>
              <w:gridCol w:w="1015"/>
              <w:gridCol w:w="1072"/>
              <w:gridCol w:w="1685"/>
              <w:gridCol w:w="2224"/>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615" w:hRule="atLeast"/>
                <w:jc w:val="center"/>
              </w:trPr>
              <w:tc>
                <w:tcPr>
                  <w:tcW w:w="1015" w:type="dxa"/>
                  <w:noWrap/>
                  <w:vAlign w:val="center"/>
                </w:tcPr>
                <w:p>
                  <w:pPr>
                    <w:widowControl/>
                    <w:jc w:val="center"/>
                    <w:textAlignment w:val="bottom"/>
                    <w:rPr>
                      <w:b/>
                      <w:bCs/>
                      <w:color w:val="auto"/>
                      <w:szCs w:val="21"/>
                      <w:highlight w:val="none"/>
                    </w:rPr>
                  </w:pPr>
                  <w:r>
                    <w:rPr>
                      <w:b/>
                      <w:bCs/>
                      <w:color w:val="auto"/>
                      <w:kern w:val="0"/>
                      <w:szCs w:val="21"/>
                      <w:highlight w:val="none"/>
                      <w:lang w:bidi="ar"/>
                    </w:rPr>
                    <w:t>序号</w:t>
                  </w:r>
                </w:p>
              </w:tc>
              <w:tc>
                <w:tcPr>
                  <w:tcW w:w="1072" w:type="dxa"/>
                  <w:noWrap/>
                  <w:vAlign w:val="center"/>
                </w:tcPr>
                <w:p>
                  <w:pPr>
                    <w:widowControl/>
                    <w:jc w:val="center"/>
                    <w:textAlignment w:val="bottom"/>
                    <w:rPr>
                      <w:b/>
                      <w:bCs/>
                      <w:color w:val="auto"/>
                      <w:szCs w:val="21"/>
                      <w:highlight w:val="none"/>
                    </w:rPr>
                  </w:pPr>
                  <w:r>
                    <w:rPr>
                      <w:b/>
                      <w:bCs/>
                      <w:color w:val="auto"/>
                      <w:kern w:val="0"/>
                      <w:szCs w:val="21"/>
                      <w:highlight w:val="none"/>
                      <w:lang w:bidi="ar"/>
                    </w:rPr>
                    <w:t>固废名称</w:t>
                  </w:r>
                </w:p>
              </w:tc>
              <w:tc>
                <w:tcPr>
                  <w:tcW w:w="1685" w:type="dxa"/>
                  <w:noWrap/>
                  <w:vAlign w:val="center"/>
                </w:tcPr>
                <w:p>
                  <w:pPr>
                    <w:widowControl/>
                    <w:jc w:val="center"/>
                    <w:textAlignment w:val="bottom"/>
                    <w:rPr>
                      <w:b/>
                      <w:bCs/>
                      <w:color w:val="auto"/>
                      <w:szCs w:val="21"/>
                      <w:highlight w:val="none"/>
                    </w:rPr>
                  </w:pPr>
                  <w:r>
                    <w:rPr>
                      <w:b/>
                      <w:bCs/>
                      <w:color w:val="auto"/>
                      <w:kern w:val="0"/>
                      <w:szCs w:val="21"/>
                      <w:highlight w:val="none"/>
                      <w:lang w:bidi="ar"/>
                    </w:rPr>
                    <w:t>产生源</w:t>
                  </w:r>
                </w:p>
              </w:tc>
              <w:tc>
                <w:tcPr>
                  <w:tcW w:w="2224" w:type="dxa"/>
                  <w:noWrap/>
                  <w:vAlign w:val="center"/>
                </w:tcPr>
                <w:p>
                  <w:pPr>
                    <w:widowControl/>
                    <w:jc w:val="center"/>
                    <w:textAlignment w:val="bottom"/>
                    <w:rPr>
                      <w:b/>
                      <w:bCs/>
                      <w:color w:val="auto"/>
                      <w:szCs w:val="21"/>
                      <w:highlight w:val="none"/>
                    </w:rPr>
                  </w:pPr>
                  <w:r>
                    <w:rPr>
                      <w:b/>
                      <w:bCs/>
                      <w:color w:val="auto"/>
                      <w:kern w:val="0"/>
                      <w:szCs w:val="21"/>
                      <w:highlight w:val="none"/>
                      <w:lang w:bidi="ar"/>
                    </w:rPr>
                    <w:t>处理或处置措施</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630" w:hRule="atLeast"/>
                <w:jc w:val="center"/>
              </w:trPr>
              <w:tc>
                <w:tcPr>
                  <w:tcW w:w="1015" w:type="dxa"/>
                  <w:noWrap/>
                  <w:vAlign w:val="center"/>
                </w:tcPr>
                <w:p>
                  <w:pPr>
                    <w:jc w:val="center"/>
                    <w:rPr>
                      <w:color w:val="auto"/>
                      <w:szCs w:val="21"/>
                      <w:highlight w:val="none"/>
                    </w:rPr>
                  </w:pPr>
                  <w:r>
                    <w:rPr>
                      <w:color w:val="auto"/>
                      <w:szCs w:val="21"/>
                      <w:highlight w:val="none"/>
                    </w:rPr>
                    <w:t>1</w:t>
                  </w:r>
                </w:p>
              </w:tc>
              <w:tc>
                <w:tcPr>
                  <w:tcW w:w="1072" w:type="dxa"/>
                  <w:noWrap/>
                  <w:vAlign w:val="center"/>
                </w:tcPr>
                <w:p>
                  <w:pPr>
                    <w:widowControl/>
                    <w:jc w:val="center"/>
                    <w:textAlignment w:val="bottom"/>
                    <w:rPr>
                      <w:color w:val="auto"/>
                      <w:szCs w:val="21"/>
                      <w:highlight w:val="none"/>
                    </w:rPr>
                  </w:pPr>
                  <w:r>
                    <w:rPr>
                      <w:color w:val="auto"/>
                      <w:kern w:val="0"/>
                      <w:szCs w:val="21"/>
                      <w:highlight w:val="none"/>
                      <w:lang w:bidi="ar"/>
                    </w:rPr>
                    <w:t>废石料</w:t>
                  </w:r>
                </w:p>
              </w:tc>
              <w:tc>
                <w:tcPr>
                  <w:tcW w:w="1685" w:type="dxa"/>
                  <w:noWrap/>
                  <w:vAlign w:val="center"/>
                </w:tcPr>
                <w:p>
                  <w:pPr>
                    <w:widowControl/>
                    <w:jc w:val="center"/>
                    <w:textAlignment w:val="bottom"/>
                    <w:rPr>
                      <w:color w:val="auto"/>
                      <w:szCs w:val="21"/>
                      <w:highlight w:val="none"/>
                    </w:rPr>
                  </w:pPr>
                  <w:r>
                    <w:rPr>
                      <w:color w:val="auto"/>
                      <w:kern w:val="0"/>
                      <w:szCs w:val="21"/>
                      <w:highlight w:val="none"/>
                      <w:lang w:bidi="ar"/>
                    </w:rPr>
                    <w:t>振动筛</w:t>
                  </w:r>
                </w:p>
              </w:tc>
              <w:tc>
                <w:tcPr>
                  <w:tcW w:w="2224" w:type="dxa"/>
                  <w:noWrap/>
                  <w:vAlign w:val="center"/>
                </w:tcPr>
                <w:p>
                  <w:pPr>
                    <w:widowControl/>
                    <w:jc w:val="center"/>
                    <w:textAlignment w:val="bottom"/>
                    <w:rPr>
                      <w:color w:val="auto"/>
                      <w:szCs w:val="21"/>
                      <w:highlight w:val="none"/>
                    </w:rPr>
                  </w:pPr>
                  <w:r>
                    <w:rPr>
                      <w:color w:val="auto"/>
                      <w:kern w:val="0"/>
                      <w:szCs w:val="21"/>
                      <w:highlight w:val="none"/>
                      <w:lang w:bidi="ar"/>
                    </w:rPr>
                    <w:t>由骨料供应商回收破碎</w:t>
                  </w:r>
                  <w:r>
                    <w:rPr>
                      <w:color w:val="auto"/>
                      <w:kern w:val="0"/>
                      <w:szCs w:val="21"/>
                      <w:highlight w:val="none"/>
                      <w:lang w:bidi="ar"/>
                    </w:rPr>
                    <w:br w:type="textWrapping"/>
                  </w:r>
                  <w:r>
                    <w:rPr>
                      <w:color w:val="auto"/>
                      <w:kern w:val="0"/>
                      <w:szCs w:val="21"/>
                      <w:highlight w:val="none"/>
                      <w:lang w:bidi="ar"/>
                    </w:rPr>
                    <w:t>后重新利用</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450" w:hRule="atLeast"/>
                <w:jc w:val="center"/>
              </w:trPr>
              <w:tc>
                <w:tcPr>
                  <w:tcW w:w="1015" w:type="dxa"/>
                  <w:noWrap/>
                  <w:vAlign w:val="center"/>
                </w:tcPr>
                <w:p>
                  <w:pPr>
                    <w:jc w:val="center"/>
                    <w:rPr>
                      <w:color w:val="auto"/>
                      <w:szCs w:val="21"/>
                      <w:highlight w:val="none"/>
                    </w:rPr>
                  </w:pPr>
                  <w:r>
                    <w:rPr>
                      <w:color w:val="auto"/>
                      <w:szCs w:val="21"/>
                      <w:highlight w:val="none"/>
                    </w:rPr>
                    <w:t>2</w:t>
                  </w:r>
                </w:p>
              </w:tc>
              <w:tc>
                <w:tcPr>
                  <w:tcW w:w="1072" w:type="dxa"/>
                  <w:noWrap/>
                  <w:vAlign w:val="center"/>
                </w:tcPr>
                <w:p>
                  <w:pPr>
                    <w:widowControl/>
                    <w:jc w:val="center"/>
                    <w:textAlignment w:val="bottom"/>
                    <w:rPr>
                      <w:color w:val="auto"/>
                      <w:szCs w:val="21"/>
                      <w:highlight w:val="none"/>
                    </w:rPr>
                  </w:pPr>
                  <w:r>
                    <w:rPr>
                      <w:color w:val="auto"/>
                      <w:kern w:val="0"/>
                      <w:szCs w:val="21"/>
                      <w:highlight w:val="none"/>
                      <w:lang w:bidi="ar"/>
                    </w:rPr>
                    <w:t>粉（烟）尘</w:t>
                  </w:r>
                </w:p>
              </w:tc>
              <w:tc>
                <w:tcPr>
                  <w:tcW w:w="1685" w:type="dxa"/>
                  <w:noWrap/>
                  <w:vAlign w:val="center"/>
                </w:tcPr>
                <w:p>
                  <w:pPr>
                    <w:widowControl/>
                    <w:jc w:val="center"/>
                    <w:textAlignment w:val="bottom"/>
                    <w:rPr>
                      <w:color w:val="auto"/>
                      <w:szCs w:val="21"/>
                      <w:highlight w:val="none"/>
                    </w:rPr>
                  </w:pPr>
                  <w:r>
                    <w:rPr>
                      <w:color w:val="auto"/>
                      <w:kern w:val="0"/>
                      <w:szCs w:val="21"/>
                      <w:highlight w:val="none"/>
                      <w:lang w:bidi="ar"/>
                    </w:rPr>
                    <w:t>除尘器</w:t>
                  </w:r>
                </w:p>
              </w:tc>
              <w:tc>
                <w:tcPr>
                  <w:tcW w:w="2224" w:type="dxa"/>
                  <w:noWrap/>
                  <w:vAlign w:val="center"/>
                </w:tcPr>
                <w:p>
                  <w:pPr>
                    <w:widowControl/>
                    <w:jc w:val="center"/>
                    <w:textAlignment w:val="bottom"/>
                    <w:rPr>
                      <w:color w:val="auto"/>
                      <w:szCs w:val="21"/>
                      <w:highlight w:val="none"/>
                    </w:rPr>
                  </w:pPr>
                  <w:r>
                    <w:rPr>
                      <w:color w:val="auto"/>
                      <w:kern w:val="0"/>
                      <w:szCs w:val="21"/>
                      <w:highlight w:val="none"/>
                      <w:lang w:bidi="ar"/>
                    </w:rPr>
                    <w:t>收集后作为原料再利用</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615" w:hRule="atLeast"/>
                <w:jc w:val="center"/>
              </w:trPr>
              <w:tc>
                <w:tcPr>
                  <w:tcW w:w="1015" w:type="dxa"/>
                  <w:noWrap/>
                  <w:vAlign w:val="center"/>
                </w:tcPr>
                <w:p>
                  <w:pPr>
                    <w:jc w:val="center"/>
                    <w:rPr>
                      <w:color w:val="auto"/>
                      <w:szCs w:val="21"/>
                      <w:highlight w:val="none"/>
                    </w:rPr>
                  </w:pPr>
                  <w:r>
                    <w:rPr>
                      <w:color w:val="auto"/>
                      <w:szCs w:val="21"/>
                      <w:highlight w:val="none"/>
                    </w:rPr>
                    <w:t>3</w:t>
                  </w:r>
                </w:p>
              </w:tc>
              <w:tc>
                <w:tcPr>
                  <w:tcW w:w="1072" w:type="dxa"/>
                  <w:noWrap/>
                  <w:vAlign w:val="center"/>
                </w:tcPr>
                <w:p>
                  <w:pPr>
                    <w:widowControl/>
                    <w:jc w:val="center"/>
                    <w:textAlignment w:val="bottom"/>
                    <w:rPr>
                      <w:color w:val="auto"/>
                      <w:szCs w:val="21"/>
                      <w:highlight w:val="none"/>
                    </w:rPr>
                  </w:pPr>
                  <w:r>
                    <w:rPr>
                      <w:color w:val="auto"/>
                      <w:kern w:val="0"/>
                      <w:szCs w:val="21"/>
                      <w:highlight w:val="none"/>
                      <w:lang w:bidi="ar"/>
                    </w:rPr>
                    <w:t>滴漏沥青及拌和残渣</w:t>
                  </w:r>
                </w:p>
              </w:tc>
              <w:tc>
                <w:tcPr>
                  <w:tcW w:w="1685" w:type="dxa"/>
                  <w:noWrap/>
                  <w:vAlign w:val="center"/>
                </w:tcPr>
                <w:p>
                  <w:pPr>
                    <w:widowControl/>
                    <w:jc w:val="center"/>
                    <w:textAlignment w:val="bottom"/>
                    <w:rPr>
                      <w:color w:val="auto"/>
                      <w:szCs w:val="21"/>
                      <w:highlight w:val="none"/>
                    </w:rPr>
                  </w:pPr>
                  <w:r>
                    <w:rPr>
                      <w:color w:val="auto"/>
                      <w:kern w:val="0"/>
                      <w:szCs w:val="21"/>
                      <w:highlight w:val="none"/>
                      <w:lang w:bidi="ar"/>
                    </w:rPr>
                    <w:t>运输车、沥青储罐</w:t>
                  </w:r>
                  <w:r>
                    <w:rPr>
                      <w:color w:val="auto"/>
                      <w:kern w:val="0"/>
                      <w:szCs w:val="21"/>
                      <w:highlight w:val="none"/>
                      <w:lang w:bidi="ar"/>
                    </w:rPr>
                    <w:br w:type="textWrapping"/>
                  </w:r>
                  <w:r>
                    <w:rPr>
                      <w:color w:val="auto"/>
                      <w:kern w:val="0"/>
                      <w:szCs w:val="21"/>
                      <w:highlight w:val="none"/>
                      <w:lang w:bidi="ar"/>
                    </w:rPr>
                    <w:t>及沥青输送泵</w:t>
                  </w:r>
                </w:p>
              </w:tc>
              <w:tc>
                <w:tcPr>
                  <w:tcW w:w="2224" w:type="dxa"/>
                  <w:noWrap/>
                  <w:vAlign w:val="center"/>
                </w:tcPr>
                <w:p>
                  <w:pPr>
                    <w:widowControl/>
                    <w:jc w:val="center"/>
                    <w:textAlignment w:val="bottom"/>
                    <w:rPr>
                      <w:color w:val="auto"/>
                      <w:szCs w:val="21"/>
                      <w:highlight w:val="none"/>
                    </w:rPr>
                  </w:pPr>
                  <w:r>
                    <w:rPr>
                      <w:color w:val="auto"/>
                      <w:kern w:val="0"/>
                      <w:szCs w:val="21"/>
                      <w:highlight w:val="none"/>
                      <w:lang w:bidi="ar"/>
                    </w:rPr>
                    <w:t>作为原料回用于生产</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600" w:hRule="atLeast"/>
                <w:jc w:val="center"/>
              </w:trPr>
              <w:tc>
                <w:tcPr>
                  <w:tcW w:w="1015" w:type="dxa"/>
                  <w:noWrap/>
                  <w:vAlign w:val="center"/>
                </w:tcPr>
                <w:p>
                  <w:pPr>
                    <w:widowControl/>
                    <w:jc w:val="center"/>
                    <w:textAlignment w:val="bottom"/>
                    <w:rPr>
                      <w:rFonts w:hint="eastAsia" w:eastAsia="宋体"/>
                      <w:color w:val="auto"/>
                      <w:kern w:val="0"/>
                      <w:szCs w:val="21"/>
                      <w:highlight w:val="none"/>
                      <w:lang w:val="en-US" w:eastAsia="zh-CN" w:bidi="ar"/>
                    </w:rPr>
                  </w:pPr>
                  <w:r>
                    <w:rPr>
                      <w:rFonts w:hint="eastAsia"/>
                      <w:color w:val="auto"/>
                      <w:kern w:val="0"/>
                      <w:szCs w:val="21"/>
                      <w:highlight w:val="none"/>
                      <w:lang w:val="en-US" w:eastAsia="zh-CN" w:bidi="ar"/>
                    </w:rPr>
                    <w:t>4</w:t>
                  </w:r>
                </w:p>
              </w:tc>
              <w:tc>
                <w:tcPr>
                  <w:tcW w:w="1072" w:type="dxa"/>
                  <w:noWrap/>
                  <w:vAlign w:val="center"/>
                </w:tcPr>
                <w:p>
                  <w:pPr>
                    <w:widowControl/>
                    <w:jc w:val="center"/>
                    <w:textAlignment w:val="bottom"/>
                    <w:rPr>
                      <w:rFonts w:hint="default" w:eastAsia="宋体"/>
                      <w:color w:val="auto"/>
                      <w:kern w:val="0"/>
                      <w:szCs w:val="21"/>
                      <w:highlight w:val="none"/>
                      <w:lang w:val="en-US" w:eastAsia="zh-CN" w:bidi="ar"/>
                    </w:rPr>
                  </w:pPr>
                  <w:r>
                    <w:rPr>
                      <w:rFonts w:hint="eastAsia"/>
                      <w:color w:val="auto"/>
                      <w:kern w:val="0"/>
                      <w:szCs w:val="21"/>
                      <w:highlight w:val="none"/>
                      <w:lang w:val="en-US" w:eastAsia="zh-CN" w:bidi="ar"/>
                    </w:rPr>
                    <w:t>废布袋</w:t>
                  </w:r>
                </w:p>
              </w:tc>
              <w:tc>
                <w:tcPr>
                  <w:tcW w:w="1685" w:type="dxa"/>
                  <w:noWrap/>
                  <w:vAlign w:val="center"/>
                </w:tcPr>
                <w:p>
                  <w:pPr>
                    <w:widowControl/>
                    <w:jc w:val="center"/>
                    <w:textAlignment w:val="bottom"/>
                    <w:rPr>
                      <w:rFonts w:hint="default" w:eastAsia="宋体"/>
                      <w:color w:val="auto"/>
                      <w:kern w:val="0"/>
                      <w:szCs w:val="21"/>
                      <w:highlight w:val="none"/>
                      <w:lang w:val="en-US" w:eastAsia="zh-CN" w:bidi="ar"/>
                    </w:rPr>
                  </w:pPr>
                  <w:r>
                    <w:rPr>
                      <w:rFonts w:hint="eastAsia"/>
                      <w:color w:val="auto"/>
                      <w:kern w:val="0"/>
                      <w:szCs w:val="21"/>
                      <w:highlight w:val="none"/>
                      <w:lang w:val="en-US" w:eastAsia="zh-CN" w:bidi="ar"/>
                    </w:rPr>
                    <w:t>袋式除尘器</w:t>
                  </w:r>
                </w:p>
              </w:tc>
              <w:tc>
                <w:tcPr>
                  <w:tcW w:w="2224" w:type="dxa"/>
                  <w:noWrap/>
                  <w:vAlign w:val="center"/>
                </w:tcPr>
                <w:p>
                  <w:pPr>
                    <w:widowControl/>
                    <w:jc w:val="center"/>
                    <w:textAlignment w:val="bottom"/>
                    <w:rPr>
                      <w:rFonts w:hint="default" w:eastAsia="宋体"/>
                      <w:color w:val="auto"/>
                      <w:kern w:val="0"/>
                      <w:szCs w:val="21"/>
                      <w:highlight w:val="none"/>
                      <w:lang w:val="en-US" w:eastAsia="zh-CN" w:bidi="ar"/>
                    </w:rPr>
                  </w:pPr>
                  <w:r>
                    <w:rPr>
                      <w:rFonts w:hint="eastAsia"/>
                      <w:color w:val="auto"/>
                      <w:kern w:val="0"/>
                      <w:szCs w:val="21"/>
                      <w:highlight w:val="none"/>
                      <w:lang w:val="en-US" w:eastAsia="zh-CN" w:bidi="ar"/>
                    </w:rPr>
                    <w:t>厂家回收利用</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600" w:hRule="atLeast"/>
                <w:jc w:val="center"/>
              </w:trPr>
              <w:tc>
                <w:tcPr>
                  <w:tcW w:w="1015" w:type="dxa"/>
                  <w:noWrap/>
                  <w:vAlign w:val="center"/>
                </w:tcPr>
                <w:p>
                  <w:pPr>
                    <w:widowControl/>
                    <w:jc w:val="center"/>
                    <w:textAlignment w:val="bottom"/>
                    <w:rPr>
                      <w:rFonts w:hint="eastAsia" w:eastAsia="宋体"/>
                      <w:color w:val="auto"/>
                      <w:szCs w:val="21"/>
                      <w:highlight w:val="none"/>
                      <w:lang w:eastAsia="zh-CN"/>
                    </w:rPr>
                  </w:pPr>
                  <w:r>
                    <w:rPr>
                      <w:rFonts w:hint="eastAsia"/>
                      <w:color w:val="auto"/>
                      <w:kern w:val="0"/>
                      <w:szCs w:val="21"/>
                      <w:highlight w:val="none"/>
                      <w:lang w:val="en-US" w:eastAsia="zh-CN" w:bidi="ar"/>
                    </w:rPr>
                    <w:t>5</w:t>
                  </w:r>
                </w:p>
              </w:tc>
              <w:tc>
                <w:tcPr>
                  <w:tcW w:w="1072" w:type="dxa"/>
                  <w:noWrap/>
                  <w:vAlign w:val="center"/>
                </w:tcPr>
                <w:p>
                  <w:pPr>
                    <w:widowControl/>
                    <w:jc w:val="center"/>
                    <w:textAlignment w:val="bottom"/>
                    <w:rPr>
                      <w:color w:val="auto"/>
                      <w:szCs w:val="21"/>
                      <w:highlight w:val="none"/>
                    </w:rPr>
                  </w:pPr>
                  <w:r>
                    <w:rPr>
                      <w:color w:val="auto"/>
                      <w:kern w:val="0"/>
                      <w:szCs w:val="21"/>
                      <w:highlight w:val="none"/>
                      <w:lang w:bidi="ar"/>
                    </w:rPr>
                    <w:t>生活垃圾</w:t>
                  </w:r>
                </w:p>
              </w:tc>
              <w:tc>
                <w:tcPr>
                  <w:tcW w:w="1685" w:type="dxa"/>
                  <w:noWrap/>
                  <w:vAlign w:val="center"/>
                </w:tcPr>
                <w:p>
                  <w:pPr>
                    <w:widowControl/>
                    <w:jc w:val="center"/>
                    <w:textAlignment w:val="bottom"/>
                    <w:rPr>
                      <w:color w:val="auto"/>
                      <w:szCs w:val="21"/>
                      <w:highlight w:val="none"/>
                    </w:rPr>
                  </w:pPr>
                  <w:r>
                    <w:rPr>
                      <w:color w:val="auto"/>
                      <w:kern w:val="0"/>
                      <w:szCs w:val="21"/>
                      <w:highlight w:val="none"/>
                      <w:lang w:bidi="ar"/>
                    </w:rPr>
                    <w:t>办公用房、沥青</w:t>
                  </w:r>
                  <w:r>
                    <w:rPr>
                      <w:color w:val="auto"/>
                      <w:kern w:val="0"/>
                      <w:szCs w:val="21"/>
                      <w:highlight w:val="none"/>
                      <w:lang w:bidi="ar"/>
                    </w:rPr>
                    <w:br w:type="textWrapping"/>
                  </w:r>
                  <w:r>
                    <w:rPr>
                      <w:color w:val="auto"/>
                      <w:kern w:val="0"/>
                      <w:szCs w:val="21"/>
                      <w:highlight w:val="none"/>
                      <w:lang w:bidi="ar"/>
                    </w:rPr>
                    <w:t>混凝土搅拌主楼等</w:t>
                  </w:r>
                </w:p>
              </w:tc>
              <w:tc>
                <w:tcPr>
                  <w:tcW w:w="2224" w:type="dxa"/>
                  <w:noWrap/>
                  <w:vAlign w:val="center"/>
                </w:tcPr>
                <w:p>
                  <w:pPr>
                    <w:widowControl/>
                    <w:jc w:val="center"/>
                    <w:textAlignment w:val="bottom"/>
                    <w:rPr>
                      <w:color w:val="auto"/>
                      <w:szCs w:val="21"/>
                      <w:highlight w:val="none"/>
                    </w:rPr>
                  </w:pPr>
                  <w:r>
                    <w:rPr>
                      <w:color w:val="auto"/>
                      <w:kern w:val="0"/>
                      <w:szCs w:val="21"/>
                      <w:highlight w:val="none"/>
                      <w:lang w:bidi="ar"/>
                    </w:rPr>
                    <w:t>集中收集后交由环卫</w:t>
                  </w:r>
                  <w:r>
                    <w:rPr>
                      <w:color w:val="auto"/>
                      <w:kern w:val="0"/>
                      <w:szCs w:val="21"/>
                      <w:highlight w:val="none"/>
                      <w:lang w:bidi="ar"/>
                    </w:rPr>
                    <w:br w:type="textWrapping"/>
                  </w:r>
                  <w:r>
                    <w:rPr>
                      <w:color w:val="auto"/>
                      <w:kern w:val="0"/>
                      <w:szCs w:val="21"/>
                      <w:highlight w:val="none"/>
                      <w:lang w:bidi="ar"/>
                    </w:rPr>
                    <w:t>部门处理</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630" w:hRule="atLeast"/>
                <w:jc w:val="center"/>
              </w:trPr>
              <w:tc>
                <w:tcPr>
                  <w:tcW w:w="1015" w:type="dxa"/>
                  <w:noWrap/>
                  <w:vAlign w:val="center"/>
                </w:tcPr>
                <w:p>
                  <w:pPr>
                    <w:jc w:val="center"/>
                    <w:rPr>
                      <w:rFonts w:hint="eastAsia"/>
                      <w:color w:val="auto"/>
                      <w:szCs w:val="21"/>
                      <w:highlight w:val="none"/>
                      <w:lang w:val="en-US" w:eastAsia="zh-CN"/>
                    </w:rPr>
                  </w:pPr>
                  <w:r>
                    <w:rPr>
                      <w:rFonts w:hint="eastAsia"/>
                      <w:color w:val="auto"/>
                      <w:szCs w:val="21"/>
                      <w:highlight w:val="none"/>
                      <w:lang w:val="en-US" w:eastAsia="zh-CN"/>
                    </w:rPr>
                    <w:t>6</w:t>
                  </w:r>
                </w:p>
              </w:tc>
              <w:tc>
                <w:tcPr>
                  <w:tcW w:w="1072" w:type="dxa"/>
                  <w:noWrap/>
                  <w:vAlign w:val="center"/>
                </w:tcPr>
                <w:p>
                  <w:pPr>
                    <w:widowControl/>
                    <w:jc w:val="center"/>
                    <w:textAlignment w:val="bottom"/>
                    <w:rPr>
                      <w:color w:val="auto"/>
                      <w:kern w:val="0"/>
                      <w:szCs w:val="21"/>
                      <w:highlight w:val="none"/>
                      <w:lang w:bidi="ar"/>
                    </w:rPr>
                  </w:pPr>
                  <w:r>
                    <w:rPr>
                      <w:rFonts w:hint="eastAsia"/>
                      <w:color w:val="auto"/>
                      <w:kern w:val="0"/>
                      <w:szCs w:val="21"/>
                      <w:highlight w:val="none"/>
                      <w:lang w:val="en-US" w:eastAsia="zh-CN" w:bidi="ar"/>
                    </w:rPr>
                    <w:t>沉渣污泥</w:t>
                  </w:r>
                </w:p>
              </w:tc>
              <w:tc>
                <w:tcPr>
                  <w:tcW w:w="1685" w:type="dxa"/>
                  <w:noWrap/>
                  <w:vAlign w:val="center"/>
                </w:tcPr>
                <w:p>
                  <w:pPr>
                    <w:widowControl/>
                    <w:jc w:val="center"/>
                    <w:textAlignment w:val="bottom"/>
                    <w:rPr>
                      <w:rFonts w:hint="eastAsia"/>
                      <w:color w:val="auto"/>
                      <w:kern w:val="0"/>
                      <w:szCs w:val="21"/>
                      <w:highlight w:val="none"/>
                      <w:lang w:bidi="ar"/>
                    </w:rPr>
                  </w:pPr>
                  <w:r>
                    <w:rPr>
                      <w:rFonts w:hint="eastAsia"/>
                      <w:color w:val="auto"/>
                      <w:szCs w:val="21"/>
                      <w:highlight w:val="none"/>
                      <w:lang w:val="en-US" w:eastAsia="zh-CN"/>
                    </w:rPr>
                    <w:t>隔油池、化粪池、沉淀池</w:t>
                  </w:r>
                </w:p>
              </w:tc>
              <w:tc>
                <w:tcPr>
                  <w:tcW w:w="2224" w:type="dxa"/>
                  <w:noWrap/>
                  <w:vAlign w:val="center"/>
                </w:tcPr>
                <w:p>
                  <w:pPr>
                    <w:widowControl/>
                    <w:jc w:val="center"/>
                    <w:textAlignment w:val="bottom"/>
                    <w:rPr>
                      <w:color w:val="auto"/>
                      <w:kern w:val="0"/>
                      <w:szCs w:val="21"/>
                      <w:highlight w:val="none"/>
                      <w:lang w:bidi="ar"/>
                    </w:rPr>
                  </w:pPr>
                  <w:r>
                    <w:rPr>
                      <w:rFonts w:hint="eastAsia"/>
                      <w:color w:val="auto"/>
                      <w:szCs w:val="21"/>
                      <w:highlight w:val="none"/>
                      <w:lang w:val="en-US" w:eastAsia="zh-CN"/>
                    </w:rPr>
                    <w:t>送城市垃圾场卫生填埋</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630" w:hRule="atLeast"/>
                <w:jc w:val="center"/>
              </w:trPr>
              <w:tc>
                <w:tcPr>
                  <w:tcW w:w="1015" w:type="dxa"/>
                  <w:noWrap/>
                  <w:vAlign w:val="center"/>
                </w:tcPr>
                <w:p>
                  <w:pPr>
                    <w:jc w:val="center"/>
                    <w:rPr>
                      <w:rFonts w:hint="eastAsia" w:eastAsia="宋体"/>
                      <w:color w:val="auto"/>
                      <w:szCs w:val="21"/>
                      <w:highlight w:val="none"/>
                      <w:lang w:eastAsia="zh-CN"/>
                    </w:rPr>
                  </w:pPr>
                  <w:r>
                    <w:rPr>
                      <w:rFonts w:hint="eastAsia"/>
                      <w:color w:val="auto"/>
                      <w:szCs w:val="21"/>
                      <w:highlight w:val="none"/>
                      <w:lang w:val="en-US" w:eastAsia="zh-CN"/>
                    </w:rPr>
                    <w:t>7</w:t>
                  </w:r>
                </w:p>
              </w:tc>
              <w:tc>
                <w:tcPr>
                  <w:tcW w:w="1072" w:type="dxa"/>
                  <w:noWrap/>
                  <w:vAlign w:val="center"/>
                </w:tcPr>
                <w:p>
                  <w:pPr>
                    <w:widowControl/>
                    <w:jc w:val="center"/>
                    <w:textAlignment w:val="bottom"/>
                    <w:rPr>
                      <w:color w:val="auto"/>
                      <w:szCs w:val="21"/>
                      <w:highlight w:val="none"/>
                    </w:rPr>
                  </w:pPr>
                  <w:r>
                    <w:rPr>
                      <w:color w:val="auto"/>
                      <w:kern w:val="0"/>
                      <w:szCs w:val="21"/>
                      <w:highlight w:val="none"/>
                      <w:lang w:bidi="ar"/>
                    </w:rPr>
                    <w:t>废机油</w:t>
                  </w:r>
                  <w:r>
                    <w:rPr>
                      <w:rFonts w:hint="eastAsia"/>
                      <w:snapToGrid w:val="0"/>
                      <w:color w:val="auto"/>
                      <w:kern w:val="0"/>
                      <w:szCs w:val="21"/>
                      <w:highlight w:val="none"/>
                    </w:rPr>
                    <w:t>HW08</w:t>
                  </w:r>
                </w:p>
              </w:tc>
              <w:tc>
                <w:tcPr>
                  <w:tcW w:w="1685" w:type="dxa"/>
                  <w:noWrap/>
                  <w:vAlign w:val="center"/>
                </w:tcPr>
                <w:p>
                  <w:pPr>
                    <w:widowControl/>
                    <w:jc w:val="center"/>
                    <w:textAlignment w:val="bottom"/>
                    <w:rPr>
                      <w:color w:val="auto"/>
                      <w:szCs w:val="21"/>
                      <w:highlight w:val="none"/>
                    </w:rPr>
                  </w:pPr>
                  <w:r>
                    <w:rPr>
                      <w:rFonts w:hint="eastAsia"/>
                      <w:color w:val="auto"/>
                      <w:kern w:val="0"/>
                      <w:szCs w:val="21"/>
                      <w:highlight w:val="none"/>
                      <w:lang w:bidi="ar"/>
                    </w:rPr>
                    <w:t>车辆维护</w:t>
                  </w:r>
                </w:p>
              </w:tc>
              <w:tc>
                <w:tcPr>
                  <w:tcW w:w="2224" w:type="dxa"/>
                  <w:noWrap/>
                  <w:vAlign w:val="center"/>
                </w:tcPr>
                <w:p>
                  <w:pPr>
                    <w:widowControl/>
                    <w:jc w:val="center"/>
                    <w:textAlignment w:val="bottom"/>
                    <w:rPr>
                      <w:color w:val="auto"/>
                      <w:szCs w:val="21"/>
                      <w:highlight w:val="none"/>
                    </w:rPr>
                  </w:pPr>
                  <w:r>
                    <w:rPr>
                      <w:color w:val="auto"/>
                      <w:kern w:val="0"/>
                      <w:szCs w:val="21"/>
                      <w:highlight w:val="none"/>
                      <w:lang w:bidi="ar"/>
                    </w:rPr>
                    <w:t>定期交有危险废物处置</w:t>
                  </w:r>
                  <w:r>
                    <w:rPr>
                      <w:color w:val="auto"/>
                      <w:kern w:val="0"/>
                      <w:szCs w:val="21"/>
                      <w:highlight w:val="none"/>
                      <w:lang w:bidi="ar"/>
                    </w:rPr>
                    <w:br w:type="textWrapping"/>
                  </w:r>
                  <w:r>
                    <w:rPr>
                      <w:color w:val="auto"/>
                      <w:kern w:val="0"/>
                      <w:szCs w:val="21"/>
                      <w:highlight w:val="none"/>
                      <w:lang w:bidi="ar"/>
                    </w:rPr>
                    <w:t>资质部门处理</w:t>
                  </w:r>
                </w:p>
              </w:tc>
            </w:tr>
          </w:tbl>
          <w:p>
            <w:pPr>
              <w:adjustRightInd w:val="0"/>
              <w:snapToGrid w:val="0"/>
              <w:jc w:val="center"/>
              <w:rPr>
                <w:color w:val="auto"/>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1778" w:type="dxa"/>
            <w:noWrap w:val="0"/>
            <w:vAlign w:val="center"/>
          </w:tcPr>
          <w:p>
            <w:pPr>
              <w:adjustRightInd w:val="0"/>
              <w:snapToGrid w:val="0"/>
              <w:jc w:val="center"/>
              <w:rPr>
                <w:color w:val="auto"/>
                <w:szCs w:val="21"/>
                <w:highlight w:val="none"/>
              </w:rPr>
            </w:pPr>
            <w:r>
              <w:rPr>
                <w:color w:val="auto"/>
                <w:szCs w:val="21"/>
                <w:highlight w:val="none"/>
              </w:rPr>
              <w:t>土壤及地下水</w:t>
            </w:r>
          </w:p>
          <w:p>
            <w:pPr>
              <w:adjustRightInd w:val="0"/>
              <w:snapToGrid w:val="0"/>
              <w:jc w:val="center"/>
              <w:rPr>
                <w:color w:val="auto"/>
                <w:szCs w:val="21"/>
                <w:highlight w:val="none"/>
              </w:rPr>
            </w:pPr>
            <w:r>
              <w:rPr>
                <w:color w:val="auto"/>
                <w:szCs w:val="21"/>
                <w:highlight w:val="none"/>
              </w:rPr>
              <w:t>污染防治措施</w:t>
            </w:r>
          </w:p>
        </w:tc>
        <w:tc>
          <w:tcPr>
            <w:tcW w:w="7022" w:type="dxa"/>
            <w:gridSpan w:val="4"/>
            <w:noWrap w:val="0"/>
            <w:vAlign w:val="center"/>
          </w:tcPr>
          <w:p>
            <w:pPr>
              <w:adjustRightInd w:val="0"/>
              <w:snapToGrid w:val="0"/>
              <w:ind w:firstLine="480" w:firstLineChars="200"/>
              <w:jc w:val="left"/>
              <w:rPr>
                <w:color w:val="auto"/>
                <w:szCs w:val="21"/>
                <w:highlight w:val="none"/>
              </w:rPr>
            </w:pPr>
            <w:r>
              <w:rPr>
                <w:color w:val="auto"/>
                <w:szCs w:val="21"/>
                <w:highlight w:val="none"/>
              </w:rPr>
              <w:t>采取分区防渗措施，划为重点防渗区、一般防渗区和简单防渗区。其中：</w:t>
            </w:r>
          </w:p>
          <w:p>
            <w:pPr>
              <w:adjustRightInd w:val="0"/>
              <w:snapToGrid w:val="0"/>
              <w:ind w:firstLine="480" w:firstLineChars="200"/>
              <w:jc w:val="left"/>
              <w:rPr>
                <w:rFonts w:hint="eastAsia"/>
                <w:color w:val="auto"/>
                <w:szCs w:val="21"/>
                <w:highlight w:val="none"/>
              </w:rPr>
            </w:pPr>
            <w:r>
              <w:rPr>
                <w:color w:val="auto"/>
                <w:szCs w:val="21"/>
                <w:highlight w:val="none"/>
              </w:rPr>
              <w:t>a：重点防渗区：包括</w:t>
            </w:r>
            <w:r>
              <w:rPr>
                <w:rFonts w:hint="eastAsia"/>
                <w:color w:val="auto"/>
                <w:szCs w:val="21"/>
                <w:highlight w:val="none"/>
              </w:rPr>
              <w:t>沥青储罐、危废暂存间、辅助材料暂存间</w:t>
            </w:r>
            <w:r>
              <w:rPr>
                <w:color w:val="auto"/>
                <w:szCs w:val="21"/>
                <w:highlight w:val="none"/>
              </w:rPr>
              <w:t>。拟采取防渗混凝土+2mm厚HDPE防渗层进行防渗、防腐处理，确保防渗性能与6.0m厚黏土防渗层，其中医疗垃圾房防渗系数满足K≤1×10-10cm/s，其他防渗系数满足K≤1×10-7cm/s。储油间四周设置10~20cm防渗围堰，设置空桶作为备用收容设施</w:t>
            </w:r>
            <w:r>
              <w:rPr>
                <w:rFonts w:hint="eastAsia"/>
                <w:color w:val="auto"/>
                <w:szCs w:val="21"/>
                <w:highlight w:val="none"/>
              </w:rPr>
              <w:t>；</w:t>
            </w:r>
          </w:p>
          <w:p>
            <w:pPr>
              <w:adjustRightInd w:val="0"/>
              <w:snapToGrid w:val="0"/>
              <w:ind w:firstLine="480" w:firstLineChars="200"/>
              <w:jc w:val="left"/>
              <w:rPr>
                <w:rFonts w:hint="eastAsia"/>
                <w:color w:val="auto"/>
                <w:szCs w:val="21"/>
                <w:highlight w:val="none"/>
              </w:rPr>
            </w:pPr>
            <w:r>
              <w:rPr>
                <w:rFonts w:hint="eastAsia"/>
                <w:color w:val="auto"/>
                <w:szCs w:val="21"/>
                <w:highlight w:val="none"/>
              </w:rPr>
              <w:t>b：</w:t>
            </w:r>
            <w:r>
              <w:rPr>
                <w:color w:val="auto"/>
                <w:szCs w:val="21"/>
                <w:highlight w:val="none"/>
              </w:rPr>
              <w:t>一般防渗区：包括</w:t>
            </w:r>
            <w:r>
              <w:rPr>
                <w:rFonts w:hint="eastAsia"/>
                <w:color w:val="auto"/>
                <w:szCs w:val="21"/>
                <w:highlight w:val="none"/>
              </w:rPr>
              <w:t>办公生活</w:t>
            </w:r>
            <w:r>
              <w:rPr>
                <w:color w:val="auto"/>
                <w:szCs w:val="21"/>
                <w:highlight w:val="none"/>
              </w:rPr>
              <w:t>等</w:t>
            </w:r>
            <w:r>
              <w:rPr>
                <w:rFonts w:hint="eastAsia"/>
                <w:color w:val="auto"/>
                <w:szCs w:val="21"/>
                <w:highlight w:val="none"/>
              </w:rPr>
              <w:t>其他办公生产用房</w:t>
            </w:r>
            <w:r>
              <w:rPr>
                <w:color w:val="auto"/>
                <w:szCs w:val="21"/>
                <w:highlight w:val="none"/>
              </w:rPr>
              <w:t>非重点防渗区域。拟采取防渗层结构为夯实粘土层+15cm厚P8抗渗混凝土硬化，</w:t>
            </w:r>
            <w:r>
              <w:rPr>
                <w:rFonts w:hint="eastAsia"/>
                <w:color w:val="auto"/>
                <w:szCs w:val="21"/>
                <w:highlight w:val="none"/>
              </w:rPr>
              <w:t>防渗技术要求为等效黏土防渗层</w:t>
            </w:r>
            <w:r>
              <w:rPr>
                <w:color w:val="auto"/>
                <w:szCs w:val="21"/>
                <w:highlight w:val="none"/>
              </w:rPr>
              <w:t>Mb≥1.5m</w:t>
            </w:r>
            <w:r>
              <w:rPr>
                <w:rFonts w:hint="eastAsia"/>
                <w:color w:val="auto"/>
                <w:szCs w:val="21"/>
                <w:highlight w:val="none"/>
              </w:rPr>
              <w:t>，确保防渗系数</w:t>
            </w:r>
            <w:r>
              <w:rPr>
                <w:color w:val="auto"/>
                <w:szCs w:val="21"/>
                <w:highlight w:val="none"/>
              </w:rPr>
              <w:t>K≤10-7cm/s</w:t>
            </w:r>
            <w:r>
              <w:rPr>
                <w:rFonts w:hint="eastAsia"/>
                <w:color w:val="auto"/>
                <w:szCs w:val="21"/>
                <w:highlight w:val="none"/>
              </w:rPr>
              <w:t>；</w:t>
            </w:r>
          </w:p>
          <w:p>
            <w:pPr>
              <w:adjustRightInd w:val="0"/>
              <w:snapToGrid w:val="0"/>
              <w:ind w:firstLine="480" w:firstLineChars="200"/>
              <w:jc w:val="left"/>
              <w:rPr>
                <w:rFonts w:hint="eastAsia"/>
                <w:color w:val="auto"/>
                <w:szCs w:val="21"/>
                <w:highlight w:val="none"/>
              </w:rPr>
            </w:pPr>
            <w:r>
              <w:rPr>
                <w:rFonts w:hint="eastAsia"/>
                <w:color w:val="auto"/>
                <w:szCs w:val="21"/>
                <w:highlight w:val="none"/>
              </w:rPr>
              <w:t>c：简单防渗区：包括道路，防渗技术要求为一般地面硬化。</w:t>
            </w:r>
          </w:p>
          <w:p>
            <w:pPr>
              <w:adjustRightInd w:val="0"/>
              <w:snapToGrid w:val="0"/>
              <w:jc w:val="center"/>
              <w:rPr>
                <w:color w:val="auto"/>
                <w:szCs w:val="21"/>
                <w:highlight w:val="none"/>
              </w:rPr>
            </w:pPr>
            <w:r>
              <w:rPr>
                <w:rFonts w:hint="eastAsia"/>
                <w:color w:val="auto"/>
                <w:szCs w:val="21"/>
                <w:highlight w:val="none"/>
              </w:rPr>
              <w:t>③加强管理、制定环境风险应急预案，建立地下水监控体系，按照地下水跟踪监测计划开展地下水监测等措施。</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1778" w:type="dxa"/>
            <w:noWrap w:val="0"/>
            <w:vAlign w:val="center"/>
          </w:tcPr>
          <w:p>
            <w:pPr>
              <w:adjustRightInd w:val="0"/>
              <w:snapToGrid w:val="0"/>
              <w:jc w:val="center"/>
              <w:rPr>
                <w:color w:val="auto"/>
                <w:szCs w:val="21"/>
                <w:highlight w:val="none"/>
              </w:rPr>
            </w:pPr>
            <w:r>
              <w:rPr>
                <w:color w:val="auto"/>
                <w:szCs w:val="21"/>
                <w:highlight w:val="none"/>
              </w:rPr>
              <w:t>生态保护措施</w:t>
            </w:r>
          </w:p>
        </w:tc>
        <w:tc>
          <w:tcPr>
            <w:tcW w:w="7022" w:type="dxa"/>
            <w:gridSpan w:val="4"/>
            <w:noWrap w:val="0"/>
            <w:vAlign w:val="center"/>
          </w:tcPr>
          <w:p>
            <w:pPr>
              <w:adjustRightInd w:val="0"/>
              <w:snapToGrid w:val="0"/>
              <w:jc w:val="center"/>
              <w:rPr>
                <w:color w:val="auto"/>
                <w:szCs w:val="21"/>
                <w:highlight w:val="none"/>
              </w:rPr>
            </w:pPr>
            <w:r>
              <w:rPr>
                <w:rFonts w:hint="eastAsia" w:ascii="宋体" w:hAnsi="宋体" w:cs="宋体"/>
                <w:color w:val="auto"/>
                <w:szCs w:val="21"/>
                <w:highlight w:val="none"/>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1778" w:type="dxa"/>
            <w:noWrap w:val="0"/>
            <w:vAlign w:val="center"/>
          </w:tcPr>
          <w:p>
            <w:pPr>
              <w:adjustRightInd w:val="0"/>
              <w:snapToGrid w:val="0"/>
              <w:jc w:val="center"/>
              <w:rPr>
                <w:color w:val="auto"/>
                <w:spacing w:val="-8"/>
                <w:szCs w:val="21"/>
                <w:highlight w:val="none"/>
              </w:rPr>
            </w:pPr>
            <w:r>
              <w:rPr>
                <w:color w:val="auto"/>
                <w:spacing w:val="-8"/>
                <w:szCs w:val="21"/>
                <w:highlight w:val="none"/>
              </w:rPr>
              <w:t>环境风险</w:t>
            </w:r>
          </w:p>
          <w:p>
            <w:pPr>
              <w:adjustRightInd w:val="0"/>
              <w:snapToGrid w:val="0"/>
              <w:jc w:val="center"/>
              <w:rPr>
                <w:color w:val="auto"/>
                <w:spacing w:val="-8"/>
                <w:szCs w:val="21"/>
                <w:highlight w:val="none"/>
              </w:rPr>
            </w:pPr>
            <w:r>
              <w:rPr>
                <w:color w:val="auto"/>
                <w:spacing w:val="-8"/>
                <w:szCs w:val="21"/>
                <w:highlight w:val="none"/>
              </w:rPr>
              <w:t>防范措施</w:t>
            </w:r>
          </w:p>
        </w:tc>
        <w:tc>
          <w:tcPr>
            <w:tcW w:w="7022" w:type="dxa"/>
            <w:gridSpan w:val="4"/>
            <w:noWrap w:val="0"/>
            <w:vAlign w:val="center"/>
          </w:tcPr>
          <w:p>
            <w:pPr>
              <w:adjustRightInd w:val="0"/>
              <w:snapToGrid w:val="0"/>
              <w:ind w:firstLine="480" w:firstLineChars="200"/>
              <w:jc w:val="left"/>
              <w:rPr>
                <w:rFonts w:hint="eastAsia" w:ascii="宋体" w:hAnsi="宋体" w:cs="宋体"/>
                <w:color w:val="auto"/>
                <w:szCs w:val="21"/>
                <w:highlight w:val="none"/>
              </w:rPr>
            </w:pPr>
            <w:r>
              <w:rPr>
                <w:rFonts w:hint="eastAsia" w:ascii="宋体" w:hAnsi="宋体" w:cs="宋体"/>
                <w:color w:val="auto"/>
                <w:szCs w:val="21"/>
                <w:highlight w:val="none"/>
              </w:rPr>
              <w:t>（1）柴油、天然气储存、管理不当引起的泄露或火灾风险防范措施</w:t>
            </w:r>
          </w:p>
          <w:p>
            <w:pPr>
              <w:adjustRightInd w:val="0"/>
              <w:snapToGrid w:val="0"/>
              <w:ind w:firstLine="480" w:firstLineChars="200"/>
              <w:jc w:val="left"/>
              <w:rPr>
                <w:rFonts w:hint="eastAsia" w:ascii="宋体" w:hAnsi="宋体" w:cs="宋体"/>
                <w:color w:val="auto"/>
                <w:szCs w:val="21"/>
                <w:highlight w:val="none"/>
              </w:rPr>
            </w:pPr>
            <w:r>
              <w:rPr>
                <w:rFonts w:hint="eastAsia" w:ascii="宋体" w:hAnsi="宋体" w:cs="宋体"/>
                <w:color w:val="auto"/>
                <w:szCs w:val="21"/>
                <w:highlight w:val="none"/>
              </w:rPr>
              <w:t>①将柴油、天然气分别贮存于辅助材料库房及燃气供应站，柴油贮存处及燃气供应站应与配电设施独立分开隔断。禁止将明火带入柴油贮存处及燃气供应站，且将柴油罐、燃气储罐远离热源、火源。</w:t>
            </w:r>
          </w:p>
          <w:p>
            <w:pPr>
              <w:adjustRightInd w:val="0"/>
              <w:snapToGrid w:val="0"/>
              <w:ind w:firstLine="480" w:firstLineChars="200"/>
              <w:jc w:val="left"/>
              <w:rPr>
                <w:rFonts w:hint="eastAsia" w:ascii="宋体" w:hAnsi="宋体" w:cs="宋体"/>
                <w:color w:val="auto"/>
                <w:szCs w:val="21"/>
                <w:highlight w:val="none"/>
              </w:rPr>
            </w:pPr>
            <w:r>
              <w:rPr>
                <w:rFonts w:hint="eastAsia" w:ascii="宋体" w:hAnsi="宋体" w:cs="宋体"/>
                <w:color w:val="auto"/>
                <w:szCs w:val="21"/>
                <w:highlight w:val="none"/>
              </w:rPr>
              <w:t>②辅助材料库房及燃气供应站的地面应做重点防渗处理，且在周围设置10~20cm围堰，并设置空桶作为备用收容设施。</w:t>
            </w:r>
          </w:p>
          <w:p>
            <w:pPr>
              <w:adjustRightInd w:val="0"/>
              <w:snapToGrid w:val="0"/>
              <w:ind w:firstLine="480" w:firstLineChars="200"/>
              <w:jc w:val="left"/>
              <w:rPr>
                <w:rFonts w:hint="eastAsia" w:ascii="宋体" w:hAnsi="宋体" w:cs="宋体"/>
                <w:color w:val="auto"/>
                <w:szCs w:val="21"/>
                <w:highlight w:val="none"/>
              </w:rPr>
            </w:pPr>
            <w:r>
              <w:rPr>
                <w:rFonts w:hint="eastAsia" w:ascii="宋体" w:hAnsi="宋体" w:cs="宋体"/>
                <w:color w:val="auto"/>
                <w:szCs w:val="21"/>
                <w:highlight w:val="none"/>
              </w:rPr>
              <w:t>③加强对柴油、天然气的贮存和使用的管理，安排专人定期检查柴油、天然气储存情况，以便及时发现潜在风险。</w:t>
            </w:r>
          </w:p>
          <w:p>
            <w:pPr>
              <w:adjustRightInd w:val="0"/>
              <w:snapToGrid w:val="0"/>
              <w:jc w:val="left"/>
              <w:rPr>
                <w:rFonts w:hint="eastAsia" w:ascii="宋体" w:hAnsi="宋体" w:cs="宋体"/>
                <w:color w:val="auto"/>
                <w:szCs w:val="21"/>
                <w:highlight w:val="none"/>
              </w:rPr>
            </w:pPr>
            <w:r>
              <w:rPr>
                <w:rFonts w:hint="eastAsia" w:ascii="宋体" w:hAnsi="宋体" w:cs="宋体"/>
                <w:color w:val="auto"/>
                <w:szCs w:val="21"/>
                <w:highlight w:val="none"/>
              </w:rPr>
              <w:t>（2）危险物质环境风险措施</w:t>
            </w:r>
          </w:p>
          <w:p>
            <w:pPr>
              <w:adjustRightInd w:val="0"/>
              <w:snapToGrid w:val="0"/>
              <w:ind w:firstLine="480" w:firstLineChars="200"/>
              <w:jc w:val="left"/>
              <w:rPr>
                <w:rFonts w:ascii="宋体" w:hAnsi="宋体" w:cs="宋体"/>
                <w:color w:val="auto"/>
                <w:szCs w:val="21"/>
                <w:highlight w:val="none"/>
              </w:rPr>
            </w:pPr>
            <w:r>
              <w:rPr>
                <w:rFonts w:hint="eastAsia" w:ascii="宋体" w:hAnsi="宋体" w:cs="宋体"/>
                <w:color w:val="auto"/>
                <w:szCs w:val="21"/>
                <w:highlight w:val="none"/>
              </w:rPr>
              <w:t>柴油、天然气</w:t>
            </w:r>
          </w:p>
          <w:p>
            <w:pPr>
              <w:adjustRightInd w:val="0"/>
              <w:snapToGrid w:val="0"/>
              <w:ind w:firstLine="480" w:firstLineChars="200"/>
              <w:jc w:val="left"/>
              <w:rPr>
                <w:rFonts w:hint="eastAsia" w:ascii="宋体" w:hAnsi="宋体" w:cs="宋体"/>
                <w:color w:val="auto"/>
                <w:szCs w:val="21"/>
                <w:highlight w:val="none"/>
              </w:rPr>
            </w:pPr>
            <w:r>
              <w:rPr>
                <w:rFonts w:hint="eastAsia" w:ascii="宋体" w:hAnsi="宋体" w:cs="宋体"/>
                <w:color w:val="auto"/>
                <w:szCs w:val="21"/>
                <w:highlight w:val="none"/>
              </w:rPr>
              <w:t>a：防护措施：消防人员着特殊防护设备，如呼吸器；</w:t>
            </w:r>
          </w:p>
          <w:p>
            <w:pPr>
              <w:adjustRightInd w:val="0"/>
              <w:snapToGrid w:val="0"/>
              <w:ind w:firstLine="480" w:firstLineChars="200"/>
              <w:jc w:val="left"/>
              <w:rPr>
                <w:rFonts w:hint="eastAsia" w:ascii="宋体" w:hAnsi="宋体" w:cs="宋体"/>
                <w:color w:val="auto"/>
                <w:szCs w:val="21"/>
                <w:highlight w:val="none"/>
              </w:rPr>
            </w:pPr>
            <w:r>
              <w:rPr>
                <w:rFonts w:hint="eastAsia" w:ascii="宋体" w:hAnsi="宋体" w:cs="宋体"/>
                <w:color w:val="auto"/>
                <w:szCs w:val="21"/>
                <w:highlight w:val="none"/>
              </w:rPr>
              <w:t>b：灭火措施：适用灭火剂：干粉、雾状水、二氧化碳、泡沫、砂土。</w:t>
            </w:r>
          </w:p>
          <w:p>
            <w:pPr>
              <w:adjustRightInd w:val="0"/>
              <w:snapToGrid w:val="0"/>
              <w:ind w:firstLine="480" w:firstLineChars="200"/>
              <w:jc w:val="left"/>
              <w:rPr>
                <w:rFonts w:hint="eastAsia" w:ascii="宋体" w:hAnsi="宋体" w:cs="宋体"/>
                <w:color w:val="auto"/>
                <w:szCs w:val="21"/>
                <w:highlight w:val="none"/>
              </w:rPr>
            </w:pPr>
            <w:r>
              <w:rPr>
                <w:rFonts w:hint="eastAsia" w:ascii="宋体" w:hAnsi="宋体" w:cs="宋体"/>
                <w:color w:val="auto"/>
                <w:szCs w:val="21"/>
                <w:highlight w:val="none"/>
              </w:rPr>
              <w:t>c：泄露应急处理：发生泄露时迅速切断火源，尽可能切断泄露源。防止进入下水道、排洪沟等限制性空间。小量泄露时用沙土吸收。</w:t>
            </w:r>
          </w:p>
          <w:p>
            <w:pPr>
              <w:adjustRightInd w:val="0"/>
              <w:snapToGrid w:val="0"/>
              <w:ind w:firstLine="480" w:firstLineChars="200"/>
              <w:jc w:val="left"/>
              <w:rPr>
                <w:rFonts w:hint="eastAsia" w:ascii="宋体" w:hAnsi="宋体" w:cs="宋体"/>
                <w:color w:val="auto"/>
                <w:szCs w:val="21"/>
                <w:highlight w:val="none"/>
              </w:rPr>
            </w:pPr>
            <w:r>
              <w:rPr>
                <w:rFonts w:hint="eastAsia" w:ascii="宋体" w:hAnsi="宋体" w:cs="宋体"/>
                <w:color w:val="auto"/>
                <w:szCs w:val="21"/>
                <w:highlight w:val="none"/>
              </w:rPr>
              <w:t>（3）其他风险防范措施</w:t>
            </w:r>
          </w:p>
          <w:p>
            <w:pPr>
              <w:adjustRightInd w:val="0"/>
              <w:snapToGrid w:val="0"/>
              <w:ind w:firstLine="480" w:firstLineChars="200"/>
              <w:jc w:val="left"/>
              <w:rPr>
                <w:rFonts w:hint="eastAsia" w:ascii="宋体" w:hAnsi="宋体" w:cs="宋体"/>
                <w:color w:val="auto"/>
                <w:szCs w:val="21"/>
                <w:highlight w:val="none"/>
              </w:rPr>
            </w:pPr>
            <w:r>
              <w:rPr>
                <w:rFonts w:hint="eastAsia" w:ascii="宋体" w:hAnsi="宋体" w:cs="宋体"/>
                <w:color w:val="auto"/>
                <w:szCs w:val="21"/>
                <w:highlight w:val="none"/>
              </w:rPr>
              <w:t>①派专人定期检查柴油存放点，严防跑、冒、漏、滴情况出现。</w:t>
            </w:r>
          </w:p>
          <w:p>
            <w:pPr>
              <w:adjustRightInd w:val="0"/>
              <w:snapToGrid w:val="0"/>
              <w:ind w:firstLine="480" w:firstLineChars="200"/>
              <w:jc w:val="left"/>
              <w:rPr>
                <w:rFonts w:hint="eastAsia" w:ascii="宋体" w:hAnsi="宋体" w:cs="宋体"/>
                <w:color w:val="auto"/>
                <w:szCs w:val="21"/>
                <w:highlight w:val="none"/>
              </w:rPr>
            </w:pPr>
            <w:r>
              <w:rPr>
                <w:rFonts w:hint="eastAsia" w:ascii="宋体" w:hAnsi="宋体" w:cs="宋体"/>
                <w:color w:val="auto"/>
                <w:szCs w:val="21"/>
                <w:highlight w:val="none"/>
              </w:rPr>
              <w:t>②不得随意增大危险化学品储存量或使用量，项目不得构成重大危险源。</w:t>
            </w:r>
          </w:p>
          <w:p>
            <w:pPr>
              <w:adjustRightInd w:val="0"/>
              <w:snapToGrid w:val="0"/>
              <w:ind w:firstLine="480" w:firstLineChars="200"/>
              <w:jc w:val="left"/>
              <w:rPr>
                <w:rFonts w:hint="eastAsia" w:ascii="宋体" w:hAnsi="宋体" w:cs="宋体"/>
                <w:color w:val="auto"/>
                <w:szCs w:val="21"/>
                <w:highlight w:val="none"/>
              </w:rPr>
            </w:pPr>
            <w:r>
              <w:rPr>
                <w:rFonts w:hint="eastAsia" w:ascii="宋体" w:hAnsi="宋体" w:cs="宋体"/>
                <w:color w:val="auto"/>
                <w:szCs w:val="21"/>
                <w:highlight w:val="none"/>
              </w:rPr>
              <w:t>③建立完善整个厂区的风险管理制度；对于项目危险废物，项目方应严格按照国家《危险废物分类名录》、《危险废物贮存污染控制标准》等要求进行分类收集、处理；做好危废暂存间密闭和防渗漏工作，严格防止地下水污染和土壤污染。</w:t>
            </w:r>
          </w:p>
          <w:p>
            <w:pPr>
              <w:adjustRightInd w:val="0"/>
              <w:snapToGrid w:val="0"/>
              <w:jc w:val="center"/>
              <w:rPr>
                <w:color w:val="auto"/>
                <w:szCs w:val="21"/>
                <w:highlight w:val="none"/>
              </w:rPr>
            </w:pPr>
            <w:r>
              <w:rPr>
                <w:rFonts w:hint="eastAsia" w:ascii="宋体" w:hAnsi="宋体" w:cs="宋体"/>
                <w:color w:val="auto"/>
                <w:szCs w:val="21"/>
                <w:highlight w:val="none"/>
              </w:rPr>
              <w:t>④做好危险废物暂存和运出处理的管理工作，避免产生二次污染。</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02" w:hRule="atLeast"/>
          <w:jc w:val="center"/>
        </w:trPr>
        <w:tc>
          <w:tcPr>
            <w:tcW w:w="1778" w:type="dxa"/>
            <w:noWrap w:val="0"/>
            <w:vAlign w:val="center"/>
          </w:tcPr>
          <w:p>
            <w:pPr>
              <w:adjustRightInd w:val="0"/>
              <w:snapToGrid w:val="0"/>
              <w:jc w:val="center"/>
              <w:rPr>
                <w:color w:val="auto"/>
                <w:spacing w:val="-8"/>
                <w:szCs w:val="21"/>
                <w:highlight w:val="none"/>
              </w:rPr>
            </w:pPr>
            <w:r>
              <w:rPr>
                <w:color w:val="auto"/>
                <w:spacing w:val="-8"/>
                <w:szCs w:val="21"/>
                <w:highlight w:val="none"/>
              </w:rPr>
              <w:t>其他环境</w:t>
            </w:r>
          </w:p>
          <w:p>
            <w:pPr>
              <w:adjustRightInd w:val="0"/>
              <w:snapToGrid w:val="0"/>
              <w:jc w:val="center"/>
              <w:rPr>
                <w:color w:val="auto"/>
                <w:spacing w:val="-8"/>
                <w:szCs w:val="21"/>
                <w:highlight w:val="none"/>
              </w:rPr>
            </w:pPr>
            <w:r>
              <w:rPr>
                <w:color w:val="auto"/>
                <w:spacing w:val="-8"/>
                <w:szCs w:val="21"/>
                <w:highlight w:val="none"/>
              </w:rPr>
              <w:t>管理要求</w:t>
            </w:r>
          </w:p>
        </w:tc>
        <w:tc>
          <w:tcPr>
            <w:tcW w:w="7022" w:type="dxa"/>
            <w:gridSpan w:val="4"/>
            <w:noWrap w:val="0"/>
            <w:vAlign w:val="center"/>
          </w:tcPr>
          <w:p>
            <w:pPr>
              <w:adjustRightInd w:val="0"/>
              <w:snapToGrid w:val="0"/>
              <w:rPr>
                <w:rFonts w:hint="eastAsia"/>
                <w:color w:val="auto"/>
                <w:szCs w:val="21"/>
                <w:highlight w:val="none"/>
              </w:rPr>
            </w:pPr>
            <w:r>
              <w:rPr>
                <w:rFonts w:hint="eastAsia"/>
                <w:color w:val="auto"/>
                <w:szCs w:val="21"/>
                <w:highlight w:val="none"/>
              </w:rPr>
              <w:t>无</w:t>
            </w:r>
          </w:p>
        </w:tc>
      </w:tr>
    </w:tbl>
    <w:p>
      <w:pPr>
        <w:pStyle w:val="35"/>
        <w:jc w:val="center"/>
        <w:outlineLvl w:val="0"/>
        <w:rPr>
          <w:rFonts w:ascii="黑体" w:hAnsi="黑体" w:eastAsia="黑体"/>
          <w:snapToGrid w:val="0"/>
          <w:color w:val="auto"/>
          <w:sz w:val="30"/>
          <w:szCs w:val="30"/>
          <w:highlight w:val="none"/>
        </w:rPr>
      </w:pPr>
      <w:r>
        <w:rPr>
          <w:snapToGrid w:val="0"/>
          <w:color w:val="auto"/>
          <w:highlight w:val="none"/>
        </w:rPr>
        <w:br w:type="page"/>
      </w:r>
      <w:r>
        <w:rPr>
          <w:rFonts w:hint="eastAsia" w:ascii="黑体" w:hAnsi="黑体" w:eastAsia="黑体"/>
          <w:snapToGrid w:val="0"/>
          <w:color w:val="auto"/>
          <w:sz w:val="30"/>
          <w:szCs w:val="30"/>
          <w:highlight w:val="none"/>
        </w:rPr>
        <w:t>六、结论</w:t>
      </w:r>
    </w:p>
    <w:tbl>
      <w:tblPr>
        <w:tblStyle w:val="39"/>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noWrap w:val="0"/>
            <w:vAlign w:val="center"/>
          </w:tcPr>
          <w:p>
            <w:pPr>
              <w:spacing w:line="360" w:lineRule="auto"/>
              <w:ind w:firstLine="480"/>
              <w:rPr>
                <w:color w:val="auto"/>
                <w:sz w:val="24"/>
                <w:highlight w:val="none"/>
              </w:rPr>
            </w:pPr>
            <w:r>
              <w:rPr>
                <w:color w:val="auto"/>
                <w:sz w:val="24"/>
                <w:highlight w:val="none"/>
              </w:rPr>
              <w:t>本项目的建设符合国家产业政策、四川省现行的产业政策；项目选址、布局符合区域发展总体规划；采取的废气、废水、噪声治理措施，可确保达标排放；固废均能妥善处置；只要严格落实设计及本评价报告提出的环保对策措施，项目生产中产生和排放的各项污染物均能得到有效治理，项目建设对周围环境的影响不大。</w:t>
            </w:r>
          </w:p>
          <w:p>
            <w:pPr>
              <w:spacing w:line="360" w:lineRule="auto"/>
              <w:ind w:firstLine="480"/>
              <w:rPr>
                <w:color w:val="auto"/>
                <w:sz w:val="24"/>
                <w:highlight w:val="none"/>
              </w:rPr>
            </w:pPr>
            <w:r>
              <w:rPr>
                <w:color w:val="auto"/>
                <w:sz w:val="24"/>
                <w:highlight w:val="none"/>
              </w:rPr>
              <w:t>综上所述，本评价认为在按“三同时”要求，落实安全生产，严格执行各项风险防范措施的前提下，项目建设符合我国社会、经济、环境保护协调发展方针，符合评价原则，从环境保护角度看，项目建设是可行的。</w:t>
            </w:r>
          </w:p>
          <w:p>
            <w:pPr>
              <w:spacing w:line="360" w:lineRule="auto"/>
              <w:rPr>
                <w:rFonts w:ascii="宋体" w:cs="宋体"/>
                <w:color w:val="auto"/>
                <w:sz w:val="24"/>
                <w:highlight w:val="none"/>
              </w:rPr>
            </w:pPr>
          </w:p>
        </w:tc>
      </w:tr>
    </w:tbl>
    <w:p>
      <w:pPr>
        <w:rPr>
          <w:rFonts w:ascii="宋体"/>
          <w:color w:val="auto"/>
          <w:highlight w:val="none"/>
        </w:rPr>
        <w:sectPr>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p>
    <w:p>
      <w:pPr>
        <w:pStyle w:val="35"/>
        <w:adjustRightInd w:val="0"/>
        <w:snapToGrid w:val="0"/>
        <w:spacing w:before="0" w:beforeAutospacing="0" w:after="0" w:afterAutospacing="0" w:line="648" w:lineRule="auto"/>
        <w:outlineLvl w:val="0"/>
        <w:rPr>
          <w:rFonts w:ascii="黑体" w:hAnsi="黑体" w:eastAsia="黑体"/>
          <w:snapToGrid w:val="0"/>
          <w:color w:val="auto"/>
          <w:sz w:val="32"/>
          <w:szCs w:val="32"/>
          <w:highlight w:val="none"/>
        </w:rPr>
      </w:pPr>
      <w:r>
        <w:rPr>
          <w:rFonts w:hint="eastAsia" w:ascii="黑体" w:hAnsi="黑体" w:eastAsia="黑体"/>
          <w:snapToGrid w:val="0"/>
          <w:color w:val="auto"/>
          <w:sz w:val="32"/>
          <w:szCs w:val="32"/>
          <w:highlight w:val="none"/>
        </w:rPr>
        <w:t>附表</w:t>
      </w:r>
    </w:p>
    <w:p>
      <w:pPr>
        <w:pStyle w:val="35"/>
        <w:adjustRightInd w:val="0"/>
        <w:snapToGrid w:val="0"/>
        <w:spacing w:before="0" w:beforeAutospacing="0" w:after="0" w:afterAutospacing="0" w:line="552" w:lineRule="auto"/>
        <w:jc w:val="center"/>
        <w:outlineLvl w:val="0"/>
        <w:rPr>
          <w:rFonts w:hint="eastAsia" w:ascii="方正小标宋_GBK" w:hAnsi="黑体" w:eastAsia="方正小标宋_GBK"/>
          <w:snapToGrid w:val="0"/>
          <w:color w:val="auto"/>
          <w:sz w:val="38"/>
          <w:szCs w:val="38"/>
          <w:highlight w:val="none"/>
        </w:rPr>
      </w:pPr>
      <w:r>
        <w:rPr>
          <w:rFonts w:hint="eastAsia" w:ascii="方正小标宋_GBK" w:hAnsi="黑体" w:eastAsia="方正小标宋_GBK"/>
          <w:snapToGrid w:val="0"/>
          <w:color w:val="auto"/>
          <w:sz w:val="38"/>
          <w:szCs w:val="38"/>
          <w:highlight w:val="none"/>
        </w:rPr>
        <w:t>建设项目污染物排放量汇总表</w:t>
      </w:r>
    </w:p>
    <w:tbl>
      <w:tblPr>
        <w:tblStyle w:val="39"/>
        <w:tblW w:w="0" w:type="auto"/>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588"/>
        <w:gridCol w:w="1417"/>
        <w:gridCol w:w="1701"/>
        <w:gridCol w:w="1276"/>
        <w:gridCol w:w="1701"/>
        <w:gridCol w:w="1559"/>
        <w:gridCol w:w="1761"/>
        <w:gridCol w:w="1959"/>
        <w:gridCol w:w="82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1588" w:type="dxa"/>
            <w:tcBorders>
              <w:tl2br w:val="single" w:color="auto" w:sz="4" w:space="0"/>
            </w:tcBorders>
            <w:noWrap w:val="0"/>
            <w:tcMar>
              <w:left w:w="28" w:type="dxa"/>
              <w:right w:w="28" w:type="dxa"/>
            </w:tcMar>
            <w:vAlign w:val="center"/>
          </w:tcPr>
          <w:p>
            <w:pPr>
              <w:pStyle w:val="103"/>
              <w:spacing w:beforeLines="0" w:afterLines="0" w:line="240" w:lineRule="auto"/>
              <w:jc w:val="right"/>
              <w:rPr>
                <w:rFonts w:hint="eastAsia" w:ascii="黑体" w:hAnsi="黑体" w:eastAsia="黑体" w:cs="宋体"/>
                <w:snapToGrid w:val="0"/>
                <w:color w:val="auto"/>
                <w:spacing w:val="-6"/>
                <w:kern w:val="21"/>
                <w:szCs w:val="21"/>
                <w:highlight w:val="none"/>
              </w:rPr>
            </w:pPr>
            <w:r>
              <w:rPr>
                <w:rFonts w:hint="eastAsia" w:ascii="黑体" w:hAnsi="黑体" w:eastAsia="黑体" w:cs="宋体"/>
                <w:snapToGrid w:val="0"/>
                <w:color w:val="auto"/>
                <w:spacing w:val="-6"/>
                <w:kern w:val="21"/>
                <w:szCs w:val="21"/>
                <w:highlight w:val="none"/>
              </w:rPr>
              <w:t>项目</w:t>
            </w:r>
          </w:p>
          <w:p>
            <w:pPr>
              <w:pStyle w:val="103"/>
              <w:spacing w:beforeLines="0" w:afterLines="0" w:line="240" w:lineRule="auto"/>
              <w:jc w:val="left"/>
              <w:rPr>
                <w:rFonts w:hint="eastAsia" w:ascii="黑体" w:hAnsi="黑体" w:eastAsia="黑体" w:cs="宋体"/>
                <w:snapToGrid w:val="0"/>
                <w:color w:val="auto"/>
                <w:spacing w:val="-6"/>
                <w:kern w:val="21"/>
                <w:szCs w:val="21"/>
                <w:highlight w:val="none"/>
              </w:rPr>
            </w:pPr>
            <w:r>
              <w:rPr>
                <w:rFonts w:hint="eastAsia" w:ascii="黑体" w:hAnsi="黑体" w:eastAsia="黑体" w:cs="宋体"/>
                <w:snapToGrid w:val="0"/>
                <w:color w:val="auto"/>
                <w:spacing w:val="-6"/>
                <w:kern w:val="21"/>
                <w:szCs w:val="21"/>
                <w:highlight w:val="none"/>
              </w:rPr>
              <w:t>分类</w:t>
            </w:r>
          </w:p>
        </w:tc>
        <w:tc>
          <w:tcPr>
            <w:tcW w:w="1417" w:type="dxa"/>
            <w:noWrap w:val="0"/>
            <w:tcMar>
              <w:left w:w="28" w:type="dxa"/>
              <w:right w:w="28" w:type="dxa"/>
            </w:tcMar>
            <w:vAlign w:val="center"/>
          </w:tcPr>
          <w:p>
            <w:pPr>
              <w:pStyle w:val="103"/>
              <w:spacing w:beforeLines="0" w:afterLines="0" w:line="240" w:lineRule="auto"/>
              <w:rPr>
                <w:rFonts w:hint="eastAsia" w:ascii="黑体" w:hAnsi="黑体" w:eastAsia="黑体" w:cs="宋体"/>
                <w:snapToGrid w:val="0"/>
                <w:color w:val="auto"/>
                <w:spacing w:val="-6"/>
                <w:kern w:val="21"/>
                <w:szCs w:val="21"/>
                <w:highlight w:val="none"/>
              </w:rPr>
            </w:pPr>
            <w:r>
              <w:rPr>
                <w:rFonts w:hint="eastAsia" w:ascii="黑体" w:hAnsi="黑体" w:eastAsia="黑体" w:cs="宋体"/>
                <w:snapToGrid w:val="0"/>
                <w:color w:val="auto"/>
                <w:spacing w:val="-6"/>
                <w:kern w:val="21"/>
                <w:szCs w:val="21"/>
                <w:highlight w:val="none"/>
              </w:rPr>
              <w:t>污染物名称</w:t>
            </w:r>
          </w:p>
        </w:tc>
        <w:tc>
          <w:tcPr>
            <w:tcW w:w="1701" w:type="dxa"/>
            <w:noWrap w:val="0"/>
            <w:tcMar>
              <w:left w:w="28" w:type="dxa"/>
              <w:right w:w="28" w:type="dxa"/>
            </w:tcMar>
            <w:vAlign w:val="center"/>
          </w:tcPr>
          <w:p>
            <w:pPr>
              <w:pStyle w:val="103"/>
              <w:spacing w:beforeLines="0" w:afterLines="0" w:line="240" w:lineRule="auto"/>
              <w:rPr>
                <w:rFonts w:hint="eastAsia" w:ascii="黑体" w:hAnsi="黑体" w:eastAsia="黑体"/>
                <w:snapToGrid w:val="0"/>
                <w:color w:val="auto"/>
                <w:spacing w:val="-6"/>
                <w:kern w:val="21"/>
                <w:szCs w:val="21"/>
                <w:highlight w:val="none"/>
              </w:rPr>
            </w:pPr>
            <w:r>
              <w:rPr>
                <w:rFonts w:ascii="黑体" w:hAnsi="黑体" w:eastAsia="黑体"/>
                <w:snapToGrid w:val="0"/>
                <w:color w:val="auto"/>
                <w:spacing w:val="-6"/>
                <w:kern w:val="21"/>
                <w:szCs w:val="21"/>
                <w:highlight w:val="none"/>
              </w:rPr>
              <w:t>现有工程</w:t>
            </w:r>
          </w:p>
          <w:p>
            <w:pPr>
              <w:pStyle w:val="103"/>
              <w:spacing w:beforeLines="0" w:afterLines="0" w:line="240" w:lineRule="auto"/>
              <w:rPr>
                <w:rFonts w:ascii="黑体" w:hAnsi="黑体" w:eastAsia="黑体"/>
                <w:snapToGrid w:val="0"/>
                <w:color w:val="auto"/>
                <w:spacing w:val="-6"/>
                <w:kern w:val="21"/>
                <w:szCs w:val="21"/>
                <w:highlight w:val="none"/>
              </w:rPr>
            </w:pPr>
            <w:r>
              <w:rPr>
                <w:rFonts w:ascii="黑体" w:hAnsi="黑体" w:eastAsia="黑体"/>
                <w:snapToGrid w:val="0"/>
                <w:color w:val="auto"/>
                <w:spacing w:val="-6"/>
                <w:kern w:val="21"/>
                <w:szCs w:val="21"/>
                <w:highlight w:val="none"/>
              </w:rPr>
              <w:t>排放量（固</w:t>
            </w:r>
            <w:r>
              <w:rPr>
                <w:rFonts w:hint="eastAsia" w:ascii="黑体" w:hAnsi="黑体" w:eastAsia="黑体"/>
                <w:snapToGrid w:val="0"/>
                <w:color w:val="auto"/>
                <w:spacing w:val="-6"/>
                <w:kern w:val="21"/>
                <w:szCs w:val="21"/>
                <w:highlight w:val="none"/>
              </w:rPr>
              <w:t>体</w:t>
            </w:r>
            <w:r>
              <w:rPr>
                <w:rFonts w:ascii="黑体" w:hAnsi="黑体" w:eastAsia="黑体"/>
                <w:snapToGrid w:val="0"/>
                <w:color w:val="auto"/>
                <w:spacing w:val="-6"/>
                <w:kern w:val="21"/>
                <w:szCs w:val="21"/>
                <w:highlight w:val="none"/>
              </w:rPr>
              <w:t>废</w:t>
            </w:r>
            <w:r>
              <w:rPr>
                <w:rFonts w:hint="eastAsia" w:ascii="黑体" w:hAnsi="黑体" w:eastAsia="黑体"/>
                <w:snapToGrid w:val="0"/>
                <w:color w:val="auto"/>
                <w:spacing w:val="-6"/>
                <w:kern w:val="21"/>
                <w:szCs w:val="21"/>
                <w:highlight w:val="none"/>
              </w:rPr>
              <w:t>物</w:t>
            </w:r>
            <w:r>
              <w:rPr>
                <w:rFonts w:ascii="黑体" w:hAnsi="黑体" w:eastAsia="黑体"/>
                <w:snapToGrid w:val="0"/>
                <w:color w:val="auto"/>
                <w:spacing w:val="-6"/>
                <w:kern w:val="21"/>
                <w:szCs w:val="21"/>
                <w:highlight w:val="none"/>
              </w:rPr>
              <w:t>产生量）</w:t>
            </w:r>
            <w:r>
              <w:rPr>
                <w:rFonts w:ascii="黑体" w:hAnsi="黑体" w:eastAsia="黑体"/>
                <w:snapToGrid w:val="0"/>
                <w:color w:val="auto"/>
                <w:spacing w:val="-6"/>
                <w:kern w:val="21"/>
                <w:szCs w:val="21"/>
                <w:highlight w:val="none"/>
              </w:rPr>
              <w:fldChar w:fldCharType="begin"/>
            </w:r>
            <w:r>
              <w:rPr>
                <w:rFonts w:ascii="黑体" w:hAnsi="黑体" w:eastAsia="黑体"/>
                <w:snapToGrid w:val="0"/>
                <w:color w:val="auto"/>
                <w:spacing w:val="-6"/>
                <w:kern w:val="21"/>
                <w:szCs w:val="21"/>
                <w:highlight w:val="none"/>
              </w:rPr>
              <w:instrText xml:space="preserve"> = 1 \* GB3 \* MERGEFORMAT </w:instrText>
            </w:r>
            <w:r>
              <w:rPr>
                <w:rFonts w:ascii="黑体" w:hAnsi="黑体" w:eastAsia="黑体"/>
                <w:snapToGrid w:val="0"/>
                <w:color w:val="auto"/>
                <w:spacing w:val="-6"/>
                <w:kern w:val="21"/>
                <w:szCs w:val="21"/>
                <w:highlight w:val="none"/>
              </w:rPr>
              <w:fldChar w:fldCharType="separate"/>
            </w:r>
            <w:r>
              <w:rPr>
                <w:rFonts w:hint="eastAsia" w:ascii="黑体" w:hAnsi="黑体" w:eastAsia="黑体" w:cs="宋体"/>
                <w:color w:val="auto"/>
                <w:kern w:val="2"/>
                <w:szCs w:val="21"/>
                <w:highlight w:val="none"/>
              </w:rPr>
              <w:t>①</w:t>
            </w:r>
            <w:r>
              <w:rPr>
                <w:rFonts w:ascii="黑体" w:hAnsi="黑体" w:eastAsia="黑体"/>
                <w:snapToGrid w:val="0"/>
                <w:color w:val="auto"/>
                <w:spacing w:val="-6"/>
                <w:kern w:val="21"/>
                <w:szCs w:val="21"/>
                <w:highlight w:val="none"/>
              </w:rPr>
              <w:fldChar w:fldCharType="end"/>
            </w:r>
          </w:p>
        </w:tc>
        <w:tc>
          <w:tcPr>
            <w:tcW w:w="1276" w:type="dxa"/>
            <w:noWrap w:val="0"/>
            <w:tcMar>
              <w:left w:w="28" w:type="dxa"/>
              <w:right w:w="28" w:type="dxa"/>
            </w:tcMar>
            <w:vAlign w:val="center"/>
          </w:tcPr>
          <w:p>
            <w:pPr>
              <w:pStyle w:val="103"/>
              <w:spacing w:beforeLines="0" w:afterLines="0" w:line="240" w:lineRule="auto"/>
              <w:rPr>
                <w:rFonts w:ascii="黑体" w:hAnsi="黑体" w:eastAsia="黑体"/>
                <w:snapToGrid w:val="0"/>
                <w:color w:val="auto"/>
                <w:spacing w:val="-6"/>
                <w:kern w:val="21"/>
                <w:szCs w:val="21"/>
                <w:highlight w:val="none"/>
              </w:rPr>
            </w:pPr>
            <w:r>
              <w:rPr>
                <w:rFonts w:ascii="黑体" w:hAnsi="黑体" w:eastAsia="黑体"/>
                <w:snapToGrid w:val="0"/>
                <w:color w:val="auto"/>
                <w:spacing w:val="-6"/>
                <w:kern w:val="21"/>
                <w:szCs w:val="21"/>
                <w:highlight w:val="none"/>
              </w:rPr>
              <w:t>现有工程</w:t>
            </w:r>
          </w:p>
          <w:p>
            <w:pPr>
              <w:pStyle w:val="103"/>
              <w:spacing w:beforeLines="0" w:afterLines="0" w:line="240" w:lineRule="auto"/>
              <w:rPr>
                <w:rFonts w:ascii="黑体" w:hAnsi="黑体" w:eastAsia="黑体"/>
                <w:snapToGrid w:val="0"/>
                <w:color w:val="auto"/>
                <w:spacing w:val="-6"/>
                <w:kern w:val="21"/>
                <w:szCs w:val="21"/>
                <w:highlight w:val="none"/>
              </w:rPr>
            </w:pPr>
            <w:r>
              <w:rPr>
                <w:rFonts w:ascii="黑体" w:hAnsi="黑体" w:eastAsia="黑体"/>
                <w:snapToGrid w:val="0"/>
                <w:color w:val="auto"/>
                <w:spacing w:val="-6"/>
                <w:kern w:val="21"/>
                <w:szCs w:val="21"/>
                <w:highlight w:val="none"/>
              </w:rPr>
              <w:t>许可排放量</w:t>
            </w:r>
          </w:p>
          <w:p>
            <w:pPr>
              <w:pStyle w:val="103"/>
              <w:spacing w:beforeLines="0" w:afterLines="0"/>
              <w:rPr>
                <w:rFonts w:ascii="黑体" w:hAnsi="黑体" w:eastAsia="黑体"/>
                <w:snapToGrid w:val="0"/>
                <w:color w:val="auto"/>
                <w:spacing w:val="-6"/>
                <w:kern w:val="21"/>
                <w:szCs w:val="21"/>
                <w:highlight w:val="none"/>
              </w:rPr>
            </w:pPr>
            <w:r>
              <w:rPr>
                <w:rFonts w:ascii="黑体" w:hAnsi="黑体" w:eastAsia="黑体"/>
                <w:snapToGrid w:val="0"/>
                <w:color w:val="auto"/>
                <w:spacing w:val="-6"/>
                <w:kern w:val="21"/>
                <w:szCs w:val="21"/>
                <w:highlight w:val="none"/>
              </w:rPr>
              <w:fldChar w:fldCharType="begin"/>
            </w:r>
            <w:r>
              <w:rPr>
                <w:rFonts w:ascii="黑体" w:hAnsi="黑体" w:eastAsia="黑体"/>
                <w:snapToGrid w:val="0"/>
                <w:color w:val="auto"/>
                <w:spacing w:val="-6"/>
                <w:kern w:val="21"/>
                <w:szCs w:val="21"/>
                <w:highlight w:val="none"/>
              </w:rPr>
              <w:instrText xml:space="preserve"> = 2 \* GB3 \* MERGEFORMAT </w:instrText>
            </w:r>
            <w:r>
              <w:rPr>
                <w:rFonts w:ascii="黑体" w:hAnsi="黑体" w:eastAsia="黑体"/>
                <w:snapToGrid w:val="0"/>
                <w:color w:val="auto"/>
                <w:spacing w:val="-6"/>
                <w:kern w:val="21"/>
                <w:szCs w:val="21"/>
                <w:highlight w:val="none"/>
              </w:rPr>
              <w:fldChar w:fldCharType="separate"/>
            </w:r>
            <w:r>
              <w:rPr>
                <w:rFonts w:hint="eastAsia" w:ascii="黑体" w:hAnsi="黑体" w:eastAsia="黑体" w:cs="宋体"/>
                <w:snapToGrid w:val="0"/>
                <w:color w:val="auto"/>
                <w:spacing w:val="-6"/>
                <w:kern w:val="21"/>
                <w:szCs w:val="21"/>
                <w:highlight w:val="none"/>
              </w:rPr>
              <w:t>②</w:t>
            </w:r>
            <w:r>
              <w:rPr>
                <w:rFonts w:ascii="黑体" w:hAnsi="黑体" w:eastAsia="黑体"/>
                <w:snapToGrid w:val="0"/>
                <w:color w:val="auto"/>
                <w:spacing w:val="-6"/>
                <w:kern w:val="21"/>
                <w:szCs w:val="21"/>
                <w:highlight w:val="none"/>
              </w:rPr>
              <w:fldChar w:fldCharType="end"/>
            </w:r>
          </w:p>
        </w:tc>
        <w:tc>
          <w:tcPr>
            <w:tcW w:w="1701" w:type="dxa"/>
            <w:noWrap w:val="0"/>
            <w:tcMar>
              <w:left w:w="28" w:type="dxa"/>
              <w:right w:w="28" w:type="dxa"/>
            </w:tcMar>
            <w:vAlign w:val="center"/>
          </w:tcPr>
          <w:p>
            <w:pPr>
              <w:pStyle w:val="103"/>
              <w:spacing w:beforeLines="0" w:afterLines="0" w:line="240" w:lineRule="auto"/>
              <w:rPr>
                <w:rFonts w:hint="eastAsia" w:ascii="黑体" w:hAnsi="黑体" w:eastAsia="黑体"/>
                <w:snapToGrid w:val="0"/>
                <w:color w:val="auto"/>
                <w:spacing w:val="-6"/>
                <w:kern w:val="21"/>
                <w:szCs w:val="21"/>
                <w:highlight w:val="none"/>
              </w:rPr>
            </w:pPr>
            <w:r>
              <w:rPr>
                <w:rFonts w:ascii="黑体" w:hAnsi="黑体" w:eastAsia="黑体"/>
                <w:snapToGrid w:val="0"/>
                <w:color w:val="auto"/>
                <w:spacing w:val="-6"/>
                <w:kern w:val="21"/>
                <w:szCs w:val="21"/>
                <w:highlight w:val="none"/>
              </w:rPr>
              <w:t>在建工程</w:t>
            </w:r>
          </w:p>
          <w:p>
            <w:pPr>
              <w:pStyle w:val="103"/>
              <w:spacing w:beforeLines="0" w:afterLines="0" w:line="240" w:lineRule="auto"/>
              <w:rPr>
                <w:rFonts w:ascii="黑体" w:hAnsi="黑体" w:eastAsia="黑体"/>
                <w:snapToGrid w:val="0"/>
                <w:color w:val="auto"/>
                <w:spacing w:val="-6"/>
                <w:kern w:val="21"/>
                <w:szCs w:val="21"/>
                <w:highlight w:val="none"/>
              </w:rPr>
            </w:pPr>
            <w:r>
              <w:rPr>
                <w:rFonts w:ascii="黑体" w:hAnsi="黑体" w:eastAsia="黑体"/>
                <w:snapToGrid w:val="0"/>
                <w:color w:val="auto"/>
                <w:spacing w:val="-6"/>
                <w:kern w:val="21"/>
                <w:szCs w:val="21"/>
                <w:highlight w:val="none"/>
              </w:rPr>
              <w:t>排放量（固</w:t>
            </w:r>
            <w:r>
              <w:rPr>
                <w:rFonts w:hint="eastAsia" w:ascii="黑体" w:hAnsi="黑体" w:eastAsia="黑体"/>
                <w:snapToGrid w:val="0"/>
                <w:color w:val="auto"/>
                <w:spacing w:val="-6"/>
                <w:kern w:val="21"/>
                <w:szCs w:val="21"/>
                <w:highlight w:val="none"/>
              </w:rPr>
              <w:t>体</w:t>
            </w:r>
            <w:r>
              <w:rPr>
                <w:rFonts w:ascii="黑体" w:hAnsi="黑体" w:eastAsia="黑体"/>
                <w:snapToGrid w:val="0"/>
                <w:color w:val="auto"/>
                <w:spacing w:val="-6"/>
                <w:kern w:val="21"/>
                <w:szCs w:val="21"/>
                <w:highlight w:val="none"/>
              </w:rPr>
              <w:t>废</w:t>
            </w:r>
            <w:r>
              <w:rPr>
                <w:rFonts w:hint="eastAsia" w:ascii="黑体" w:hAnsi="黑体" w:eastAsia="黑体"/>
                <w:snapToGrid w:val="0"/>
                <w:color w:val="auto"/>
                <w:spacing w:val="-6"/>
                <w:kern w:val="21"/>
                <w:szCs w:val="21"/>
                <w:highlight w:val="none"/>
              </w:rPr>
              <w:t>物</w:t>
            </w:r>
            <w:r>
              <w:rPr>
                <w:rFonts w:ascii="黑体" w:hAnsi="黑体" w:eastAsia="黑体"/>
                <w:snapToGrid w:val="0"/>
                <w:color w:val="auto"/>
                <w:spacing w:val="-6"/>
                <w:kern w:val="21"/>
                <w:szCs w:val="21"/>
                <w:highlight w:val="none"/>
              </w:rPr>
              <w:t>产生量）</w:t>
            </w:r>
            <w:r>
              <w:rPr>
                <w:rFonts w:ascii="黑体" w:hAnsi="黑体" w:eastAsia="黑体"/>
                <w:snapToGrid w:val="0"/>
                <w:color w:val="auto"/>
                <w:spacing w:val="-6"/>
                <w:kern w:val="21"/>
                <w:szCs w:val="21"/>
                <w:highlight w:val="none"/>
              </w:rPr>
              <w:fldChar w:fldCharType="begin"/>
            </w:r>
            <w:r>
              <w:rPr>
                <w:rFonts w:ascii="黑体" w:hAnsi="黑体" w:eastAsia="黑体"/>
                <w:snapToGrid w:val="0"/>
                <w:color w:val="auto"/>
                <w:spacing w:val="-6"/>
                <w:kern w:val="21"/>
                <w:szCs w:val="21"/>
                <w:highlight w:val="none"/>
              </w:rPr>
              <w:instrText xml:space="preserve"> = 3 \* GB3 \* MERGEFORMAT </w:instrText>
            </w:r>
            <w:r>
              <w:rPr>
                <w:rFonts w:ascii="黑体" w:hAnsi="黑体" w:eastAsia="黑体"/>
                <w:snapToGrid w:val="0"/>
                <w:color w:val="auto"/>
                <w:spacing w:val="-6"/>
                <w:kern w:val="21"/>
                <w:szCs w:val="21"/>
                <w:highlight w:val="none"/>
              </w:rPr>
              <w:fldChar w:fldCharType="separate"/>
            </w:r>
            <w:r>
              <w:rPr>
                <w:rFonts w:hint="eastAsia" w:ascii="黑体" w:hAnsi="黑体" w:eastAsia="黑体" w:cs="宋体"/>
                <w:color w:val="auto"/>
                <w:kern w:val="2"/>
                <w:szCs w:val="21"/>
                <w:highlight w:val="none"/>
              </w:rPr>
              <w:t>③</w:t>
            </w:r>
            <w:r>
              <w:rPr>
                <w:rFonts w:ascii="黑体" w:hAnsi="黑体" w:eastAsia="黑体"/>
                <w:snapToGrid w:val="0"/>
                <w:color w:val="auto"/>
                <w:spacing w:val="-6"/>
                <w:kern w:val="21"/>
                <w:szCs w:val="21"/>
                <w:highlight w:val="none"/>
              </w:rPr>
              <w:fldChar w:fldCharType="end"/>
            </w:r>
          </w:p>
        </w:tc>
        <w:tc>
          <w:tcPr>
            <w:tcW w:w="1559" w:type="dxa"/>
            <w:noWrap w:val="0"/>
            <w:tcMar>
              <w:left w:w="28" w:type="dxa"/>
              <w:right w:w="28" w:type="dxa"/>
            </w:tcMar>
            <w:vAlign w:val="center"/>
          </w:tcPr>
          <w:p>
            <w:pPr>
              <w:pStyle w:val="103"/>
              <w:spacing w:beforeLines="0" w:afterLines="0" w:line="240" w:lineRule="auto"/>
              <w:rPr>
                <w:rFonts w:hint="eastAsia" w:ascii="黑体" w:hAnsi="黑体" w:eastAsia="黑体"/>
                <w:snapToGrid w:val="0"/>
                <w:color w:val="auto"/>
                <w:spacing w:val="-6"/>
                <w:kern w:val="21"/>
                <w:szCs w:val="21"/>
                <w:highlight w:val="none"/>
              </w:rPr>
            </w:pPr>
            <w:r>
              <w:rPr>
                <w:rFonts w:ascii="黑体" w:hAnsi="黑体" w:eastAsia="黑体"/>
                <w:snapToGrid w:val="0"/>
                <w:color w:val="auto"/>
                <w:spacing w:val="-6"/>
                <w:kern w:val="21"/>
                <w:szCs w:val="21"/>
                <w:highlight w:val="none"/>
              </w:rPr>
              <w:t>本项目</w:t>
            </w:r>
          </w:p>
          <w:p>
            <w:pPr>
              <w:pStyle w:val="103"/>
              <w:spacing w:beforeLines="0" w:afterLines="0" w:line="240" w:lineRule="auto"/>
              <w:rPr>
                <w:rFonts w:ascii="黑体" w:hAnsi="黑体" w:eastAsia="黑体"/>
                <w:snapToGrid w:val="0"/>
                <w:color w:val="auto"/>
                <w:spacing w:val="-6"/>
                <w:kern w:val="21"/>
                <w:szCs w:val="21"/>
                <w:highlight w:val="none"/>
              </w:rPr>
            </w:pPr>
            <w:r>
              <w:rPr>
                <w:rFonts w:ascii="黑体" w:hAnsi="黑体" w:eastAsia="黑体"/>
                <w:snapToGrid w:val="0"/>
                <w:color w:val="auto"/>
                <w:spacing w:val="-6"/>
                <w:kern w:val="21"/>
                <w:szCs w:val="21"/>
                <w:highlight w:val="none"/>
              </w:rPr>
              <w:t>排放量（固</w:t>
            </w:r>
            <w:r>
              <w:rPr>
                <w:rFonts w:hint="eastAsia" w:ascii="黑体" w:hAnsi="黑体" w:eastAsia="黑体"/>
                <w:snapToGrid w:val="0"/>
                <w:color w:val="auto"/>
                <w:spacing w:val="-6"/>
                <w:kern w:val="21"/>
                <w:szCs w:val="21"/>
                <w:highlight w:val="none"/>
              </w:rPr>
              <w:t>体</w:t>
            </w:r>
            <w:r>
              <w:rPr>
                <w:rFonts w:ascii="黑体" w:hAnsi="黑体" w:eastAsia="黑体"/>
                <w:snapToGrid w:val="0"/>
                <w:color w:val="auto"/>
                <w:spacing w:val="-6"/>
                <w:kern w:val="21"/>
                <w:szCs w:val="21"/>
                <w:highlight w:val="none"/>
              </w:rPr>
              <w:t>废</w:t>
            </w:r>
            <w:r>
              <w:rPr>
                <w:rFonts w:hint="eastAsia" w:ascii="黑体" w:hAnsi="黑体" w:eastAsia="黑体"/>
                <w:snapToGrid w:val="0"/>
                <w:color w:val="auto"/>
                <w:spacing w:val="-6"/>
                <w:kern w:val="21"/>
                <w:szCs w:val="21"/>
                <w:highlight w:val="none"/>
              </w:rPr>
              <w:t>物</w:t>
            </w:r>
            <w:r>
              <w:rPr>
                <w:rFonts w:ascii="黑体" w:hAnsi="黑体" w:eastAsia="黑体"/>
                <w:snapToGrid w:val="0"/>
                <w:color w:val="auto"/>
                <w:spacing w:val="-6"/>
                <w:kern w:val="21"/>
                <w:szCs w:val="21"/>
                <w:highlight w:val="none"/>
              </w:rPr>
              <w:t>产生量）</w:t>
            </w:r>
            <w:r>
              <w:rPr>
                <w:rFonts w:ascii="黑体" w:hAnsi="黑体" w:eastAsia="黑体"/>
                <w:snapToGrid w:val="0"/>
                <w:color w:val="auto"/>
                <w:spacing w:val="-6"/>
                <w:kern w:val="21"/>
                <w:szCs w:val="21"/>
                <w:highlight w:val="none"/>
              </w:rPr>
              <w:fldChar w:fldCharType="begin"/>
            </w:r>
            <w:r>
              <w:rPr>
                <w:rFonts w:ascii="黑体" w:hAnsi="黑体" w:eastAsia="黑体"/>
                <w:snapToGrid w:val="0"/>
                <w:color w:val="auto"/>
                <w:spacing w:val="-6"/>
                <w:kern w:val="21"/>
                <w:szCs w:val="21"/>
                <w:highlight w:val="none"/>
              </w:rPr>
              <w:instrText xml:space="preserve"> = 4 \* GB3 \* MERGEFORMAT </w:instrText>
            </w:r>
            <w:r>
              <w:rPr>
                <w:rFonts w:ascii="黑体" w:hAnsi="黑体" w:eastAsia="黑体"/>
                <w:snapToGrid w:val="0"/>
                <w:color w:val="auto"/>
                <w:spacing w:val="-6"/>
                <w:kern w:val="21"/>
                <w:szCs w:val="21"/>
                <w:highlight w:val="none"/>
              </w:rPr>
              <w:fldChar w:fldCharType="separate"/>
            </w:r>
            <w:r>
              <w:rPr>
                <w:rFonts w:hint="eastAsia" w:ascii="黑体" w:hAnsi="黑体" w:eastAsia="黑体" w:cs="宋体"/>
                <w:color w:val="auto"/>
                <w:kern w:val="2"/>
                <w:szCs w:val="21"/>
                <w:highlight w:val="none"/>
              </w:rPr>
              <w:t>④</w:t>
            </w:r>
            <w:r>
              <w:rPr>
                <w:rFonts w:ascii="黑体" w:hAnsi="黑体" w:eastAsia="黑体"/>
                <w:snapToGrid w:val="0"/>
                <w:color w:val="auto"/>
                <w:spacing w:val="-6"/>
                <w:kern w:val="21"/>
                <w:szCs w:val="21"/>
                <w:highlight w:val="none"/>
              </w:rPr>
              <w:fldChar w:fldCharType="end"/>
            </w:r>
          </w:p>
        </w:tc>
        <w:tc>
          <w:tcPr>
            <w:tcW w:w="1761" w:type="dxa"/>
            <w:noWrap w:val="0"/>
            <w:tcMar>
              <w:left w:w="28" w:type="dxa"/>
              <w:right w:w="28" w:type="dxa"/>
            </w:tcMar>
            <w:vAlign w:val="center"/>
          </w:tcPr>
          <w:p>
            <w:pPr>
              <w:pStyle w:val="103"/>
              <w:spacing w:beforeLines="0" w:afterLines="0" w:line="240" w:lineRule="auto"/>
              <w:rPr>
                <w:rFonts w:hint="eastAsia" w:ascii="黑体" w:hAnsi="黑体" w:eastAsia="黑体"/>
                <w:snapToGrid w:val="0"/>
                <w:color w:val="auto"/>
                <w:spacing w:val="-16"/>
                <w:kern w:val="21"/>
                <w:szCs w:val="21"/>
                <w:highlight w:val="none"/>
              </w:rPr>
            </w:pPr>
            <w:r>
              <w:rPr>
                <w:rFonts w:ascii="黑体" w:hAnsi="黑体" w:eastAsia="黑体"/>
                <w:snapToGrid w:val="0"/>
                <w:color w:val="auto"/>
                <w:spacing w:val="-16"/>
                <w:kern w:val="21"/>
                <w:szCs w:val="21"/>
                <w:highlight w:val="none"/>
              </w:rPr>
              <w:t>以新带老削减量</w:t>
            </w:r>
          </w:p>
          <w:p>
            <w:pPr>
              <w:pStyle w:val="103"/>
              <w:spacing w:beforeLines="0" w:afterLines="0" w:line="240" w:lineRule="auto"/>
              <w:rPr>
                <w:rFonts w:ascii="黑体" w:hAnsi="黑体" w:eastAsia="黑体"/>
                <w:snapToGrid w:val="0"/>
                <w:color w:val="auto"/>
                <w:spacing w:val="-16"/>
                <w:kern w:val="21"/>
                <w:szCs w:val="21"/>
                <w:highlight w:val="none"/>
              </w:rPr>
            </w:pPr>
            <w:r>
              <w:rPr>
                <w:rFonts w:ascii="黑体" w:hAnsi="黑体" w:eastAsia="黑体"/>
                <w:snapToGrid w:val="0"/>
                <w:color w:val="auto"/>
                <w:spacing w:val="-16"/>
                <w:kern w:val="21"/>
                <w:szCs w:val="21"/>
                <w:highlight w:val="none"/>
              </w:rPr>
              <w:t>（新建项目不填）</w:t>
            </w:r>
            <w:r>
              <w:rPr>
                <w:rFonts w:ascii="黑体" w:hAnsi="黑体" w:eastAsia="黑体"/>
                <w:snapToGrid w:val="0"/>
                <w:color w:val="auto"/>
                <w:spacing w:val="-16"/>
                <w:kern w:val="21"/>
                <w:szCs w:val="21"/>
                <w:highlight w:val="none"/>
              </w:rPr>
              <w:fldChar w:fldCharType="begin"/>
            </w:r>
            <w:r>
              <w:rPr>
                <w:rFonts w:ascii="黑体" w:hAnsi="黑体" w:eastAsia="黑体"/>
                <w:snapToGrid w:val="0"/>
                <w:color w:val="auto"/>
                <w:spacing w:val="-16"/>
                <w:kern w:val="21"/>
                <w:szCs w:val="21"/>
                <w:highlight w:val="none"/>
              </w:rPr>
              <w:instrText xml:space="preserve"> = 5 \* GB3 \* MERGEFORMAT </w:instrText>
            </w:r>
            <w:r>
              <w:rPr>
                <w:rFonts w:ascii="黑体" w:hAnsi="黑体" w:eastAsia="黑体"/>
                <w:snapToGrid w:val="0"/>
                <w:color w:val="auto"/>
                <w:spacing w:val="-16"/>
                <w:kern w:val="21"/>
                <w:szCs w:val="21"/>
                <w:highlight w:val="none"/>
              </w:rPr>
              <w:fldChar w:fldCharType="separate"/>
            </w:r>
            <w:r>
              <w:rPr>
                <w:rFonts w:hint="eastAsia" w:ascii="黑体" w:hAnsi="黑体" w:eastAsia="黑体" w:cs="宋体"/>
                <w:color w:val="auto"/>
                <w:kern w:val="2"/>
                <w:szCs w:val="21"/>
                <w:highlight w:val="none"/>
              </w:rPr>
              <w:t>⑤</w:t>
            </w:r>
            <w:r>
              <w:rPr>
                <w:rFonts w:ascii="黑体" w:hAnsi="黑体" w:eastAsia="黑体"/>
                <w:snapToGrid w:val="0"/>
                <w:color w:val="auto"/>
                <w:spacing w:val="-16"/>
                <w:kern w:val="21"/>
                <w:szCs w:val="21"/>
                <w:highlight w:val="none"/>
              </w:rPr>
              <w:fldChar w:fldCharType="end"/>
            </w:r>
          </w:p>
        </w:tc>
        <w:tc>
          <w:tcPr>
            <w:tcW w:w="1959" w:type="dxa"/>
            <w:noWrap w:val="0"/>
            <w:tcMar>
              <w:left w:w="28" w:type="dxa"/>
              <w:right w:w="28" w:type="dxa"/>
            </w:tcMar>
            <w:vAlign w:val="center"/>
          </w:tcPr>
          <w:p>
            <w:pPr>
              <w:pStyle w:val="103"/>
              <w:spacing w:beforeLines="0" w:afterLines="0" w:line="240" w:lineRule="auto"/>
              <w:rPr>
                <w:rFonts w:hint="eastAsia" w:ascii="黑体" w:hAnsi="黑体" w:eastAsia="黑体"/>
                <w:snapToGrid w:val="0"/>
                <w:color w:val="auto"/>
                <w:spacing w:val="-16"/>
                <w:kern w:val="21"/>
                <w:szCs w:val="21"/>
                <w:highlight w:val="none"/>
              </w:rPr>
            </w:pPr>
            <w:r>
              <w:rPr>
                <w:rFonts w:ascii="黑体" w:hAnsi="黑体" w:eastAsia="黑体"/>
                <w:snapToGrid w:val="0"/>
                <w:color w:val="auto"/>
                <w:spacing w:val="-16"/>
                <w:kern w:val="21"/>
                <w:szCs w:val="21"/>
                <w:highlight w:val="none"/>
              </w:rPr>
              <w:t>本项目建成后</w:t>
            </w:r>
          </w:p>
          <w:p>
            <w:pPr>
              <w:pStyle w:val="103"/>
              <w:spacing w:beforeLines="0" w:afterLines="0" w:line="240" w:lineRule="auto"/>
              <w:rPr>
                <w:rFonts w:ascii="黑体" w:hAnsi="黑体" w:eastAsia="黑体"/>
                <w:snapToGrid w:val="0"/>
                <w:color w:val="auto"/>
                <w:spacing w:val="-16"/>
                <w:kern w:val="21"/>
                <w:szCs w:val="21"/>
                <w:highlight w:val="none"/>
              </w:rPr>
            </w:pPr>
            <w:r>
              <w:rPr>
                <w:rFonts w:hint="eastAsia" w:ascii="黑体" w:hAnsi="黑体" w:eastAsia="黑体"/>
                <w:snapToGrid w:val="0"/>
                <w:color w:val="auto"/>
                <w:spacing w:val="-16"/>
                <w:kern w:val="21"/>
                <w:szCs w:val="21"/>
                <w:highlight w:val="none"/>
              </w:rPr>
              <w:t>全厂</w:t>
            </w:r>
            <w:r>
              <w:rPr>
                <w:rFonts w:ascii="黑体" w:hAnsi="黑体" w:eastAsia="黑体"/>
                <w:snapToGrid w:val="0"/>
                <w:color w:val="auto"/>
                <w:spacing w:val="-16"/>
                <w:kern w:val="21"/>
                <w:szCs w:val="21"/>
                <w:highlight w:val="none"/>
              </w:rPr>
              <w:t>排放量（固</w:t>
            </w:r>
            <w:r>
              <w:rPr>
                <w:rFonts w:hint="eastAsia" w:ascii="黑体" w:hAnsi="黑体" w:eastAsia="黑体"/>
                <w:snapToGrid w:val="0"/>
                <w:color w:val="auto"/>
                <w:spacing w:val="-16"/>
                <w:kern w:val="21"/>
                <w:szCs w:val="21"/>
                <w:highlight w:val="none"/>
              </w:rPr>
              <w:t>体</w:t>
            </w:r>
            <w:r>
              <w:rPr>
                <w:rFonts w:ascii="黑体" w:hAnsi="黑体" w:eastAsia="黑体"/>
                <w:snapToGrid w:val="0"/>
                <w:color w:val="auto"/>
                <w:spacing w:val="-16"/>
                <w:kern w:val="21"/>
                <w:szCs w:val="21"/>
                <w:highlight w:val="none"/>
              </w:rPr>
              <w:t>废</w:t>
            </w:r>
            <w:r>
              <w:rPr>
                <w:rFonts w:hint="eastAsia" w:ascii="黑体" w:hAnsi="黑体" w:eastAsia="黑体"/>
                <w:snapToGrid w:val="0"/>
                <w:color w:val="auto"/>
                <w:spacing w:val="-16"/>
                <w:kern w:val="21"/>
                <w:szCs w:val="21"/>
                <w:highlight w:val="none"/>
              </w:rPr>
              <w:t>物</w:t>
            </w:r>
            <w:r>
              <w:rPr>
                <w:rFonts w:ascii="黑体" w:hAnsi="黑体" w:eastAsia="黑体"/>
                <w:snapToGrid w:val="0"/>
                <w:color w:val="auto"/>
                <w:spacing w:val="-16"/>
                <w:kern w:val="21"/>
                <w:szCs w:val="21"/>
                <w:highlight w:val="none"/>
              </w:rPr>
              <w:t>产生量）</w:t>
            </w:r>
            <w:r>
              <w:rPr>
                <w:rFonts w:ascii="黑体" w:hAnsi="黑体" w:eastAsia="黑体"/>
                <w:snapToGrid w:val="0"/>
                <w:color w:val="auto"/>
                <w:spacing w:val="-16"/>
                <w:kern w:val="21"/>
                <w:szCs w:val="21"/>
                <w:highlight w:val="none"/>
              </w:rPr>
              <w:fldChar w:fldCharType="begin"/>
            </w:r>
            <w:r>
              <w:rPr>
                <w:rFonts w:ascii="黑体" w:hAnsi="黑体" w:eastAsia="黑体"/>
                <w:snapToGrid w:val="0"/>
                <w:color w:val="auto"/>
                <w:spacing w:val="-16"/>
                <w:kern w:val="21"/>
                <w:szCs w:val="21"/>
                <w:highlight w:val="none"/>
              </w:rPr>
              <w:instrText xml:space="preserve"> = 6 \* GB3 \* MERGEFORMAT </w:instrText>
            </w:r>
            <w:r>
              <w:rPr>
                <w:rFonts w:ascii="黑体" w:hAnsi="黑体" w:eastAsia="黑体"/>
                <w:snapToGrid w:val="0"/>
                <w:color w:val="auto"/>
                <w:spacing w:val="-16"/>
                <w:kern w:val="21"/>
                <w:szCs w:val="21"/>
                <w:highlight w:val="none"/>
              </w:rPr>
              <w:fldChar w:fldCharType="separate"/>
            </w:r>
            <w:r>
              <w:rPr>
                <w:rFonts w:hint="eastAsia" w:ascii="黑体" w:hAnsi="黑体" w:eastAsia="黑体" w:cs="宋体"/>
                <w:color w:val="auto"/>
                <w:kern w:val="2"/>
                <w:szCs w:val="21"/>
                <w:highlight w:val="none"/>
              </w:rPr>
              <w:t>⑥</w:t>
            </w:r>
            <w:r>
              <w:rPr>
                <w:rFonts w:ascii="黑体" w:hAnsi="黑体" w:eastAsia="黑体"/>
                <w:snapToGrid w:val="0"/>
                <w:color w:val="auto"/>
                <w:spacing w:val="-16"/>
                <w:kern w:val="21"/>
                <w:szCs w:val="21"/>
                <w:highlight w:val="none"/>
              </w:rPr>
              <w:fldChar w:fldCharType="end"/>
            </w:r>
          </w:p>
        </w:tc>
        <w:tc>
          <w:tcPr>
            <w:tcW w:w="826" w:type="dxa"/>
            <w:noWrap w:val="0"/>
            <w:tcMar>
              <w:left w:w="28" w:type="dxa"/>
              <w:right w:w="28" w:type="dxa"/>
            </w:tcMar>
            <w:vAlign w:val="center"/>
          </w:tcPr>
          <w:p>
            <w:pPr>
              <w:pStyle w:val="103"/>
              <w:spacing w:beforeLines="0" w:afterLines="0" w:line="240" w:lineRule="auto"/>
              <w:rPr>
                <w:rFonts w:ascii="黑体" w:hAnsi="黑体" w:eastAsia="黑体"/>
                <w:snapToGrid w:val="0"/>
                <w:color w:val="auto"/>
                <w:spacing w:val="-6"/>
                <w:kern w:val="21"/>
                <w:szCs w:val="21"/>
                <w:highlight w:val="none"/>
              </w:rPr>
            </w:pPr>
            <w:r>
              <w:rPr>
                <w:rFonts w:ascii="黑体" w:hAnsi="黑体" w:eastAsia="黑体"/>
                <w:snapToGrid w:val="0"/>
                <w:color w:val="auto"/>
                <w:spacing w:val="-6"/>
                <w:kern w:val="21"/>
                <w:szCs w:val="21"/>
                <w:highlight w:val="none"/>
              </w:rPr>
              <w:t>变化量</w:t>
            </w:r>
          </w:p>
          <w:p>
            <w:pPr>
              <w:pStyle w:val="103"/>
              <w:spacing w:beforeLines="0" w:afterLines="0" w:line="240" w:lineRule="auto"/>
              <w:rPr>
                <w:rFonts w:ascii="黑体" w:hAnsi="黑体" w:eastAsia="黑体"/>
                <w:snapToGrid w:val="0"/>
                <w:color w:val="auto"/>
                <w:spacing w:val="-6"/>
                <w:kern w:val="21"/>
                <w:szCs w:val="21"/>
                <w:highlight w:val="none"/>
              </w:rPr>
            </w:pPr>
            <w:r>
              <w:rPr>
                <w:rFonts w:ascii="黑体" w:hAnsi="黑体" w:eastAsia="黑体"/>
                <w:snapToGrid w:val="0"/>
                <w:color w:val="auto"/>
                <w:spacing w:val="-6"/>
                <w:kern w:val="21"/>
                <w:szCs w:val="21"/>
                <w:highlight w:val="none"/>
              </w:rPr>
              <w:fldChar w:fldCharType="begin"/>
            </w:r>
            <w:r>
              <w:rPr>
                <w:rFonts w:ascii="黑体" w:hAnsi="黑体" w:eastAsia="黑体"/>
                <w:snapToGrid w:val="0"/>
                <w:color w:val="auto"/>
                <w:spacing w:val="-6"/>
                <w:kern w:val="21"/>
                <w:szCs w:val="21"/>
                <w:highlight w:val="none"/>
              </w:rPr>
              <w:instrText xml:space="preserve"> = 7 \* GB3 \* MERGEFORMAT </w:instrText>
            </w:r>
            <w:r>
              <w:rPr>
                <w:rFonts w:ascii="黑体" w:hAnsi="黑体" w:eastAsia="黑体"/>
                <w:snapToGrid w:val="0"/>
                <w:color w:val="auto"/>
                <w:spacing w:val="-6"/>
                <w:kern w:val="21"/>
                <w:szCs w:val="21"/>
                <w:highlight w:val="none"/>
              </w:rPr>
              <w:fldChar w:fldCharType="separate"/>
            </w:r>
            <w:r>
              <w:rPr>
                <w:rFonts w:hint="eastAsia" w:ascii="黑体" w:hAnsi="黑体" w:eastAsia="黑体" w:cs="宋体"/>
                <w:color w:val="auto"/>
                <w:kern w:val="2"/>
                <w:szCs w:val="21"/>
                <w:highlight w:val="none"/>
              </w:rPr>
              <w:t>⑦</w:t>
            </w:r>
            <w:r>
              <w:rPr>
                <w:rFonts w:ascii="黑体" w:hAnsi="黑体" w:eastAsia="黑体"/>
                <w:snapToGrid w:val="0"/>
                <w:color w:val="auto"/>
                <w:spacing w:val="-6"/>
                <w:kern w:val="21"/>
                <w:szCs w:val="21"/>
                <w:highlight w:val="none"/>
              </w:rPr>
              <w:fldChar w:fldCharType="end"/>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restart"/>
            <w:noWrap w:val="0"/>
            <w:vAlign w:val="center"/>
          </w:tcPr>
          <w:p>
            <w:pPr>
              <w:pStyle w:val="103"/>
              <w:spacing w:beforeLines="0" w:afterLines="0" w:line="240" w:lineRule="auto"/>
              <w:rPr>
                <w:rFonts w:hint="eastAsia" w:hAnsi="宋体" w:cs="宋体"/>
                <w:snapToGrid w:val="0"/>
                <w:color w:val="auto"/>
                <w:kern w:val="21"/>
                <w:szCs w:val="21"/>
                <w:highlight w:val="none"/>
              </w:rPr>
            </w:pPr>
            <w:r>
              <w:rPr>
                <w:rFonts w:hint="eastAsia" w:hAnsi="宋体" w:cs="宋体"/>
                <w:snapToGrid w:val="0"/>
                <w:color w:val="auto"/>
                <w:kern w:val="21"/>
                <w:szCs w:val="21"/>
                <w:highlight w:val="none"/>
              </w:rPr>
              <w:t>废气</w:t>
            </w:r>
          </w:p>
        </w:tc>
        <w:tc>
          <w:tcPr>
            <w:tcW w:w="1417" w:type="dxa"/>
            <w:noWrap w:val="0"/>
            <w:vAlign w:val="center"/>
          </w:tcPr>
          <w:p>
            <w:pPr>
              <w:tabs>
                <w:tab w:val="left" w:pos="105"/>
              </w:tabs>
              <w:spacing w:line="240" w:lineRule="exact"/>
              <w:ind w:left="-120" w:leftChars="-50" w:right="-120" w:rightChars="-50"/>
              <w:jc w:val="center"/>
              <w:rPr>
                <w:rFonts w:hAnsi="宋体" w:cs="宋体"/>
                <w:snapToGrid w:val="0"/>
                <w:color w:val="auto"/>
                <w:kern w:val="21"/>
                <w:szCs w:val="21"/>
                <w:highlight w:val="none"/>
              </w:rPr>
            </w:pPr>
            <w:r>
              <w:rPr>
                <w:rFonts w:hint="eastAsia"/>
                <w:color w:val="auto"/>
                <w:szCs w:val="21"/>
                <w:highlight w:val="none"/>
              </w:rPr>
              <w:t>SO</w:t>
            </w:r>
            <w:r>
              <w:rPr>
                <w:rFonts w:hint="eastAsia"/>
                <w:color w:val="auto"/>
                <w:szCs w:val="21"/>
                <w:highlight w:val="none"/>
                <w:vertAlign w:val="subscript"/>
              </w:rPr>
              <w:t>2</w:t>
            </w:r>
          </w:p>
        </w:tc>
        <w:tc>
          <w:tcPr>
            <w:tcW w:w="1701" w:type="dxa"/>
            <w:noWrap w:val="0"/>
            <w:vAlign w:val="center"/>
          </w:tcPr>
          <w:p>
            <w:pPr>
              <w:tabs>
                <w:tab w:val="left" w:pos="105"/>
              </w:tabs>
              <w:spacing w:line="240" w:lineRule="exact"/>
              <w:ind w:left="-120" w:leftChars="-50" w:right="-120" w:rightChars="-50"/>
              <w:jc w:val="center"/>
              <w:rPr>
                <w:rFonts w:hAnsi="宋体" w:cs="宋体"/>
                <w:snapToGrid w:val="0"/>
                <w:color w:val="auto"/>
                <w:kern w:val="21"/>
                <w:szCs w:val="21"/>
                <w:highlight w:val="none"/>
              </w:rPr>
            </w:pPr>
            <w:r>
              <w:rPr>
                <w:color w:val="auto"/>
                <w:szCs w:val="21"/>
                <w:highlight w:val="none"/>
              </w:rPr>
              <w:t>0.032</w:t>
            </w:r>
          </w:p>
        </w:tc>
        <w:tc>
          <w:tcPr>
            <w:tcW w:w="1276" w:type="dxa"/>
            <w:noWrap w:val="0"/>
            <w:vAlign w:val="center"/>
          </w:tcPr>
          <w:p>
            <w:pPr>
              <w:pStyle w:val="103"/>
              <w:spacing w:beforeLines="0" w:afterLines="0" w:line="240" w:lineRule="auto"/>
              <w:rPr>
                <w:rFonts w:hAnsi="宋体" w:cs="宋体"/>
                <w:snapToGrid w:val="0"/>
                <w:color w:val="auto"/>
                <w:kern w:val="21"/>
                <w:szCs w:val="21"/>
                <w:highlight w:val="none"/>
              </w:rPr>
            </w:pPr>
          </w:p>
        </w:tc>
        <w:tc>
          <w:tcPr>
            <w:tcW w:w="1701" w:type="dxa"/>
            <w:noWrap w:val="0"/>
            <w:vAlign w:val="center"/>
          </w:tcPr>
          <w:p>
            <w:pPr>
              <w:pStyle w:val="103"/>
              <w:spacing w:beforeLines="0" w:afterLines="0" w:line="240" w:lineRule="auto"/>
              <w:rPr>
                <w:rFonts w:hAnsi="宋体" w:cs="宋体"/>
                <w:snapToGrid w:val="0"/>
                <w:color w:val="auto"/>
                <w:kern w:val="21"/>
                <w:szCs w:val="21"/>
                <w:highlight w:val="none"/>
              </w:rPr>
            </w:pPr>
          </w:p>
        </w:tc>
        <w:tc>
          <w:tcPr>
            <w:tcW w:w="1559" w:type="dxa"/>
            <w:noWrap w:val="0"/>
            <w:vAlign w:val="center"/>
          </w:tcPr>
          <w:p>
            <w:pPr>
              <w:tabs>
                <w:tab w:val="left" w:pos="105"/>
              </w:tabs>
              <w:spacing w:line="240" w:lineRule="exact"/>
              <w:ind w:left="-120" w:leftChars="-50" w:right="-120" w:rightChars="-50"/>
              <w:jc w:val="center"/>
              <w:rPr>
                <w:rFonts w:hAnsi="宋体" w:cs="宋体"/>
                <w:snapToGrid w:val="0"/>
                <w:color w:val="auto"/>
                <w:kern w:val="21"/>
                <w:szCs w:val="21"/>
                <w:highlight w:val="none"/>
              </w:rPr>
            </w:pPr>
            <w:r>
              <w:rPr>
                <w:color w:val="auto"/>
                <w:szCs w:val="21"/>
                <w:highlight w:val="none"/>
              </w:rPr>
              <w:t>0.032</w:t>
            </w:r>
          </w:p>
        </w:tc>
        <w:tc>
          <w:tcPr>
            <w:tcW w:w="1761" w:type="dxa"/>
            <w:noWrap w:val="0"/>
            <w:vAlign w:val="center"/>
          </w:tcPr>
          <w:p>
            <w:pPr>
              <w:pStyle w:val="103"/>
              <w:spacing w:beforeLines="0" w:afterLines="0" w:line="240" w:lineRule="auto"/>
              <w:rPr>
                <w:rFonts w:hint="eastAsia" w:hAnsi="宋体" w:cs="宋体"/>
                <w:snapToGrid w:val="0"/>
                <w:color w:val="auto"/>
                <w:kern w:val="21"/>
                <w:szCs w:val="21"/>
                <w:highlight w:val="none"/>
              </w:rPr>
            </w:pPr>
            <w:r>
              <w:rPr>
                <w:rFonts w:hint="eastAsia" w:hAnsi="宋体" w:cs="宋体"/>
                <w:snapToGrid w:val="0"/>
                <w:color w:val="auto"/>
                <w:kern w:val="21"/>
                <w:szCs w:val="21"/>
                <w:highlight w:val="none"/>
              </w:rPr>
              <w:t>0</w:t>
            </w:r>
          </w:p>
        </w:tc>
        <w:tc>
          <w:tcPr>
            <w:tcW w:w="1959" w:type="dxa"/>
            <w:noWrap w:val="0"/>
            <w:vAlign w:val="center"/>
          </w:tcPr>
          <w:p>
            <w:pPr>
              <w:tabs>
                <w:tab w:val="left" w:pos="105"/>
              </w:tabs>
              <w:spacing w:line="240" w:lineRule="exact"/>
              <w:ind w:left="-120" w:leftChars="-50" w:right="-120" w:rightChars="-50"/>
              <w:jc w:val="center"/>
              <w:rPr>
                <w:rFonts w:hAnsi="宋体" w:cs="宋体"/>
                <w:snapToGrid w:val="0"/>
                <w:color w:val="auto"/>
                <w:kern w:val="21"/>
                <w:szCs w:val="21"/>
                <w:highlight w:val="none"/>
              </w:rPr>
            </w:pPr>
            <w:r>
              <w:rPr>
                <w:color w:val="auto"/>
                <w:szCs w:val="21"/>
                <w:highlight w:val="none"/>
              </w:rPr>
              <w:t>0.032</w:t>
            </w:r>
          </w:p>
        </w:tc>
        <w:tc>
          <w:tcPr>
            <w:tcW w:w="826" w:type="dxa"/>
            <w:noWrap w:val="0"/>
            <w:vAlign w:val="center"/>
          </w:tcPr>
          <w:p>
            <w:pPr>
              <w:pStyle w:val="103"/>
              <w:spacing w:beforeLines="0" w:afterLines="0" w:line="240" w:lineRule="auto"/>
              <w:rPr>
                <w:color w:val="auto"/>
                <w:highlight w:val="none"/>
              </w:rPr>
            </w:pPr>
            <w:r>
              <w:rPr>
                <w:rFonts w:hint="eastAsia" w:hAnsi="宋体" w:cs="宋体"/>
                <w:snapToGrid w:val="0"/>
                <w:color w:val="auto"/>
                <w:kern w:val="21"/>
                <w:szCs w:val="21"/>
                <w:highlight w:val="none"/>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noWrap w:val="0"/>
            <w:vAlign w:val="center"/>
          </w:tcPr>
          <w:p>
            <w:pPr>
              <w:pStyle w:val="103"/>
              <w:spacing w:beforeLines="0" w:afterLines="0" w:line="240" w:lineRule="auto"/>
              <w:rPr>
                <w:rFonts w:hint="eastAsia" w:hAnsi="宋体" w:cs="宋体"/>
                <w:snapToGrid w:val="0"/>
                <w:color w:val="auto"/>
                <w:kern w:val="21"/>
                <w:szCs w:val="21"/>
                <w:highlight w:val="none"/>
              </w:rPr>
            </w:pPr>
          </w:p>
        </w:tc>
        <w:tc>
          <w:tcPr>
            <w:tcW w:w="1417" w:type="dxa"/>
            <w:noWrap w:val="0"/>
            <w:vAlign w:val="center"/>
          </w:tcPr>
          <w:p>
            <w:pPr>
              <w:spacing w:line="220" w:lineRule="exact"/>
              <w:ind w:left="-120" w:leftChars="-50" w:right="-120" w:rightChars="-50"/>
              <w:jc w:val="center"/>
              <w:rPr>
                <w:rFonts w:hAnsi="宋体" w:cs="宋体"/>
                <w:snapToGrid w:val="0"/>
                <w:color w:val="auto"/>
                <w:kern w:val="21"/>
                <w:szCs w:val="21"/>
                <w:highlight w:val="none"/>
              </w:rPr>
            </w:pPr>
            <w:r>
              <w:rPr>
                <w:rFonts w:hint="eastAsia"/>
                <w:color w:val="auto"/>
                <w:szCs w:val="21"/>
                <w:highlight w:val="none"/>
              </w:rPr>
              <w:t>NOx</w:t>
            </w:r>
          </w:p>
        </w:tc>
        <w:tc>
          <w:tcPr>
            <w:tcW w:w="1701" w:type="dxa"/>
            <w:noWrap w:val="0"/>
            <w:vAlign w:val="center"/>
          </w:tcPr>
          <w:p>
            <w:pPr>
              <w:tabs>
                <w:tab w:val="left" w:pos="105"/>
              </w:tabs>
              <w:spacing w:line="240" w:lineRule="exact"/>
              <w:ind w:left="-120" w:leftChars="-50" w:right="-120" w:rightChars="-50"/>
              <w:jc w:val="center"/>
              <w:rPr>
                <w:rFonts w:hAnsi="宋体" w:cs="宋体"/>
                <w:snapToGrid w:val="0"/>
                <w:color w:val="auto"/>
                <w:kern w:val="21"/>
                <w:szCs w:val="21"/>
                <w:highlight w:val="none"/>
              </w:rPr>
            </w:pPr>
            <w:r>
              <w:rPr>
                <w:rFonts w:hint="eastAsia"/>
                <w:color w:val="auto"/>
                <w:szCs w:val="21"/>
                <w:highlight w:val="none"/>
              </w:rPr>
              <w:t>0.1278</w:t>
            </w:r>
          </w:p>
        </w:tc>
        <w:tc>
          <w:tcPr>
            <w:tcW w:w="1276" w:type="dxa"/>
            <w:noWrap w:val="0"/>
            <w:vAlign w:val="center"/>
          </w:tcPr>
          <w:p>
            <w:pPr>
              <w:pStyle w:val="103"/>
              <w:spacing w:beforeLines="0" w:afterLines="0" w:line="240" w:lineRule="auto"/>
              <w:rPr>
                <w:rFonts w:hAnsi="宋体" w:cs="宋体"/>
                <w:snapToGrid w:val="0"/>
                <w:color w:val="auto"/>
                <w:kern w:val="21"/>
                <w:szCs w:val="21"/>
                <w:highlight w:val="none"/>
              </w:rPr>
            </w:pPr>
          </w:p>
        </w:tc>
        <w:tc>
          <w:tcPr>
            <w:tcW w:w="1701" w:type="dxa"/>
            <w:noWrap w:val="0"/>
            <w:vAlign w:val="center"/>
          </w:tcPr>
          <w:p>
            <w:pPr>
              <w:pStyle w:val="103"/>
              <w:spacing w:beforeLines="0" w:afterLines="0" w:line="240" w:lineRule="auto"/>
              <w:rPr>
                <w:rFonts w:hAnsi="宋体" w:cs="宋体"/>
                <w:snapToGrid w:val="0"/>
                <w:color w:val="auto"/>
                <w:kern w:val="21"/>
                <w:szCs w:val="21"/>
                <w:highlight w:val="none"/>
              </w:rPr>
            </w:pPr>
          </w:p>
        </w:tc>
        <w:tc>
          <w:tcPr>
            <w:tcW w:w="1559" w:type="dxa"/>
            <w:noWrap w:val="0"/>
            <w:vAlign w:val="center"/>
          </w:tcPr>
          <w:p>
            <w:pPr>
              <w:tabs>
                <w:tab w:val="left" w:pos="105"/>
              </w:tabs>
              <w:spacing w:line="240" w:lineRule="exact"/>
              <w:ind w:left="-120" w:leftChars="-50" w:right="-120" w:rightChars="-50"/>
              <w:jc w:val="center"/>
              <w:rPr>
                <w:rFonts w:hAnsi="宋体" w:cs="宋体"/>
                <w:snapToGrid w:val="0"/>
                <w:color w:val="auto"/>
                <w:kern w:val="21"/>
                <w:szCs w:val="21"/>
                <w:highlight w:val="none"/>
              </w:rPr>
            </w:pPr>
            <w:r>
              <w:rPr>
                <w:rFonts w:hint="eastAsia"/>
                <w:color w:val="auto"/>
                <w:szCs w:val="21"/>
                <w:highlight w:val="none"/>
              </w:rPr>
              <w:t>0.1278</w:t>
            </w:r>
          </w:p>
        </w:tc>
        <w:tc>
          <w:tcPr>
            <w:tcW w:w="1761" w:type="dxa"/>
            <w:noWrap w:val="0"/>
            <w:vAlign w:val="center"/>
          </w:tcPr>
          <w:p>
            <w:pPr>
              <w:pStyle w:val="103"/>
              <w:spacing w:beforeLines="0" w:afterLines="0" w:line="240" w:lineRule="auto"/>
              <w:rPr>
                <w:rFonts w:hint="eastAsia" w:hAnsi="宋体" w:cs="宋体"/>
                <w:snapToGrid w:val="0"/>
                <w:color w:val="auto"/>
                <w:kern w:val="21"/>
                <w:szCs w:val="21"/>
                <w:highlight w:val="none"/>
              </w:rPr>
            </w:pPr>
            <w:r>
              <w:rPr>
                <w:rFonts w:hint="eastAsia" w:hAnsi="宋体" w:cs="宋体"/>
                <w:snapToGrid w:val="0"/>
                <w:color w:val="auto"/>
                <w:kern w:val="21"/>
                <w:szCs w:val="21"/>
                <w:highlight w:val="none"/>
              </w:rPr>
              <w:t>0</w:t>
            </w:r>
          </w:p>
        </w:tc>
        <w:tc>
          <w:tcPr>
            <w:tcW w:w="1959" w:type="dxa"/>
            <w:noWrap w:val="0"/>
            <w:vAlign w:val="center"/>
          </w:tcPr>
          <w:p>
            <w:pPr>
              <w:tabs>
                <w:tab w:val="left" w:pos="105"/>
              </w:tabs>
              <w:spacing w:line="240" w:lineRule="exact"/>
              <w:ind w:left="-120" w:leftChars="-50" w:right="-120" w:rightChars="-50"/>
              <w:jc w:val="center"/>
              <w:rPr>
                <w:rFonts w:hAnsi="宋体" w:cs="宋体"/>
                <w:snapToGrid w:val="0"/>
                <w:color w:val="auto"/>
                <w:kern w:val="21"/>
                <w:szCs w:val="21"/>
                <w:highlight w:val="none"/>
              </w:rPr>
            </w:pPr>
            <w:r>
              <w:rPr>
                <w:rFonts w:hint="eastAsia"/>
                <w:color w:val="auto"/>
                <w:szCs w:val="21"/>
                <w:highlight w:val="none"/>
              </w:rPr>
              <w:t>0.1278</w:t>
            </w:r>
          </w:p>
        </w:tc>
        <w:tc>
          <w:tcPr>
            <w:tcW w:w="826" w:type="dxa"/>
            <w:noWrap w:val="0"/>
            <w:vAlign w:val="center"/>
          </w:tcPr>
          <w:p>
            <w:pPr>
              <w:pStyle w:val="103"/>
              <w:spacing w:beforeLines="0" w:afterLines="0" w:line="240" w:lineRule="auto"/>
              <w:rPr>
                <w:rFonts w:hAnsi="宋体" w:cs="宋体"/>
                <w:snapToGrid w:val="0"/>
                <w:color w:val="auto"/>
                <w:kern w:val="21"/>
                <w:szCs w:val="21"/>
                <w:highlight w:val="none"/>
              </w:rPr>
            </w:pPr>
            <w:r>
              <w:rPr>
                <w:rFonts w:hint="eastAsia" w:hAnsi="宋体" w:cs="宋体"/>
                <w:snapToGrid w:val="0"/>
                <w:color w:val="auto"/>
                <w:kern w:val="21"/>
                <w:szCs w:val="21"/>
                <w:highlight w:val="none"/>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noWrap w:val="0"/>
            <w:vAlign w:val="center"/>
          </w:tcPr>
          <w:p>
            <w:pPr>
              <w:pStyle w:val="103"/>
              <w:spacing w:beforeLines="0" w:afterLines="0" w:line="240" w:lineRule="auto"/>
              <w:rPr>
                <w:rFonts w:hint="eastAsia" w:hAnsi="宋体" w:cs="宋体"/>
                <w:snapToGrid w:val="0"/>
                <w:color w:val="auto"/>
                <w:kern w:val="21"/>
                <w:szCs w:val="21"/>
                <w:highlight w:val="none"/>
              </w:rPr>
            </w:pPr>
          </w:p>
        </w:tc>
        <w:tc>
          <w:tcPr>
            <w:tcW w:w="1417" w:type="dxa"/>
            <w:noWrap w:val="0"/>
            <w:vAlign w:val="center"/>
          </w:tcPr>
          <w:p>
            <w:pPr>
              <w:spacing w:line="220" w:lineRule="exact"/>
              <w:ind w:left="-120" w:leftChars="-50" w:right="-120" w:rightChars="-50"/>
              <w:jc w:val="center"/>
              <w:rPr>
                <w:rFonts w:hint="eastAsia" w:hAnsi="宋体" w:cs="宋体"/>
                <w:snapToGrid w:val="0"/>
                <w:color w:val="auto"/>
                <w:kern w:val="21"/>
                <w:szCs w:val="21"/>
                <w:highlight w:val="none"/>
              </w:rPr>
            </w:pPr>
            <w:r>
              <w:rPr>
                <w:rFonts w:hint="eastAsia"/>
                <w:color w:val="auto"/>
                <w:szCs w:val="21"/>
                <w:highlight w:val="none"/>
              </w:rPr>
              <w:t>粉尘</w:t>
            </w:r>
          </w:p>
        </w:tc>
        <w:tc>
          <w:tcPr>
            <w:tcW w:w="1701" w:type="dxa"/>
            <w:noWrap w:val="0"/>
            <w:vAlign w:val="center"/>
          </w:tcPr>
          <w:p>
            <w:pPr>
              <w:tabs>
                <w:tab w:val="left" w:pos="105"/>
              </w:tabs>
              <w:spacing w:line="220" w:lineRule="exact"/>
              <w:ind w:left="-120" w:leftChars="-50" w:right="-120" w:rightChars="-50"/>
              <w:jc w:val="center"/>
              <w:rPr>
                <w:rFonts w:hAnsi="宋体" w:cs="宋体"/>
                <w:snapToGrid w:val="0"/>
                <w:color w:val="auto"/>
                <w:kern w:val="21"/>
                <w:szCs w:val="21"/>
                <w:highlight w:val="none"/>
              </w:rPr>
            </w:pPr>
            <w:r>
              <w:rPr>
                <w:rFonts w:hint="eastAsia"/>
                <w:color w:val="auto"/>
                <w:szCs w:val="21"/>
                <w:highlight w:val="none"/>
              </w:rPr>
              <w:t>2.6534</w:t>
            </w:r>
          </w:p>
        </w:tc>
        <w:tc>
          <w:tcPr>
            <w:tcW w:w="1276" w:type="dxa"/>
            <w:noWrap w:val="0"/>
            <w:vAlign w:val="center"/>
          </w:tcPr>
          <w:p>
            <w:pPr>
              <w:pStyle w:val="103"/>
              <w:spacing w:beforeLines="0" w:afterLines="0" w:line="240" w:lineRule="auto"/>
              <w:rPr>
                <w:rFonts w:hAnsi="宋体" w:cs="宋体"/>
                <w:snapToGrid w:val="0"/>
                <w:color w:val="auto"/>
                <w:kern w:val="21"/>
                <w:szCs w:val="21"/>
                <w:highlight w:val="none"/>
              </w:rPr>
            </w:pPr>
          </w:p>
        </w:tc>
        <w:tc>
          <w:tcPr>
            <w:tcW w:w="1701" w:type="dxa"/>
            <w:noWrap w:val="0"/>
            <w:vAlign w:val="center"/>
          </w:tcPr>
          <w:p>
            <w:pPr>
              <w:pStyle w:val="103"/>
              <w:spacing w:beforeLines="0" w:afterLines="0" w:line="240" w:lineRule="auto"/>
              <w:rPr>
                <w:rFonts w:hAnsi="宋体" w:cs="宋体"/>
                <w:snapToGrid w:val="0"/>
                <w:color w:val="auto"/>
                <w:kern w:val="21"/>
                <w:szCs w:val="21"/>
                <w:highlight w:val="none"/>
              </w:rPr>
            </w:pPr>
          </w:p>
        </w:tc>
        <w:tc>
          <w:tcPr>
            <w:tcW w:w="1559" w:type="dxa"/>
            <w:noWrap w:val="0"/>
            <w:vAlign w:val="center"/>
          </w:tcPr>
          <w:p>
            <w:pPr>
              <w:tabs>
                <w:tab w:val="left" w:pos="105"/>
              </w:tabs>
              <w:spacing w:line="240" w:lineRule="exact"/>
              <w:ind w:left="-120" w:leftChars="-50" w:right="-120" w:rightChars="-50"/>
              <w:jc w:val="center"/>
              <w:rPr>
                <w:rFonts w:hint="eastAsia"/>
                <w:color w:val="auto"/>
                <w:szCs w:val="21"/>
                <w:highlight w:val="none"/>
              </w:rPr>
            </w:pPr>
            <w:r>
              <w:rPr>
                <w:rFonts w:hint="eastAsia"/>
                <w:color w:val="auto"/>
                <w:szCs w:val="21"/>
                <w:highlight w:val="none"/>
              </w:rPr>
              <w:t>0.4667</w:t>
            </w:r>
          </w:p>
        </w:tc>
        <w:tc>
          <w:tcPr>
            <w:tcW w:w="1761" w:type="dxa"/>
            <w:noWrap w:val="0"/>
            <w:vAlign w:val="center"/>
          </w:tcPr>
          <w:p>
            <w:pPr>
              <w:tabs>
                <w:tab w:val="left" w:pos="105"/>
              </w:tabs>
              <w:spacing w:line="240" w:lineRule="exact"/>
              <w:ind w:left="-120" w:leftChars="-50" w:right="-120" w:rightChars="-50"/>
              <w:jc w:val="center"/>
              <w:rPr>
                <w:color w:val="auto"/>
                <w:szCs w:val="21"/>
                <w:highlight w:val="none"/>
              </w:rPr>
            </w:pPr>
            <w:r>
              <w:rPr>
                <w:rFonts w:hint="eastAsia"/>
                <w:color w:val="auto"/>
                <w:szCs w:val="21"/>
                <w:highlight w:val="none"/>
              </w:rPr>
              <w:t>2.1867</w:t>
            </w:r>
          </w:p>
        </w:tc>
        <w:tc>
          <w:tcPr>
            <w:tcW w:w="1959" w:type="dxa"/>
            <w:noWrap w:val="0"/>
            <w:vAlign w:val="center"/>
          </w:tcPr>
          <w:p>
            <w:pPr>
              <w:tabs>
                <w:tab w:val="left" w:pos="105"/>
              </w:tabs>
              <w:spacing w:line="240" w:lineRule="exact"/>
              <w:ind w:left="-120" w:leftChars="-50" w:right="-120" w:rightChars="-50"/>
              <w:jc w:val="center"/>
              <w:rPr>
                <w:rFonts w:hint="eastAsia"/>
                <w:color w:val="auto"/>
                <w:szCs w:val="21"/>
                <w:highlight w:val="none"/>
              </w:rPr>
            </w:pPr>
            <w:r>
              <w:rPr>
                <w:rFonts w:hint="eastAsia"/>
                <w:color w:val="auto"/>
                <w:szCs w:val="21"/>
                <w:highlight w:val="none"/>
              </w:rPr>
              <w:t>0.4667</w:t>
            </w:r>
          </w:p>
        </w:tc>
        <w:tc>
          <w:tcPr>
            <w:tcW w:w="826" w:type="dxa"/>
            <w:noWrap w:val="0"/>
            <w:vAlign w:val="center"/>
          </w:tcPr>
          <w:p>
            <w:pPr>
              <w:tabs>
                <w:tab w:val="left" w:pos="105"/>
              </w:tabs>
              <w:spacing w:line="240" w:lineRule="exact"/>
              <w:ind w:left="-120" w:leftChars="-50" w:right="-120" w:rightChars="-50"/>
              <w:jc w:val="center"/>
              <w:rPr>
                <w:rFonts w:hint="eastAsia"/>
                <w:color w:val="auto"/>
                <w:szCs w:val="21"/>
                <w:highlight w:val="none"/>
              </w:rPr>
            </w:pPr>
            <w:r>
              <w:rPr>
                <w:rFonts w:hint="eastAsia"/>
                <w:color w:val="auto"/>
                <w:szCs w:val="21"/>
                <w:highlight w:val="none"/>
              </w:rPr>
              <w:t>-2.1867</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noWrap w:val="0"/>
            <w:vAlign w:val="center"/>
          </w:tcPr>
          <w:p>
            <w:pPr>
              <w:pStyle w:val="103"/>
              <w:spacing w:beforeLines="0" w:afterLines="0" w:line="240" w:lineRule="auto"/>
              <w:rPr>
                <w:rFonts w:hint="eastAsia" w:hAnsi="宋体" w:cs="宋体"/>
                <w:snapToGrid w:val="0"/>
                <w:color w:val="auto"/>
                <w:kern w:val="21"/>
                <w:szCs w:val="21"/>
                <w:highlight w:val="none"/>
              </w:rPr>
            </w:pPr>
          </w:p>
        </w:tc>
        <w:tc>
          <w:tcPr>
            <w:tcW w:w="1417" w:type="dxa"/>
            <w:noWrap w:val="0"/>
            <w:vAlign w:val="center"/>
          </w:tcPr>
          <w:p>
            <w:pPr>
              <w:spacing w:line="240" w:lineRule="exact"/>
              <w:ind w:left="-120" w:leftChars="-50" w:right="-120" w:rightChars="-50"/>
              <w:jc w:val="center"/>
              <w:rPr>
                <w:rFonts w:hAnsi="宋体" w:cs="宋体"/>
                <w:snapToGrid w:val="0"/>
                <w:color w:val="auto"/>
                <w:kern w:val="21"/>
                <w:szCs w:val="21"/>
                <w:highlight w:val="none"/>
              </w:rPr>
            </w:pPr>
            <w:r>
              <w:rPr>
                <w:rFonts w:hint="eastAsia"/>
                <w:color w:val="auto"/>
                <w:szCs w:val="21"/>
                <w:highlight w:val="none"/>
              </w:rPr>
              <w:t>沥青烟</w:t>
            </w:r>
          </w:p>
        </w:tc>
        <w:tc>
          <w:tcPr>
            <w:tcW w:w="1701" w:type="dxa"/>
            <w:noWrap w:val="0"/>
            <w:vAlign w:val="center"/>
          </w:tcPr>
          <w:p>
            <w:pPr>
              <w:tabs>
                <w:tab w:val="left" w:pos="105"/>
              </w:tabs>
              <w:spacing w:line="240" w:lineRule="exact"/>
              <w:ind w:left="-120" w:leftChars="-50" w:right="-120" w:rightChars="-50"/>
              <w:jc w:val="center"/>
              <w:rPr>
                <w:rFonts w:hAnsi="宋体" w:cs="宋体"/>
                <w:snapToGrid w:val="0"/>
                <w:color w:val="auto"/>
                <w:kern w:val="21"/>
                <w:szCs w:val="21"/>
                <w:highlight w:val="none"/>
              </w:rPr>
            </w:pPr>
            <w:r>
              <w:rPr>
                <w:rFonts w:hint="eastAsia"/>
                <w:color w:val="auto"/>
                <w:szCs w:val="21"/>
                <w:highlight w:val="none"/>
              </w:rPr>
              <w:t>0.315</w:t>
            </w:r>
          </w:p>
        </w:tc>
        <w:tc>
          <w:tcPr>
            <w:tcW w:w="1276" w:type="dxa"/>
            <w:noWrap w:val="0"/>
            <w:vAlign w:val="center"/>
          </w:tcPr>
          <w:p>
            <w:pPr>
              <w:pStyle w:val="103"/>
              <w:spacing w:beforeLines="0" w:afterLines="0" w:line="240" w:lineRule="auto"/>
              <w:rPr>
                <w:rFonts w:hAnsi="宋体" w:cs="宋体"/>
                <w:snapToGrid w:val="0"/>
                <w:color w:val="auto"/>
                <w:kern w:val="21"/>
                <w:szCs w:val="21"/>
                <w:highlight w:val="none"/>
              </w:rPr>
            </w:pPr>
          </w:p>
        </w:tc>
        <w:tc>
          <w:tcPr>
            <w:tcW w:w="1701" w:type="dxa"/>
            <w:noWrap w:val="0"/>
            <w:vAlign w:val="center"/>
          </w:tcPr>
          <w:p>
            <w:pPr>
              <w:pStyle w:val="103"/>
              <w:spacing w:beforeLines="0" w:afterLines="0" w:line="240" w:lineRule="auto"/>
              <w:rPr>
                <w:rFonts w:hAnsi="宋体" w:cs="宋体"/>
                <w:snapToGrid w:val="0"/>
                <w:color w:val="auto"/>
                <w:kern w:val="21"/>
                <w:szCs w:val="21"/>
                <w:highlight w:val="none"/>
              </w:rPr>
            </w:pPr>
          </w:p>
        </w:tc>
        <w:tc>
          <w:tcPr>
            <w:tcW w:w="1559" w:type="dxa"/>
            <w:noWrap w:val="0"/>
            <w:vAlign w:val="center"/>
          </w:tcPr>
          <w:p>
            <w:pPr>
              <w:tabs>
                <w:tab w:val="left" w:pos="105"/>
              </w:tabs>
              <w:spacing w:line="240" w:lineRule="exact"/>
              <w:ind w:left="-120" w:leftChars="-50" w:right="-120" w:rightChars="-50"/>
              <w:jc w:val="center"/>
              <w:rPr>
                <w:color w:val="auto"/>
                <w:szCs w:val="21"/>
                <w:highlight w:val="none"/>
              </w:rPr>
            </w:pPr>
            <w:r>
              <w:rPr>
                <w:rFonts w:hint="eastAsia"/>
                <w:color w:val="auto"/>
                <w:szCs w:val="21"/>
                <w:highlight w:val="none"/>
              </w:rPr>
              <w:t>0.05985</w:t>
            </w:r>
          </w:p>
        </w:tc>
        <w:tc>
          <w:tcPr>
            <w:tcW w:w="1761" w:type="dxa"/>
            <w:noWrap w:val="0"/>
            <w:vAlign w:val="center"/>
          </w:tcPr>
          <w:p>
            <w:pPr>
              <w:tabs>
                <w:tab w:val="left" w:pos="105"/>
              </w:tabs>
              <w:spacing w:line="240" w:lineRule="exact"/>
              <w:ind w:left="-120" w:leftChars="-50" w:right="-120" w:rightChars="-50"/>
              <w:jc w:val="center"/>
              <w:rPr>
                <w:rFonts w:hAnsi="宋体" w:cs="宋体"/>
                <w:snapToGrid w:val="0"/>
                <w:color w:val="auto"/>
                <w:kern w:val="21"/>
                <w:szCs w:val="21"/>
                <w:highlight w:val="none"/>
              </w:rPr>
            </w:pPr>
            <w:r>
              <w:rPr>
                <w:rFonts w:hint="eastAsia"/>
                <w:color w:val="auto"/>
                <w:szCs w:val="21"/>
                <w:highlight w:val="none"/>
              </w:rPr>
              <w:t>0.2835</w:t>
            </w:r>
          </w:p>
        </w:tc>
        <w:tc>
          <w:tcPr>
            <w:tcW w:w="1959" w:type="dxa"/>
            <w:noWrap w:val="0"/>
            <w:vAlign w:val="center"/>
          </w:tcPr>
          <w:p>
            <w:pPr>
              <w:tabs>
                <w:tab w:val="left" w:pos="105"/>
              </w:tabs>
              <w:spacing w:line="240" w:lineRule="exact"/>
              <w:ind w:left="-120" w:leftChars="-50" w:right="-120" w:rightChars="-50"/>
              <w:jc w:val="center"/>
              <w:rPr>
                <w:rFonts w:hAnsi="宋体" w:cs="宋体"/>
                <w:snapToGrid w:val="0"/>
                <w:color w:val="auto"/>
                <w:kern w:val="21"/>
                <w:szCs w:val="21"/>
                <w:highlight w:val="none"/>
              </w:rPr>
            </w:pPr>
            <w:r>
              <w:rPr>
                <w:rFonts w:hint="eastAsia"/>
                <w:color w:val="auto"/>
                <w:szCs w:val="21"/>
                <w:highlight w:val="none"/>
              </w:rPr>
              <w:t>0.05985</w:t>
            </w:r>
          </w:p>
        </w:tc>
        <w:tc>
          <w:tcPr>
            <w:tcW w:w="826" w:type="dxa"/>
            <w:noWrap w:val="0"/>
            <w:vAlign w:val="center"/>
          </w:tcPr>
          <w:p>
            <w:pPr>
              <w:tabs>
                <w:tab w:val="left" w:pos="105"/>
              </w:tabs>
              <w:spacing w:line="240" w:lineRule="exact"/>
              <w:ind w:left="-120" w:leftChars="-50" w:right="-120" w:rightChars="-50"/>
              <w:jc w:val="center"/>
              <w:rPr>
                <w:rFonts w:hAnsi="宋体" w:cs="宋体"/>
                <w:snapToGrid w:val="0"/>
                <w:color w:val="auto"/>
                <w:kern w:val="21"/>
                <w:szCs w:val="21"/>
                <w:highlight w:val="none"/>
              </w:rPr>
            </w:pPr>
            <w:r>
              <w:rPr>
                <w:rFonts w:hint="eastAsia"/>
                <w:color w:val="auto"/>
                <w:szCs w:val="21"/>
                <w:highlight w:val="none"/>
              </w:rPr>
              <w:t>-0.2835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noWrap w:val="0"/>
            <w:vAlign w:val="center"/>
          </w:tcPr>
          <w:p>
            <w:pPr>
              <w:pStyle w:val="103"/>
              <w:spacing w:beforeLines="0" w:afterLines="0" w:line="240" w:lineRule="auto"/>
              <w:rPr>
                <w:rFonts w:hint="eastAsia" w:hAnsi="宋体" w:cs="宋体"/>
                <w:snapToGrid w:val="0"/>
                <w:color w:val="auto"/>
                <w:kern w:val="21"/>
                <w:szCs w:val="21"/>
                <w:highlight w:val="none"/>
              </w:rPr>
            </w:pPr>
          </w:p>
        </w:tc>
        <w:tc>
          <w:tcPr>
            <w:tcW w:w="1417" w:type="dxa"/>
            <w:noWrap w:val="0"/>
            <w:vAlign w:val="center"/>
          </w:tcPr>
          <w:p>
            <w:pPr>
              <w:spacing w:line="240" w:lineRule="exact"/>
              <w:ind w:left="-120" w:leftChars="-50" w:right="-120" w:rightChars="-50"/>
              <w:jc w:val="center"/>
              <w:rPr>
                <w:rFonts w:hAnsi="宋体" w:cs="宋体"/>
                <w:snapToGrid w:val="0"/>
                <w:color w:val="auto"/>
                <w:kern w:val="21"/>
                <w:szCs w:val="21"/>
                <w:highlight w:val="none"/>
              </w:rPr>
            </w:pPr>
            <w:r>
              <w:rPr>
                <w:rFonts w:hint="eastAsia"/>
                <w:color w:val="auto"/>
                <w:szCs w:val="21"/>
                <w:highlight w:val="none"/>
              </w:rPr>
              <w:t>苯并[a]芘</w:t>
            </w:r>
          </w:p>
        </w:tc>
        <w:tc>
          <w:tcPr>
            <w:tcW w:w="1701" w:type="dxa"/>
            <w:noWrap w:val="0"/>
            <w:vAlign w:val="center"/>
          </w:tcPr>
          <w:p>
            <w:pPr>
              <w:tabs>
                <w:tab w:val="left" w:pos="105"/>
              </w:tabs>
              <w:spacing w:line="240" w:lineRule="exact"/>
              <w:ind w:left="-120" w:leftChars="-50" w:right="-120" w:rightChars="-50"/>
              <w:jc w:val="center"/>
              <w:rPr>
                <w:rFonts w:hAnsi="宋体" w:cs="宋体"/>
                <w:snapToGrid w:val="0"/>
                <w:color w:val="auto"/>
                <w:kern w:val="21"/>
                <w:szCs w:val="21"/>
                <w:highlight w:val="none"/>
              </w:rPr>
            </w:pPr>
            <w:r>
              <w:rPr>
                <w:rFonts w:hint="eastAsia"/>
                <w:color w:val="auto"/>
                <w:szCs w:val="21"/>
                <w:highlight w:val="none"/>
              </w:rPr>
              <w:t>6.3*10</w:t>
            </w:r>
            <w:r>
              <w:rPr>
                <w:rFonts w:hint="eastAsia"/>
                <w:color w:val="auto"/>
                <w:szCs w:val="21"/>
                <w:highlight w:val="none"/>
                <w:vertAlign w:val="superscript"/>
              </w:rPr>
              <w:t>-6</w:t>
            </w:r>
          </w:p>
        </w:tc>
        <w:tc>
          <w:tcPr>
            <w:tcW w:w="1276" w:type="dxa"/>
            <w:noWrap w:val="0"/>
            <w:vAlign w:val="center"/>
          </w:tcPr>
          <w:p>
            <w:pPr>
              <w:pStyle w:val="103"/>
              <w:spacing w:beforeLines="0" w:afterLines="0" w:line="240" w:lineRule="auto"/>
              <w:rPr>
                <w:rFonts w:hAnsi="宋体" w:cs="宋体"/>
                <w:snapToGrid w:val="0"/>
                <w:color w:val="auto"/>
                <w:kern w:val="21"/>
                <w:szCs w:val="21"/>
                <w:highlight w:val="none"/>
              </w:rPr>
            </w:pPr>
          </w:p>
        </w:tc>
        <w:tc>
          <w:tcPr>
            <w:tcW w:w="1701" w:type="dxa"/>
            <w:noWrap w:val="0"/>
            <w:vAlign w:val="center"/>
          </w:tcPr>
          <w:p>
            <w:pPr>
              <w:pStyle w:val="103"/>
              <w:spacing w:beforeLines="0" w:afterLines="0" w:line="240" w:lineRule="auto"/>
              <w:rPr>
                <w:rFonts w:hAnsi="宋体" w:cs="宋体"/>
                <w:snapToGrid w:val="0"/>
                <w:color w:val="auto"/>
                <w:kern w:val="21"/>
                <w:szCs w:val="21"/>
                <w:highlight w:val="none"/>
              </w:rPr>
            </w:pPr>
          </w:p>
        </w:tc>
        <w:tc>
          <w:tcPr>
            <w:tcW w:w="1559" w:type="dxa"/>
            <w:noWrap w:val="0"/>
            <w:vAlign w:val="center"/>
          </w:tcPr>
          <w:p>
            <w:pPr>
              <w:tabs>
                <w:tab w:val="left" w:pos="105"/>
              </w:tabs>
              <w:spacing w:line="240" w:lineRule="exact"/>
              <w:ind w:left="-120" w:leftChars="-50" w:right="-120" w:rightChars="-50"/>
              <w:jc w:val="center"/>
              <w:rPr>
                <w:color w:val="auto"/>
                <w:szCs w:val="21"/>
                <w:highlight w:val="none"/>
              </w:rPr>
            </w:pPr>
            <w:r>
              <w:rPr>
                <w:rFonts w:hint="eastAsia"/>
                <w:color w:val="auto"/>
                <w:szCs w:val="21"/>
                <w:highlight w:val="none"/>
              </w:rPr>
              <w:t>1.197*10</w:t>
            </w:r>
            <w:r>
              <w:rPr>
                <w:rFonts w:hint="eastAsia"/>
                <w:color w:val="auto"/>
                <w:szCs w:val="21"/>
                <w:highlight w:val="none"/>
                <w:vertAlign w:val="superscript"/>
              </w:rPr>
              <w:t>-6</w:t>
            </w:r>
          </w:p>
        </w:tc>
        <w:tc>
          <w:tcPr>
            <w:tcW w:w="1761" w:type="dxa"/>
            <w:noWrap w:val="0"/>
            <w:vAlign w:val="center"/>
          </w:tcPr>
          <w:p>
            <w:pPr>
              <w:tabs>
                <w:tab w:val="left" w:pos="105"/>
              </w:tabs>
              <w:spacing w:line="240" w:lineRule="exact"/>
              <w:ind w:left="-120" w:leftChars="-50" w:right="-120" w:rightChars="-50"/>
              <w:jc w:val="center"/>
              <w:rPr>
                <w:rFonts w:hAnsi="宋体" w:cs="宋体"/>
                <w:snapToGrid w:val="0"/>
                <w:color w:val="auto"/>
                <w:kern w:val="21"/>
                <w:szCs w:val="21"/>
                <w:highlight w:val="none"/>
              </w:rPr>
            </w:pPr>
            <w:r>
              <w:rPr>
                <w:rFonts w:hint="eastAsia"/>
                <w:color w:val="auto"/>
                <w:szCs w:val="21"/>
                <w:highlight w:val="none"/>
              </w:rPr>
              <w:t>5.1*10</w:t>
            </w:r>
            <w:r>
              <w:rPr>
                <w:rFonts w:hint="eastAsia"/>
                <w:color w:val="auto"/>
                <w:szCs w:val="21"/>
                <w:highlight w:val="none"/>
                <w:vertAlign w:val="superscript"/>
              </w:rPr>
              <w:t>-6</w:t>
            </w:r>
          </w:p>
        </w:tc>
        <w:tc>
          <w:tcPr>
            <w:tcW w:w="1959" w:type="dxa"/>
            <w:noWrap w:val="0"/>
            <w:vAlign w:val="center"/>
          </w:tcPr>
          <w:p>
            <w:pPr>
              <w:tabs>
                <w:tab w:val="left" w:pos="105"/>
              </w:tabs>
              <w:spacing w:line="240" w:lineRule="exact"/>
              <w:ind w:left="-120" w:leftChars="-50" w:right="-120" w:rightChars="-50"/>
              <w:jc w:val="center"/>
              <w:rPr>
                <w:rFonts w:hAnsi="宋体" w:cs="宋体"/>
                <w:snapToGrid w:val="0"/>
                <w:color w:val="auto"/>
                <w:kern w:val="21"/>
                <w:szCs w:val="21"/>
                <w:highlight w:val="none"/>
              </w:rPr>
            </w:pPr>
            <w:r>
              <w:rPr>
                <w:rFonts w:hint="eastAsia"/>
                <w:color w:val="auto"/>
                <w:szCs w:val="21"/>
                <w:highlight w:val="none"/>
              </w:rPr>
              <w:t>1.197*10</w:t>
            </w:r>
            <w:r>
              <w:rPr>
                <w:rFonts w:hint="eastAsia"/>
                <w:color w:val="auto"/>
                <w:szCs w:val="21"/>
                <w:highlight w:val="none"/>
                <w:vertAlign w:val="superscript"/>
              </w:rPr>
              <w:t>-6</w:t>
            </w:r>
          </w:p>
        </w:tc>
        <w:tc>
          <w:tcPr>
            <w:tcW w:w="826" w:type="dxa"/>
            <w:noWrap w:val="0"/>
            <w:vAlign w:val="center"/>
          </w:tcPr>
          <w:p>
            <w:pPr>
              <w:tabs>
                <w:tab w:val="left" w:pos="105"/>
              </w:tabs>
              <w:spacing w:line="240" w:lineRule="exact"/>
              <w:ind w:left="-120" w:leftChars="-50" w:right="-120" w:rightChars="-50"/>
              <w:jc w:val="center"/>
              <w:rPr>
                <w:rFonts w:hAnsi="宋体" w:cs="宋体"/>
                <w:snapToGrid w:val="0"/>
                <w:color w:val="auto"/>
                <w:kern w:val="21"/>
                <w:szCs w:val="21"/>
                <w:highlight w:val="none"/>
              </w:rPr>
            </w:pPr>
            <w:r>
              <w:rPr>
                <w:rFonts w:hint="eastAsia"/>
                <w:color w:val="auto"/>
                <w:szCs w:val="21"/>
                <w:highlight w:val="none"/>
              </w:rPr>
              <w:t>-5.1*10</w:t>
            </w:r>
            <w:r>
              <w:rPr>
                <w:rFonts w:hint="eastAsia"/>
                <w:color w:val="auto"/>
                <w:szCs w:val="21"/>
                <w:highlight w:val="none"/>
                <w:vertAlign w:val="superscript"/>
              </w:rPr>
              <w:t>-6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noWrap w:val="0"/>
            <w:vAlign w:val="center"/>
          </w:tcPr>
          <w:p>
            <w:pPr>
              <w:pStyle w:val="103"/>
              <w:spacing w:beforeLines="0" w:afterLines="0" w:line="240" w:lineRule="auto"/>
              <w:rPr>
                <w:rFonts w:hint="eastAsia" w:hAnsi="宋体" w:cs="宋体"/>
                <w:snapToGrid w:val="0"/>
                <w:color w:val="auto"/>
                <w:kern w:val="21"/>
                <w:szCs w:val="21"/>
                <w:highlight w:val="none"/>
              </w:rPr>
            </w:pPr>
          </w:p>
        </w:tc>
        <w:tc>
          <w:tcPr>
            <w:tcW w:w="1417" w:type="dxa"/>
            <w:noWrap w:val="0"/>
            <w:vAlign w:val="center"/>
          </w:tcPr>
          <w:p>
            <w:pPr>
              <w:spacing w:line="240" w:lineRule="exact"/>
              <w:ind w:left="-120" w:leftChars="-50" w:right="-120" w:rightChars="-50"/>
              <w:jc w:val="center"/>
              <w:rPr>
                <w:rFonts w:hAnsi="宋体" w:cs="宋体"/>
                <w:snapToGrid w:val="0"/>
                <w:color w:val="auto"/>
                <w:kern w:val="21"/>
                <w:szCs w:val="21"/>
                <w:highlight w:val="none"/>
              </w:rPr>
            </w:pPr>
            <w:r>
              <w:rPr>
                <w:rFonts w:hint="eastAsia"/>
                <w:color w:val="auto"/>
                <w:szCs w:val="21"/>
                <w:highlight w:val="none"/>
              </w:rPr>
              <w:t>非甲烷总烃</w:t>
            </w:r>
          </w:p>
        </w:tc>
        <w:tc>
          <w:tcPr>
            <w:tcW w:w="1701" w:type="dxa"/>
            <w:noWrap w:val="0"/>
            <w:vAlign w:val="center"/>
          </w:tcPr>
          <w:p>
            <w:pPr>
              <w:tabs>
                <w:tab w:val="left" w:pos="105"/>
              </w:tabs>
              <w:spacing w:line="240" w:lineRule="exact"/>
              <w:ind w:left="-120" w:leftChars="-50" w:right="-120" w:rightChars="-50"/>
              <w:jc w:val="center"/>
              <w:rPr>
                <w:rFonts w:hAnsi="宋体" w:cs="宋体"/>
                <w:snapToGrid w:val="0"/>
                <w:color w:val="auto"/>
                <w:kern w:val="21"/>
                <w:szCs w:val="21"/>
                <w:highlight w:val="none"/>
              </w:rPr>
            </w:pPr>
            <w:r>
              <w:rPr>
                <w:rFonts w:hint="eastAsia"/>
                <w:color w:val="auto"/>
                <w:szCs w:val="21"/>
                <w:highlight w:val="none"/>
              </w:rPr>
              <w:t>0.00125</w:t>
            </w:r>
          </w:p>
        </w:tc>
        <w:tc>
          <w:tcPr>
            <w:tcW w:w="1276" w:type="dxa"/>
            <w:noWrap w:val="0"/>
            <w:vAlign w:val="center"/>
          </w:tcPr>
          <w:p>
            <w:pPr>
              <w:pStyle w:val="103"/>
              <w:spacing w:beforeLines="0" w:afterLines="0" w:line="240" w:lineRule="auto"/>
              <w:rPr>
                <w:rFonts w:hAnsi="宋体" w:cs="宋体"/>
                <w:snapToGrid w:val="0"/>
                <w:color w:val="auto"/>
                <w:kern w:val="21"/>
                <w:szCs w:val="21"/>
                <w:highlight w:val="none"/>
              </w:rPr>
            </w:pPr>
          </w:p>
        </w:tc>
        <w:tc>
          <w:tcPr>
            <w:tcW w:w="1701" w:type="dxa"/>
            <w:noWrap w:val="0"/>
            <w:vAlign w:val="center"/>
          </w:tcPr>
          <w:p>
            <w:pPr>
              <w:pStyle w:val="103"/>
              <w:spacing w:beforeLines="0" w:afterLines="0" w:line="240" w:lineRule="auto"/>
              <w:rPr>
                <w:rFonts w:hAnsi="宋体" w:cs="宋体"/>
                <w:snapToGrid w:val="0"/>
                <w:color w:val="auto"/>
                <w:kern w:val="21"/>
                <w:szCs w:val="21"/>
                <w:highlight w:val="none"/>
              </w:rPr>
            </w:pPr>
          </w:p>
        </w:tc>
        <w:tc>
          <w:tcPr>
            <w:tcW w:w="1559" w:type="dxa"/>
            <w:noWrap w:val="0"/>
            <w:vAlign w:val="center"/>
          </w:tcPr>
          <w:p>
            <w:pPr>
              <w:tabs>
                <w:tab w:val="left" w:pos="105"/>
              </w:tabs>
              <w:spacing w:line="240" w:lineRule="exact"/>
              <w:ind w:left="-120" w:leftChars="-50" w:right="-120" w:rightChars="-50"/>
              <w:jc w:val="center"/>
              <w:rPr>
                <w:color w:val="auto"/>
                <w:szCs w:val="21"/>
                <w:highlight w:val="none"/>
              </w:rPr>
            </w:pPr>
            <w:r>
              <w:rPr>
                <w:rFonts w:hint="eastAsia"/>
                <w:color w:val="auto"/>
                <w:kern w:val="0"/>
                <w:szCs w:val="21"/>
                <w:highlight w:val="none"/>
                <w:lang w:bidi="ar"/>
              </w:rPr>
              <w:t>0.0002375</w:t>
            </w:r>
          </w:p>
        </w:tc>
        <w:tc>
          <w:tcPr>
            <w:tcW w:w="1761" w:type="dxa"/>
            <w:noWrap w:val="0"/>
            <w:vAlign w:val="center"/>
          </w:tcPr>
          <w:p>
            <w:pPr>
              <w:widowControl/>
              <w:jc w:val="center"/>
              <w:textAlignment w:val="center"/>
              <w:rPr>
                <w:rFonts w:hAnsi="宋体" w:cs="宋体"/>
                <w:snapToGrid w:val="0"/>
                <w:color w:val="auto"/>
                <w:kern w:val="21"/>
                <w:szCs w:val="21"/>
                <w:highlight w:val="none"/>
              </w:rPr>
            </w:pPr>
            <w:r>
              <w:rPr>
                <w:color w:val="auto"/>
                <w:kern w:val="0"/>
                <w:szCs w:val="21"/>
                <w:highlight w:val="none"/>
                <w:lang w:bidi="ar"/>
              </w:rPr>
              <w:t>0.0010125</w:t>
            </w:r>
          </w:p>
        </w:tc>
        <w:tc>
          <w:tcPr>
            <w:tcW w:w="1959" w:type="dxa"/>
            <w:noWrap w:val="0"/>
            <w:vAlign w:val="center"/>
          </w:tcPr>
          <w:p>
            <w:pPr>
              <w:tabs>
                <w:tab w:val="left" w:pos="105"/>
              </w:tabs>
              <w:spacing w:line="240" w:lineRule="exact"/>
              <w:ind w:left="-120" w:leftChars="-50" w:right="-120" w:rightChars="-50"/>
              <w:jc w:val="center"/>
              <w:rPr>
                <w:rFonts w:hAnsi="宋体" w:cs="宋体"/>
                <w:snapToGrid w:val="0"/>
                <w:color w:val="auto"/>
                <w:kern w:val="21"/>
                <w:szCs w:val="21"/>
                <w:highlight w:val="none"/>
              </w:rPr>
            </w:pPr>
            <w:r>
              <w:rPr>
                <w:rFonts w:hint="eastAsia"/>
                <w:color w:val="auto"/>
                <w:kern w:val="0"/>
                <w:szCs w:val="21"/>
                <w:highlight w:val="none"/>
                <w:lang w:bidi="ar"/>
              </w:rPr>
              <w:t>0.0002375</w:t>
            </w:r>
          </w:p>
        </w:tc>
        <w:tc>
          <w:tcPr>
            <w:tcW w:w="826" w:type="dxa"/>
            <w:noWrap w:val="0"/>
            <w:vAlign w:val="center"/>
          </w:tcPr>
          <w:p>
            <w:pPr>
              <w:widowControl/>
              <w:jc w:val="center"/>
              <w:textAlignment w:val="center"/>
              <w:rPr>
                <w:rFonts w:hAnsi="宋体" w:cs="宋体"/>
                <w:snapToGrid w:val="0"/>
                <w:color w:val="auto"/>
                <w:kern w:val="21"/>
                <w:szCs w:val="21"/>
                <w:highlight w:val="none"/>
              </w:rPr>
            </w:pPr>
            <w:r>
              <w:rPr>
                <w:rFonts w:hint="eastAsia"/>
                <w:color w:val="auto"/>
                <w:kern w:val="0"/>
                <w:szCs w:val="21"/>
                <w:highlight w:val="none"/>
                <w:lang w:bidi="ar"/>
              </w:rPr>
              <w:t>-</w:t>
            </w:r>
            <w:r>
              <w:rPr>
                <w:color w:val="auto"/>
                <w:kern w:val="0"/>
                <w:szCs w:val="21"/>
                <w:highlight w:val="none"/>
                <w:lang w:bidi="ar"/>
              </w:rPr>
              <w:t>0.0010125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restart"/>
            <w:noWrap w:val="0"/>
            <w:vAlign w:val="center"/>
          </w:tcPr>
          <w:p>
            <w:pPr>
              <w:pStyle w:val="103"/>
              <w:spacing w:beforeLines="0" w:afterLines="0" w:line="240" w:lineRule="auto"/>
              <w:rPr>
                <w:rFonts w:hint="eastAsia" w:hAnsi="宋体" w:cs="宋体"/>
                <w:snapToGrid w:val="0"/>
                <w:color w:val="auto"/>
                <w:kern w:val="21"/>
                <w:szCs w:val="21"/>
                <w:highlight w:val="none"/>
              </w:rPr>
            </w:pPr>
            <w:r>
              <w:rPr>
                <w:rFonts w:hint="eastAsia" w:hAnsi="宋体" w:cs="宋体"/>
                <w:snapToGrid w:val="0"/>
                <w:color w:val="auto"/>
                <w:kern w:val="21"/>
                <w:szCs w:val="21"/>
                <w:highlight w:val="none"/>
              </w:rPr>
              <w:t>废水</w:t>
            </w:r>
          </w:p>
        </w:tc>
        <w:tc>
          <w:tcPr>
            <w:tcW w:w="1417" w:type="dxa"/>
            <w:noWrap w:val="0"/>
            <w:vAlign w:val="center"/>
          </w:tcPr>
          <w:p>
            <w:pPr>
              <w:pStyle w:val="103"/>
              <w:spacing w:beforeLines="0" w:afterLines="0" w:line="240" w:lineRule="auto"/>
              <w:rPr>
                <w:rFonts w:hint="eastAsia" w:hAnsi="宋体" w:cs="宋体"/>
                <w:snapToGrid w:val="0"/>
                <w:color w:val="auto"/>
                <w:kern w:val="21"/>
                <w:szCs w:val="21"/>
                <w:highlight w:val="none"/>
              </w:rPr>
            </w:pPr>
            <w:r>
              <w:rPr>
                <w:rFonts w:hint="eastAsia" w:hAnsi="宋体" w:cs="宋体"/>
                <w:snapToGrid w:val="0"/>
                <w:color w:val="auto"/>
                <w:kern w:val="21"/>
                <w:szCs w:val="21"/>
                <w:highlight w:val="none"/>
              </w:rPr>
              <w:t>/</w:t>
            </w:r>
          </w:p>
        </w:tc>
        <w:tc>
          <w:tcPr>
            <w:tcW w:w="1701" w:type="dxa"/>
            <w:noWrap w:val="0"/>
            <w:vAlign w:val="center"/>
          </w:tcPr>
          <w:p>
            <w:pPr>
              <w:pStyle w:val="103"/>
              <w:spacing w:beforeLines="0" w:afterLines="0" w:line="240" w:lineRule="auto"/>
              <w:rPr>
                <w:rFonts w:hAnsi="宋体" w:cs="宋体"/>
                <w:snapToGrid w:val="0"/>
                <w:color w:val="auto"/>
                <w:kern w:val="21"/>
                <w:szCs w:val="21"/>
                <w:highlight w:val="none"/>
              </w:rPr>
            </w:pPr>
          </w:p>
        </w:tc>
        <w:tc>
          <w:tcPr>
            <w:tcW w:w="1276" w:type="dxa"/>
            <w:noWrap w:val="0"/>
            <w:vAlign w:val="center"/>
          </w:tcPr>
          <w:p>
            <w:pPr>
              <w:pStyle w:val="103"/>
              <w:spacing w:beforeLines="0" w:afterLines="0" w:line="240" w:lineRule="auto"/>
              <w:rPr>
                <w:rFonts w:hAnsi="宋体" w:cs="宋体"/>
                <w:snapToGrid w:val="0"/>
                <w:color w:val="auto"/>
                <w:kern w:val="21"/>
                <w:szCs w:val="21"/>
                <w:highlight w:val="none"/>
              </w:rPr>
            </w:pPr>
          </w:p>
        </w:tc>
        <w:tc>
          <w:tcPr>
            <w:tcW w:w="1701" w:type="dxa"/>
            <w:noWrap w:val="0"/>
            <w:vAlign w:val="center"/>
          </w:tcPr>
          <w:p>
            <w:pPr>
              <w:pStyle w:val="103"/>
              <w:spacing w:beforeLines="0" w:afterLines="0" w:line="240" w:lineRule="auto"/>
              <w:rPr>
                <w:rFonts w:hAnsi="宋体" w:cs="宋体"/>
                <w:snapToGrid w:val="0"/>
                <w:color w:val="auto"/>
                <w:kern w:val="21"/>
                <w:szCs w:val="21"/>
                <w:highlight w:val="none"/>
              </w:rPr>
            </w:pPr>
          </w:p>
        </w:tc>
        <w:tc>
          <w:tcPr>
            <w:tcW w:w="1559" w:type="dxa"/>
            <w:noWrap w:val="0"/>
            <w:vAlign w:val="center"/>
          </w:tcPr>
          <w:p>
            <w:pPr>
              <w:pStyle w:val="103"/>
              <w:spacing w:beforeLines="0" w:afterLines="0" w:line="240" w:lineRule="auto"/>
              <w:rPr>
                <w:rFonts w:hAnsi="宋体" w:cs="宋体"/>
                <w:snapToGrid w:val="0"/>
                <w:color w:val="auto"/>
                <w:kern w:val="21"/>
                <w:szCs w:val="21"/>
                <w:highlight w:val="none"/>
              </w:rPr>
            </w:pPr>
          </w:p>
        </w:tc>
        <w:tc>
          <w:tcPr>
            <w:tcW w:w="1761" w:type="dxa"/>
            <w:noWrap w:val="0"/>
            <w:vAlign w:val="center"/>
          </w:tcPr>
          <w:p>
            <w:pPr>
              <w:pStyle w:val="103"/>
              <w:spacing w:beforeLines="0" w:afterLines="0" w:line="240" w:lineRule="auto"/>
              <w:rPr>
                <w:rFonts w:hAnsi="宋体" w:cs="宋体"/>
                <w:snapToGrid w:val="0"/>
                <w:color w:val="auto"/>
                <w:kern w:val="21"/>
                <w:szCs w:val="21"/>
                <w:highlight w:val="none"/>
              </w:rPr>
            </w:pPr>
          </w:p>
        </w:tc>
        <w:tc>
          <w:tcPr>
            <w:tcW w:w="1959" w:type="dxa"/>
            <w:noWrap w:val="0"/>
            <w:vAlign w:val="center"/>
          </w:tcPr>
          <w:p>
            <w:pPr>
              <w:pStyle w:val="103"/>
              <w:spacing w:beforeLines="0" w:afterLines="0" w:line="240" w:lineRule="auto"/>
              <w:rPr>
                <w:rFonts w:hAnsi="宋体" w:cs="宋体"/>
                <w:snapToGrid w:val="0"/>
                <w:color w:val="auto"/>
                <w:kern w:val="21"/>
                <w:szCs w:val="21"/>
                <w:highlight w:val="none"/>
              </w:rPr>
            </w:pPr>
          </w:p>
        </w:tc>
        <w:tc>
          <w:tcPr>
            <w:tcW w:w="826" w:type="dxa"/>
            <w:noWrap w:val="0"/>
            <w:vAlign w:val="center"/>
          </w:tcPr>
          <w:p>
            <w:pPr>
              <w:pStyle w:val="103"/>
              <w:spacing w:beforeLines="0" w:afterLines="0" w:line="240" w:lineRule="auto"/>
              <w:rPr>
                <w:rFonts w:hAnsi="宋体" w:cs="宋体"/>
                <w:snapToGrid w:val="0"/>
                <w:color w:val="auto"/>
                <w:kern w:val="21"/>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noWrap w:val="0"/>
            <w:vAlign w:val="center"/>
          </w:tcPr>
          <w:p>
            <w:pPr>
              <w:pStyle w:val="103"/>
              <w:spacing w:beforeLines="0" w:afterLines="0" w:line="240" w:lineRule="auto"/>
              <w:rPr>
                <w:rFonts w:hint="eastAsia" w:hAnsi="宋体" w:cs="宋体"/>
                <w:snapToGrid w:val="0"/>
                <w:color w:val="auto"/>
                <w:kern w:val="21"/>
                <w:szCs w:val="21"/>
                <w:highlight w:val="none"/>
              </w:rPr>
            </w:pPr>
          </w:p>
        </w:tc>
        <w:tc>
          <w:tcPr>
            <w:tcW w:w="1417" w:type="dxa"/>
            <w:noWrap w:val="0"/>
            <w:vAlign w:val="center"/>
          </w:tcPr>
          <w:p>
            <w:pPr>
              <w:pStyle w:val="103"/>
              <w:spacing w:beforeLines="0" w:afterLines="0" w:line="240" w:lineRule="auto"/>
              <w:rPr>
                <w:rFonts w:hint="eastAsia" w:hAnsi="宋体" w:cs="宋体"/>
                <w:snapToGrid w:val="0"/>
                <w:color w:val="auto"/>
                <w:kern w:val="21"/>
                <w:szCs w:val="21"/>
                <w:highlight w:val="none"/>
              </w:rPr>
            </w:pPr>
            <w:r>
              <w:rPr>
                <w:rFonts w:hint="eastAsia" w:hAnsi="宋体" w:cs="宋体"/>
                <w:snapToGrid w:val="0"/>
                <w:color w:val="auto"/>
                <w:kern w:val="21"/>
                <w:szCs w:val="21"/>
                <w:highlight w:val="none"/>
              </w:rPr>
              <w:t>/</w:t>
            </w:r>
          </w:p>
        </w:tc>
        <w:tc>
          <w:tcPr>
            <w:tcW w:w="1701" w:type="dxa"/>
            <w:noWrap w:val="0"/>
            <w:vAlign w:val="center"/>
          </w:tcPr>
          <w:p>
            <w:pPr>
              <w:pStyle w:val="103"/>
              <w:spacing w:beforeLines="0" w:afterLines="0" w:line="240" w:lineRule="auto"/>
              <w:rPr>
                <w:rFonts w:hAnsi="宋体" w:cs="宋体"/>
                <w:snapToGrid w:val="0"/>
                <w:color w:val="auto"/>
                <w:kern w:val="21"/>
                <w:szCs w:val="21"/>
                <w:highlight w:val="none"/>
              </w:rPr>
            </w:pPr>
          </w:p>
        </w:tc>
        <w:tc>
          <w:tcPr>
            <w:tcW w:w="1276" w:type="dxa"/>
            <w:noWrap w:val="0"/>
            <w:vAlign w:val="center"/>
          </w:tcPr>
          <w:p>
            <w:pPr>
              <w:pStyle w:val="103"/>
              <w:spacing w:beforeLines="0" w:afterLines="0" w:line="240" w:lineRule="auto"/>
              <w:rPr>
                <w:rFonts w:hAnsi="宋体" w:cs="宋体"/>
                <w:snapToGrid w:val="0"/>
                <w:color w:val="auto"/>
                <w:kern w:val="21"/>
                <w:szCs w:val="21"/>
                <w:highlight w:val="none"/>
              </w:rPr>
            </w:pPr>
          </w:p>
        </w:tc>
        <w:tc>
          <w:tcPr>
            <w:tcW w:w="1701" w:type="dxa"/>
            <w:noWrap w:val="0"/>
            <w:vAlign w:val="center"/>
          </w:tcPr>
          <w:p>
            <w:pPr>
              <w:pStyle w:val="103"/>
              <w:spacing w:beforeLines="0" w:afterLines="0" w:line="240" w:lineRule="auto"/>
              <w:rPr>
                <w:rFonts w:hAnsi="宋体" w:cs="宋体"/>
                <w:snapToGrid w:val="0"/>
                <w:color w:val="auto"/>
                <w:kern w:val="21"/>
                <w:szCs w:val="21"/>
                <w:highlight w:val="none"/>
              </w:rPr>
            </w:pPr>
          </w:p>
        </w:tc>
        <w:tc>
          <w:tcPr>
            <w:tcW w:w="1559" w:type="dxa"/>
            <w:noWrap w:val="0"/>
            <w:vAlign w:val="center"/>
          </w:tcPr>
          <w:p>
            <w:pPr>
              <w:pStyle w:val="103"/>
              <w:spacing w:beforeLines="0" w:afterLines="0" w:line="240" w:lineRule="auto"/>
              <w:rPr>
                <w:rFonts w:hAnsi="宋体" w:cs="宋体"/>
                <w:snapToGrid w:val="0"/>
                <w:color w:val="auto"/>
                <w:kern w:val="21"/>
                <w:szCs w:val="21"/>
                <w:highlight w:val="none"/>
              </w:rPr>
            </w:pPr>
          </w:p>
        </w:tc>
        <w:tc>
          <w:tcPr>
            <w:tcW w:w="1761" w:type="dxa"/>
            <w:noWrap w:val="0"/>
            <w:vAlign w:val="center"/>
          </w:tcPr>
          <w:p>
            <w:pPr>
              <w:pStyle w:val="103"/>
              <w:spacing w:beforeLines="0" w:afterLines="0" w:line="240" w:lineRule="auto"/>
              <w:rPr>
                <w:rFonts w:hAnsi="宋体" w:cs="宋体"/>
                <w:snapToGrid w:val="0"/>
                <w:color w:val="auto"/>
                <w:kern w:val="21"/>
                <w:szCs w:val="21"/>
                <w:highlight w:val="none"/>
              </w:rPr>
            </w:pPr>
          </w:p>
        </w:tc>
        <w:tc>
          <w:tcPr>
            <w:tcW w:w="1959" w:type="dxa"/>
            <w:noWrap w:val="0"/>
            <w:vAlign w:val="center"/>
          </w:tcPr>
          <w:p>
            <w:pPr>
              <w:pStyle w:val="103"/>
              <w:spacing w:beforeLines="0" w:afterLines="0" w:line="240" w:lineRule="auto"/>
              <w:rPr>
                <w:rFonts w:hAnsi="宋体" w:cs="宋体"/>
                <w:snapToGrid w:val="0"/>
                <w:color w:val="auto"/>
                <w:kern w:val="21"/>
                <w:szCs w:val="21"/>
                <w:highlight w:val="none"/>
              </w:rPr>
            </w:pPr>
          </w:p>
        </w:tc>
        <w:tc>
          <w:tcPr>
            <w:tcW w:w="826" w:type="dxa"/>
            <w:noWrap w:val="0"/>
            <w:vAlign w:val="center"/>
          </w:tcPr>
          <w:p>
            <w:pPr>
              <w:pStyle w:val="103"/>
              <w:spacing w:beforeLines="0" w:afterLines="0" w:line="240" w:lineRule="auto"/>
              <w:rPr>
                <w:rFonts w:hAnsi="宋体" w:cs="宋体"/>
                <w:snapToGrid w:val="0"/>
                <w:color w:val="auto"/>
                <w:kern w:val="21"/>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restart"/>
            <w:noWrap w:val="0"/>
            <w:vAlign w:val="center"/>
          </w:tcPr>
          <w:p>
            <w:pPr>
              <w:pStyle w:val="103"/>
              <w:spacing w:beforeLines="0" w:afterLines="0" w:line="240" w:lineRule="auto"/>
              <w:rPr>
                <w:rFonts w:hAnsi="宋体" w:cs="宋体"/>
                <w:snapToGrid w:val="0"/>
                <w:color w:val="auto"/>
                <w:kern w:val="21"/>
                <w:szCs w:val="21"/>
                <w:highlight w:val="none"/>
              </w:rPr>
            </w:pPr>
            <w:r>
              <w:rPr>
                <w:rFonts w:hint="eastAsia" w:hAnsi="宋体" w:cs="宋体"/>
                <w:snapToGrid w:val="0"/>
                <w:color w:val="auto"/>
                <w:kern w:val="21"/>
                <w:szCs w:val="21"/>
                <w:highlight w:val="none"/>
              </w:rPr>
              <w:t>一般工业</w:t>
            </w:r>
          </w:p>
          <w:p>
            <w:pPr>
              <w:pStyle w:val="103"/>
              <w:spacing w:beforeLines="0" w:afterLines="0" w:line="240" w:lineRule="auto"/>
              <w:rPr>
                <w:rFonts w:hint="eastAsia" w:hAnsi="宋体" w:cs="宋体"/>
                <w:snapToGrid w:val="0"/>
                <w:color w:val="auto"/>
                <w:kern w:val="21"/>
                <w:szCs w:val="21"/>
                <w:highlight w:val="none"/>
              </w:rPr>
            </w:pPr>
            <w:r>
              <w:rPr>
                <w:rFonts w:hint="eastAsia" w:hAnsi="宋体" w:cs="宋体"/>
                <w:snapToGrid w:val="0"/>
                <w:color w:val="auto"/>
                <w:kern w:val="21"/>
                <w:szCs w:val="21"/>
                <w:highlight w:val="none"/>
              </w:rPr>
              <w:t>固体废物</w:t>
            </w:r>
          </w:p>
        </w:tc>
        <w:tc>
          <w:tcPr>
            <w:tcW w:w="1417" w:type="dxa"/>
            <w:noWrap w:val="0"/>
            <w:vAlign w:val="center"/>
          </w:tcPr>
          <w:p>
            <w:pPr>
              <w:widowControl/>
              <w:jc w:val="center"/>
              <w:textAlignment w:val="bottom"/>
              <w:rPr>
                <w:rFonts w:hAnsi="宋体" w:cs="宋体"/>
                <w:snapToGrid w:val="0"/>
                <w:color w:val="auto"/>
                <w:kern w:val="21"/>
                <w:szCs w:val="21"/>
                <w:highlight w:val="none"/>
              </w:rPr>
            </w:pPr>
            <w:r>
              <w:rPr>
                <w:color w:val="auto"/>
                <w:kern w:val="0"/>
                <w:szCs w:val="21"/>
                <w:highlight w:val="none"/>
                <w:lang w:bidi="ar"/>
              </w:rPr>
              <w:t>废石料</w:t>
            </w:r>
          </w:p>
        </w:tc>
        <w:tc>
          <w:tcPr>
            <w:tcW w:w="1701" w:type="dxa"/>
            <w:noWrap w:val="0"/>
            <w:vAlign w:val="center"/>
          </w:tcPr>
          <w:p>
            <w:pPr>
              <w:widowControl/>
              <w:jc w:val="center"/>
              <w:textAlignment w:val="bottom"/>
              <w:rPr>
                <w:rFonts w:hAnsi="宋体" w:cs="宋体"/>
                <w:snapToGrid w:val="0"/>
                <w:color w:val="auto"/>
                <w:kern w:val="21"/>
                <w:szCs w:val="21"/>
                <w:highlight w:val="none"/>
              </w:rPr>
            </w:pPr>
            <w:r>
              <w:rPr>
                <w:rFonts w:hint="eastAsia"/>
                <w:color w:val="auto"/>
                <w:kern w:val="0"/>
                <w:szCs w:val="21"/>
                <w:highlight w:val="none"/>
                <w:lang w:bidi="ar"/>
              </w:rPr>
              <w:t>95</w:t>
            </w:r>
          </w:p>
        </w:tc>
        <w:tc>
          <w:tcPr>
            <w:tcW w:w="1276" w:type="dxa"/>
            <w:noWrap w:val="0"/>
            <w:vAlign w:val="center"/>
          </w:tcPr>
          <w:p>
            <w:pPr>
              <w:pStyle w:val="103"/>
              <w:spacing w:beforeLines="0" w:afterLines="0" w:line="240" w:lineRule="auto"/>
              <w:rPr>
                <w:rFonts w:hAnsi="宋体" w:cs="宋体"/>
                <w:snapToGrid w:val="0"/>
                <w:color w:val="auto"/>
                <w:kern w:val="21"/>
                <w:szCs w:val="21"/>
                <w:highlight w:val="none"/>
              </w:rPr>
            </w:pPr>
          </w:p>
        </w:tc>
        <w:tc>
          <w:tcPr>
            <w:tcW w:w="1701" w:type="dxa"/>
            <w:noWrap w:val="0"/>
            <w:vAlign w:val="center"/>
          </w:tcPr>
          <w:p>
            <w:pPr>
              <w:pStyle w:val="103"/>
              <w:spacing w:beforeLines="0" w:afterLines="0" w:line="240" w:lineRule="auto"/>
              <w:rPr>
                <w:rFonts w:hAnsi="宋体" w:cs="宋体"/>
                <w:snapToGrid w:val="0"/>
                <w:color w:val="auto"/>
                <w:kern w:val="21"/>
                <w:szCs w:val="21"/>
                <w:highlight w:val="none"/>
              </w:rPr>
            </w:pPr>
          </w:p>
        </w:tc>
        <w:tc>
          <w:tcPr>
            <w:tcW w:w="1559" w:type="dxa"/>
            <w:noWrap w:val="0"/>
            <w:vAlign w:val="center"/>
          </w:tcPr>
          <w:p>
            <w:pPr>
              <w:widowControl/>
              <w:jc w:val="center"/>
              <w:textAlignment w:val="bottom"/>
              <w:rPr>
                <w:rFonts w:hAnsi="宋体" w:cs="宋体"/>
                <w:snapToGrid w:val="0"/>
                <w:color w:val="auto"/>
                <w:kern w:val="21"/>
                <w:szCs w:val="21"/>
                <w:highlight w:val="none"/>
              </w:rPr>
            </w:pPr>
            <w:r>
              <w:rPr>
                <w:rFonts w:hint="eastAsia"/>
                <w:color w:val="auto"/>
                <w:kern w:val="0"/>
                <w:szCs w:val="21"/>
                <w:highlight w:val="none"/>
                <w:lang w:bidi="ar"/>
              </w:rPr>
              <w:t>95</w:t>
            </w:r>
          </w:p>
        </w:tc>
        <w:tc>
          <w:tcPr>
            <w:tcW w:w="1761" w:type="dxa"/>
            <w:noWrap w:val="0"/>
            <w:vAlign w:val="center"/>
          </w:tcPr>
          <w:p>
            <w:pPr>
              <w:pStyle w:val="103"/>
              <w:spacing w:beforeLines="0" w:afterLines="0" w:line="240" w:lineRule="auto"/>
              <w:rPr>
                <w:rFonts w:hint="eastAsia" w:hAnsi="宋体" w:cs="宋体"/>
                <w:snapToGrid w:val="0"/>
                <w:color w:val="auto"/>
                <w:kern w:val="21"/>
                <w:szCs w:val="21"/>
                <w:highlight w:val="none"/>
              </w:rPr>
            </w:pPr>
            <w:r>
              <w:rPr>
                <w:rFonts w:hint="eastAsia" w:hAnsi="宋体" w:cs="宋体"/>
                <w:snapToGrid w:val="0"/>
                <w:color w:val="auto"/>
                <w:kern w:val="21"/>
                <w:szCs w:val="21"/>
                <w:highlight w:val="none"/>
              </w:rPr>
              <w:t>0</w:t>
            </w:r>
          </w:p>
        </w:tc>
        <w:tc>
          <w:tcPr>
            <w:tcW w:w="1959" w:type="dxa"/>
            <w:noWrap w:val="0"/>
            <w:vAlign w:val="center"/>
          </w:tcPr>
          <w:p>
            <w:pPr>
              <w:widowControl/>
              <w:jc w:val="center"/>
              <w:textAlignment w:val="bottom"/>
              <w:rPr>
                <w:rFonts w:hAnsi="宋体" w:cs="宋体"/>
                <w:snapToGrid w:val="0"/>
                <w:color w:val="auto"/>
                <w:kern w:val="21"/>
                <w:szCs w:val="21"/>
                <w:highlight w:val="none"/>
              </w:rPr>
            </w:pPr>
            <w:r>
              <w:rPr>
                <w:rFonts w:hint="eastAsia"/>
                <w:color w:val="auto"/>
                <w:kern w:val="0"/>
                <w:szCs w:val="21"/>
                <w:highlight w:val="none"/>
                <w:lang w:bidi="ar"/>
              </w:rPr>
              <w:t>95</w:t>
            </w:r>
          </w:p>
        </w:tc>
        <w:tc>
          <w:tcPr>
            <w:tcW w:w="826" w:type="dxa"/>
            <w:noWrap w:val="0"/>
            <w:vAlign w:val="center"/>
          </w:tcPr>
          <w:p>
            <w:pPr>
              <w:pStyle w:val="103"/>
              <w:spacing w:beforeLines="0" w:afterLines="0" w:line="240" w:lineRule="auto"/>
              <w:rPr>
                <w:rFonts w:hint="eastAsia" w:hAnsi="宋体" w:cs="宋体"/>
                <w:snapToGrid w:val="0"/>
                <w:color w:val="auto"/>
                <w:kern w:val="21"/>
                <w:szCs w:val="21"/>
                <w:highlight w:val="none"/>
              </w:rPr>
            </w:pPr>
            <w:r>
              <w:rPr>
                <w:rFonts w:hint="eastAsia" w:hAnsi="宋体" w:cs="宋体"/>
                <w:snapToGrid w:val="0"/>
                <w:color w:val="auto"/>
                <w:kern w:val="21"/>
                <w:szCs w:val="21"/>
                <w:highlight w:val="none"/>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noWrap w:val="0"/>
            <w:vAlign w:val="center"/>
          </w:tcPr>
          <w:p>
            <w:pPr>
              <w:pStyle w:val="103"/>
              <w:spacing w:beforeLines="0" w:afterLines="0" w:line="240" w:lineRule="auto"/>
              <w:rPr>
                <w:rFonts w:hAnsi="宋体" w:cs="宋体"/>
                <w:snapToGrid w:val="0"/>
                <w:color w:val="auto"/>
                <w:kern w:val="21"/>
                <w:szCs w:val="21"/>
                <w:highlight w:val="none"/>
              </w:rPr>
            </w:pPr>
          </w:p>
        </w:tc>
        <w:tc>
          <w:tcPr>
            <w:tcW w:w="1417" w:type="dxa"/>
            <w:noWrap w:val="0"/>
            <w:vAlign w:val="center"/>
          </w:tcPr>
          <w:p>
            <w:pPr>
              <w:widowControl/>
              <w:jc w:val="center"/>
              <w:textAlignment w:val="bottom"/>
              <w:rPr>
                <w:rFonts w:hAnsi="宋体" w:cs="宋体"/>
                <w:snapToGrid w:val="0"/>
                <w:color w:val="auto"/>
                <w:kern w:val="21"/>
                <w:szCs w:val="21"/>
                <w:highlight w:val="none"/>
              </w:rPr>
            </w:pPr>
            <w:r>
              <w:rPr>
                <w:color w:val="auto"/>
                <w:kern w:val="0"/>
                <w:szCs w:val="21"/>
                <w:highlight w:val="none"/>
                <w:lang w:bidi="ar"/>
              </w:rPr>
              <w:t>粉（烟）尘</w:t>
            </w:r>
          </w:p>
        </w:tc>
        <w:tc>
          <w:tcPr>
            <w:tcW w:w="1701" w:type="dxa"/>
            <w:noWrap w:val="0"/>
            <w:vAlign w:val="center"/>
          </w:tcPr>
          <w:p>
            <w:pPr>
              <w:widowControl/>
              <w:jc w:val="center"/>
              <w:textAlignment w:val="bottom"/>
              <w:rPr>
                <w:rFonts w:hAnsi="宋体" w:cs="宋体"/>
                <w:snapToGrid w:val="0"/>
                <w:color w:val="auto"/>
                <w:kern w:val="21"/>
                <w:szCs w:val="21"/>
                <w:highlight w:val="none"/>
              </w:rPr>
            </w:pPr>
            <w:r>
              <w:rPr>
                <w:rFonts w:hint="eastAsia"/>
                <w:color w:val="auto"/>
                <w:kern w:val="0"/>
                <w:szCs w:val="21"/>
                <w:highlight w:val="none"/>
                <w:lang w:bidi="ar"/>
              </w:rPr>
              <w:t>8.591</w:t>
            </w:r>
          </w:p>
        </w:tc>
        <w:tc>
          <w:tcPr>
            <w:tcW w:w="1276" w:type="dxa"/>
            <w:noWrap w:val="0"/>
            <w:vAlign w:val="center"/>
          </w:tcPr>
          <w:p>
            <w:pPr>
              <w:pStyle w:val="103"/>
              <w:spacing w:beforeLines="0" w:afterLines="0" w:line="240" w:lineRule="auto"/>
              <w:rPr>
                <w:rFonts w:hAnsi="宋体" w:cs="宋体"/>
                <w:snapToGrid w:val="0"/>
                <w:color w:val="auto"/>
                <w:kern w:val="21"/>
                <w:szCs w:val="21"/>
                <w:highlight w:val="none"/>
              </w:rPr>
            </w:pPr>
          </w:p>
        </w:tc>
        <w:tc>
          <w:tcPr>
            <w:tcW w:w="1701" w:type="dxa"/>
            <w:noWrap w:val="0"/>
            <w:vAlign w:val="center"/>
          </w:tcPr>
          <w:p>
            <w:pPr>
              <w:pStyle w:val="103"/>
              <w:spacing w:beforeLines="0" w:afterLines="0" w:line="240" w:lineRule="auto"/>
              <w:rPr>
                <w:rFonts w:hAnsi="宋体" w:cs="宋体"/>
                <w:snapToGrid w:val="0"/>
                <w:color w:val="auto"/>
                <w:kern w:val="21"/>
                <w:szCs w:val="21"/>
                <w:highlight w:val="none"/>
              </w:rPr>
            </w:pPr>
          </w:p>
        </w:tc>
        <w:tc>
          <w:tcPr>
            <w:tcW w:w="1559" w:type="dxa"/>
            <w:noWrap w:val="0"/>
            <w:vAlign w:val="center"/>
          </w:tcPr>
          <w:p>
            <w:pPr>
              <w:widowControl/>
              <w:jc w:val="center"/>
              <w:textAlignment w:val="bottom"/>
              <w:rPr>
                <w:rFonts w:hAnsi="宋体" w:cs="宋体"/>
                <w:snapToGrid w:val="0"/>
                <w:color w:val="auto"/>
                <w:kern w:val="21"/>
                <w:szCs w:val="21"/>
                <w:highlight w:val="none"/>
              </w:rPr>
            </w:pPr>
            <w:r>
              <w:rPr>
                <w:rFonts w:hint="eastAsia"/>
                <w:color w:val="auto"/>
                <w:kern w:val="0"/>
                <w:szCs w:val="21"/>
                <w:highlight w:val="none"/>
                <w:lang w:bidi="ar"/>
              </w:rPr>
              <w:t>8.591</w:t>
            </w:r>
          </w:p>
        </w:tc>
        <w:tc>
          <w:tcPr>
            <w:tcW w:w="1761" w:type="dxa"/>
            <w:noWrap w:val="0"/>
            <w:vAlign w:val="center"/>
          </w:tcPr>
          <w:p>
            <w:pPr>
              <w:pStyle w:val="103"/>
              <w:spacing w:beforeLines="0" w:afterLines="0" w:line="240" w:lineRule="auto"/>
              <w:rPr>
                <w:rFonts w:hint="eastAsia" w:hAnsi="宋体" w:cs="宋体"/>
                <w:snapToGrid w:val="0"/>
                <w:color w:val="auto"/>
                <w:kern w:val="21"/>
                <w:szCs w:val="21"/>
                <w:highlight w:val="none"/>
              </w:rPr>
            </w:pPr>
            <w:r>
              <w:rPr>
                <w:rFonts w:hint="eastAsia" w:hAnsi="宋体" w:cs="宋体"/>
                <w:snapToGrid w:val="0"/>
                <w:color w:val="auto"/>
                <w:kern w:val="21"/>
                <w:szCs w:val="21"/>
                <w:highlight w:val="none"/>
              </w:rPr>
              <w:t>0</w:t>
            </w:r>
          </w:p>
        </w:tc>
        <w:tc>
          <w:tcPr>
            <w:tcW w:w="1959" w:type="dxa"/>
            <w:noWrap w:val="0"/>
            <w:vAlign w:val="center"/>
          </w:tcPr>
          <w:p>
            <w:pPr>
              <w:widowControl/>
              <w:jc w:val="center"/>
              <w:textAlignment w:val="bottom"/>
              <w:rPr>
                <w:rFonts w:hAnsi="宋体" w:cs="宋体"/>
                <w:snapToGrid w:val="0"/>
                <w:color w:val="auto"/>
                <w:kern w:val="21"/>
                <w:szCs w:val="21"/>
                <w:highlight w:val="none"/>
              </w:rPr>
            </w:pPr>
            <w:r>
              <w:rPr>
                <w:rFonts w:hint="eastAsia"/>
                <w:color w:val="auto"/>
                <w:kern w:val="0"/>
                <w:szCs w:val="21"/>
                <w:highlight w:val="none"/>
                <w:lang w:bidi="ar"/>
              </w:rPr>
              <w:t>8.591</w:t>
            </w:r>
          </w:p>
        </w:tc>
        <w:tc>
          <w:tcPr>
            <w:tcW w:w="826" w:type="dxa"/>
            <w:noWrap w:val="0"/>
            <w:vAlign w:val="center"/>
          </w:tcPr>
          <w:p>
            <w:pPr>
              <w:pStyle w:val="103"/>
              <w:spacing w:beforeLines="0" w:afterLines="0" w:line="240" w:lineRule="auto"/>
              <w:rPr>
                <w:rFonts w:hint="eastAsia" w:hAnsi="宋体" w:cs="宋体"/>
                <w:snapToGrid w:val="0"/>
                <w:color w:val="auto"/>
                <w:kern w:val="21"/>
                <w:szCs w:val="21"/>
                <w:highlight w:val="none"/>
              </w:rPr>
            </w:pPr>
            <w:r>
              <w:rPr>
                <w:rFonts w:hint="eastAsia" w:hAnsi="宋体" w:cs="宋体"/>
                <w:snapToGrid w:val="0"/>
                <w:color w:val="auto"/>
                <w:kern w:val="21"/>
                <w:szCs w:val="21"/>
                <w:highlight w:val="none"/>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noWrap w:val="0"/>
            <w:vAlign w:val="center"/>
          </w:tcPr>
          <w:p>
            <w:pPr>
              <w:pStyle w:val="103"/>
              <w:spacing w:beforeLines="0" w:afterLines="0" w:line="240" w:lineRule="auto"/>
              <w:rPr>
                <w:rFonts w:hAnsi="宋体" w:cs="宋体"/>
                <w:snapToGrid w:val="0"/>
                <w:color w:val="auto"/>
                <w:kern w:val="21"/>
                <w:szCs w:val="21"/>
                <w:highlight w:val="none"/>
              </w:rPr>
            </w:pPr>
          </w:p>
        </w:tc>
        <w:tc>
          <w:tcPr>
            <w:tcW w:w="1417" w:type="dxa"/>
            <w:noWrap w:val="0"/>
            <w:vAlign w:val="center"/>
          </w:tcPr>
          <w:p>
            <w:pPr>
              <w:widowControl/>
              <w:jc w:val="center"/>
              <w:textAlignment w:val="bottom"/>
              <w:rPr>
                <w:rFonts w:hAnsi="宋体" w:cs="宋体"/>
                <w:snapToGrid w:val="0"/>
                <w:color w:val="auto"/>
                <w:kern w:val="21"/>
                <w:szCs w:val="21"/>
                <w:highlight w:val="none"/>
              </w:rPr>
            </w:pPr>
            <w:r>
              <w:rPr>
                <w:color w:val="auto"/>
                <w:kern w:val="0"/>
                <w:szCs w:val="21"/>
                <w:highlight w:val="none"/>
                <w:lang w:bidi="ar"/>
              </w:rPr>
              <w:t>滴漏沥青及拌和残渣</w:t>
            </w:r>
          </w:p>
        </w:tc>
        <w:tc>
          <w:tcPr>
            <w:tcW w:w="1701" w:type="dxa"/>
            <w:noWrap w:val="0"/>
            <w:vAlign w:val="center"/>
          </w:tcPr>
          <w:p>
            <w:pPr>
              <w:widowControl/>
              <w:jc w:val="center"/>
              <w:textAlignment w:val="bottom"/>
              <w:rPr>
                <w:rFonts w:hAnsi="宋体" w:cs="宋体"/>
                <w:snapToGrid w:val="0"/>
                <w:color w:val="auto"/>
                <w:kern w:val="21"/>
                <w:szCs w:val="21"/>
                <w:highlight w:val="none"/>
              </w:rPr>
            </w:pPr>
            <w:r>
              <w:rPr>
                <w:rFonts w:hint="eastAsia"/>
                <w:color w:val="auto"/>
                <w:kern w:val="0"/>
                <w:szCs w:val="21"/>
                <w:highlight w:val="none"/>
                <w:lang w:bidi="ar"/>
              </w:rPr>
              <w:t>1</w:t>
            </w:r>
          </w:p>
        </w:tc>
        <w:tc>
          <w:tcPr>
            <w:tcW w:w="1276" w:type="dxa"/>
            <w:noWrap w:val="0"/>
            <w:vAlign w:val="center"/>
          </w:tcPr>
          <w:p>
            <w:pPr>
              <w:pStyle w:val="103"/>
              <w:spacing w:beforeLines="0" w:afterLines="0" w:line="240" w:lineRule="auto"/>
              <w:rPr>
                <w:rFonts w:hAnsi="宋体" w:cs="宋体"/>
                <w:snapToGrid w:val="0"/>
                <w:color w:val="auto"/>
                <w:kern w:val="21"/>
                <w:szCs w:val="21"/>
                <w:highlight w:val="none"/>
              </w:rPr>
            </w:pPr>
          </w:p>
        </w:tc>
        <w:tc>
          <w:tcPr>
            <w:tcW w:w="1701" w:type="dxa"/>
            <w:noWrap w:val="0"/>
            <w:vAlign w:val="center"/>
          </w:tcPr>
          <w:p>
            <w:pPr>
              <w:pStyle w:val="103"/>
              <w:spacing w:beforeLines="0" w:afterLines="0" w:line="240" w:lineRule="auto"/>
              <w:rPr>
                <w:rFonts w:hAnsi="宋体" w:cs="宋体"/>
                <w:snapToGrid w:val="0"/>
                <w:color w:val="auto"/>
                <w:kern w:val="21"/>
                <w:szCs w:val="21"/>
                <w:highlight w:val="none"/>
              </w:rPr>
            </w:pPr>
          </w:p>
        </w:tc>
        <w:tc>
          <w:tcPr>
            <w:tcW w:w="1559" w:type="dxa"/>
            <w:noWrap w:val="0"/>
            <w:vAlign w:val="center"/>
          </w:tcPr>
          <w:p>
            <w:pPr>
              <w:widowControl/>
              <w:jc w:val="center"/>
              <w:textAlignment w:val="bottom"/>
              <w:rPr>
                <w:rFonts w:hAnsi="宋体" w:cs="宋体"/>
                <w:snapToGrid w:val="0"/>
                <w:color w:val="auto"/>
                <w:kern w:val="21"/>
                <w:szCs w:val="21"/>
                <w:highlight w:val="none"/>
              </w:rPr>
            </w:pPr>
            <w:r>
              <w:rPr>
                <w:rFonts w:hint="eastAsia"/>
                <w:color w:val="auto"/>
                <w:kern w:val="0"/>
                <w:szCs w:val="21"/>
                <w:highlight w:val="none"/>
                <w:lang w:bidi="ar"/>
              </w:rPr>
              <w:t>1</w:t>
            </w:r>
          </w:p>
        </w:tc>
        <w:tc>
          <w:tcPr>
            <w:tcW w:w="1761" w:type="dxa"/>
            <w:noWrap w:val="0"/>
            <w:vAlign w:val="center"/>
          </w:tcPr>
          <w:p>
            <w:pPr>
              <w:pStyle w:val="103"/>
              <w:spacing w:beforeLines="0" w:afterLines="0" w:line="240" w:lineRule="auto"/>
              <w:rPr>
                <w:rFonts w:hint="eastAsia" w:hAnsi="宋体" w:cs="宋体"/>
                <w:snapToGrid w:val="0"/>
                <w:color w:val="auto"/>
                <w:kern w:val="21"/>
                <w:szCs w:val="21"/>
                <w:highlight w:val="none"/>
              </w:rPr>
            </w:pPr>
            <w:r>
              <w:rPr>
                <w:rFonts w:hint="eastAsia" w:hAnsi="宋体" w:cs="宋体"/>
                <w:snapToGrid w:val="0"/>
                <w:color w:val="auto"/>
                <w:kern w:val="21"/>
                <w:szCs w:val="21"/>
                <w:highlight w:val="none"/>
              </w:rPr>
              <w:t>0</w:t>
            </w:r>
          </w:p>
        </w:tc>
        <w:tc>
          <w:tcPr>
            <w:tcW w:w="1959" w:type="dxa"/>
            <w:noWrap w:val="0"/>
            <w:vAlign w:val="center"/>
          </w:tcPr>
          <w:p>
            <w:pPr>
              <w:widowControl/>
              <w:jc w:val="center"/>
              <w:textAlignment w:val="bottom"/>
              <w:rPr>
                <w:rFonts w:hAnsi="宋体" w:cs="宋体"/>
                <w:snapToGrid w:val="0"/>
                <w:color w:val="auto"/>
                <w:kern w:val="21"/>
                <w:szCs w:val="21"/>
                <w:highlight w:val="none"/>
              </w:rPr>
            </w:pPr>
            <w:r>
              <w:rPr>
                <w:rFonts w:hint="eastAsia"/>
                <w:color w:val="auto"/>
                <w:kern w:val="0"/>
                <w:szCs w:val="21"/>
                <w:highlight w:val="none"/>
                <w:lang w:bidi="ar"/>
              </w:rPr>
              <w:t>1</w:t>
            </w:r>
          </w:p>
        </w:tc>
        <w:tc>
          <w:tcPr>
            <w:tcW w:w="826" w:type="dxa"/>
            <w:noWrap w:val="0"/>
            <w:vAlign w:val="center"/>
          </w:tcPr>
          <w:p>
            <w:pPr>
              <w:pStyle w:val="103"/>
              <w:spacing w:beforeLines="0" w:afterLines="0" w:line="240" w:lineRule="auto"/>
              <w:rPr>
                <w:rFonts w:hint="eastAsia" w:hAnsi="宋体" w:cs="宋体"/>
                <w:snapToGrid w:val="0"/>
                <w:color w:val="auto"/>
                <w:kern w:val="21"/>
                <w:szCs w:val="21"/>
                <w:highlight w:val="none"/>
              </w:rPr>
            </w:pPr>
            <w:r>
              <w:rPr>
                <w:rFonts w:hint="eastAsia" w:hAnsi="宋体" w:cs="宋体"/>
                <w:snapToGrid w:val="0"/>
                <w:color w:val="auto"/>
                <w:kern w:val="21"/>
                <w:szCs w:val="21"/>
                <w:highlight w:val="none"/>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noWrap w:val="0"/>
            <w:vAlign w:val="center"/>
          </w:tcPr>
          <w:p>
            <w:pPr>
              <w:pStyle w:val="103"/>
              <w:spacing w:beforeLines="0" w:afterLines="0" w:line="240" w:lineRule="auto"/>
              <w:rPr>
                <w:rFonts w:hAnsi="宋体" w:cs="宋体"/>
                <w:snapToGrid w:val="0"/>
                <w:color w:val="auto"/>
                <w:kern w:val="21"/>
                <w:szCs w:val="21"/>
                <w:highlight w:val="none"/>
              </w:rPr>
            </w:pPr>
          </w:p>
        </w:tc>
        <w:tc>
          <w:tcPr>
            <w:tcW w:w="1417" w:type="dxa"/>
            <w:noWrap w:val="0"/>
            <w:vAlign w:val="center"/>
          </w:tcPr>
          <w:p>
            <w:pPr>
              <w:widowControl/>
              <w:jc w:val="center"/>
              <w:textAlignment w:val="bottom"/>
              <w:rPr>
                <w:rFonts w:hint="default" w:eastAsia="宋体"/>
                <w:color w:val="auto"/>
                <w:kern w:val="0"/>
                <w:szCs w:val="21"/>
                <w:highlight w:val="none"/>
                <w:lang w:val="en-US" w:eastAsia="zh-CN" w:bidi="ar"/>
              </w:rPr>
            </w:pPr>
            <w:r>
              <w:rPr>
                <w:rFonts w:hint="eastAsia"/>
                <w:color w:val="auto"/>
                <w:kern w:val="0"/>
                <w:szCs w:val="21"/>
                <w:highlight w:val="none"/>
                <w:lang w:val="en-US" w:eastAsia="zh-CN" w:bidi="ar"/>
              </w:rPr>
              <w:t>废布袋</w:t>
            </w:r>
          </w:p>
        </w:tc>
        <w:tc>
          <w:tcPr>
            <w:tcW w:w="1701" w:type="dxa"/>
            <w:noWrap w:val="0"/>
            <w:vAlign w:val="center"/>
          </w:tcPr>
          <w:p>
            <w:pPr>
              <w:widowControl/>
              <w:jc w:val="center"/>
              <w:textAlignment w:val="bottom"/>
              <w:rPr>
                <w:rFonts w:hint="eastAsia" w:eastAsia="宋体"/>
                <w:color w:val="auto"/>
                <w:kern w:val="0"/>
                <w:szCs w:val="21"/>
                <w:highlight w:val="none"/>
                <w:lang w:eastAsia="zh-CN" w:bidi="ar"/>
              </w:rPr>
            </w:pPr>
            <w:r>
              <w:rPr>
                <w:rFonts w:hint="eastAsia"/>
                <w:color w:val="auto"/>
                <w:kern w:val="0"/>
                <w:szCs w:val="21"/>
                <w:highlight w:val="none"/>
                <w:lang w:val="en-US" w:eastAsia="zh-CN" w:bidi="ar"/>
              </w:rPr>
              <w:t>/</w:t>
            </w:r>
          </w:p>
        </w:tc>
        <w:tc>
          <w:tcPr>
            <w:tcW w:w="1276" w:type="dxa"/>
            <w:noWrap w:val="0"/>
            <w:vAlign w:val="center"/>
          </w:tcPr>
          <w:p>
            <w:pPr>
              <w:pStyle w:val="103"/>
              <w:spacing w:beforeLines="0" w:afterLines="0" w:line="240" w:lineRule="auto"/>
              <w:rPr>
                <w:rFonts w:hAnsi="宋体" w:cs="宋体"/>
                <w:snapToGrid w:val="0"/>
                <w:color w:val="auto"/>
                <w:kern w:val="21"/>
                <w:szCs w:val="21"/>
                <w:highlight w:val="none"/>
              </w:rPr>
            </w:pPr>
          </w:p>
        </w:tc>
        <w:tc>
          <w:tcPr>
            <w:tcW w:w="1701" w:type="dxa"/>
            <w:noWrap w:val="0"/>
            <w:vAlign w:val="center"/>
          </w:tcPr>
          <w:p>
            <w:pPr>
              <w:pStyle w:val="103"/>
              <w:spacing w:beforeLines="0" w:afterLines="0" w:line="240" w:lineRule="auto"/>
              <w:rPr>
                <w:rFonts w:hAnsi="宋体" w:cs="宋体"/>
                <w:snapToGrid w:val="0"/>
                <w:color w:val="auto"/>
                <w:kern w:val="21"/>
                <w:szCs w:val="21"/>
                <w:highlight w:val="none"/>
              </w:rPr>
            </w:pPr>
          </w:p>
        </w:tc>
        <w:tc>
          <w:tcPr>
            <w:tcW w:w="1559" w:type="dxa"/>
            <w:noWrap w:val="0"/>
            <w:vAlign w:val="center"/>
          </w:tcPr>
          <w:p>
            <w:pPr>
              <w:widowControl/>
              <w:jc w:val="center"/>
              <w:textAlignment w:val="bottom"/>
              <w:rPr>
                <w:rFonts w:hint="eastAsia"/>
                <w:color w:val="auto"/>
                <w:kern w:val="0"/>
                <w:szCs w:val="21"/>
                <w:highlight w:val="none"/>
                <w:lang w:bidi="ar"/>
              </w:rPr>
            </w:pPr>
            <w:r>
              <w:rPr>
                <w:rFonts w:hint="eastAsia"/>
                <w:color w:val="auto"/>
                <w:kern w:val="0"/>
                <w:szCs w:val="21"/>
                <w:highlight w:val="none"/>
                <w:lang w:bidi="ar"/>
              </w:rPr>
              <w:t>每2年左右更换一次</w:t>
            </w:r>
          </w:p>
        </w:tc>
        <w:tc>
          <w:tcPr>
            <w:tcW w:w="1761" w:type="dxa"/>
            <w:noWrap w:val="0"/>
            <w:vAlign w:val="center"/>
          </w:tcPr>
          <w:p>
            <w:pPr>
              <w:pStyle w:val="103"/>
              <w:spacing w:beforeLines="0" w:afterLines="0" w:line="240" w:lineRule="auto"/>
              <w:rPr>
                <w:rFonts w:hint="eastAsia" w:hAnsi="宋体" w:eastAsia="宋体" w:cs="宋体"/>
                <w:snapToGrid w:val="0"/>
                <w:color w:val="auto"/>
                <w:kern w:val="21"/>
                <w:szCs w:val="21"/>
                <w:highlight w:val="none"/>
                <w:lang w:val="en-US" w:eastAsia="zh-CN"/>
              </w:rPr>
            </w:pPr>
            <w:r>
              <w:rPr>
                <w:rFonts w:hint="eastAsia" w:hAnsi="宋体" w:cs="宋体"/>
                <w:snapToGrid w:val="0"/>
                <w:color w:val="auto"/>
                <w:kern w:val="21"/>
                <w:szCs w:val="21"/>
                <w:highlight w:val="none"/>
                <w:lang w:val="en-US" w:eastAsia="zh-CN"/>
              </w:rPr>
              <w:t>/</w:t>
            </w:r>
          </w:p>
        </w:tc>
        <w:tc>
          <w:tcPr>
            <w:tcW w:w="1959" w:type="dxa"/>
            <w:noWrap w:val="0"/>
            <w:vAlign w:val="center"/>
          </w:tcPr>
          <w:p>
            <w:pPr>
              <w:widowControl/>
              <w:jc w:val="center"/>
              <w:textAlignment w:val="bottom"/>
              <w:rPr>
                <w:rFonts w:hint="eastAsia"/>
                <w:color w:val="auto"/>
                <w:kern w:val="0"/>
                <w:szCs w:val="21"/>
                <w:highlight w:val="none"/>
                <w:lang w:bidi="ar"/>
              </w:rPr>
            </w:pPr>
            <w:r>
              <w:rPr>
                <w:rFonts w:hint="eastAsia"/>
                <w:color w:val="auto"/>
                <w:kern w:val="0"/>
                <w:szCs w:val="21"/>
                <w:highlight w:val="none"/>
                <w:lang w:bidi="ar"/>
              </w:rPr>
              <w:t>每2年左右更换一次</w:t>
            </w:r>
          </w:p>
        </w:tc>
        <w:tc>
          <w:tcPr>
            <w:tcW w:w="826" w:type="dxa"/>
            <w:noWrap w:val="0"/>
            <w:vAlign w:val="center"/>
          </w:tcPr>
          <w:p>
            <w:pPr>
              <w:pStyle w:val="103"/>
              <w:spacing w:beforeLines="0" w:afterLines="0" w:line="240" w:lineRule="auto"/>
              <w:rPr>
                <w:rFonts w:hint="eastAsia" w:hAnsi="宋体" w:eastAsia="宋体" w:cs="宋体"/>
                <w:snapToGrid w:val="0"/>
                <w:color w:val="auto"/>
                <w:kern w:val="21"/>
                <w:szCs w:val="21"/>
                <w:highlight w:val="none"/>
                <w:lang w:val="en-US" w:eastAsia="zh-CN"/>
              </w:rPr>
            </w:pPr>
            <w:r>
              <w:rPr>
                <w:rFonts w:hint="eastAsia" w:hAnsi="宋体" w:cs="宋体"/>
                <w:snapToGrid w:val="0"/>
                <w:color w:val="auto"/>
                <w:kern w:val="21"/>
                <w:szCs w:val="21"/>
                <w:highlight w:val="none"/>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noWrap w:val="0"/>
            <w:vAlign w:val="center"/>
          </w:tcPr>
          <w:p>
            <w:pPr>
              <w:pStyle w:val="103"/>
              <w:spacing w:beforeLines="0" w:afterLines="0" w:line="240" w:lineRule="auto"/>
              <w:rPr>
                <w:rFonts w:hAnsi="宋体" w:cs="宋体"/>
                <w:snapToGrid w:val="0"/>
                <w:color w:val="auto"/>
                <w:kern w:val="21"/>
                <w:szCs w:val="21"/>
                <w:highlight w:val="none"/>
              </w:rPr>
            </w:pPr>
          </w:p>
        </w:tc>
        <w:tc>
          <w:tcPr>
            <w:tcW w:w="1417" w:type="dxa"/>
            <w:noWrap w:val="0"/>
            <w:vAlign w:val="center"/>
          </w:tcPr>
          <w:p>
            <w:pPr>
              <w:widowControl/>
              <w:jc w:val="center"/>
              <w:textAlignment w:val="bottom"/>
              <w:rPr>
                <w:color w:val="auto"/>
                <w:kern w:val="0"/>
                <w:szCs w:val="21"/>
                <w:highlight w:val="none"/>
                <w:lang w:bidi="ar"/>
              </w:rPr>
            </w:pPr>
            <w:r>
              <w:rPr>
                <w:rFonts w:hint="eastAsia"/>
                <w:color w:val="auto"/>
                <w:kern w:val="0"/>
                <w:szCs w:val="21"/>
                <w:highlight w:val="none"/>
                <w:lang w:val="en-US" w:eastAsia="zh-CN" w:bidi="ar"/>
              </w:rPr>
              <w:t>沉渣污泥</w:t>
            </w:r>
          </w:p>
        </w:tc>
        <w:tc>
          <w:tcPr>
            <w:tcW w:w="1701" w:type="dxa"/>
            <w:noWrap w:val="0"/>
            <w:vAlign w:val="center"/>
          </w:tcPr>
          <w:p>
            <w:pPr>
              <w:widowControl/>
              <w:jc w:val="center"/>
              <w:textAlignment w:val="bottom"/>
              <w:rPr>
                <w:rFonts w:hint="default" w:eastAsia="宋体"/>
                <w:color w:val="auto"/>
                <w:kern w:val="0"/>
                <w:szCs w:val="21"/>
                <w:highlight w:val="none"/>
                <w:lang w:val="en-US" w:eastAsia="zh-CN" w:bidi="ar"/>
              </w:rPr>
            </w:pPr>
            <w:r>
              <w:rPr>
                <w:rFonts w:hint="eastAsia"/>
                <w:color w:val="auto"/>
                <w:kern w:val="0"/>
                <w:szCs w:val="21"/>
                <w:highlight w:val="none"/>
                <w:lang w:val="en-US" w:eastAsia="zh-CN" w:bidi="ar"/>
              </w:rPr>
              <w:t>0.5</w:t>
            </w:r>
          </w:p>
        </w:tc>
        <w:tc>
          <w:tcPr>
            <w:tcW w:w="1276" w:type="dxa"/>
            <w:noWrap w:val="0"/>
            <w:vAlign w:val="center"/>
          </w:tcPr>
          <w:p>
            <w:pPr>
              <w:pStyle w:val="103"/>
              <w:spacing w:beforeLines="0" w:afterLines="0" w:line="240" w:lineRule="auto"/>
              <w:rPr>
                <w:rFonts w:hAnsi="宋体" w:cs="宋体"/>
                <w:snapToGrid w:val="0"/>
                <w:color w:val="auto"/>
                <w:kern w:val="21"/>
                <w:szCs w:val="21"/>
                <w:highlight w:val="none"/>
              </w:rPr>
            </w:pPr>
          </w:p>
        </w:tc>
        <w:tc>
          <w:tcPr>
            <w:tcW w:w="1701" w:type="dxa"/>
            <w:noWrap w:val="0"/>
            <w:vAlign w:val="center"/>
          </w:tcPr>
          <w:p>
            <w:pPr>
              <w:pStyle w:val="103"/>
              <w:spacing w:beforeLines="0" w:afterLines="0" w:line="240" w:lineRule="auto"/>
              <w:rPr>
                <w:rFonts w:hAnsi="宋体" w:cs="宋体"/>
                <w:snapToGrid w:val="0"/>
                <w:color w:val="auto"/>
                <w:kern w:val="21"/>
                <w:szCs w:val="21"/>
                <w:highlight w:val="none"/>
              </w:rPr>
            </w:pPr>
          </w:p>
        </w:tc>
        <w:tc>
          <w:tcPr>
            <w:tcW w:w="1559" w:type="dxa"/>
            <w:noWrap w:val="0"/>
            <w:vAlign w:val="center"/>
          </w:tcPr>
          <w:p>
            <w:pPr>
              <w:widowControl/>
              <w:jc w:val="center"/>
              <w:textAlignment w:val="bottom"/>
              <w:rPr>
                <w:rFonts w:hint="default" w:eastAsia="宋体"/>
                <w:color w:val="auto"/>
                <w:kern w:val="0"/>
                <w:szCs w:val="21"/>
                <w:highlight w:val="none"/>
                <w:lang w:val="en-US" w:eastAsia="zh-CN" w:bidi="ar"/>
              </w:rPr>
            </w:pPr>
            <w:r>
              <w:rPr>
                <w:rFonts w:hint="eastAsia"/>
                <w:color w:val="auto"/>
                <w:kern w:val="0"/>
                <w:szCs w:val="21"/>
                <w:highlight w:val="none"/>
                <w:lang w:val="en-US" w:eastAsia="zh-CN" w:bidi="ar"/>
              </w:rPr>
              <w:t>0.5</w:t>
            </w:r>
          </w:p>
        </w:tc>
        <w:tc>
          <w:tcPr>
            <w:tcW w:w="1761" w:type="dxa"/>
            <w:noWrap w:val="0"/>
            <w:vAlign w:val="center"/>
          </w:tcPr>
          <w:p>
            <w:pPr>
              <w:pStyle w:val="103"/>
              <w:spacing w:beforeLines="0" w:afterLines="0" w:line="240" w:lineRule="auto"/>
              <w:rPr>
                <w:rFonts w:hint="eastAsia" w:hAnsi="宋体" w:eastAsia="宋体" w:cs="宋体"/>
                <w:snapToGrid w:val="0"/>
                <w:color w:val="auto"/>
                <w:kern w:val="21"/>
                <w:szCs w:val="21"/>
                <w:highlight w:val="none"/>
                <w:lang w:val="en-US" w:eastAsia="zh-CN"/>
              </w:rPr>
            </w:pPr>
            <w:r>
              <w:rPr>
                <w:rFonts w:hint="eastAsia" w:hAnsi="宋体" w:cs="宋体"/>
                <w:snapToGrid w:val="0"/>
                <w:color w:val="auto"/>
                <w:kern w:val="21"/>
                <w:szCs w:val="21"/>
                <w:highlight w:val="none"/>
                <w:lang w:val="en-US" w:eastAsia="zh-CN"/>
              </w:rPr>
              <w:t>0</w:t>
            </w:r>
          </w:p>
        </w:tc>
        <w:tc>
          <w:tcPr>
            <w:tcW w:w="1959" w:type="dxa"/>
            <w:noWrap w:val="0"/>
            <w:vAlign w:val="center"/>
          </w:tcPr>
          <w:p>
            <w:pPr>
              <w:widowControl/>
              <w:jc w:val="center"/>
              <w:textAlignment w:val="bottom"/>
              <w:rPr>
                <w:rFonts w:hint="default" w:eastAsia="宋体"/>
                <w:color w:val="auto"/>
                <w:kern w:val="0"/>
                <w:szCs w:val="21"/>
                <w:highlight w:val="none"/>
                <w:lang w:val="en-US" w:eastAsia="zh-CN" w:bidi="ar"/>
              </w:rPr>
            </w:pPr>
            <w:r>
              <w:rPr>
                <w:rFonts w:hint="eastAsia"/>
                <w:color w:val="auto"/>
                <w:kern w:val="0"/>
                <w:szCs w:val="21"/>
                <w:highlight w:val="none"/>
                <w:lang w:val="en-US" w:eastAsia="zh-CN" w:bidi="ar"/>
              </w:rPr>
              <w:t>0.5</w:t>
            </w:r>
          </w:p>
        </w:tc>
        <w:tc>
          <w:tcPr>
            <w:tcW w:w="826" w:type="dxa"/>
            <w:noWrap w:val="0"/>
            <w:vAlign w:val="center"/>
          </w:tcPr>
          <w:p>
            <w:pPr>
              <w:pStyle w:val="103"/>
              <w:spacing w:beforeLines="0" w:afterLines="0" w:line="240" w:lineRule="auto"/>
              <w:rPr>
                <w:rFonts w:hint="eastAsia" w:hAnsi="宋体" w:eastAsia="宋体" w:cs="宋体"/>
                <w:snapToGrid w:val="0"/>
                <w:color w:val="auto"/>
                <w:kern w:val="21"/>
                <w:szCs w:val="21"/>
                <w:highlight w:val="none"/>
                <w:lang w:val="en-US" w:eastAsia="zh-CN"/>
              </w:rPr>
            </w:pPr>
            <w:r>
              <w:rPr>
                <w:rFonts w:hint="eastAsia" w:hAnsi="宋体" w:cs="宋体"/>
                <w:snapToGrid w:val="0"/>
                <w:color w:val="auto"/>
                <w:kern w:val="21"/>
                <w:szCs w:val="21"/>
                <w:highlight w:val="none"/>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noWrap w:val="0"/>
            <w:vAlign w:val="center"/>
          </w:tcPr>
          <w:p>
            <w:pPr>
              <w:pStyle w:val="103"/>
              <w:spacing w:beforeLines="0" w:afterLines="0" w:line="240" w:lineRule="auto"/>
              <w:rPr>
                <w:rFonts w:hAnsi="宋体" w:cs="宋体"/>
                <w:snapToGrid w:val="0"/>
                <w:color w:val="auto"/>
                <w:kern w:val="21"/>
                <w:szCs w:val="21"/>
                <w:highlight w:val="none"/>
              </w:rPr>
            </w:pPr>
          </w:p>
        </w:tc>
        <w:tc>
          <w:tcPr>
            <w:tcW w:w="1417" w:type="dxa"/>
            <w:noWrap w:val="0"/>
            <w:vAlign w:val="center"/>
          </w:tcPr>
          <w:p>
            <w:pPr>
              <w:widowControl/>
              <w:jc w:val="center"/>
              <w:textAlignment w:val="bottom"/>
              <w:rPr>
                <w:rFonts w:hAnsi="宋体" w:cs="宋体"/>
                <w:snapToGrid w:val="0"/>
                <w:color w:val="auto"/>
                <w:kern w:val="21"/>
                <w:szCs w:val="21"/>
                <w:highlight w:val="none"/>
              </w:rPr>
            </w:pPr>
            <w:r>
              <w:rPr>
                <w:color w:val="auto"/>
                <w:kern w:val="0"/>
                <w:szCs w:val="21"/>
                <w:highlight w:val="none"/>
                <w:lang w:bidi="ar"/>
              </w:rPr>
              <w:t>生活垃圾</w:t>
            </w:r>
          </w:p>
        </w:tc>
        <w:tc>
          <w:tcPr>
            <w:tcW w:w="1701" w:type="dxa"/>
            <w:noWrap w:val="0"/>
            <w:vAlign w:val="center"/>
          </w:tcPr>
          <w:p>
            <w:pPr>
              <w:widowControl/>
              <w:jc w:val="center"/>
              <w:textAlignment w:val="bottom"/>
              <w:rPr>
                <w:rFonts w:hAnsi="宋体" w:cs="宋体"/>
                <w:snapToGrid w:val="0"/>
                <w:color w:val="auto"/>
                <w:kern w:val="21"/>
                <w:szCs w:val="21"/>
                <w:highlight w:val="none"/>
              </w:rPr>
            </w:pPr>
            <w:r>
              <w:rPr>
                <w:rFonts w:hint="eastAsia"/>
                <w:color w:val="auto"/>
                <w:kern w:val="0"/>
                <w:szCs w:val="21"/>
                <w:highlight w:val="none"/>
                <w:lang w:bidi="ar"/>
              </w:rPr>
              <w:t>1.5</w:t>
            </w:r>
          </w:p>
        </w:tc>
        <w:tc>
          <w:tcPr>
            <w:tcW w:w="1276" w:type="dxa"/>
            <w:noWrap w:val="0"/>
            <w:vAlign w:val="center"/>
          </w:tcPr>
          <w:p>
            <w:pPr>
              <w:pStyle w:val="103"/>
              <w:spacing w:beforeLines="0" w:afterLines="0" w:line="240" w:lineRule="auto"/>
              <w:rPr>
                <w:rFonts w:hAnsi="宋体" w:cs="宋体"/>
                <w:snapToGrid w:val="0"/>
                <w:color w:val="auto"/>
                <w:kern w:val="21"/>
                <w:szCs w:val="21"/>
                <w:highlight w:val="none"/>
              </w:rPr>
            </w:pPr>
          </w:p>
        </w:tc>
        <w:tc>
          <w:tcPr>
            <w:tcW w:w="1701" w:type="dxa"/>
            <w:noWrap w:val="0"/>
            <w:vAlign w:val="center"/>
          </w:tcPr>
          <w:p>
            <w:pPr>
              <w:pStyle w:val="103"/>
              <w:spacing w:beforeLines="0" w:afterLines="0" w:line="240" w:lineRule="auto"/>
              <w:rPr>
                <w:rFonts w:hAnsi="宋体" w:cs="宋体"/>
                <w:snapToGrid w:val="0"/>
                <w:color w:val="auto"/>
                <w:kern w:val="21"/>
                <w:szCs w:val="21"/>
                <w:highlight w:val="none"/>
              </w:rPr>
            </w:pPr>
          </w:p>
        </w:tc>
        <w:tc>
          <w:tcPr>
            <w:tcW w:w="1559" w:type="dxa"/>
            <w:noWrap w:val="0"/>
            <w:vAlign w:val="center"/>
          </w:tcPr>
          <w:p>
            <w:pPr>
              <w:widowControl/>
              <w:jc w:val="center"/>
              <w:textAlignment w:val="bottom"/>
              <w:rPr>
                <w:rFonts w:hAnsi="宋体" w:cs="宋体"/>
                <w:snapToGrid w:val="0"/>
                <w:color w:val="auto"/>
                <w:kern w:val="21"/>
                <w:szCs w:val="21"/>
                <w:highlight w:val="none"/>
              </w:rPr>
            </w:pPr>
            <w:r>
              <w:rPr>
                <w:rFonts w:hint="eastAsia"/>
                <w:color w:val="auto"/>
                <w:kern w:val="0"/>
                <w:szCs w:val="21"/>
                <w:highlight w:val="none"/>
                <w:lang w:bidi="ar"/>
              </w:rPr>
              <w:t>1.5</w:t>
            </w:r>
          </w:p>
        </w:tc>
        <w:tc>
          <w:tcPr>
            <w:tcW w:w="1761" w:type="dxa"/>
            <w:noWrap w:val="0"/>
            <w:vAlign w:val="center"/>
          </w:tcPr>
          <w:p>
            <w:pPr>
              <w:pStyle w:val="103"/>
              <w:spacing w:beforeLines="0" w:afterLines="0" w:line="240" w:lineRule="auto"/>
              <w:rPr>
                <w:rFonts w:hint="eastAsia" w:hAnsi="宋体" w:cs="宋体"/>
                <w:snapToGrid w:val="0"/>
                <w:color w:val="auto"/>
                <w:kern w:val="21"/>
                <w:szCs w:val="21"/>
                <w:highlight w:val="none"/>
              </w:rPr>
            </w:pPr>
            <w:r>
              <w:rPr>
                <w:rFonts w:hint="eastAsia" w:hAnsi="宋体" w:cs="宋体"/>
                <w:snapToGrid w:val="0"/>
                <w:color w:val="auto"/>
                <w:kern w:val="21"/>
                <w:szCs w:val="21"/>
                <w:highlight w:val="none"/>
              </w:rPr>
              <w:t>0</w:t>
            </w:r>
          </w:p>
        </w:tc>
        <w:tc>
          <w:tcPr>
            <w:tcW w:w="1959" w:type="dxa"/>
            <w:noWrap w:val="0"/>
            <w:vAlign w:val="center"/>
          </w:tcPr>
          <w:p>
            <w:pPr>
              <w:widowControl/>
              <w:jc w:val="center"/>
              <w:textAlignment w:val="bottom"/>
              <w:rPr>
                <w:rFonts w:hAnsi="宋体" w:cs="宋体"/>
                <w:snapToGrid w:val="0"/>
                <w:color w:val="auto"/>
                <w:kern w:val="21"/>
                <w:szCs w:val="21"/>
                <w:highlight w:val="none"/>
              </w:rPr>
            </w:pPr>
            <w:r>
              <w:rPr>
                <w:rFonts w:hint="eastAsia"/>
                <w:color w:val="auto"/>
                <w:kern w:val="0"/>
                <w:szCs w:val="21"/>
                <w:highlight w:val="none"/>
                <w:lang w:bidi="ar"/>
              </w:rPr>
              <w:t>1.5</w:t>
            </w:r>
          </w:p>
        </w:tc>
        <w:tc>
          <w:tcPr>
            <w:tcW w:w="826" w:type="dxa"/>
            <w:noWrap w:val="0"/>
            <w:vAlign w:val="center"/>
          </w:tcPr>
          <w:p>
            <w:pPr>
              <w:pStyle w:val="103"/>
              <w:spacing w:beforeLines="0" w:afterLines="0" w:line="240" w:lineRule="auto"/>
              <w:rPr>
                <w:rFonts w:hint="eastAsia" w:hAnsi="宋体" w:cs="宋体"/>
                <w:snapToGrid w:val="0"/>
                <w:color w:val="auto"/>
                <w:kern w:val="21"/>
                <w:szCs w:val="21"/>
                <w:highlight w:val="none"/>
              </w:rPr>
            </w:pPr>
            <w:r>
              <w:rPr>
                <w:rFonts w:hint="eastAsia" w:hAnsi="宋体" w:cs="宋体"/>
                <w:snapToGrid w:val="0"/>
                <w:color w:val="auto"/>
                <w:kern w:val="21"/>
                <w:szCs w:val="21"/>
                <w:highlight w:val="none"/>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noWrap w:val="0"/>
            <w:vAlign w:val="center"/>
          </w:tcPr>
          <w:p>
            <w:pPr>
              <w:pStyle w:val="103"/>
              <w:spacing w:beforeLines="0" w:afterLines="0" w:line="240" w:lineRule="auto"/>
              <w:rPr>
                <w:rFonts w:hint="eastAsia" w:hAnsi="宋体" w:cs="宋体"/>
                <w:snapToGrid w:val="0"/>
                <w:color w:val="auto"/>
                <w:kern w:val="21"/>
                <w:szCs w:val="21"/>
                <w:highlight w:val="none"/>
              </w:rPr>
            </w:pPr>
            <w:r>
              <w:rPr>
                <w:rFonts w:hint="eastAsia" w:hAnsi="宋体" w:cs="宋体"/>
                <w:snapToGrid w:val="0"/>
                <w:color w:val="auto"/>
                <w:kern w:val="21"/>
                <w:szCs w:val="21"/>
                <w:highlight w:val="none"/>
              </w:rPr>
              <w:t>危险废物</w:t>
            </w:r>
          </w:p>
        </w:tc>
        <w:tc>
          <w:tcPr>
            <w:tcW w:w="1417" w:type="dxa"/>
            <w:noWrap w:val="0"/>
            <w:vAlign w:val="center"/>
          </w:tcPr>
          <w:p>
            <w:pPr>
              <w:pStyle w:val="103"/>
              <w:spacing w:beforeLines="0" w:afterLines="0" w:line="240" w:lineRule="auto"/>
              <w:rPr>
                <w:rFonts w:hint="eastAsia" w:hAnsi="宋体" w:cs="宋体"/>
                <w:snapToGrid w:val="0"/>
                <w:color w:val="auto"/>
                <w:kern w:val="21"/>
                <w:szCs w:val="21"/>
                <w:highlight w:val="none"/>
              </w:rPr>
            </w:pPr>
            <w:r>
              <w:rPr>
                <w:color w:val="auto"/>
                <w:szCs w:val="21"/>
                <w:highlight w:val="none"/>
                <w:lang w:bidi="ar"/>
              </w:rPr>
              <w:t>废机油</w:t>
            </w:r>
          </w:p>
        </w:tc>
        <w:tc>
          <w:tcPr>
            <w:tcW w:w="1701" w:type="dxa"/>
            <w:noWrap w:val="0"/>
            <w:vAlign w:val="center"/>
          </w:tcPr>
          <w:p>
            <w:pPr>
              <w:pStyle w:val="103"/>
              <w:spacing w:beforeLines="0" w:afterLines="0" w:line="240" w:lineRule="auto"/>
              <w:rPr>
                <w:rFonts w:hAnsi="宋体" w:cs="宋体"/>
                <w:snapToGrid w:val="0"/>
                <w:color w:val="auto"/>
                <w:kern w:val="21"/>
                <w:szCs w:val="21"/>
                <w:highlight w:val="none"/>
              </w:rPr>
            </w:pPr>
            <w:r>
              <w:rPr>
                <w:color w:val="auto"/>
                <w:szCs w:val="21"/>
                <w:highlight w:val="none"/>
                <w:lang w:bidi="ar"/>
              </w:rPr>
              <w:t>少量</w:t>
            </w:r>
          </w:p>
        </w:tc>
        <w:tc>
          <w:tcPr>
            <w:tcW w:w="1276" w:type="dxa"/>
            <w:noWrap w:val="0"/>
            <w:vAlign w:val="center"/>
          </w:tcPr>
          <w:p>
            <w:pPr>
              <w:pStyle w:val="103"/>
              <w:spacing w:beforeLines="0" w:afterLines="0" w:line="240" w:lineRule="auto"/>
              <w:rPr>
                <w:rFonts w:hAnsi="宋体" w:cs="宋体"/>
                <w:snapToGrid w:val="0"/>
                <w:color w:val="auto"/>
                <w:kern w:val="21"/>
                <w:szCs w:val="21"/>
                <w:highlight w:val="none"/>
              </w:rPr>
            </w:pPr>
          </w:p>
        </w:tc>
        <w:tc>
          <w:tcPr>
            <w:tcW w:w="1701" w:type="dxa"/>
            <w:noWrap w:val="0"/>
            <w:vAlign w:val="center"/>
          </w:tcPr>
          <w:p>
            <w:pPr>
              <w:pStyle w:val="103"/>
              <w:spacing w:beforeLines="0" w:afterLines="0" w:line="240" w:lineRule="auto"/>
              <w:rPr>
                <w:rFonts w:hAnsi="宋体" w:cs="宋体"/>
                <w:snapToGrid w:val="0"/>
                <w:color w:val="auto"/>
                <w:kern w:val="21"/>
                <w:szCs w:val="21"/>
                <w:highlight w:val="none"/>
              </w:rPr>
            </w:pPr>
          </w:p>
        </w:tc>
        <w:tc>
          <w:tcPr>
            <w:tcW w:w="1559" w:type="dxa"/>
            <w:noWrap w:val="0"/>
            <w:vAlign w:val="center"/>
          </w:tcPr>
          <w:p>
            <w:pPr>
              <w:pStyle w:val="103"/>
              <w:spacing w:beforeLines="0" w:afterLines="0" w:line="240" w:lineRule="auto"/>
              <w:rPr>
                <w:rFonts w:hAnsi="宋体" w:cs="宋体"/>
                <w:snapToGrid w:val="0"/>
                <w:color w:val="auto"/>
                <w:kern w:val="21"/>
                <w:szCs w:val="21"/>
                <w:highlight w:val="none"/>
              </w:rPr>
            </w:pPr>
          </w:p>
        </w:tc>
        <w:tc>
          <w:tcPr>
            <w:tcW w:w="1761" w:type="dxa"/>
            <w:noWrap w:val="0"/>
            <w:vAlign w:val="center"/>
          </w:tcPr>
          <w:p>
            <w:pPr>
              <w:pStyle w:val="103"/>
              <w:spacing w:beforeLines="0" w:afterLines="0" w:line="240" w:lineRule="auto"/>
              <w:rPr>
                <w:rFonts w:hAnsi="宋体" w:cs="宋体"/>
                <w:snapToGrid w:val="0"/>
                <w:color w:val="auto"/>
                <w:kern w:val="21"/>
                <w:szCs w:val="21"/>
                <w:highlight w:val="none"/>
              </w:rPr>
            </w:pPr>
            <w:r>
              <w:rPr>
                <w:color w:val="auto"/>
                <w:szCs w:val="21"/>
                <w:highlight w:val="none"/>
                <w:lang w:bidi="ar"/>
              </w:rPr>
              <w:t>少量</w:t>
            </w:r>
          </w:p>
        </w:tc>
        <w:tc>
          <w:tcPr>
            <w:tcW w:w="1959" w:type="dxa"/>
            <w:noWrap w:val="0"/>
            <w:vAlign w:val="center"/>
          </w:tcPr>
          <w:p>
            <w:pPr>
              <w:pStyle w:val="103"/>
              <w:spacing w:beforeLines="0" w:afterLines="0" w:line="240" w:lineRule="auto"/>
              <w:rPr>
                <w:rFonts w:hAnsi="宋体" w:cs="宋体"/>
                <w:snapToGrid w:val="0"/>
                <w:color w:val="auto"/>
                <w:kern w:val="21"/>
                <w:szCs w:val="21"/>
                <w:highlight w:val="none"/>
              </w:rPr>
            </w:pPr>
            <w:r>
              <w:rPr>
                <w:color w:val="auto"/>
                <w:szCs w:val="21"/>
                <w:highlight w:val="none"/>
                <w:lang w:bidi="ar"/>
              </w:rPr>
              <w:t>少量</w:t>
            </w:r>
          </w:p>
        </w:tc>
        <w:tc>
          <w:tcPr>
            <w:tcW w:w="826" w:type="dxa"/>
            <w:noWrap w:val="0"/>
            <w:vAlign w:val="center"/>
          </w:tcPr>
          <w:p>
            <w:pPr>
              <w:pStyle w:val="103"/>
              <w:spacing w:beforeLines="0" w:afterLines="0" w:line="240" w:lineRule="auto"/>
              <w:rPr>
                <w:rFonts w:hAnsi="宋体" w:cs="宋体"/>
                <w:snapToGrid w:val="0"/>
                <w:color w:val="auto"/>
                <w:kern w:val="21"/>
                <w:szCs w:val="21"/>
                <w:highlight w:val="none"/>
              </w:rPr>
            </w:pPr>
          </w:p>
        </w:tc>
      </w:tr>
    </w:tbl>
    <w:p>
      <w:pPr>
        <w:pStyle w:val="103"/>
        <w:spacing w:before="192" w:beforeLines="80" w:after="24"/>
        <w:jc w:val="left"/>
        <w:rPr>
          <w:rFonts w:hAnsi="宋体"/>
          <w:snapToGrid w:val="0"/>
          <w:color w:val="auto"/>
          <w:spacing w:val="-6"/>
          <w:kern w:val="21"/>
          <w:szCs w:val="21"/>
          <w:highlight w:val="none"/>
        </w:rPr>
      </w:pPr>
      <w:r>
        <w:rPr>
          <w:rFonts w:hAnsi="宋体"/>
          <w:snapToGrid w:val="0"/>
          <w:color w:val="auto"/>
          <w:kern w:val="21"/>
          <w:szCs w:val="21"/>
          <w:highlight w:val="none"/>
        </w:rPr>
        <w:t>注：</w:t>
      </w:r>
      <w:r>
        <w:rPr>
          <w:rFonts w:hint="eastAsia" w:hAnsi="宋体"/>
          <w:snapToGrid w:val="0"/>
          <w:color w:val="auto"/>
          <w:spacing w:val="-16"/>
          <w:kern w:val="21"/>
          <w:szCs w:val="21"/>
          <w:highlight w:val="none"/>
        </w:rPr>
        <w:t>⑤</w:t>
      </w:r>
      <w:r>
        <w:rPr>
          <w:rFonts w:hAnsi="宋体"/>
          <w:snapToGrid w:val="0"/>
          <w:color w:val="auto"/>
          <w:spacing w:val="-16"/>
          <w:kern w:val="21"/>
          <w:szCs w:val="21"/>
          <w:highlight w:val="none"/>
        </w:rPr>
        <w:t>=</w:t>
      </w:r>
      <w:r>
        <w:rPr>
          <w:rFonts w:hAnsi="宋体"/>
          <w:snapToGrid w:val="0"/>
          <w:color w:val="auto"/>
          <w:spacing w:val="-6"/>
          <w:kern w:val="21"/>
          <w:szCs w:val="21"/>
          <w:highlight w:val="none"/>
        </w:rPr>
        <w:fldChar w:fldCharType="begin"/>
      </w:r>
      <w:r>
        <w:rPr>
          <w:rFonts w:hAnsi="宋体"/>
          <w:snapToGrid w:val="0"/>
          <w:color w:val="auto"/>
          <w:spacing w:val="-6"/>
          <w:kern w:val="21"/>
          <w:szCs w:val="21"/>
          <w:highlight w:val="none"/>
        </w:rPr>
        <w:instrText xml:space="preserve"> = 4 \* GB3 \* MERGEFORMAT </w:instrText>
      </w:r>
      <w:r>
        <w:rPr>
          <w:rFonts w:hAnsi="宋体"/>
          <w:snapToGrid w:val="0"/>
          <w:color w:val="auto"/>
          <w:spacing w:val="-6"/>
          <w:kern w:val="21"/>
          <w:szCs w:val="21"/>
          <w:highlight w:val="none"/>
        </w:rPr>
        <w:fldChar w:fldCharType="separate"/>
      </w:r>
      <w:r>
        <w:rPr>
          <w:rFonts w:hint="eastAsia" w:hAnsi="宋体"/>
          <w:color w:val="auto"/>
          <w:szCs w:val="21"/>
          <w:highlight w:val="none"/>
        </w:rPr>
        <w:t>④</w:t>
      </w:r>
      <w:r>
        <w:rPr>
          <w:rFonts w:hAnsi="宋体"/>
          <w:snapToGrid w:val="0"/>
          <w:color w:val="auto"/>
          <w:spacing w:val="-6"/>
          <w:kern w:val="21"/>
          <w:szCs w:val="21"/>
          <w:highlight w:val="none"/>
        </w:rPr>
        <w:fldChar w:fldCharType="end"/>
      </w:r>
      <w:r>
        <w:rPr>
          <w:rFonts w:hAnsi="宋体"/>
          <w:snapToGrid w:val="0"/>
          <w:color w:val="auto"/>
          <w:spacing w:val="-6"/>
          <w:kern w:val="21"/>
          <w:szCs w:val="21"/>
          <w:highlight w:val="none"/>
        </w:rPr>
        <w:t>-</w:t>
      </w:r>
      <w:r>
        <w:rPr>
          <w:rFonts w:hint="eastAsia" w:hAnsi="宋体"/>
          <w:snapToGrid w:val="0"/>
          <w:color w:val="auto"/>
          <w:spacing w:val="-16"/>
          <w:kern w:val="21"/>
          <w:szCs w:val="21"/>
          <w:highlight w:val="none"/>
        </w:rPr>
        <w:t>①</w:t>
      </w:r>
      <w:r>
        <w:rPr>
          <w:rFonts w:hAnsi="宋体"/>
          <w:snapToGrid w:val="0"/>
          <w:color w:val="auto"/>
          <w:spacing w:val="-16"/>
          <w:kern w:val="21"/>
          <w:szCs w:val="21"/>
          <w:highlight w:val="none"/>
        </w:rPr>
        <w:t>；</w:t>
      </w:r>
      <w:r>
        <w:rPr>
          <w:rFonts w:hAnsi="宋体"/>
          <w:snapToGrid w:val="0"/>
          <w:color w:val="auto"/>
          <w:spacing w:val="-6"/>
          <w:kern w:val="21"/>
          <w:szCs w:val="21"/>
          <w:highlight w:val="none"/>
        </w:rPr>
        <w:fldChar w:fldCharType="begin"/>
      </w:r>
      <w:r>
        <w:rPr>
          <w:rFonts w:hAnsi="宋体"/>
          <w:snapToGrid w:val="0"/>
          <w:color w:val="auto"/>
          <w:spacing w:val="-6"/>
          <w:kern w:val="21"/>
          <w:szCs w:val="21"/>
          <w:highlight w:val="none"/>
        </w:rPr>
        <w:instrText xml:space="preserve"> = 7 \* GB3 \* MERGEFORMAT </w:instrText>
      </w:r>
      <w:r>
        <w:rPr>
          <w:rFonts w:hAnsi="宋体"/>
          <w:snapToGrid w:val="0"/>
          <w:color w:val="auto"/>
          <w:spacing w:val="-6"/>
          <w:kern w:val="21"/>
          <w:szCs w:val="21"/>
          <w:highlight w:val="none"/>
        </w:rPr>
        <w:fldChar w:fldCharType="separate"/>
      </w:r>
      <w:r>
        <w:rPr>
          <w:rFonts w:hint="eastAsia" w:hAnsi="宋体"/>
          <w:color w:val="auto"/>
          <w:szCs w:val="21"/>
          <w:highlight w:val="none"/>
        </w:rPr>
        <w:t>⑦</w:t>
      </w:r>
      <w:r>
        <w:rPr>
          <w:rFonts w:hAnsi="宋体"/>
          <w:snapToGrid w:val="0"/>
          <w:color w:val="auto"/>
          <w:spacing w:val="-6"/>
          <w:kern w:val="21"/>
          <w:szCs w:val="21"/>
          <w:highlight w:val="none"/>
        </w:rPr>
        <w:fldChar w:fldCharType="end"/>
      </w:r>
      <w:r>
        <w:rPr>
          <w:rFonts w:hAnsi="宋体"/>
          <w:snapToGrid w:val="0"/>
          <w:color w:val="auto"/>
          <w:spacing w:val="-6"/>
          <w:kern w:val="21"/>
          <w:szCs w:val="21"/>
          <w:highlight w:val="none"/>
        </w:rPr>
        <w:t>=</w:t>
      </w:r>
      <w:r>
        <w:rPr>
          <w:rFonts w:hAnsi="宋体"/>
          <w:snapToGrid w:val="0"/>
          <w:color w:val="auto"/>
          <w:spacing w:val="-16"/>
          <w:kern w:val="21"/>
          <w:szCs w:val="21"/>
          <w:highlight w:val="none"/>
        </w:rPr>
        <w:fldChar w:fldCharType="begin"/>
      </w:r>
      <w:r>
        <w:rPr>
          <w:rFonts w:hAnsi="宋体"/>
          <w:snapToGrid w:val="0"/>
          <w:color w:val="auto"/>
          <w:spacing w:val="-16"/>
          <w:kern w:val="21"/>
          <w:szCs w:val="21"/>
          <w:highlight w:val="none"/>
        </w:rPr>
        <w:instrText xml:space="preserve"> = 6 \* GB3 \* MERGEFORMAT </w:instrText>
      </w:r>
      <w:r>
        <w:rPr>
          <w:rFonts w:hAnsi="宋体"/>
          <w:snapToGrid w:val="0"/>
          <w:color w:val="auto"/>
          <w:spacing w:val="-16"/>
          <w:kern w:val="21"/>
          <w:szCs w:val="21"/>
          <w:highlight w:val="none"/>
        </w:rPr>
        <w:fldChar w:fldCharType="separate"/>
      </w:r>
      <w:r>
        <w:rPr>
          <w:rFonts w:hint="eastAsia" w:hAnsi="宋体"/>
          <w:color w:val="auto"/>
          <w:szCs w:val="21"/>
          <w:highlight w:val="none"/>
        </w:rPr>
        <w:t>⑥</w:t>
      </w:r>
      <w:r>
        <w:rPr>
          <w:rFonts w:hAnsi="宋体"/>
          <w:snapToGrid w:val="0"/>
          <w:color w:val="auto"/>
          <w:spacing w:val="-16"/>
          <w:kern w:val="21"/>
          <w:szCs w:val="21"/>
          <w:highlight w:val="none"/>
        </w:rPr>
        <w:fldChar w:fldCharType="end"/>
      </w:r>
      <w:r>
        <w:rPr>
          <w:rFonts w:hAnsi="宋体"/>
          <w:snapToGrid w:val="0"/>
          <w:color w:val="auto"/>
          <w:spacing w:val="-16"/>
          <w:kern w:val="21"/>
          <w:szCs w:val="21"/>
          <w:highlight w:val="none"/>
        </w:rPr>
        <w:t>-</w:t>
      </w:r>
      <w:r>
        <w:rPr>
          <w:rFonts w:hAnsi="宋体"/>
          <w:snapToGrid w:val="0"/>
          <w:color w:val="auto"/>
          <w:spacing w:val="-6"/>
          <w:kern w:val="21"/>
          <w:szCs w:val="21"/>
          <w:highlight w:val="none"/>
        </w:rPr>
        <w:fldChar w:fldCharType="begin"/>
      </w:r>
      <w:r>
        <w:rPr>
          <w:rFonts w:hAnsi="宋体"/>
          <w:snapToGrid w:val="0"/>
          <w:color w:val="auto"/>
          <w:spacing w:val="-6"/>
          <w:kern w:val="21"/>
          <w:szCs w:val="21"/>
          <w:highlight w:val="none"/>
        </w:rPr>
        <w:instrText xml:space="preserve"> = 1 \* GB3 \* MERGEFORMAT </w:instrText>
      </w:r>
      <w:r>
        <w:rPr>
          <w:rFonts w:hAnsi="宋体"/>
          <w:snapToGrid w:val="0"/>
          <w:color w:val="auto"/>
          <w:spacing w:val="-6"/>
          <w:kern w:val="21"/>
          <w:szCs w:val="21"/>
          <w:highlight w:val="none"/>
        </w:rPr>
        <w:fldChar w:fldCharType="separate"/>
      </w:r>
      <w:r>
        <w:rPr>
          <w:rFonts w:hint="eastAsia" w:hAnsi="宋体"/>
          <w:color w:val="auto"/>
          <w:szCs w:val="21"/>
          <w:highlight w:val="none"/>
        </w:rPr>
        <w:t>①</w:t>
      </w:r>
      <w:r>
        <w:rPr>
          <w:rFonts w:hAnsi="宋体"/>
          <w:snapToGrid w:val="0"/>
          <w:color w:val="auto"/>
          <w:spacing w:val="-6"/>
          <w:kern w:val="21"/>
          <w:szCs w:val="21"/>
          <w:highlight w:val="none"/>
        </w:rPr>
        <w:fldChar w:fldCharType="end"/>
      </w:r>
      <w:r>
        <w:rPr>
          <w:rFonts w:hint="eastAsia" w:hAnsi="宋体"/>
          <w:snapToGrid w:val="0"/>
          <w:color w:val="auto"/>
          <w:spacing w:val="-6"/>
          <w:kern w:val="21"/>
          <w:szCs w:val="21"/>
          <w:highlight w:val="none"/>
        </w:rPr>
        <w:t>；⑥=④</w:t>
      </w:r>
    </w:p>
    <w:p>
      <w:pPr>
        <w:rPr>
          <w:rFonts w:hint="eastAsia"/>
          <w:color w:val="auto"/>
          <w:highlight w:val="none"/>
        </w:rPr>
      </w:pPr>
    </w:p>
    <w:p>
      <w:pPr>
        <w:rPr>
          <w:rFonts w:ascii="宋体" w:hAnsi="宋体" w:eastAsia="黑体"/>
          <w:color w:val="auto"/>
          <w:highlight w:val="none"/>
        </w:rPr>
      </w:pPr>
    </w:p>
    <w:p>
      <w:pPr>
        <w:rPr>
          <w:rFonts w:ascii="仿宋_GB2312" w:hAnsi="仿宋_GB2312" w:eastAsia="仿宋_GB2312" w:cs="仿宋_GB2312"/>
          <w:sz w:val="36"/>
          <w:szCs w:val="36"/>
        </w:rPr>
      </w:pPr>
      <w:bookmarkStart w:id="16" w:name="_GoBack"/>
      <w:bookmarkEnd w:id="16"/>
    </w:p>
    <w:p>
      <w:pPr>
        <w:rPr>
          <w:rFonts w:ascii="仿宋_GB2312" w:hAnsi="仿宋_GB2312" w:eastAsia="仿宋_GB2312" w:cs="仿宋_GB2312"/>
          <w:color w:val="000000"/>
          <w:sz w:val="36"/>
          <w:szCs w:val="36"/>
        </w:rPr>
      </w:pPr>
    </w:p>
    <w:p>
      <w:pPr>
        <w:rPr>
          <w:rFonts w:ascii="仿宋_GB2312" w:hAnsi="仿宋_GB2312" w:eastAsia="仿宋_GB2312" w:cs="仿宋_GB2312"/>
          <w:color w:val="000000"/>
          <w:sz w:val="36"/>
          <w:szCs w:val="36"/>
        </w:rPr>
      </w:pPr>
    </w:p>
    <w:p>
      <w:pPr>
        <w:rPr>
          <w:rFonts w:ascii="仿宋_GB2312" w:hAnsi="仿宋_GB2312" w:eastAsia="仿宋_GB2312" w:cs="仿宋_GB2312"/>
          <w:color w:val="000000"/>
          <w:sz w:val="36"/>
          <w:szCs w:val="36"/>
        </w:rPr>
      </w:pPr>
    </w:p>
    <w:p>
      <w:pPr>
        <w:rPr>
          <w:rFonts w:hint="eastAsia" w:ascii="仿宋_GB2312" w:hAnsi="仿宋_GB2312" w:eastAsia="仿宋_GB2312" w:cs="仿宋_GB2312"/>
          <w:color w:val="000000"/>
          <w:sz w:val="36"/>
          <w:szCs w:val="36"/>
        </w:rPr>
      </w:pPr>
    </w:p>
    <w:p>
      <w:pPr>
        <w:pStyle w:val="47"/>
        <w:rPr>
          <w:rFonts w:hint="eastAsia"/>
        </w:rPr>
      </w:pPr>
    </w:p>
    <w:sectPr>
      <w:footerReference r:id="rId6" w:type="default"/>
      <w:pgSz w:w="16838" w:h="11906" w:orient="landscape"/>
      <w:pgMar w:top="1531" w:right="1701" w:bottom="1531" w:left="1701" w:header="851" w:footer="851"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幼圆">
    <w:altName w:val="宋体"/>
    <w:panose1 w:val="02010509060101010101"/>
    <w:charset w:val="86"/>
    <w:family w:val="modern"/>
    <w:pitch w:val="default"/>
    <w:sig w:usb0="00000000" w:usb1="00000000" w:usb2="00000000" w:usb3="00000000" w:csb0="00040000" w:csb1="00000000"/>
  </w:font>
  <w:font w:name="仿宋_GB2312">
    <w:altName w:val="仿宋"/>
    <w:panose1 w:val="02010609030101010101"/>
    <w:charset w:val="86"/>
    <w:family w:val="modern"/>
    <w:pitch w:val="default"/>
    <w:sig w:usb0="00000000" w:usb1="00000000" w:usb2="00000000" w:usb3="00000000" w:csb0="00040000" w:csb1="00000000"/>
  </w:font>
  <w:font w:name="Cambria">
    <w:panose1 w:val="02040503050406030204"/>
    <w:charset w:val="00"/>
    <w:family w:val="roman"/>
    <w:pitch w:val="default"/>
    <w:sig w:usb0="E00006FF" w:usb1="420024FF" w:usb2="02000000" w:usb3="00000000" w:csb0="2000019F" w:csb1="00000000"/>
  </w:font>
  <w:font w:name="TimesNewRomanPSMT">
    <w:altName w:val="Times New Roman"/>
    <w:panose1 w:val="00000000000000000000"/>
    <w:charset w:val="00"/>
    <w:family w:val="roman"/>
    <w:pitch w:val="default"/>
    <w:sig w:usb0="00000000" w:usb1="00000000" w:usb2="00000000" w:usb3="00000000" w:csb0="00040001" w:csb1="00000000"/>
  </w:font>
  <w:font w:name="楷体_GB2312">
    <w:altName w:val="楷体"/>
    <w:panose1 w:val="02010609030101010101"/>
    <w:charset w:val="86"/>
    <w:family w:val="modern"/>
    <w:pitch w:val="default"/>
    <w:sig w:usb0="00000000" w:usb1="00000000" w:usb2="00000000" w:usb3="00000000" w:csb0="00040000" w:csb1="00000000"/>
  </w:font>
  <w:font w:name="Courier">
    <w:altName w:val="Courier New"/>
    <w:panose1 w:val="02070409020205020404"/>
    <w:charset w:val="00"/>
    <w:family w:val="modern"/>
    <w:pitch w:val="default"/>
    <w:sig w:usb0="00000000" w:usb1="00000000" w:usb2="00000000" w:usb3="00000000" w:csb0="00000001" w:csb1="00000000"/>
  </w:font>
  <w:font w:name="PMingLiU">
    <w:altName w:val="PMingLiU-ExtB"/>
    <w:panose1 w:val="02020500000000000000"/>
    <w:charset w:val="88"/>
    <w:family w:val="roman"/>
    <w:pitch w:val="default"/>
    <w:sig w:usb0="00000000" w:usb1="00000000" w:usb2="00000016" w:usb3="00000000" w:csb0="00100001" w:csb1="00000000"/>
  </w:font>
  <w:font w:name="宋?">
    <w:altName w:val="宋体"/>
    <w:panose1 w:val="00000000000000000000"/>
    <w:charset w:val="81"/>
    <w:family w:val="auto"/>
    <w:pitch w:val="default"/>
    <w:sig w:usb0="00000000" w:usb1="00000000" w:usb2="00000010" w:usb3="00000000" w:csb0="00080000" w:csb1="00000000"/>
  </w:font>
  <w:font w:name="MingLiU">
    <w:altName w:val="PMingLiU-ExtB"/>
    <w:panose1 w:val="02020509000000000000"/>
    <w:charset w:val="88"/>
    <w:family w:val="modern"/>
    <w:pitch w:val="default"/>
    <w:sig w:usb0="00000000" w:usb1="00000000" w:usb2="00000016" w:usb3="00000000" w:csb0="00100001" w:csb1="00000000"/>
  </w:font>
  <w:font w:name="华文中宋">
    <w:altName w:val="宋体"/>
    <w:panose1 w:val="02010600040101010101"/>
    <w:charset w:val="86"/>
    <w:family w:val="auto"/>
    <w:pitch w:val="default"/>
    <w:sig w:usb0="00000000" w:usb1="00000000" w:usb2="00000010" w:usb3="00000000" w:csb0="0004009F" w:csb1="00000000"/>
  </w:font>
  <w:font w:name="方正小标宋_GBK">
    <w:altName w:val="微软雅黑"/>
    <w:panose1 w:val="02000000000000000000"/>
    <w:charset w:val="86"/>
    <w:family w:val="roman"/>
    <w:pitch w:val="default"/>
    <w:sig w:usb0="00000000" w:usb1="00000000" w:usb2="00082016" w:usb3="00000000" w:csb0="00040001" w:csb1="00000000"/>
  </w:font>
  <w:font w:name="华文仿宋">
    <w:altName w:val="仿宋"/>
    <w:panose1 w:val="02010600040101010101"/>
    <w:charset w:val="86"/>
    <w:family w:val="auto"/>
    <w:pitch w:val="default"/>
    <w:sig w:usb0="00000000" w:usb1="00000000" w:usb2="00000000" w:usb3="00000000" w:csb0="0004009F" w:csb1="DFD70000"/>
  </w:font>
  <w:font w:name="仿宋">
    <w:panose1 w:val="02010609060101010101"/>
    <w:charset w:val="86"/>
    <w:family w:val="auto"/>
    <w:pitch w:val="default"/>
    <w:sig w:usb0="800002BF" w:usb1="38CF7CFA" w:usb2="00000016" w:usb3="00000000" w:csb0="00040001" w:csb1="00000000"/>
  </w:font>
  <w:font w:name="Wingdings 2">
    <w:altName w:val="Wingdings"/>
    <w:panose1 w:val="05020102010507070707"/>
    <w:charset w:val="00"/>
    <w:family w:val="auto"/>
    <w:pitch w:val="default"/>
    <w:sig w:usb0="00000000" w:usb1="00000000" w:usb2="00000000" w:usb3="00000000" w:csb0="80000000" w:csb1="00000000"/>
  </w:font>
  <w:font w:name="微软雅黑">
    <w:panose1 w:val="020B0503020204020204"/>
    <w:charset w:val="86"/>
    <w:family w:val="auto"/>
    <w:pitch w:val="default"/>
    <w:sig w:usb0="80000287" w:usb1="2ACF3C50" w:usb2="00000016" w:usb3="00000000" w:csb0="0004001F" w:csb1="00000000"/>
  </w:font>
  <w:font w:name="楷体">
    <w:panose1 w:val="02010609060101010101"/>
    <w:charset w:val="86"/>
    <w:family w:val="auto"/>
    <w:pitch w:val="default"/>
    <w:sig w:usb0="800002BF" w:usb1="38CF7CFA" w:usb2="00000016" w:usb3="00000000" w:csb0="00040001" w:csb1="00000000"/>
  </w:font>
  <w:font w:name="PMingLiU-ExtB">
    <w:panose1 w:val="02020500000000000000"/>
    <w:charset w:val="88"/>
    <w:family w:val="auto"/>
    <w:pitch w:val="default"/>
    <w:sig w:usb0="8000002F" w:usb1="02000008" w:usb2="00000000" w:usb3="00000000" w:csb0="00100001" w:csb1="00000000"/>
  </w:font>
  <w:font w:name="TimesNewRoman">
    <w:altName w:val="Times New Roman"/>
    <w:panose1 w:val="00000000000000000000"/>
    <w:charset w:val="00"/>
    <w:family w:val="roman"/>
    <w:pitch w:val="default"/>
    <w:sig w:usb0="00000000" w:usb1="00000000" w:usb2="00000000" w:usb3="00000000" w:csb0="00000001" w:csb1="00000000"/>
  </w:font>
  <w:font w:name="Wingdings 2">
    <w:altName w:val="Wingdings"/>
    <w:panose1 w:val="05020102010507070707"/>
    <w:charset w:val="02"/>
    <w:family w:val="roman"/>
    <w:pitch w:val="default"/>
    <w:sig w:usb0="00000000" w:usb1="00000000" w:usb2="00000000" w:usb3="00000000" w:csb0="80000000" w:csb1="00000000"/>
  </w:font>
  <w:font w:name="Tahoma">
    <w:panose1 w:val="020B0604030504040204"/>
    <w:charset w:val="00"/>
    <w:family w:val="swiss"/>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framePr w:wrap="around" w:vAnchor="text" w:hAnchor="margin" w:xAlign="center" w:y="1"/>
      <w:rPr>
        <w:rStyle w:val="43"/>
      </w:rPr>
    </w:pPr>
    <w:r>
      <w:fldChar w:fldCharType="begin"/>
    </w:r>
    <w:r>
      <w:rPr>
        <w:rStyle w:val="43"/>
      </w:rPr>
      <w:instrText xml:space="preserve">PAGE  </w:instrText>
    </w:r>
    <w:r>
      <w:fldChar w:fldCharType="end"/>
    </w:r>
  </w:p>
  <w:p>
    <w:pPr>
      <w:pStyle w:val="23"/>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framePr w:wrap="around" w:vAnchor="text" w:hAnchor="margin" w:xAlign="outside" w:y="1"/>
      <w:rPr>
        <w:rStyle w:val="43"/>
        <w:rFonts w:ascii="宋体" w:hAnsi="宋体"/>
        <w:sz w:val="28"/>
        <w:szCs w:val="28"/>
      </w:rPr>
    </w:pPr>
    <w:r>
      <w:rPr>
        <w:rStyle w:val="43"/>
        <w:rFonts w:hint="eastAsia" w:ascii="宋体" w:hAnsi="宋体"/>
        <w:sz w:val="28"/>
        <w:szCs w:val="28"/>
      </w:rPr>
      <w:t>—</w:t>
    </w:r>
    <w:r>
      <w:rPr>
        <w:rStyle w:val="43"/>
        <w:rFonts w:hint="eastAsia" w:ascii="宋体" w:hAnsi="宋体"/>
        <w:sz w:val="20"/>
      </w:rPr>
      <w:t xml:space="preserve">  </w:t>
    </w:r>
    <w:r>
      <w:rPr>
        <w:rFonts w:ascii="宋体" w:hAnsi="宋体"/>
        <w:sz w:val="26"/>
        <w:szCs w:val="26"/>
      </w:rPr>
      <w:fldChar w:fldCharType="begin"/>
    </w:r>
    <w:r>
      <w:rPr>
        <w:rStyle w:val="43"/>
        <w:rFonts w:ascii="宋体" w:hAnsi="宋体"/>
        <w:sz w:val="26"/>
        <w:szCs w:val="26"/>
      </w:rPr>
      <w:instrText xml:space="preserve">PAGE  </w:instrText>
    </w:r>
    <w:r>
      <w:rPr>
        <w:rFonts w:ascii="宋体" w:hAnsi="宋体"/>
        <w:sz w:val="26"/>
        <w:szCs w:val="26"/>
      </w:rPr>
      <w:fldChar w:fldCharType="separate"/>
    </w:r>
    <w:r>
      <w:rPr>
        <w:rStyle w:val="43"/>
        <w:rFonts w:ascii="宋体" w:hAnsi="宋体"/>
        <w:sz w:val="26"/>
        <w:szCs w:val="26"/>
      </w:rPr>
      <w:t>71</w:t>
    </w:r>
    <w:r>
      <w:rPr>
        <w:rFonts w:ascii="宋体" w:hAnsi="宋体"/>
        <w:sz w:val="26"/>
        <w:szCs w:val="26"/>
      </w:rPr>
      <w:fldChar w:fldCharType="end"/>
    </w:r>
    <w:r>
      <w:rPr>
        <w:rStyle w:val="43"/>
        <w:rFonts w:hint="eastAsia" w:ascii="宋体" w:hAnsi="宋体"/>
        <w:sz w:val="20"/>
      </w:rPr>
      <w:t xml:space="preserve">  </w:t>
    </w:r>
    <w:r>
      <w:rPr>
        <w:rStyle w:val="43"/>
        <w:rFonts w:hint="eastAsia" w:ascii="宋体" w:hAnsi="宋体"/>
        <w:sz w:val="28"/>
        <w:szCs w:val="28"/>
      </w:rPr>
      <w:t>—</w:t>
    </w:r>
  </w:p>
  <w:p>
    <w:pPr>
      <w:pStyle w:val="23"/>
      <w:ind w:right="360" w:firstLine="360"/>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framePr w:wrap="around" w:vAnchor="text" w:hAnchor="margin" w:xAlign="outside" w:y="1"/>
      <w:rPr>
        <w:rStyle w:val="43"/>
        <w:rFonts w:ascii="宋体" w:hAnsi="宋体"/>
        <w:sz w:val="28"/>
        <w:szCs w:val="28"/>
      </w:rPr>
    </w:pPr>
    <w:r>
      <w:rPr>
        <w:rStyle w:val="43"/>
        <w:rFonts w:hint="eastAsia" w:ascii="宋体" w:hAnsi="宋体"/>
        <w:sz w:val="28"/>
        <w:szCs w:val="28"/>
      </w:rPr>
      <w:t>—</w:t>
    </w:r>
    <w:r>
      <w:rPr>
        <w:rStyle w:val="43"/>
        <w:rFonts w:hint="eastAsia" w:ascii="宋体" w:hAnsi="宋体"/>
        <w:sz w:val="20"/>
      </w:rPr>
      <w:t xml:space="preserve">  </w:t>
    </w:r>
    <w:r>
      <w:rPr>
        <w:rFonts w:ascii="宋体" w:hAnsi="宋体"/>
        <w:sz w:val="26"/>
        <w:szCs w:val="26"/>
      </w:rPr>
      <w:fldChar w:fldCharType="begin"/>
    </w:r>
    <w:r>
      <w:rPr>
        <w:rStyle w:val="43"/>
        <w:rFonts w:ascii="宋体" w:hAnsi="宋体"/>
        <w:sz w:val="26"/>
        <w:szCs w:val="26"/>
      </w:rPr>
      <w:instrText xml:space="preserve">PAGE  </w:instrText>
    </w:r>
    <w:r>
      <w:rPr>
        <w:rFonts w:ascii="宋体" w:hAnsi="宋体"/>
        <w:sz w:val="26"/>
        <w:szCs w:val="26"/>
      </w:rPr>
      <w:fldChar w:fldCharType="separate"/>
    </w:r>
    <w:r>
      <w:rPr>
        <w:rStyle w:val="43"/>
        <w:rFonts w:ascii="宋体" w:hAnsi="宋体"/>
        <w:sz w:val="26"/>
        <w:szCs w:val="26"/>
      </w:rPr>
      <w:t>43</w:t>
    </w:r>
    <w:r>
      <w:rPr>
        <w:rFonts w:ascii="宋体" w:hAnsi="宋体"/>
        <w:sz w:val="26"/>
        <w:szCs w:val="26"/>
      </w:rPr>
      <w:fldChar w:fldCharType="end"/>
    </w:r>
    <w:r>
      <w:rPr>
        <w:rStyle w:val="43"/>
        <w:rFonts w:hint="eastAsia" w:ascii="宋体" w:hAnsi="宋体"/>
        <w:sz w:val="20"/>
      </w:rPr>
      <w:t xml:space="preserve">  </w:t>
    </w:r>
    <w:r>
      <w:rPr>
        <w:rStyle w:val="43"/>
        <w:rFonts w:hint="eastAsia" w:ascii="宋体" w:hAnsi="宋体"/>
        <w:sz w:val="28"/>
        <w:szCs w:val="28"/>
      </w:rPr>
      <w:t>—</w:t>
    </w:r>
  </w:p>
  <w:p>
    <w:pPr>
      <w:pStyle w:val="23"/>
      <w:ind w:right="360" w:firstLine="360"/>
      <w:jc w:val="cente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98E6DFB"/>
    <w:multiLevelType w:val="singleLevel"/>
    <w:tmpl w:val="898E6DFB"/>
    <w:lvl w:ilvl="0" w:tentative="0">
      <w:start w:val="1"/>
      <w:numFmt w:val="decimal"/>
      <w:suff w:val="nothing"/>
      <w:lvlText w:val="%1、"/>
      <w:lvlJc w:val="left"/>
    </w:lvl>
  </w:abstractNum>
  <w:abstractNum w:abstractNumId="1">
    <w:nsid w:val="942C1997"/>
    <w:multiLevelType w:val="singleLevel"/>
    <w:tmpl w:val="942C1997"/>
    <w:lvl w:ilvl="0" w:tentative="0">
      <w:start w:val="7"/>
      <w:numFmt w:val="decimal"/>
      <w:suff w:val="nothing"/>
      <w:lvlText w:val="（%1）"/>
      <w:lvlJc w:val="left"/>
    </w:lvl>
  </w:abstractNum>
  <w:abstractNum w:abstractNumId="2">
    <w:nsid w:val="A016E16E"/>
    <w:multiLevelType w:val="singleLevel"/>
    <w:tmpl w:val="A016E16E"/>
    <w:lvl w:ilvl="0" w:tentative="0">
      <w:start w:val="3"/>
      <w:numFmt w:val="decimal"/>
      <w:suff w:val="nothing"/>
      <w:lvlText w:val="（%1）"/>
      <w:lvlJc w:val="left"/>
    </w:lvl>
  </w:abstractNum>
  <w:abstractNum w:abstractNumId="3">
    <w:nsid w:val="CA6A124D"/>
    <w:multiLevelType w:val="singleLevel"/>
    <w:tmpl w:val="CA6A124D"/>
    <w:lvl w:ilvl="0" w:tentative="0">
      <w:start w:val="2"/>
      <w:numFmt w:val="decimal"/>
      <w:suff w:val="nothing"/>
      <w:lvlText w:val="%1、"/>
      <w:lvlJc w:val="left"/>
    </w:lvl>
  </w:abstractNum>
  <w:abstractNum w:abstractNumId="4">
    <w:nsid w:val="CC2E52C2"/>
    <w:multiLevelType w:val="singleLevel"/>
    <w:tmpl w:val="CC2E52C2"/>
    <w:lvl w:ilvl="0" w:tentative="0">
      <w:start w:val="3"/>
      <w:numFmt w:val="decimal"/>
      <w:suff w:val="nothing"/>
      <w:lvlText w:val="（%1）"/>
      <w:lvlJc w:val="left"/>
    </w:lvl>
  </w:abstractNum>
  <w:abstractNum w:abstractNumId="5">
    <w:nsid w:val="D0D1C22D"/>
    <w:multiLevelType w:val="singleLevel"/>
    <w:tmpl w:val="D0D1C22D"/>
    <w:lvl w:ilvl="0" w:tentative="0">
      <w:start w:val="1"/>
      <w:numFmt w:val="chineseCounting"/>
      <w:suff w:val="nothing"/>
      <w:lvlText w:val="%1、"/>
      <w:lvlJc w:val="left"/>
      <w:rPr>
        <w:rFonts w:hint="eastAsia"/>
      </w:rPr>
    </w:lvl>
  </w:abstractNum>
  <w:abstractNum w:abstractNumId="6">
    <w:nsid w:val="F76D36E2"/>
    <w:multiLevelType w:val="singleLevel"/>
    <w:tmpl w:val="F76D36E2"/>
    <w:lvl w:ilvl="0" w:tentative="0">
      <w:start w:val="3"/>
      <w:numFmt w:val="decimal"/>
      <w:suff w:val="nothing"/>
      <w:lvlText w:val="%1、"/>
      <w:lvlJc w:val="left"/>
    </w:lvl>
  </w:abstractNum>
  <w:abstractNum w:abstractNumId="7">
    <w:nsid w:val="0000000F"/>
    <w:multiLevelType w:val="multilevel"/>
    <w:tmpl w:val="0000000F"/>
    <w:lvl w:ilvl="0" w:tentative="0">
      <w:start w:val="1"/>
      <w:numFmt w:val="decimal"/>
      <w:lvlText w:val="%1"/>
      <w:lvlJc w:val="left"/>
      <w:pPr>
        <w:tabs>
          <w:tab w:val="left" w:pos="432"/>
        </w:tabs>
        <w:ind w:left="432" w:hanging="432"/>
      </w:pPr>
      <w:rPr>
        <w:rFonts w:hint="eastAsia"/>
      </w:rPr>
    </w:lvl>
    <w:lvl w:ilvl="1" w:tentative="0">
      <w:start w:val="1"/>
      <w:numFmt w:val="decimal"/>
      <w:lvlText w:val="%1.%2"/>
      <w:lvlJc w:val="left"/>
      <w:pPr>
        <w:tabs>
          <w:tab w:val="left" w:pos="576"/>
        </w:tabs>
        <w:ind w:left="576" w:hanging="576"/>
      </w:pPr>
      <w:rPr>
        <w:rFonts w:hint="eastAsia"/>
      </w:rPr>
    </w:lvl>
    <w:lvl w:ilvl="2" w:tentative="0">
      <w:start w:val="1"/>
      <w:numFmt w:val="decimal"/>
      <w:lvlText w:val="%1.%2.%3"/>
      <w:lvlJc w:val="left"/>
      <w:pPr>
        <w:tabs>
          <w:tab w:val="left" w:pos="720"/>
        </w:tabs>
        <w:ind w:left="720" w:hanging="720"/>
      </w:pPr>
      <w:rPr>
        <w:rFonts w:hint="eastAsia"/>
      </w:rPr>
    </w:lvl>
    <w:lvl w:ilvl="3" w:tentative="0">
      <w:start w:val="1"/>
      <w:numFmt w:val="decimal"/>
      <w:pStyle w:val="7"/>
      <w:lvlText w:val="%1.%2.%3.%4"/>
      <w:lvlJc w:val="left"/>
      <w:pPr>
        <w:tabs>
          <w:tab w:val="left" w:pos="864"/>
        </w:tabs>
        <w:ind w:left="864" w:hanging="864"/>
      </w:pPr>
      <w:rPr>
        <w:rFonts w:hint="eastAsia"/>
      </w:rPr>
    </w:lvl>
    <w:lvl w:ilvl="4" w:tentative="0">
      <w:start w:val="1"/>
      <w:numFmt w:val="decimal"/>
      <w:lvlText w:val="%1.%2.%3.%4.%5"/>
      <w:lvlJc w:val="left"/>
      <w:pPr>
        <w:tabs>
          <w:tab w:val="left" w:pos="1800"/>
        </w:tabs>
        <w:ind w:left="1008" w:hanging="1008"/>
      </w:pPr>
      <w:rPr>
        <w:rFonts w:hint="eastAsia"/>
      </w:rPr>
    </w:lvl>
    <w:lvl w:ilvl="5" w:tentative="0">
      <w:start w:val="1"/>
      <w:numFmt w:val="decimal"/>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abstractNum w:abstractNumId="8">
    <w:nsid w:val="331AB022"/>
    <w:multiLevelType w:val="singleLevel"/>
    <w:tmpl w:val="331AB022"/>
    <w:lvl w:ilvl="0" w:tentative="0">
      <w:start w:val="1"/>
      <w:numFmt w:val="decimal"/>
      <w:suff w:val="nothing"/>
      <w:lvlText w:val="（%1）"/>
      <w:lvlJc w:val="left"/>
    </w:lvl>
  </w:abstractNum>
  <w:abstractNum w:abstractNumId="9">
    <w:nsid w:val="72226AC6"/>
    <w:multiLevelType w:val="singleLevel"/>
    <w:tmpl w:val="72226AC6"/>
    <w:lvl w:ilvl="0" w:tentative="0">
      <w:start w:val="1"/>
      <w:numFmt w:val="decimal"/>
      <w:suff w:val="nothing"/>
      <w:lvlText w:val="%1、"/>
      <w:lvlJc w:val="left"/>
    </w:lvl>
  </w:abstractNum>
  <w:abstractNum w:abstractNumId="10">
    <w:nsid w:val="7ED14685"/>
    <w:multiLevelType w:val="singleLevel"/>
    <w:tmpl w:val="7ED14685"/>
    <w:lvl w:ilvl="0" w:tentative="0">
      <w:start w:val="1"/>
      <w:numFmt w:val="bullet"/>
      <w:pStyle w:val="20"/>
      <w:lvlText w:val=""/>
      <w:lvlJc w:val="left"/>
      <w:pPr>
        <w:tabs>
          <w:tab w:val="left" w:pos="2040"/>
        </w:tabs>
        <w:ind w:left="2040" w:hanging="360"/>
      </w:pPr>
      <w:rPr>
        <w:rFonts w:hint="default" w:ascii="Wingdings" w:hAnsi="Wingdings"/>
      </w:rPr>
    </w:lvl>
  </w:abstractNum>
  <w:num w:numId="1">
    <w:abstractNumId w:val="7"/>
  </w:num>
  <w:num w:numId="2">
    <w:abstractNumId w:val="10"/>
  </w:num>
  <w:num w:numId="3">
    <w:abstractNumId w:val="3"/>
  </w:num>
  <w:num w:numId="4">
    <w:abstractNumId w:val="9"/>
  </w:num>
  <w:num w:numId="5">
    <w:abstractNumId w:val="1"/>
  </w:num>
  <w:num w:numId="6">
    <w:abstractNumId w:val="4"/>
  </w:num>
  <w:num w:numId="7">
    <w:abstractNumId w:val="5"/>
  </w:num>
  <w:num w:numId="8">
    <w:abstractNumId w:val="6"/>
  </w:num>
  <w:num w:numId="9">
    <w:abstractNumId w:val="0"/>
  </w:num>
  <w:num w:numId="10">
    <w:abstractNumId w:val="2"/>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endnotePr>
    <w:numFmt w:val="decimal"/>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CC51681"/>
    <w:rsid w:val="00143723"/>
    <w:rsid w:val="00150902"/>
    <w:rsid w:val="0025035E"/>
    <w:rsid w:val="006A2EAD"/>
    <w:rsid w:val="00854F9C"/>
    <w:rsid w:val="00B4697A"/>
    <w:rsid w:val="00CE1CF4"/>
    <w:rsid w:val="00D34727"/>
    <w:rsid w:val="00EA480F"/>
    <w:rsid w:val="00F53CD5"/>
    <w:rsid w:val="01392CC3"/>
    <w:rsid w:val="01594742"/>
    <w:rsid w:val="015E0AA1"/>
    <w:rsid w:val="01962E2B"/>
    <w:rsid w:val="01C74BCA"/>
    <w:rsid w:val="01D62705"/>
    <w:rsid w:val="021F4145"/>
    <w:rsid w:val="024E3BCD"/>
    <w:rsid w:val="02D87096"/>
    <w:rsid w:val="02E2183C"/>
    <w:rsid w:val="0307687D"/>
    <w:rsid w:val="03DF2239"/>
    <w:rsid w:val="04C55C41"/>
    <w:rsid w:val="050A70B6"/>
    <w:rsid w:val="059C7B24"/>
    <w:rsid w:val="06614682"/>
    <w:rsid w:val="067512AC"/>
    <w:rsid w:val="08195139"/>
    <w:rsid w:val="08352131"/>
    <w:rsid w:val="083B1DE4"/>
    <w:rsid w:val="084F0D5C"/>
    <w:rsid w:val="08560496"/>
    <w:rsid w:val="08932046"/>
    <w:rsid w:val="08D07CD7"/>
    <w:rsid w:val="08D609C0"/>
    <w:rsid w:val="093D7238"/>
    <w:rsid w:val="09D23B5C"/>
    <w:rsid w:val="0A300F3E"/>
    <w:rsid w:val="0A690A42"/>
    <w:rsid w:val="0ABA277E"/>
    <w:rsid w:val="0AD304EE"/>
    <w:rsid w:val="0B0D5A73"/>
    <w:rsid w:val="0B100C28"/>
    <w:rsid w:val="0B641641"/>
    <w:rsid w:val="0B737DFC"/>
    <w:rsid w:val="0C1E1312"/>
    <w:rsid w:val="0C266E4F"/>
    <w:rsid w:val="0C7F6F4E"/>
    <w:rsid w:val="0DDD7799"/>
    <w:rsid w:val="0DFD3960"/>
    <w:rsid w:val="0E1657E1"/>
    <w:rsid w:val="10FB3257"/>
    <w:rsid w:val="1116403C"/>
    <w:rsid w:val="11A744E6"/>
    <w:rsid w:val="11CF60C1"/>
    <w:rsid w:val="1208464E"/>
    <w:rsid w:val="12614BA6"/>
    <w:rsid w:val="128B36DF"/>
    <w:rsid w:val="14521FBF"/>
    <w:rsid w:val="150E5154"/>
    <w:rsid w:val="159A2B43"/>
    <w:rsid w:val="15AA5CF1"/>
    <w:rsid w:val="16223187"/>
    <w:rsid w:val="170718E6"/>
    <w:rsid w:val="175627CE"/>
    <w:rsid w:val="18C97015"/>
    <w:rsid w:val="197E6AA6"/>
    <w:rsid w:val="19AB256E"/>
    <w:rsid w:val="1AF12A44"/>
    <w:rsid w:val="1B1A26E2"/>
    <w:rsid w:val="1B306FCF"/>
    <w:rsid w:val="1B3D691D"/>
    <w:rsid w:val="1B4C7724"/>
    <w:rsid w:val="1C1F0578"/>
    <w:rsid w:val="1C28039D"/>
    <w:rsid w:val="1D4650ED"/>
    <w:rsid w:val="1D753DB0"/>
    <w:rsid w:val="1D915310"/>
    <w:rsid w:val="1D962123"/>
    <w:rsid w:val="1DC70DEC"/>
    <w:rsid w:val="1DDF4CD2"/>
    <w:rsid w:val="1E25248A"/>
    <w:rsid w:val="1E3F2025"/>
    <w:rsid w:val="1F9A238D"/>
    <w:rsid w:val="1FDC1987"/>
    <w:rsid w:val="203F12C3"/>
    <w:rsid w:val="206146C8"/>
    <w:rsid w:val="20645E17"/>
    <w:rsid w:val="20C71CD9"/>
    <w:rsid w:val="211D50C8"/>
    <w:rsid w:val="216A4C05"/>
    <w:rsid w:val="21863D0D"/>
    <w:rsid w:val="2216046A"/>
    <w:rsid w:val="223B4BFE"/>
    <w:rsid w:val="22644AB9"/>
    <w:rsid w:val="22876AFD"/>
    <w:rsid w:val="2427107E"/>
    <w:rsid w:val="24B94350"/>
    <w:rsid w:val="253F118A"/>
    <w:rsid w:val="2578310B"/>
    <w:rsid w:val="25D8356A"/>
    <w:rsid w:val="25E71BEC"/>
    <w:rsid w:val="25EC6ED5"/>
    <w:rsid w:val="25F015C5"/>
    <w:rsid w:val="26571D40"/>
    <w:rsid w:val="27804D47"/>
    <w:rsid w:val="28145128"/>
    <w:rsid w:val="282838DA"/>
    <w:rsid w:val="28571D32"/>
    <w:rsid w:val="29933722"/>
    <w:rsid w:val="2A356872"/>
    <w:rsid w:val="2A546059"/>
    <w:rsid w:val="2A5D2D01"/>
    <w:rsid w:val="2AF27BEF"/>
    <w:rsid w:val="2B1C040B"/>
    <w:rsid w:val="2B1F6EF2"/>
    <w:rsid w:val="2B71731C"/>
    <w:rsid w:val="2BB0437F"/>
    <w:rsid w:val="2D833FE8"/>
    <w:rsid w:val="2DEE303D"/>
    <w:rsid w:val="2DFF55A7"/>
    <w:rsid w:val="2EAE0106"/>
    <w:rsid w:val="2F344423"/>
    <w:rsid w:val="30FD7924"/>
    <w:rsid w:val="311E24FD"/>
    <w:rsid w:val="315A5151"/>
    <w:rsid w:val="31746F9C"/>
    <w:rsid w:val="31873AFA"/>
    <w:rsid w:val="31E45D99"/>
    <w:rsid w:val="32B722E3"/>
    <w:rsid w:val="32E55AEF"/>
    <w:rsid w:val="336C325E"/>
    <w:rsid w:val="34C60C67"/>
    <w:rsid w:val="354B7504"/>
    <w:rsid w:val="35A35FAD"/>
    <w:rsid w:val="36106FD5"/>
    <w:rsid w:val="36B01313"/>
    <w:rsid w:val="36B93809"/>
    <w:rsid w:val="3788036E"/>
    <w:rsid w:val="37A924CB"/>
    <w:rsid w:val="383F1698"/>
    <w:rsid w:val="38534CB7"/>
    <w:rsid w:val="38A56D41"/>
    <w:rsid w:val="39740B10"/>
    <w:rsid w:val="398639BF"/>
    <w:rsid w:val="39A26D13"/>
    <w:rsid w:val="39F914CF"/>
    <w:rsid w:val="3A147AAC"/>
    <w:rsid w:val="3AFE72DB"/>
    <w:rsid w:val="3B2565A9"/>
    <w:rsid w:val="3B993EB6"/>
    <w:rsid w:val="3BE15BA1"/>
    <w:rsid w:val="3C1B6DEE"/>
    <w:rsid w:val="3CAD29AD"/>
    <w:rsid w:val="3D6852CB"/>
    <w:rsid w:val="3D9D1094"/>
    <w:rsid w:val="3E7E1783"/>
    <w:rsid w:val="3F0223F3"/>
    <w:rsid w:val="3F281E38"/>
    <w:rsid w:val="3FD35A41"/>
    <w:rsid w:val="40061E82"/>
    <w:rsid w:val="405E0770"/>
    <w:rsid w:val="40722C94"/>
    <w:rsid w:val="40994365"/>
    <w:rsid w:val="40FF6E50"/>
    <w:rsid w:val="41104488"/>
    <w:rsid w:val="4162197F"/>
    <w:rsid w:val="41722AF1"/>
    <w:rsid w:val="41DD508C"/>
    <w:rsid w:val="425303BA"/>
    <w:rsid w:val="428E3330"/>
    <w:rsid w:val="42AB7666"/>
    <w:rsid w:val="42BB005F"/>
    <w:rsid w:val="42BC36B5"/>
    <w:rsid w:val="441F2B8F"/>
    <w:rsid w:val="444B7C62"/>
    <w:rsid w:val="459A4837"/>
    <w:rsid w:val="45F770A4"/>
    <w:rsid w:val="463A687E"/>
    <w:rsid w:val="46756B4D"/>
    <w:rsid w:val="468A57EA"/>
    <w:rsid w:val="46CC0674"/>
    <w:rsid w:val="47DB3EB5"/>
    <w:rsid w:val="47DD5A16"/>
    <w:rsid w:val="47F30BAC"/>
    <w:rsid w:val="49053025"/>
    <w:rsid w:val="49605F29"/>
    <w:rsid w:val="496A1820"/>
    <w:rsid w:val="49AE2C09"/>
    <w:rsid w:val="49F03E63"/>
    <w:rsid w:val="4A4302F3"/>
    <w:rsid w:val="4A9D7730"/>
    <w:rsid w:val="4A9F4ED2"/>
    <w:rsid w:val="4AEB31A1"/>
    <w:rsid w:val="4B484E83"/>
    <w:rsid w:val="4BAC2D11"/>
    <w:rsid w:val="4BF55372"/>
    <w:rsid w:val="4C3E3B1C"/>
    <w:rsid w:val="4C4A104E"/>
    <w:rsid w:val="4C756707"/>
    <w:rsid w:val="4CA11C08"/>
    <w:rsid w:val="4CB730C8"/>
    <w:rsid w:val="4CC51681"/>
    <w:rsid w:val="4D886208"/>
    <w:rsid w:val="4DAB0432"/>
    <w:rsid w:val="4DCA4FE5"/>
    <w:rsid w:val="4DCE2983"/>
    <w:rsid w:val="4E0232B1"/>
    <w:rsid w:val="4E9F2A5D"/>
    <w:rsid w:val="4F38594F"/>
    <w:rsid w:val="4F515FE9"/>
    <w:rsid w:val="4F9414B9"/>
    <w:rsid w:val="4FA12AF2"/>
    <w:rsid w:val="502425D9"/>
    <w:rsid w:val="50BC6D86"/>
    <w:rsid w:val="50E02679"/>
    <w:rsid w:val="51382F51"/>
    <w:rsid w:val="51A92E83"/>
    <w:rsid w:val="51C31DA4"/>
    <w:rsid w:val="523650DE"/>
    <w:rsid w:val="52912564"/>
    <w:rsid w:val="52DE77D4"/>
    <w:rsid w:val="52EF4BF8"/>
    <w:rsid w:val="53702B43"/>
    <w:rsid w:val="54467018"/>
    <w:rsid w:val="54B92662"/>
    <w:rsid w:val="550D2678"/>
    <w:rsid w:val="55DA22E2"/>
    <w:rsid w:val="563B3990"/>
    <w:rsid w:val="568360A8"/>
    <w:rsid w:val="568B2EA3"/>
    <w:rsid w:val="56A277AC"/>
    <w:rsid w:val="56C660B4"/>
    <w:rsid w:val="56CB1DE5"/>
    <w:rsid w:val="575D3FBB"/>
    <w:rsid w:val="57C06D11"/>
    <w:rsid w:val="58107F8D"/>
    <w:rsid w:val="581C7926"/>
    <w:rsid w:val="584A7F36"/>
    <w:rsid w:val="587A1A63"/>
    <w:rsid w:val="587A54B2"/>
    <w:rsid w:val="59074BA6"/>
    <w:rsid w:val="592D7C8F"/>
    <w:rsid w:val="594D7F0C"/>
    <w:rsid w:val="598835F0"/>
    <w:rsid w:val="59E978B5"/>
    <w:rsid w:val="5AC121E6"/>
    <w:rsid w:val="5AF13DA4"/>
    <w:rsid w:val="5B82786A"/>
    <w:rsid w:val="5C3C7AB7"/>
    <w:rsid w:val="5C8F3A65"/>
    <w:rsid w:val="5CF45604"/>
    <w:rsid w:val="5DDB1CC1"/>
    <w:rsid w:val="5E491B7D"/>
    <w:rsid w:val="5EC1721C"/>
    <w:rsid w:val="5EDF2450"/>
    <w:rsid w:val="5F5373F4"/>
    <w:rsid w:val="5F8B122C"/>
    <w:rsid w:val="5F9D7EB8"/>
    <w:rsid w:val="60130582"/>
    <w:rsid w:val="60BA0BE9"/>
    <w:rsid w:val="61926F26"/>
    <w:rsid w:val="61E20692"/>
    <w:rsid w:val="62995E01"/>
    <w:rsid w:val="62CF0CE3"/>
    <w:rsid w:val="62ED2CC5"/>
    <w:rsid w:val="63334C22"/>
    <w:rsid w:val="636276DD"/>
    <w:rsid w:val="637D16D3"/>
    <w:rsid w:val="639867C6"/>
    <w:rsid w:val="64286496"/>
    <w:rsid w:val="6442109A"/>
    <w:rsid w:val="644F43BE"/>
    <w:rsid w:val="64A47949"/>
    <w:rsid w:val="655A2533"/>
    <w:rsid w:val="656761A5"/>
    <w:rsid w:val="66157F1F"/>
    <w:rsid w:val="666A4FEF"/>
    <w:rsid w:val="671E5E43"/>
    <w:rsid w:val="67AA3780"/>
    <w:rsid w:val="685052AC"/>
    <w:rsid w:val="69BA63AE"/>
    <w:rsid w:val="69F11EE7"/>
    <w:rsid w:val="6A12081F"/>
    <w:rsid w:val="6A9E1BFD"/>
    <w:rsid w:val="6B8F0760"/>
    <w:rsid w:val="6BD21C54"/>
    <w:rsid w:val="6BEE2099"/>
    <w:rsid w:val="6C25268D"/>
    <w:rsid w:val="6D1E1452"/>
    <w:rsid w:val="6D36105C"/>
    <w:rsid w:val="6E403CB0"/>
    <w:rsid w:val="6E636184"/>
    <w:rsid w:val="6EDB28FB"/>
    <w:rsid w:val="6F186B7B"/>
    <w:rsid w:val="6F931BF6"/>
    <w:rsid w:val="6FBE275D"/>
    <w:rsid w:val="700B3E3B"/>
    <w:rsid w:val="707A0433"/>
    <w:rsid w:val="708E3E12"/>
    <w:rsid w:val="71FB7042"/>
    <w:rsid w:val="722C4FFE"/>
    <w:rsid w:val="727D3B15"/>
    <w:rsid w:val="728C6699"/>
    <w:rsid w:val="72B2437C"/>
    <w:rsid w:val="73051FF0"/>
    <w:rsid w:val="735A50DF"/>
    <w:rsid w:val="73A05C9A"/>
    <w:rsid w:val="73CB008F"/>
    <w:rsid w:val="748C52D0"/>
    <w:rsid w:val="748D2974"/>
    <w:rsid w:val="74BE4E6C"/>
    <w:rsid w:val="75784937"/>
    <w:rsid w:val="75956B13"/>
    <w:rsid w:val="776275E7"/>
    <w:rsid w:val="776F0544"/>
    <w:rsid w:val="781B2AFE"/>
    <w:rsid w:val="7835040A"/>
    <w:rsid w:val="78692CD8"/>
    <w:rsid w:val="790C7AD8"/>
    <w:rsid w:val="79474801"/>
    <w:rsid w:val="7AD711F4"/>
    <w:rsid w:val="7ADA12B7"/>
    <w:rsid w:val="7B603DFE"/>
    <w:rsid w:val="7E623D4C"/>
    <w:rsid w:val="7E942C4C"/>
    <w:rsid w:val="7EAD057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iPriority="0" w:name="heading 6"/>
    <w:lsdException w:qFormat="1" w:uiPriority="0" w:name="heading 7"/>
    <w:lsdException w:qFormat="1" w:uiPriority="0" w:name="heading 8"/>
    <w:lsdException w:qFormat="1" w:uiPriority="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0" w:semiHidden="0" w:name="toc 3"/>
    <w:lsdException w:qFormat="1"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qFormat="1" w:unhideWhenUsed="0" w:uiPriority="0" w:semiHidden="0" w:name="index heading"/>
    <w:lsdException w:qFormat="1" w:unhideWhenUsed="0" w:uiPriority="0" w:semiHidden="0" w:name="caption"/>
    <w:lsdException w:qFormat="1" w:unhideWhenUsed="0" w:uiPriority="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0" w:semiHidden="0" w:name="toa heading"/>
    <w:lsdException w:qFormat="1" w:unhideWhenUsed="0" w:uiPriority="99"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qFormat="1"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iPriority="99"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59"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4"/>
      <w:szCs w:val="24"/>
      <w:lang w:val="en-US" w:eastAsia="zh-CN" w:bidi="ar-SA"/>
    </w:rPr>
  </w:style>
  <w:style w:type="paragraph" w:styleId="4">
    <w:name w:val="heading 1"/>
    <w:basedOn w:val="1"/>
    <w:next w:val="1"/>
    <w:link w:val="79"/>
    <w:qFormat/>
    <w:uiPriority w:val="0"/>
    <w:pPr>
      <w:keepNext/>
      <w:keepLines/>
      <w:adjustRightInd w:val="0"/>
      <w:snapToGrid w:val="0"/>
      <w:spacing w:before="50" w:beforeLines="50" w:after="50" w:afterLines="50" w:line="360" w:lineRule="auto"/>
      <w:jc w:val="center"/>
      <w:outlineLvl w:val="0"/>
    </w:pPr>
    <w:rPr>
      <w:rFonts w:ascii="黑体" w:hAnsi="黑体" w:eastAsia="黑体"/>
      <w:b/>
      <w:snapToGrid w:val="0"/>
      <w:color w:val="000000"/>
      <w:sz w:val="32"/>
    </w:rPr>
  </w:style>
  <w:style w:type="paragraph" w:styleId="5">
    <w:name w:val="heading 2"/>
    <w:basedOn w:val="1"/>
    <w:next w:val="1"/>
    <w:link w:val="175"/>
    <w:qFormat/>
    <w:uiPriority w:val="0"/>
    <w:pPr>
      <w:keepNext/>
      <w:keepLines/>
      <w:adjustRightInd w:val="0"/>
      <w:snapToGrid w:val="0"/>
      <w:spacing w:line="360" w:lineRule="auto"/>
      <w:outlineLvl w:val="1"/>
    </w:pPr>
    <w:rPr>
      <w:rFonts w:ascii="黑体" w:hAnsi="宋体" w:eastAsia="Times New Roman"/>
      <w:b/>
      <w:bCs/>
      <w:snapToGrid w:val="0"/>
      <w:kern w:val="0"/>
      <w:szCs w:val="20"/>
    </w:rPr>
  </w:style>
  <w:style w:type="paragraph" w:styleId="6">
    <w:name w:val="heading 3"/>
    <w:basedOn w:val="1"/>
    <w:next w:val="1"/>
    <w:qFormat/>
    <w:uiPriority w:val="0"/>
    <w:pPr>
      <w:keepNext/>
      <w:keepLines/>
      <w:spacing w:line="360" w:lineRule="auto"/>
      <w:outlineLvl w:val="2"/>
    </w:pPr>
    <w:rPr>
      <w:rFonts w:ascii="黑体" w:hAnsi="宋体" w:eastAsia="Times New Roman"/>
      <w:bCs/>
      <w:snapToGrid w:val="0"/>
      <w:kern w:val="0"/>
      <w:szCs w:val="20"/>
    </w:rPr>
  </w:style>
  <w:style w:type="paragraph" w:styleId="7">
    <w:name w:val="heading 4"/>
    <w:basedOn w:val="1"/>
    <w:next w:val="1"/>
    <w:qFormat/>
    <w:uiPriority w:val="0"/>
    <w:pPr>
      <w:keepNext/>
      <w:keepLines/>
      <w:numPr>
        <w:ilvl w:val="3"/>
        <w:numId w:val="1"/>
      </w:numPr>
      <w:snapToGrid w:val="0"/>
      <w:spacing w:line="460" w:lineRule="atLeast"/>
      <w:outlineLvl w:val="3"/>
    </w:pPr>
    <w:rPr>
      <w:b/>
      <w:szCs w:val="20"/>
    </w:rPr>
  </w:style>
  <w:style w:type="paragraph" w:styleId="8">
    <w:name w:val="heading 5"/>
    <w:basedOn w:val="1"/>
    <w:next w:val="1"/>
    <w:link w:val="86"/>
    <w:qFormat/>
    <w:uiPriority w:val="0"/>
    <w:pPr>
      <w:ind w:firstLine="482" w:firstLineChars="0"/>
      <w:jc w:val="center"/>
      <w:outlineLvl w:val="4"/>
    </w:pPr>
    <w:rPr>
      <w:b/>
      <w:bCs/>
      <w:sz w:val="21"/>
      <w:szCs w:val="28"/>
    </w:rPr>
  </w:style>
  <w:style w:type="character" w:default="1" w:styleId="41">
    <w:name w:val="Default Paragraph Font"/>
    <w:semiHidden/>
    <w:unhideWhenUsed/>
    <w:qFormat/>
    <w:uiPriority w:val="1"/>
  </w:style>
  <w:style w:type="table" w:default="1" w:styleId="39">
    <w:name w:val="Normal Table"/>
    <w:semiHidden/>
    <w:unhideWhenUsed/>
    <w:qFormat/>
    <w:uiPriority w:val="99"/>
    <w:tblPr>
      <w:tblCellMar>
        <w:top w:w="0" w:type="dxa"/>
        <w:left w:w="108" w:type="dxa"/>
        <w:bottom w:w="0" w:type="dxa"/>
        <w:right w:w="108" w:type="dxa"/>
      </w:tblCellMar>
    </w:tblPr>
  </w:style>
  <w:style w:type="paragraph" w:customStyle="1" w:styleId="2">
    <w:name w:val="0正文"/>
    <w:basedOn w:val="3"/>
    <w:unhideWhenUsed/>
    <w:qFormat/>
    <w:uiPriority w:val="0"/>
    <w:pPr>
      <w:ind w:firstLine="720"/>
    </w:pPr>
  </w:style>
  <w:style w:type="paragraph" w:styleId="3">
    <w:name w:val="Body Text Indent"/>
    <w:basedOn w:val="1"/>
    <w:next w:val="1"/>
    <w:qFormat/>
    <w:uiPriority w:val="0"/>
    <w:pPr>
      <w:adjustRightInd w:val="0"/>
      <w:snapToGrid w:val="0"/>
      <w:spacing w:line="360" w:lineRule="auto"/>
      <w:ind w:firstLine="480"/>
    </w:pPr>
    <w:rPr>
      <w:bCs/>
      <w:kern w:val="0"/>
    </w:rPr>
  </w:style>
  <w:style w:type="paragraph" w:styleId="9">
    <w:name w:val="Normal Indent"/>
    <w:basedOn w:val="1"/>
    <w:next w:val="10"/>
    <w:link w:val="65"/>
    <w:qFormat/>
    <w:uiPriority w:val="0"/>
    <w:pPr>
      <w:ind w:firstLine="420"/>
    </w:pPr>
    <w:rPr>
      <w:szCs w:val="20"/>
    </w:rPr>
  </w:style>
  <w:style w:type="paragraph" w:styleId="10">
    <w:name w:val="Body Text First Indent 2"/>
    <w:basedOn w:val="3"/>
    <w:next w:val="1"/>
    <w:qFormat/>
    <w:uiPriority w:val="0"/>
    <w:pPr>
      <w:adjustRightInd/>
      <w:snapToGrid/>
      <w:spacing w:after="120" w:line="240" w:lineRule="auto"/>
      <w:ind w:left="420" w:leftChars="200" w:firstLine="420" w:firstLineChars="200"/>
    </w:pPr>
    <w:rPr>
      <w:bCs w:val="0"/>
      <w:kern w:val="2"/>
      <w:sz w:val="21"/>
    </w:rPr>
  </w:style>
  <w:style w:type="paragraph" w:styleId="11">
    <w:name w:val="caption"/>
    <w:basedOn w:val="1"/>
    <w:next w:val="1"/>
    <w:qFormat/>
    <w:uiPriority w:val="0"/>
    <w:pPr>
      <w:adjustRightInd w:val="0"/>
      <w:spacing w:before="152" w:after="160" w:line="240" w:lineRule="exact"/>
      <w:jc w:val="center"/>
      <w:textAlignment w:val="baseline"/>
    </w:pPr>
    <w:rPr>
      <w:kern w:val="0"/>
    </w:rPr>
  </w:style>
  <w:style w:type="paragraph" w:styleId="12">
    <w:name w:val="toa heading"/>
    <w:basedOn w:val="1"/>
    <w:next w:val="1"/>
    <w:qFormat/>
    <w:uiPriority w:val="0"/>
    <w:pPr>
      <w:spacing w:before="120"/>
    </w:pPr>
    <w:rPr>
      <w:rFonts w:ascii="Arial" w:hAnsi="Arial" w:cs="Arial"/>
    </w:rPr>
  </w:style>
  <w:style w:type="paragraph" w:styleId="13">
    <w:name w:val="annotation text"/>
    <w:basedOn w:val="1"/>
    <w:link w:val="74"/>
    <w:qFormat/>
    <w:uiPriority w:val="0"/>
    <w:pPr>
      <w:jc w:val="left"/>
    </w:pPr>
  </w:style>
  <w:style w:type="paragraph" w:styleId="14">
    <w:name w:val="Salutation"/>
    <w:basedOn w:val="1"/>
    <w:next w:val="1"/>
    <w:qFormat/>
    <w:uiPriority w:val="0"/>
    <w:pPr>
      <w:jc w:val="left"/>
    </w:pPr>
    <w:rPr>
      <w:rFonts w:ascii="Times New Roman" w:hAnsi="Times New Roman" w:eastAsia="仿宋_GB2312"/>
      <w:sz w:val="32"/>
    </w:rPr>
  </w:style>
  <w:style w:type="paragraph" w:styleId="15">
    <w:name w:val="Body Text 3"/>
    <w:basedOn w:val="1"/>
    <w:qFormat/>
    <w:uiPriority w:val="0"/>
    <w:pPr>
      <w:spacing w:line="360" w:lineRule="auto"/>
    </w:pPr>
    <w:rPr>
      <w:rFonts w:ascii="仿宋_GB2312" w:eastAsia="仿宋_GB2312"/>
      <w:sz w:val="24"/>
    </w:rPr>
  </w:style>
  <w:style w:type="paragraph" w:styleId="16">
    <w:name w:val="Body Text"/>
    <w:basedOn w:val="1"/>
    <w:next w:val="1"/>
    <w:qFormat/>
    <w:uiPriority w:val="0"/>
    <w:pPr>
      <w:spacing w:after="120"/>
    </w:pPr>
  </w:style>
  <w:style w:type="paragraph" w:styleId="17">
    <w:name w:val="Block Text"/>
    <w:basedOn w:val="1"/>
    <w:qFormat/>
    <w:uiPriority w:val="0"/>
    <w:pPr>
      <w:spacing w:after="120"/>
      <w:ind w:left="1440" w:leftChars="700" w:right="700" w:rightChars="700"/>
    </w:pPr>
    <w:rPr>
      <w:rFonts w:ascii="Calibri" w:hAnsi="Calibri"/>
      <w:szCs w:val="20"/>
    </w:rPr>
  </w:style>
  <w:style w:type="paragraph" w:styleId="18">
    <w:name w:val="toc 3"/>
    <w:basedOn w:val="1"/>
    <w:next w:val="1"/>
    <w:qFormat/>
    <w:uiPriority w:val="0"/>
    <w:pPr>
      <w:ind w:left="840" w:leftChars="400"/>
    </w:pPr>
  </w:style>
  <w:style w:type="paragraph" w:styleId="19">
    <w:name w:val="Plain Text"/>
    <w:basedOn w:val="1"/>
    <w:qFormat/>
    <w:uiPriority w:val="0"/>
    <w:rPr>
      <w:rFonts w:ascii="宋体" w:hAnsi="Courier New"/>
      <w:szCs w:val="20"/>
    </w:rPr>
  </w:style>
  <w:style w:type="paragraph" w:styleId="20">
    <w:name w:val="List Bullet 5"/>
    <w:basedOn w:val="1"/>
    <w:qFormat/>
    <w:uiPriority w:val="0"/>
    <w:pPr>
      <w:numPr>
        <w:ilvl w:val="0"/>
        <w:numId w:val="2"/>
      </w:numPr>
    </w:pPr>
  </w:style>
  <w:style w:type="paragraph" w:styleId="21">
    <w:name w:val="Date"/>
    <w:basedOn w:val="1"/>
    <w:next w:val="1"/>
    <w:qFormat/>
    <w:uiPriority w:val="0"/>
    <w:rPr>
      <w:szCs w:val="20"/>
    </w:rPr>
  </w:style>
  <w:style w:type="paragraph" w:styleId="22">
    <w:name w:val="Body Text Indent 2"/>
    <w:basedOn w:val="1"/>
    <w:next w:val="1"/>
    <w:qFormat/>
    <w:uiPriority w:val="0"/>
    <w:pPr>
      <w:adjustRightInd w:val="0"/>
      <w:snapToGrid w:val="0"/>
      <w:spacing w:line="360" w:lineRule="auto"/>
      <w:ind w:firstLine="480" w:firstLineChars="200"/>
    </w:pPr>
    <w:rPr>
      <w:rFonts w:ascii="宋体" w:hAnsi="宋体"/>
      <w:snapToGrid w:val="0"/>
      <w:color w:val="339966"/>
      <w:kern w:val="0"/>
    </w:rPr>
  </w:style>
  <w:style w:type="paragraph" w:styleId="23">
    <w:name w:val="footer"/>
    <w:basedOn w:val="1"/>
    <w:qFormat/>
    <w:uiPriority w:val="0"/>
    <w:pPr>
      <w:tabs>
        <w:tab w:val="center" w:pos="4153"/>
        <w:tab w:val="right" w:pos="8306"/>
      </w:tabs>
      <w:snapToGrid w:val="0"/>
      <w:jc w:val="left"/>
    </w:pPr>
    <w:rPr>
      <w:sz w:val="18"/>
      <w:szCs w:val="18"/>
    </w:rPr>
  </w:style>
  <w:style w:type="paragraph" w:styleId="24">
    <w:name w:val="header"/>
    <w:basedOn w:val="1"/>
    <w:next w:val="1"/>
    <w:qFormat/>
    <w:uiPriority w:val="0"/>
    <w:pPr>
      <w:pBdr>
        <w:bottom w:val="single" w:color="auto" w:sz="6" w:space="1"/>
      </w:pBdr>
      <w:tabs>
        <w:tab w:val="center" w:pos="4153"/>
        <w:tab w:val="right" w:pos="8306"/>
      </w:tabs>
      <w:snapToGrid w:val="0"/>
      <w:spacing w:line="240" w:lineRule="atLeast"/>
      <w:jc w:val="center"/>
    </w:pPr>
    <w:rPr>
      <w:rFonts w:ascii="幼圆" w:eastAsia="幼圆"/>
      <w:sz w:val="18"/>
      <w:szCs w:val="18"/>
    </w:rPr>
  </w:style>
  <w:style w:type="paragraph" w:styleId="25">
    <w:name w:val="toc 1"/>
    <w:basedOn w:val="1"/>
    <w:next w:val="1"/>
    <w:qFormat/>
    <w:uiPriority w:val="39"/>
    <w:pPr>
      <w:spacing w:before="120" w:after="120"/>
      <w:jc w:val="left"/>
    </w:pPr>
    <w:rPr>
      <w:rFonts w:ascii="Calibri" w:hAnsi="Calibri" w:cs="Calibri"/>
      <w:b/>
      <w:bCs/>
      <w:caps/>
      <w:sz w:val="20"/>
      <w:szCs w:val="20"/>
    </w:rPr>
  </w:style>
  <w:style w:type="paragraph" w:styleId="26">
    <w:name w:val="toc 4"/>
    <w:basedOn w:val="1"/>
    <w:next w:val="1"/>
    <w:qFormat/>
    <w:uiPriority w:val="0"/>
    <w:pPr>
      <w:ind w:left="1260" w:leftChars="600"/>
    </w:pPr>
  </w:style>
  <w:style w:type="paragraph" w:styleId="27">
    <w:name w:val="index heading"/>
    <w:basedOn w:val="1"/>
    <w:next w:val="28"/>
    <w:qFormat/>
    <w:uiPriority w:val="0"/>
    <w:rPr>
      <w:szCs w:val="20"/>
    </w:rPr>
  </w:style>
  <w:style w:type="paragraph" w:styleId="28">
    <w:name w:val="index 1"/>
    <w:basedOn w:val="1"/>
    <w:next w:val="1"/>
    <w:qFormat/>
    <w:uiPriority w:val="0"/>
    <w:pPr>
      <w:adjustRightInd w:val="0"/>
      <w:spacing w:before="60"/>
      <w:textAlignment w:val="baseline"/>
    </w:pPr>
    <w:rPr>
      <w:sz w:val="24"/>
      <w:szCs w:val="20"/>
    </w:rPr>
  </w:style>
  <w:style w:type="paragraph" w:styleId="29">
    <w:name w:val="List"/>
    <w:basedOn w:val="1"/>
    <w:qFormat/>
    <w:uiPriority w:val="99"/>
    <w:pPr>
      <w:ind w:left="200" w:hanging="200" w:hangingChars="200"/>
    </w:pPr>
    <w:rPr>
      <w:szCs w:val="20"/>
    </w:rPr>
  </w:style>
  <w:style w:type="paragraph" w:styleId="30">
    <w:name w:val="Body Text Indent 3"/>
    <w:basedOn w:val="1"/>
    <w:qFormat/>
    <w:uiPriority w:val="0"/>
    <w:pPr>
      <w:spacing w:line="360" w:lineRule="auto"/>
      <w:ind w:firstLine="480" w:firstLineChars="200"/>
    </w:pPr>
    <w:rPr>
      <w:rFonts w:ascii="宋体"/>
      <w:sz w:val="24"/>
    </w:rPr>
  </w:style>
  <w:style w:type="paragraph" w:styleId="31">
    <w:name w:val="table of figures"/>
    <w:basedOn w:val="1"/>
    <w:next w:val="1"/>
    <w:semiHidden/>
    <w:qFormat/>
    <w:uiPriority w:val="0"/>
    <w:pPr>
      <w:ind w:left="200" w:leftChars="200" w:hanging="200" w:hangingChars="200"/>
    </w:pPr>
  </w:style>
  <w:style w:type="paragraph" w:styleId="32">
    <w:name w:val="toc 2"/>
    <w:basedOn w:val="1"/>
    <w:next w:val="1"/>
    <w:qFormat/>
    <w:uiPriority w:val="39"/>
    <w:pPr>
      <w:ind w:left="240"/>
      <w:jc w:val="left"/>
    </w:pPr>
    <w:rPr>
      <w:rFonts w:ascii="Calibri" w:hAnsi="Calibri" w:cs="Calibri"/>
      <w:smallCaps/>
      <w:sz w:val="20"/>
      <w:szCs w:val="20"/>
    </w:rPr>
  </w:style>
  <w:style w:type="paragraph" w:styleId="33">
    <w:name w:val="Body Text 2"/>
    <w:basedOn w:val="1"/>
    <w:qFormat/>
    <w:uiPriority w:val="0"/>
    <w:pPr>
      <w:spacing w:after="120" w:line="480" w:lineRule="auto"/>
    </w:pPr>
  </w:style>
  <w:style w:type="paragraph" w:styleId="34">
    <w:name w:val="HTML Preformatted"/>
    <w:basedOn w:val="1"/>
    <w:unhideWhenUsed/>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rPr>
  </w:style>
  <w:style w:type="paragraph" w:styleId="35">
    <w:name w:val="Normal (Web)"/>
    <w:basedOn w:val="1"/>
    <w:qFormat/>
    <w:uiPriority w:val="99"/>
  </w:style>
  <w:style w:type="paragraph" w:styleId="36">
    <w:name w:val="Title"/>
    <w:basedOn w:val="1"/>
    <w:next w:val="1"/>
    <w:qFormat/>
    <w:uiPriority w:val="0"/>
    <w:pPr>
      <w:spacing w:before="240" w:after="60"/>
      <w:jc w:val="center"/>
      <w:outlineLvl w:val="0"/>
    </w:pPr>
    <w:rPr>
      <w:rFonts w:ascii="Cambria" w:hAnsi="Cambria"/>
      <w:b/>
      <w:bCs/>
      <w:sz w:val="32"/>
      <w:szCs w:val="32"/>
    </w:rPr>
  </w:style>
  <w:style w:type="paragraph" w:styleId="37">
    <w:name w:val="annotation subject"/>
    <w:basedOn w:val="13"/>
    <w:next w:val="13"/>
    <w:link w:val="75"/>
    <w:qFormat/>
    <w:uiPriority w:val="0"/>
    <w:rPr>
      <w:b/>
      <w:bCs/>
    </w:rPr>
  </w:style>
  <w:style w:type="paragraph" w:styleId="38">
    <w:name w:val="Body Text First Indent"/>
    <w:basedOn w:val="16"/>
    <w:qFormat/>
    <w:uiPriority w:val="0"/>
    <w:pPr>
      <w:ind w:firstLine="420" w:firstLineChars="100"/>
    </w:pPr>
    <w:rPr>
      <w:rFonts w:ascii="黑体" w:hAnsi="黑体"/>
      <w:spacing w:val="10"/>
      <w:sz w:val="21"/>
    </w:rPr>
  </w:style>
  <w:style w:type="table" w:styleId="40">
    <w:name w:val="Table Grid"/>
    <w:basedOn w:val="39"/>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2">
    <w:name w:val="Strong"/>
    <w:basedOn w:val="41"/>
    <w:qFormat/>
    <w:uiPriority w:val="0"/>
    <w:rPr>
      <w:b/>
    </w:rPr>
  </w:style>
  <w:style w:type="character" w:styleId="43">
    <w:name w:val="page number"/>
    <w:basedOn w:val="41"/>
    <w:qFormat/>
    <w:uiPriority w:val="0"/>
    <w:rPr>
      <w:rFonts w:ascii="宋体" w:hAnsi="宋体" w:eastAsia="宋体" w:cs="宋体"/>
      <w:kern w:val="2"/>
      <w:sz w:val="24"/>
      <w:szCs w:val="24"/>
      <w:lang w:val="en-US" w:eastAsia="zh-CN" w:bidi="ar-SA"/>
    </w:rPr>
  </w:style>
  <w:style w:type="character" w:styleId="44">
    <w:name w:val="Emphasis"/>
    <w:basedOn w:val="41"/>
    <w:qFormat/>
    <w:uiPriority w:val="0"/>
    <w:rPr>
      <w:i/>
      <w:iCs/>
    </w:rPr>
  </w:style>
  <w:style w:type="character" w:styleId="45">
    <w:name w:val="Hyperlink"/>
    <w:qFormat/>
    <w:uiPriority w:val="99"/>
    <w:rPr>
      <w:rFonts w:ascii="宋体" w:hAnsi="宋体" w:eastAsia="宋体" w:cs="宋体"/>
      <w:color w:val="0000FF"/>
      <w:kern w:val="2"/>
      <w:sz w:val="24"/>
      <w:szCs w:val="24"/>
      <w:u w:val="single"/>
      <w:lang w:val="en-US" w:eastAsia="zh-CN" w:bidi="ar-SA"/>
    </w:rPr>
  </w:style>
  <w:style w:type="character" w:styleId="46">
    <w:name w:val="annotation reference"/>
    <w:basedOn w:val="41"/>
    <w:qFormat/>
    <w:uiPriority w:val="0"/>
    <w:rPr>
      <w:sz w:val="21"/>
      <w:szCs w:val="21"/>
    </w:rPr>
  </w:style>
  <w:style w:type="paragraph" w:customStyle="1" w:styleId="47">
    <w:name w:val="Default"/>
    <w:basedOn w:val="48"/>
    <w:next w:val="1"/>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48">
    <w:name w:val="批注文字1"/>
    <w:qFormat/>
    <w:uiPriority w:val="0"/>
    <w:pPr>
      <w:widowControl w:val="0"/>
    </w:pPr>
    <w:rPr>
      <w:rFonts w:ascii="Times New Roman" w:hAnsi="Times New Roman" w:eastAsia="宋体" w:cs="Times New Roman"/>
      <w:color w:val="000000"/>
      <w:kern w:val="2"/>
      <w:sz w:val="21"/>
      <w:szCs w:val="24"/>
      <w:lang w:val="en-US" w:eastAsia="zh-CN" w:bidi="ar-SA"/>
    </w:rPr>
  </w:style>
  <w:style w:type="paragraph" w:customStyle="1" w:styleId="49">
    <w:name w:val="表文"/>
    <w:basedOn w:val="1"/>
    <w:next w:val="1"/>
    <w:qFormat/>
    <w:uiPriority w:val="0"/>
    <w:pPr>
      <w:overflowPunct w:val="0"/>
      <w:topLinePunct/>
      <w:spacing w:line="320" w:lineRule="exact"/>
      <w:jc w:val="center"/>
      <w:outlineLvl w:val="6"/>
    </w:pPr>
    <w:rPr>
      <w:kern w:val="0"/>
      <w:sz w:val="18"/>
      <w:szCs w:val="18"/>
    </w:rPr>
  </w:style>
  <w:style w:type="paragraph" w:customStyle="1" w:styleId="50">
    <w:name w:val="报告"/>
    <w:basedOn w:val="1"/>
    <w:qFormat/>
    <w:uiPriority w:val="0"/>
    <w:pPr>
      <w:adjustRightInd w:val="0"/>
      <w:spacing w:line="360" w:lineRule="auto"/>
      <w:ind w:firstLine="505"/>
      <w:textAlignment w:val="baseline"/>
    </w:pPr>
    <w:rPr>
      <w:kern w:val="0"/>
      <w:szCs w:val="20"/>
    </w:rPr>
  </w:style>
  <w:style w:type="paragraph" w:customStyle="1" w:styleId="51">
    <w:name w:val="主体"/>
    <w:qFormat/>
    <w:uiPriority w:val="0"/>
    <w:pPr>
      <w:widowControl w:val="0"/>
      <w:autoSpaceDE w:val="0"/>
      <w:autoSpaceDN w:val="0"/>
      <w:spacing w:line="440" w:lineRule="exact"/>
      <w:ind w:firstLine="480" w:firstLineChars="200"/>
      <w:jc w:val="both"/>
    </w:pPr>
    <w:rPr>
      <w:rFonts w:ascii="Times New Roman" w:hAnsi="Times New Roman" w:eastAsia="仿宋_GB2312" w:cs="Times New Roman"/>
      <w:bCs/>
      <w:kern w:val="2"/>
      <w:sz w:val="24"/>
      <w:szCs w:val="24"/>
      <w:lang w:val="en-US" w:eastAsia="zh-CN" w:bidi="ar-SA"/>
    </w:rPr>
  </w:style>
  <w:style w:type="character" w:customStyle="1" w:styleId="52">
    <w:name w:val="fontstyle11"/>
    <w:qFormat/>
    <w:uiPriority w:val="0"/>
    <w:rPr>
      <w:rFonts w:ascii="TimesNewRomanPSMT" w:hAnsi="TimesNewRomanPSMT" w:eastAsia="TimesNewRomanPSMT" w:cs="TimesNewRomanPSMT"/>
      <w:color w:val="000000"/>
      <w:kern w:val="0"/>
      <w:sz w:val="24"/>
      <w:szCs w:val="24"/>
    </w:rPr>
  </w:style>
  <w:style w:type="table" w:customStyle="1" w:styleId="53">
    <w:name w:val="报告表格式新建"/>
    <w:basedOn w:val="39"/>
    <w:qFormat/>
    <w:uiPriority w:val="99"/>
    <w:pPr>
      <w:jc w:val="center"/>
    </w:pPr>
    <w:rPr>
      <w:sz w:val="18"/>
    </w:rPr>
    <w:tblPr>
      <w:tblBorders>
        <w:top w:val="single" w:color="auto" w:sz="12" w:space="0"/>
        <w:bottom w:val="single" w:color="auto" w:sz="12" w:space="0"/>
        <w:insideH w:val="single" w:color="auto" w:sz="8" w:space="0"/>
        <w:insideV w:val="single" w:color="auto" w:sz="8" w:space="0"/>
      </w:tblBorders>
    </w:tblPr>
    <w:tcPr>
      <w:vAlign w:val="center"/>
    </w:tcPr>
  </w:style>
  <w:style w:type="paragraph" w:customStyle="1" w:styleId="54">
    <w:name w:val="样式 首行缩进:  2 字符"/>
    <w:basedOn w:val="1"/>
    <w:qFormat/>
    <w:uiPriority w:val="0"/>
    <w:pPr>
      <w:ind w:right="11" w:firstLine="480" w:firstLineChars="200"/>
    </w:pPr>
    <w:rPr>
      <w:bCs/>
    </w:rPr>
  </w:style>
  <w:style w:type="paragraph" w:customStyle="1" w:styleId="55">
    <w:name w:val="1文章"/>
    <w:basedOn w:val="1"/>
    <w:qFormat/>
    <w:uiPriority w:val="0"/>
    <w:pPr>
      <w:snapToGrid w:val="0"/>
      <w:spacing w:line="360" w:lineRule="auto"/>
      <w:ind w:firstLine="573"/>
    </w:pPr>
    <w:rPr>
      <w:rFonts w:eastAsia="仿宋_GB2312"/>
      <w:sz w:val="28"/>
    </w:rPr>
  </w:style>
  <w:style w:type="paragraph" w:customStyle="1" w:styleId="56">
    <w:name w:val="报告书"/>
    <w:basedOn w:val="1"/>
    <w:qFormat/>
    <w:uiPriority w:val="0"/>
    <w:pPr>
      <w:autoSpaceDE w:val="0"/>
      <w:autoSpaceDN w:val="0"/>
      <w:adjustRightInd w:val="0"/>
      <w:spacing w:line="360" w:lineRule="auto"/>
      <w:ind w:firstLine="480" w:firstLineChars="200"/>
      <w:textAlignment w:val="bottom"/>
    </w:pPr>
    <w:rPr>
      <w:rFonts w:hAnsi="宋体"/>
      <w:bCs/>
      <w:kern w:val="0"/>
    </w:rPr>
  </w:style>
  <w:style w:type="paragraph" w:customStyle="1" w:styleId="57">
    <w:name w:val="填表内容"/>
    <w:basedOn w:val="1"/>
    <w:qFormat/>
    <w:uiPriority w:val="0"/>
    <w:pPr>
      <w:adjustRightInd w:val="0"/>
      <w:jc w:val="center"/>
    </w:pPr>
    <w:rPr>
      <w:kern w:val="0"/>
      <w:sz w:val="21"/>
      <w:szCs w:val="20"/>
    </w:rPr>
  </w:style>
  <w:style w:type="character" w:customStyle="1" w:styleId="58">
    <w:name w:val="fontstyle01"/>
    <w:basedOn w:val="41"/>
    <w:qFormat/>
    <w:uiPriority w:val="0"/>
    <w:rPr>
      <w:rFonts w:ascii="宋体" w:hAnsi="宋体" w:eastAsia="宋体" w:cs="宋体"/>
      <w:color w:val="000000"/>
      <w:kern w:val="0"/>
      <w:sz w:val="24"/>
      <w:szCs w:val="24"/>
    </w:rPr>
  </w:style>
  <w:style w:type="paragraph" w:customStyle="1" w:styleId="59">
    <w:name w:val="xyb自建正文"/>
    <w:basedOn w:val="1"/>
    <w:qFormat/>
    <w:uiPriority w:val="0"/>
    <w:pPr>
      <w:adjustRightInd w:val="0"/>
      <w:snapToGrid w:val="0"/>
      <w:spacing w:line="360" w:lineRule="auto"/>
      <w:ind w:firstLine="480" w:firstLineChars="200"/>
      <w:textAlignment w:val="baseline"/>
    </w:pPr>
    <w:rPr>
      <w:snapToGrid w:val="0"/>
      <w:kern w:val="0"/>
    </w:rPr>
  </w:style>
  <w:style w:type="paragraph" w:customStyle="1" w:styleId="60">
    <w:name w:val="列表段落1"/>
    <w:basedOn w:val="1"/>
    <w:qFormat/>
    <w:uiPriority w:val="0"/>
    <w:pPr>
      <w:ind w:firstLine="420" w:firstLineChars="200"/>
    </w:pPr>
    <w:rPr>
      <w:rFonts w:ascii="Calibri" w:hAnsi="Calibri"/>
      <w:szCs w:val="22"/>
    </w:rPr>
  </w:style>
  <w:style w:type="paragraph" w:customStyle="1" w:styleId="61">
    <w:name w:val="Zw"/>
    <w:basedOn w:val="1"/>
    <w:next w:val="1"/>
    <w:qFormat/>
    <w:uiPriority w:val="0"/>
    <w:pPr>
      <w:spacing w:line="360" w:lineRule="auto"/>
      <w:ind w:firstLine="200" w:firstLineChars="200"/>
    </w:pPr>
    <w:rPr>
      <w:rFonts w:ascii="宋体" w:hAnsi="宋体" w:cs="宋体"/>
    </w:rPr>
  </w:style>
  <w:style w:type="character" w:customStyle="1" w:styleId="62">
    <w:name w:val="fontstyle21"/>
    <w:basedOn w:val="41"/>
    <w:qFormat/>
    <w:uiPriority w:val="0"/>
    <w:rPr>
      <w:rFonts w:ascii="TimesNewRomanPSMT" w:hAnsi="TimesNewRomanPSMT" w:eastAsia="TimesNewRomanPSMT" w:cs="TimesNewRomanPSMT"/>
      <w:color w:val="000000"/>
      <w:kern w:val="0"/>
      <w:sz w:val="24"/>
      <w:szCs w:val="24"/>
    </w:rPr>
  </w:style>
  <w:style w:type="paragraph" w:customStyle="1" w:styleId="63">
    <w:name w:val="样式2"/>
    <w:basedOn w:val="5"/>
    <w:qFormat/>
    <w:uiPriority w:val="0"/>
    <w:pPr>
      <w:tabs>
        <w:tab w:val="left" w:pos="567"/>
      </w:tabs>
      <w:snapToGrid/>
      <w:spacing w:before="156" w:beforeLines="50" w:line="400" w:lineRule="atLeast"/>
      <w:ind w:left="567" w:hanging="567"/>
      <w:jc w:val="left"/>
      <w:textAlignment w:val="baseline"/>
    </w:pPr>
    <w:rPr>
      <w:rFonts w:ascii="Times New Roman" w:hAnsi="Times New Roman" w:eastAsia="宋体"/>
      <w:b w:val="0"/>
      <w:bCs w:val="0"/>
      <w:snapToGrid/>
      <w:kern w:val="2"/>
      <w:szCs w:val="28"/>
    </w:rPr>
  </w:style>
  <w:style w:type="paragraph" w:customStyle="1" w:styleId="64">
    <w:name w:val="报告表格"/>
    <w:basedOn w:val="1"/>
    <w:qFormat/>
    <w:uiPriority w:val="0"/>
    <w:pPr>
      <w:autoSpaceDE w:val="0"/>
      <w:autoSpaceDN w:val="0"/>
      <w:adjustRightInd w:val="0"/>
      <w:spacing w:before="40" w:after="40"/>
      <w:jc w:val="center"/>
      <w:textAlignment w:val="bottom"/>
    </w:pPr>
    <w:rPr>
      <w:kern w:val="0"/>
      <w:sz w:val="21"/>
      <w:szCs w:val="20"/>
    </w:rPr>
  </w:style>
  <w:style w:type="character" w:customStyle="1" w:styleId="65">
    <w:name w:val="正文缩进 字符"/>
    <w:link w:val="9"/>
    <w:qFormat/>
    <w:uiPriority w:val="0"/>
    <w:rPr>
      <w:szCs w:val="20"/>
    </w:rPr>
  </w:style>
  <w:style w:type="paragraph" w:customStyle="1" w:styleId="66">
    <w:name w:val="表格标题"/>
    <w:basedOn w:val="67"/>
    <w:next w:val="1"/>
    <w:qFormat/>
    <w:uiPriority w:val="0"/>
    <w:pPr>
      <w:spacing w:before="120"/>
    </w:pPr>
    <w:rPr>
      <w:rFonts w:eastAsia="仿宋_GB2312"/>
    </w:rPr>
  </w:style>
  <w:style w:type="paragraph" w:customStyle="1" w:styleId="67">
    <w:name w:val="表格内容"/>
    <w:basedOn w:val="9"/>
    <w:next w:val="1"/>
    <w:qFormat/>
    <w:uiPriority w:val="0"/>
    <w:pPr>
      <w:spacing w:line="360" w:lineRule="auto"/>
      <w:jc w:val="center"/>
    </w:pPr>
    <w:rPr>
      <w:color w:val="000000"/>
    </w:rPr>
  </w:style>
  <w:style w:type="paragraph" w:customStyle="1" w:styleId="68">
    <w:name w:val="表格文字2"/>
    <w:basedOn w:val="69"/>
    <w:qFormat/>
    <w:uiPriority w:val="0"/>
    <w:pPr>
      <w:tabs>
        <w:tab w:val="left" w:pos="7590"/>
      </w:tabs>
      <w:spacing w:before="60"/>
    </w:pPr>
  </w:style>
  <w:style w:type="paragraph" w:customStyle="1" w:styleId="69">
    <w:name w:val="表格文字"/>
    <w:basedOn w:val="1"/>
    <w:next w:val="1"/>
    <w:qFormat/>
    <w:uiPriority w:val="99"/>
    <w:pPr>
      <w:tabs>
        <w:tab w:val="left" w:pos="7590"/>
      </w:tabs>
      <w:snapToGrid w:val="0"/>
      <w:jc w:val="center"/>
    </w:pPr>
    <w:rPr>
      <w:sz w:val="21"/>
      <w:lang w:val="zh-CN"/>
    </w:rPr>
  </w:style>
  <w:style w:type="paragraph" w:customStyle="1" w:styleId="70">
    <w:name w:val="标题1"/>
    <w:basedOn w:val="1"/>
    <w:next w:val="1"/>
    <w:qFormat/>
    <w:uiPriority w:val="0"/>
    <w:pPr>
      <w:spacing w:line="500" w:lineRule="exact"/>
    </w:pPr>
    <w:rPr>
      <w:rFonts w:eastAsia="楷体_GB2312"/>
      <w:b/>
      <w:color w:val="000000"/>
      <w:spacing w:val="10"/>
      <w:sz w:val="28"/>
    </w:rPr>
  </w:style>
  <w:style w:type="paragraph" w:customStyle="1" w:styleId="71">
    <w:name w:val="正文-蓝色"/>
    <w:basedOn w:val="72"/>
    <w:qFormat/>
    <w:uiPriority w:val="0"/>
    <w:pPr>
      <w:ind w:firstLine="480"/>
    </w:pPr>
    <w:rPr>
      <w:color w:val="0000FF"/>
    </w:rPr>
  </w:style>
  <w:style w:type="paragraph" w:customStyle="1" w:styleId="72">
    <w:name w:val="正文-欣欣"/>
    <w:basedOn w:val="1"/>
    <w:next w:val="1"/>
    <w:qFormat/>
    <w:uiPriority w:val="0"/>
    <w:pPr>
      <w:ind w:firstLine="200" w:firstLineChars="200"/>
    </w:pPr>
    <w:rPr>
      <w:rFonts w:cs="Courier New"/>
      <w:szCs w:val="21"/>
    </w:rPr>
  </w:style>
  <w:style w:type="paragraph" w:customStyle="1" w:styleId="73">
    <w:name w:val="表格中文字"/>
    <w:basedOn w:val="1"/>
    <w:qFormat/>
    <w:uiPriority w:val="0"/>
    <w:pPr>
      <w:adjustRightInd w:val="0"/>
      <w:snapToGrid w:val="0"/>
      <w:spacing w:line="360" w:lineRule="atLeast"/>
      <w:jc w:val="center"/>
      <w:textAlignment w:val="baseline"/>
    </w:pPr>
    <w:rPr>
      <w:kern w:val="18"/>
      <w:sz w:val="21"/>
    </w:rPr>
  </w:style>
  <w:style w:type="character" w:customStyle="1" w:styleId="74">
    <w:name w:val="批注文字 字符"/>
    <w:basedOn w:val="41"/>
    <w:link w:val="13"/>
    <w:qFormat/>
    <w:uiPriority w:val="0"/>
    <w:rPr>
      <w:kern w:val="2"/>
      <w:sz w:val="24"/>
      <w:szCs w:val="24"/>
    </w:rPr>
  </w:style>
  <w:style w:type="character" w:customStyle="1" w:styleId="75">
    <w:name w:val="批注主题 字符"/>
    <w:basedOn w:val="74"/>
    <w:link w:val="37"/>
    <w:qFormat/>
    <w:uiPriority w:val="0"/>
    <w:rPr>
      <w:b/>
      <w:bCs/>
      <w:kern w:val="2"/>
      <w:sz w:val="24"/>
      <w:szCs w:val="24"/>
    </w:rPr>
  </w:style>
  <w:style w:type="paragraph" w:customStyle="1" w:styleId="76">
    <w:name w:val="WPSOffice手动目录 1"/>
    <w:qFormat/>
    <w:uiPriority w:val="0"/>
    <w:pPr>
      <w:ind w:leftChars="0"/>
    </w:pPr>
    <w:rPr>
      <w:rFonts w:ascii="Times New Roman" w:hAnsi="Times New Roman" w:eastAsia="宋体" w:cs="Times New Roman"/>
      <w:sz w:val="20"/>
      <w:szCs w:val="20"/>
    </w:rPr>
  </w:style>
  <w:style w:type="paragraph" w:customStyle="1" w:styleId="77">
    <w:name w:val="WPSOffice手动目录 2"/>
    <w:qFormat/>
    <w:uiPriority w:val="0"/>
    <w:pPr>
      <w:ind w:leftChars="200"/>
    </w:pPr>
    <w:rPr>
      <w:rFonts w:ascii="Times New Roman" w:hAnsi="Times New Roman" w:eastAsia="宋体" w:cs="Times New Roman"/>
      <w:sz w:val="20"/>
      <w:szCs w:val="20"/>
    </w:rPr>
  </w:style>
  <w:style w:type="paragraph" w:customStyle="1" w:styleId="78">
    <w:name w:val="正文文本缩进1"/>
    <w:basedOn w:val="1"/>
    <w:qFormat/>
    <w:uiPriority w:val="0"/>
    <w:pPr>
      <w:spacing w:after="120"/>
      <w:ind w:left="420" w:leftChars="200"/>
    </w:pPr>
    <w:rPr>
      <w:kern w:val="0"/>
      <w:sz w:val="20"/>
    </w:rPr>
  </w:style>
  <w:style w:type="character" w:customStyle="1" w:styleId="79">
    <w:name w:val="标题 1 Char"/>
    <w:link w:val="4"/>
    <w:qFormat/>
    <w:uiPriority w:val="0"/>
    <w:rPr>
      <w:rFonts w:ascii="黑体" w:hAnsi="黑体" w:eastAsia="黑体"/>
      <w:b/>
      <w:snapToGrid w:val="0"/>
      <w:color w:val="000000"/>
      <w:sz w:val="32"/>
    </w:rPr>
  </w:style>
  <w:style w:type="paragraph" w:customStyle="1" w:styleId="80">
    <w:name w:val="No Spacing1"/>
    <w:qFormat/>
    <w:uiPriority w:val="0"/>
    <w:pPr>
      <w:widowControl w:val="0"/>
      <w:contextualSpacing/>
      <w:jc w:val="center"/>
    </w:pPr>
    <w:rPr>
      <w:rFonts w:ascii="Times New Roman" w:hAnsi="Times New Roman" w:eastAsia="宋体" w:cs="Times New Roman"/>
      <w:sz w:val="21"/>
      <w:szCs w:val="24"/>
      <w:lang w:val="en-US" w:eastAsia="zh-CN" w:bidi="ar-SA"/>
    </w:rPr>
  </w:style>
  <w:style w:type="paragraph" w:styleId="81">
    <w:name w:val="No Spacing"/>
    <w:basedOn w:val="1"/>
    <w:next w:val="82"/>
    <w:qFormat/>
    <w:uiPriority w:val="1"/>
    <w:pPr>
      <w:widowControl w:val="0"/>
      <w:spacing w:line="340" w:lineRule="exact"/>
      <w:jc w:val="center"/>
    </w:pPr>
    <w:rPr>
      <w:rFonts w:ascii="Times New Roman" w:hAnsi="Times New Roman" w:eastAsia="宋体" w:cs="Times New Roman"/>
      <w:kern w:val="2"/>
      <w:sz w:val="21"/>
      <w:szCs w:val="24"/>
      <w:lang w:val="en-US" w:eastAsia="zh-CN" w:bidi="ar-SA"/>
    </w:rPr>
  </w:style>
  <w:style w:type="paragraph" w:customStyle="1" w:styleId="82">
    <w:name w:val="书正文"/>
    <w:basedOn w:val="1"/>
    <w:qFormat/>
    <w:uiPriority w:val="0"/>
    <w:pPr>
      <w:ind w:firstLine="480"/>
      <w:jc w:val="both"/>
    </w:pPr>
    <w:rPr>
      <w:rFonts w:ascii="Times New Roman" w:hAnsi="Times New Roman" w:eastAsia="宋体"/>
      <w:color w:val="000000"/>
      <w:sz w:val="24"/>
      <w:szCs w:val="22"/>
      <w:shd w:val="clear" w:color="auto" w:fill="FFFFFF"/>
    </w:rPr>
  </w:style>
  <w:style w:type="character" w:customStyle="1" w:styleId="83">
    <w:name w:val="font61"/>
    <w:basedOn w:val="41"/>
    <w:qFormat/>
    <w:uiPriority w:val="0"/>
    <w:rPr>
      <w:rFonts w:hint="eastAsia" w:ascii="宋体" w:hAnsi="宋体" w:eastAsia="宋体" w:cs="宋体"/>
      <w:color w:val="000000"/>
      <w:sz w:val="20"/>
      <w:szCs w:val="20"/>
      <w:u w:val="none"/>
    </w:rPr>
  </w:style>
  <w:style w:type="paragraph" w:customStyle="1" w:styleId="84">
    <w:name w:val="表头"/>
    <w:basedOn w:val="66"/>
    <w:next w:val="1"/>
    <w:qFormat/>
    <w:uiPriority w:val="0"/>
    <w:pPr>
      <w:widowControl/>
      <w:ind w:firstLine="0" w:firstLineChars="0"/>
      <w:jc w:val="center"/>
    </w:pPr>
    <w:rPr>
      <w:b/>
      <w:kern w:val="0"/>
      <w:sz w:val="20"/>
      <w:szCs w:val="20"/>
    </w:rPr>
  </w:style>
  <w:style w:type="paragraph" w:customStyle="1" w:styleId="85">
    <w:name w:val="0表格"/>
    <w:basedOn w:val="1"/>
    <w:qFormat/>
    <w:uiPriority w:val="0"/>
    <w:pPr>
      <w:widowControl/>
      <w:jc w:val="center"/>
    </w:pPr>
    <w:rPr>
      <w:kern w:val="0"/>
      <w:szCs w:val="21"/>
    </w:rPr>
  </w:style>
  <w:style w:type="character" w:customStyle="1" w:styleId="86">
    <w:name w:val="标题 5 Char"/>
    <w:link w:val="8"/>
    <w:qFormat/>
    <w:uiPriority w:val="0"/>
    <w:rPr>
      <w:b/>
      <w:bCs/>
      <w:sz w:val="21"/>
      <w:szCs w:val="28"/>
    </w:rPr>
  </w:style>
  <w:style w:type="paragraph" w:customStyle="1" w:styleId="87">
    <w:name w:val="【表头】"/>
    <w:basedOn w:val="1"/>
    <w:qFormat/>
    <w:uiPriority w:val="0"/>
    <w:pPr>
      <w:snapToGrid w:val="0"/>
      <w:jc w:val="center"/>
    </w:pPr>
    <w:rPr>
      <w:rFonts w:ascii="Times New Roman" w:hAnsi="Times New Roman" w:eastAsia="黑体"/>
      <w:b/>
      <w:spacing w:val="4"/>
      <w:kern w:val="0"/>
      <w:sz w:val="24"/>
      <w:szCs w:val="24"/>
      <w:lang w:val="zh-CN"/>
    </w:rPr>
  </w:style>
  <w:style w:type="paragraph" w:customStyle="1" w:styleId="88">
    <w:name w:val="【表中文字】"/>
    <w:basedOn w:val="1"/>
    <w:qFormat/>
    <w:uiPriority w:val="0"/>
    <w:pPr>
      <w:adjustRightInd w:val="0"/>
      <w:snapToGrid w:val="0"/>
      <w:jc w:val="center"/>
    </w:pPr>
    <w:rPr>
      <w:kern w:val="0"/>
      <w:sz w:val="20"/>
      <w:szCs w:val="20"/>
    </w:rPr>
  </w:style>
  <w:style w:type="paragraph" w:customStyle="1" w:styleId="89">
    <w:name w:val="报告表正文"/>
    <w:basedOn w:val="1"/>
    <w:qFormat/>
    <w:uiPriority w:val="0"/>
    <w:pPr>
      <w:adjustRightInd w:val="0"/>
      <w:spacing w:line="312" w:lineRule="auto"/>
      <w:ind w:left="113" w:right="113" w:firstLine="482"/>
      <w:jc w:val="left"/>
      <w:textAlignment w:val="baseline"/>
    </w:pPr>
    <w:rPr>
      <w:kern w:val="0"/>
      <w:szCs w:val="20"/>
    </w:rPr>
  </w:style>
  <w:style w:type="paragraph" w:customStyle="1" w:styleId="90">
    <w:name w:val="纯文本1"/>
    <w:basedOn w:val="1"/>
    <w:qFormat/>
    <w:uiPriority w:val="0"/>
    <w:rPr>
      <w:rFonts w:ascii="宋体" w:hAnsi="Courier New"/>
      <w:kern w:val="0"/>
      <w:sz w:val="20"/>
      <w:szCs w:val="20"/>
    </w:rPr>
  </w:style>
  <w:style w:type="paragraph" w:customStyle="1" w:styleId="91">
    <w:name w:val="p0"/>
    <w:basedOn w:val="1"/>
    <w:qFormat/>
    <w:uiPriority w:val="0"/>
    <w:pPr>
      <w:widowControl/>
      <w:spacing w:before="100" w:beforeAutospacing="1" w:after="100" w:afterAutospacing="1"/>
      <w:jc w:val="left"/>
    </w:pPr>
    <w:rPr>
      <w:rFonts w:ascii="宋体" w:hAnsi="宋体" w:cs="宋体"/>
      <w:kern w:val="0"/>
    </w:rPr>
  </w:style>
  <w:style w:type="paragraph" w:customStyle="1" w:styleId="92">
    <w:name w:val="表头样式"/>
    <w:basedOn w:val="1"/>
    <w:qFormat/>
    <w:uiPriority w:val="0"/>
    <w:pPr>
      <w:spacing w:beforeLines="50" w:afterLines="50"/>
      <w:jc w:val="center"/>
    </w:pPr>
    <w:rPr>
      <w:b/>
      <w:szCs w:val="21"/>
    </w:rPr>
  </w:style>
  <w:style w:type="paragraph" w:customStyle="1" w:styleId="93">
    <w:name w:val="正文01"/>
    <w:basedOn w:val="1"/>
    <w:link w:val="119"/>
    <w:qFormat/>
    <w:uiPriority w:val="0"/>
    <w:pPr>
      <w:ind w:firstLine="482"/>
    </w:pPr>
    <w:rPr>
      <w:szCs w:val="20"/>
    </w:rPr>
  </w:style>
  <w:style w:type="paragraph" w:customStyle="1" w:styleId="94">
    <w:name w:val="【正文】"/>
    <w:basedOn w:val="1"/>
    <w:qFormat/>
    <w:uiPriority w:val="0"/>
    <w:pPr>
      <w:spacing w:line="440" w:lineRule="exact"/>
      <w:ind w:firstLine="544" w:firstLineChars="200"/>
    </w:pPr>
    <w:rPr>
      <w:sz w:val="24"/>
      <w:szCs w:val="20"/>
    </w:rPr>
  </w:style>
  <w:style w:type="paragraph" w:customStyle="1" w:styleId="95">
    <w:name w:val="fcc正文"/>
    <w:basedOn w:val="1"/>
    <w:qFormat/>
    <w:uiPriority w:val="0"/>
    <w:pPr>
      <w:ind w:firstLine="200" w:firstLineChars="200"/>
    </w:pPr>
    <w:rPr>
      <w:rFonts w:ascii="Calibri" w:hAnsi="Calibri" w:cs="Times New Roman"/>
      <w:szCs w:val="20"/>
      <w:lang w:val="zh-CN"/>
    </w:rPr>
  </w:style>
  <w:style w:type="character" w:customStyle="1" w:styleId="96">
    <w:name w:val="页码1"/>
    <w:basedOn w:val="41"/>
    <w:qFormat/>
    <w:uiPriority w:val="0"/>
  </w:style>
  <w:style w:type="paragraph" w:customStyle="1" w:styleId="97">
    <w:name w:val="样式 样式 (西文) 宋体 (中文) 仿宋_GB2312 小四 + 首行缩进:  2 字符 行距: 最小值 12 磅"/>
    <w:basedOn w:val="1"/>
    <w:qFormat/>
    <w:uiPriority w:val="0"/>
    <w:pPr>
      <w:spacing w:line="240" w:lineRule="atLeast"/>
      <w:ind w:firstLine="640" w:firstLineChars="200"/>
      <w:jc w:val="left"/>
    </w:pPr>
    <w:rPr>
      <w:rFonts w:ascii="仿宋_GB2312" w:eastAsia="仿宋_GB2312"/>
      <w:b/>
      <w:color w:val="000000"/>
      <w:sz w:val="30"/>
      <w:szCs w:val="28"/>
    </w:rPr>
  </w:style>
  <w:style w:type="paragraph" w:customStyle="1" w:styleId="98">
    <w:name w:val="Normal (Web)"/>
    <w:basedOn w:val="1"/>
    <w:qFormat/>
    <w:uiPriority w:val="0"/>
    <w:pPr>
      <w:spacing w:before="100" w:beforeAutospacing="1" w:after="100" w:afterAutospacing="1"/>
    </w:pPr>
    <w:rPr>
      <w:rFonts w:ascii="宋体" w:hAnsi="宋体" w:cs="宋体"/>
      <w:sz w:val="24"/>
    </w:rPr>
  </w:style>
  <w:style w:type="paragraph" w:customStyle="1" w:styleId="99">
    <w:name w:val="List Paragraph"/>
    <w:basedOn w:val="1"/>
    <w:next w:val="1"/>
    <w:uiPriority w:val="0"/>
    <w:pPr>
      <w:autoSpaceDE w:val="0"/>
      <w:autoSpaceDN w:val="0"/>
      <w:jc w:val="center"/>
    </w:pPr>
    <w:rPr>
      <w:szCs w:val="20"/>
    </w:rPr>
  </w:style>
  <w:style w:type="paragraph" w:customStyle="1" w:styleId="100">
    <w:name w:val="样式3"/>
    <w:basedOn w:val="9"/>
    <w:qFormat/>
    <w:uiPriority w:val="0"/>
    <w:pPr>
      <w:snapToGrid/>
      <w:spacing w:line="520" w:lineRule="atLeast"/>
      <w:ind w:firstLine="560"/>
      <w:jc w:val="left"/>
    </w:pPr>
    <w:rPr>
      <w:kern w:val="0"/>
      <w:sz w:val="28"/>
    </w:rPr>
  </w:style>
  <w:style w:type="paragraph" w:customStyle="1" w:styleId="101">
    <w:name w:val="正文-1"/>
    <w:link w:val="174"/>
    <w:qFormat/>
    <w:uiPriority w:val="0"/>
    <w:pPr>
      <w:spacing w:line="480" w:lineRule="exact"/>
      <w:ind w:firstLine="200" w:firstLineChars="200"/>
      <w:jc w:val="both"/>
    </w:pPr>
    <w:rPr>
      <w:rFonts w:ascii="Times New Roman" w:hAnsi="Times New Roman" w:eastAsia="宋体" w:cs="宋体"/>
      <w:kern w:val="2"/>
      <w:sz w:val="24"/>
      <w:lang w:val="en-US" w:eastAsia="zh-CN" w:bidi="ar-SA"/>
    </w:rPr>
  </w:style>
  <w:style w:type="paragraph" w:customStyle="1" w:styleId="102">
    <w:name w:val="表题"/>
    <w:basedOn w:val="29"/>
    <w:next w:val="103"/>
    <w:link w:val="171"/>
    <w:qFormat/>
    <w:uiPriority w:val="0"/>
    <w:pPr>
      <w:spacing w:line="480" w:lineRule="exact"/>
      <w:jc w:val="center"/>
    </w:pPr>
    <w:rPr>
      <w:rFonts w:ascii="Times New Roman" w:hAnsi="宋体" w:eastAsia="宋体" w:cs="Times New Roman"/>
      <w:b/>
      <w:kern w:val="2"/>
      <w:sz w:val="21"/>
      <w:szCs w:val="24"/>
      <w:lang w:val="en-US" w:eastAsia="zh-CN" w:bidi="ar-SA"/>
    </w:rPr>
  </w:style>
  <w:style w:type="paragraph" w:customStyle="1" w:styleId="103">
    <w:name w:val="表格"/>
    <w:basedOn w:val="29"/>
    <w:next w:val="1"/>
    <w:qFormat/>
    <w:uiPriority w:val="0"/>
    <w:pPr>
      <w:autoSpaceDE w:val="0"/>
      <w:autoSpaceDN w:val="0"/>
      <w:adjustRightInd w:val="0"/>
      <w:snapToGrid w:val="0"/>
      <w:spacing w:line="280" w:lineRule="exact"/>
      <w:jc w:val="center"/>
    </w:pPr>
    <w:rPr>
      <w:rFonts w:ascii="仿宋_GB2312" w:eastAsia="仿宋_GB2312"/>
      <w:kern w:val="0"/>
      <w:szCs w:val="20"/>
    </w:rPr>
  </w:style>
  <w:style w:type="paragraph" w:customStyle="1" w:styleId="104">
    <w:name w:val="-正文"/>
    <w:basedOn w:val="1"/>
    <w:link w:val="172"/>
    <w:qFormat/>
    <w:uiPriority w:val="0"/>
    <w:pPr>
      <w:widowControl w:val="0"/>
      <w:spacing w:line="480" w:lineRule="exact"/>
      <w:ind w:firstLine="200" w:firstLineChars="200"/>
      <w:jc w:val="both"/>
    </w:pPr>
    <w:rPr>
      <w:rFonts w:cs="宋体"/>
      <w:kern w:val="2"/>
      <w:sz w:val="24"/>
    </w:rPr>
  </w:style>
  <w:style w:type="paragraph" w:customStyle="1" w:styleId="105">
    <w:name w:val="-表格"/>
    <w:basedOn w:val="1"/>
    <w:next w:val="1"/>
    <w:uiPriority w:val="0"/>
    <w:pPr>
      <w:widowControl/>
      <w:tabs>
        <w:tab w:val="left" w:pos="3696"/>
      </w:tabs>
      <w:jc w:val="center"/>
    </w:pPr>
    <w:rPr>
      <w:rFonts w:ascii="宋体" w:hAnsi="宋体" w:cs="宋体"/>
      <w:snapToGrid w:val="0"/>
      <w:szCs w:val="20"/>
    </w:rPr>
  </w:style>
  <w:style w:type="paragraph" w:customStyle="1" w:styleId="106">
    <w:name w:val="GTR报告书表头"/>
    <w:basedOn w:val="1"/>
    <w:qFormat/>
    <w:uiPriority w:val="0"/>
    <w:pPr>
      <w:spacing w:line="500" w:lineRule="exact"/>
      <w:jc w:val="center"/>
    </w:pPr>
    <w:rPr>
      <w:rFonts w:eastAsia="黑体"/>
    </w:rPr>
  </w:style>
  <w:style w:type="paragraph" w:customStyle="1" w:styleId="107">
    <w:name w:val="GTR表格内容"/>
    <w:basedOn w:val="106"/>
    <w:qFormat/>
    <w:uiPriority w:val="0"/>
    <w:pPr>
      <w:spacing w:line="240" w:lineRule="auto"/>
    </w:pPr>
    <w:rPr>
      <w:rFonts w:eastAsia="宋体"/>
    </w:rPr>
  </w:style>
  <w:style w:type="paragraph" w:customStyle="1" w:styleId="108">
    <w:name w:val="小四正文格式"/>
    <w:basedOn w:val="1"/>
    <w:qFormat/>
    <w:uiPriority w:val="0"/>
    <w:pPr>
      <w:spacing w:line="360" w:lineRule="auto"/>
      <w:ind w:firstLine="200" w:firstLineChars="200"/>
    </w:pPr>
    <w:rPr>
      <w:rFonts w:ascii="宋体" w:hAnsi="宋体"/>
      <w:sz w:val="24"/>
    </w:rPr>
  </w:style>
  <w:style w:type="paragraph" w:customStyle="1" w:styleId="109">
    <w:name w:val="表中正文居中"/>
    <w:semiHidden/>
    <w:qFormat/>
    <w:uiPriority w:val="0"/>
    <w:pPr>
      <w:spacing w:before="120" w:after="156" w:line="240" w:lineRule="exact"/>
      <w:jc w:val="center"/>
    </w:pPr>
    <w:rPr>
      <w:rFonts w:ascii="宋体" w:hAnsi="Times New Roman" w:eastAsia="宋体" w:cs="Times New Roman"/>
      <w:kern w:val="2"/>
      <w:sz w:val="21"/>
      <w:lang w:val="en-US" w:eastAsia="zh-CN" w:bidi="ar-SA"/>
    </w:rPr>
  </w:style>
  <w:style w:type="paragraph" w:customStyle="1" w:styleId="110">
    <w:name w:val="表标题"/>
    <w:basedOn w:val="1"/>
    <w:next w:val="1"/>
    <w:semiHidden/>
    <w:qFormat/>
    <w:uiPriority w:val="0"/>
    <w:pPr>
      <w:adjustRightInd w:val="0"/>
      <w:jc w:val="center"/>
      <w:textAlignment w:val="baseline"/>
    </w:pPr>
    <w:rPr>
      <w:b/>
      <w:bCs/>
      <w:sz w:val="24"/>
      <w:szCs w:val="20"/>
    </w:rPr>
  </w:style>
  <w:style w:type="paragraph" w:customStyle="1" w:styleId="111">
    <w:name w:val="表格式"/>
    <w:qFormat/>
    <w:uiPriority w:val="0"/>
    <w:pPr>
      <w:spacing w:before="156" w:beforeLines="50" w:after="156" w:afterLines="50" w:line="240" w:lineRule="exact"/>
      <w:jc w:val="center"/>
    </w:pPr>
    <w:rPr>
      <w:rFonts w:ascii="Times New Roman" w:hAnsi="Times New Roman" w:eastAsia="宋体" w:cs="Times New Roman"/>
      <w:lang w:val="en-US" w:eastAsia="zh-CN" w:bidi="ar-SA"/>
    </w:rPr>
  </w:style>
  <w:style w:type="paragraph" w:customStyle="1" w:styleId="112">
    <w:name w:val=" Char Char Char Char Char Char Char Char Char1 Char Char Char Char"/>
    <w:basedOn w:val="1"/>
    <w:qFormat/>
    <w:uiPriority w:val="0"/>
    <w:rPr>
      <w:sz w:val="24"/>
    </w:rPr>
  </w:style>
  <w:style w:type="paragraph" w:customStyle="1" w:styleId="113">
    <w:name w:val="报告正文"/>
    <w:basedOn w:val="1"/>
    <w:link w:val="128"/>
    <w:semiHidden/>
    <w:qFormat/>
    <w:uiPriority w:val="0"/>
    <w:pPr>
      <w:adjustRightInd w:val="0"/>
      <w:snapToGrid w:val="0"/>
      <w:spacing w:line="480" w:lineRule="exact"/>
      <w:ind w:firstLine="560" w:firstLineChars="200"/>
    </w:pPr>
    <w:rPr>
      <w:sz w:val="28"/>
    </w:rPr>
  </w:style>
  <w:style w:type="paragraph" w:customStyle="1" w:styleId="114">
    <w:name w:val="常用正文样式"/>
    <w:basedOn w:val="1"/>
    <w:uiPriority w:val="0"/>
    <w:pPr>
      <w:spacing w:line="360" w:lineRule="auto"/>
      <w:ind w:firstLine="480" w:firstLineChars="200"/>
    </w:pPr>
    <w:rPr>
      <w:rFonts w:ascii="宋体" w:hAnsi="宋体" w:eastAsia="仿宋_GB2312" w:cs="宋体"/>
      <w:bCs/>
      <w:kern w:val="28"/>
      <w:sz w:val="24"/>
    </w:rPr>
  </w:style>
  <w:style w:type="paragraph" w:customStyle="1" w:styleId="115">
    <w:name w:val="样式4"/>
    <w:basedOn w:val="1"/>
    <w:next w:val="1"/>
    <w:qFormat/>
    <w:uiPriority w:val="0"/>
    <w:pPr>
      <w:spacing w:line="440" w:lineRule="exact"/>
    </w:pPr>
    <w:rPr>
      <w:sz w:val="24"/>
      <w:szCs w:val="20"/>
    </w:rPr>
  </w:style>
  <w:style w:type="paragraph" w:customStyle="1" w:styleId="116">
    <w:name w:val="表格头"/>
    <w:basedOn w:val="1"/>
    <w:qFormat/>
    <w:uiPriority w:val="0"/>
    <w:pPr>
      <w:widowControl w:val="0"/>
      <w:jc w:val="center"/>
    </w:pPr>
    <w:rPr>
      <w:rFonts w:ascii="黑体" w:hAnsi="黑体"/>
      <w:b/>
      <w:sz w:val="21"/>
      <w:szCs w:val="24"/>
    </w:rPr>
  </w:style>
  <w:style w:type="paragraph" w:customStyle="1" w:styleId="117">
    <w:name w:val="-表题"/>
    <w:next w:val="104"/>
    <w:qFormat/>
    <w:uiPriority w:val="0"/>
    <w:pPr>
      <w:spacing w:line="480" w:lineRule="exact"/>
      <w:jc w:val="center"/>
    </w:pPr>
    <w:rPr>
      <w:rFonts w:ascii="Times New Roman" w:hAnsi="Times New Roman" w:eastAsia="宋体" w:cs="Times New Roman"/>
      <w:b/>
      <w:kern w:val="2"/>
      <w:sz w:val="21"/>
      <w:szCs w:val="24"/>
      <w:lang w:val="en-US" w:eastAsia="zh-CN" w:bidi="ar-SA"/>
    </w:rPr>
  </w:style>
  <w:style w:type="paragraph" w:customStyle="1" w:styleId="118">
    <w:name w:val="表中文字"/>
    <w:basedOn w:val="1"/>
    <w:qFormat/>
    <w:uiPriority w:val="0"/>
    <w:pPr>
      <w:widowControl w:val="0"/>
      <w:spacing w:line="300" w:lineRule="exact"/>
      <w:jc w:val="center"/>
    </w:pPr>
    <w:rPr>
      <w:color w:val="000000"/>
      <w:kern w:val="2"/>
      <w:sz w:val="21"/>
      <w:szCs w:val="24"/>
    </w:rPr>
  </w:style>
  <w:style w:type="character" w:customStyle="1" w:styleId="119">
    <w:name w:val="正文01 Char"/>
    <w:link w:val="93"/>
    <w:qFormat/>
    <w:uiPriority w:val="0"/>
    <w:rPr>
      <w:szCs w:val="20"/>
    </w:rPr>
  </w:style>
  <w:style w:type="paragraph" w:customStyle="1" w:styleId="120">
    <w:name w:val="表内容"/>
    <w:basedOn w:val="1"/>
    <w:next w:val="1"/>
    <w:qFormat/>
    <w:uiPriority w:val="0"/>
    <w:pPr>
      <w:jc w:val="center"/>
    </w:pPr>
    <w:rPr>
      <w:sz w:val="21"/>
      <w:szCs w:val="21"/>
    </w:rPr>
  </w:style>
  <w:style w:type="paragraph" w:customStyle="1" w:styleId="121">
    <w:name w:val="表格文字内容"/>
    <w:basedOn w:val="1"/>
    <w:qFormat/>
    <w:uiPriority w:val="0"/>
    <w:pPr>
      <w:spacing w:line="240" w:lineRule="exact"/>
      <w:jc w:val="center"/>
    </w:pPr>
    <w:rPr>
      <w:rFonts w:hAnsi="宋体"/>
      <w:sz w:val="18"/>
    </w:rPr>
  </w:style>
  <w:style w:type="paragraph" w:customStyle="1" w:styleId="122">
    <w:name w:val="报告正文scu"/>
    <w:qFormat/>
    <w:uiPriority w:val="0"/>
    <w:pPr>
      <w:widowControl w:val="0"/>
      <w:adjustRightInd w:val="0"/>
      <w:snapToGrid w:val="0"/>
      <w:spacing w:line="500" w:lineRule="exact"/>
      <w:ind w:firstLine="200" w:firstLineChars="200"/>
      <w:jc w:val="both"/>
    </w:pPr>
    <w:rPr>
      <w:rFonts w:ascii="Times New Roman" w:hAnsi="Times New Roman" w:eastAsia="宋体" w:cs="Times New Roman"/>
      <w:sz w:val="24"/>
      <w:szCs w:val="24"/>
      <w:lang w:val="en-US" w:eastAsia="zh-CN" w:bidi="ar-SA"/>
    </w:rPr>
  </w:style>
  <w:style w:type="paragraph" w:customStyle="1" w:styleId="123">
    <w:name w:val="_Style 1"/>
    <w:qFormat/>
    <w:uiPriority w:val="99"/>
    <w:pPr>
      <w:widowControl w:val="0"/>
      <w:jc w:val="both"/>
    </w:pPr>
    <w:rPr>
      <w:rFonts w:ascii="Times New Roman" w:hAnsi="Times New Roman" w:eastAsia="宋体" w:cs="Times New Roman"/>
      <w:bCs/>
      <w:sz w:val="24"/>
      <w:szCs w:val="24"/>
      <w:lang w:val="en-US" w:eastAsia="zh-CN" w:bidi="ar-SA"/>
    </w:rPr>
  </w:style>
  <w:style w:type="paragraph" w:customStyle="1" w:styleId="124">
    <w:name w:val="CM13"/>
    <w:basedOn w:val="47"/>
    <w:qFormat/>
    <w:uiPriority w:val="0"/>
    <w:rPr>
      <w:color w:val="auto"/>
    </w:rPr>
  </w:style>
  <w:style w:type="paragraph" w:customStyle="1" w:styleId="125">
    <w:name w:val="表格字体"/>
    <w:qFormat/>
    <w:uiPriority w:val="0"/>
    <w:pPr>
      <w:keepNext/>
      <w:keepLines/>
      <w:jc w:val="center"/>
    </w:pPr>
    <w:rPr>
      <w:rFonts w:ascii="Times New Roman" w:hAnsi="Times New Roman" w:eastAsia="宋体" w:cs="Times New Roman"/>
      <w:kern w:val="2"/>
      <w:sz w:val="21"/>
      <w:szCs w:val="24"/>
      <w:lang w:val="en-US" w:eastAsia="zh-CN" w:bidi="ar-SA"/>
    </w:rPr>
  </w:style>
  <w:style w:type="paragraph" w:customStyle="1" w:styleId="126">
    <w:name w:val="4"/>
    <w:basedOn w:val="1"/>
    <w:next w:val="3"/>
    <w:qFormat/>
    <w:uiPriority w:val="0"/>
    <w:pPr>
      <w:ind w:firstLine="540"/>
    </w:pPr>
    <w:rPr>
      <w:rFonts w:ascii="宋体"/>
      <w:sz w:val="28"/>
      <w:szCs w:val="20"/>
    </w:rPr>
  </w:style>
  <w:style w:type="paragraph" w:customStyle="1" w:styleId="127">
    <w:name w:val="CM3"/>
    <w:qFormat/>
    <w:uiPriority w:val="0"/>
    <w:pPr>
      <w:widowControl w:val="0"/>
      <w:autoSpaceDE w:val="0"/>
      <w:autoSpaceDN w:val="0"/>
      <w:adjustRightInd w:val="0"/>
      <w:spacing w:line="500" w:lineRule="atLeast"/>
    </w:pPr>
    <w:rPr>
      <w:rFonts w:hint="eastAsia" w:ascii="宋体" w:hAnsi="Calibri" w:eastAsia="宋体" w:cs="Times New Roman"/>
      <w:sz w:val="24"/>
      <w:szCs w:val="24"/>
      <w:lang w:val="en-US" w:eastAsia="zh-CN" w:bidi="ar-SA"/>
    </w:rPr>
  </w:style>
  <w:style w:type="character" w:customStyle="1" w:styleId="128">
    <w:name w:val="报告正文 Char"/>
    <w:link w:val="113"/>
    <w:qFormat/>
    <w:uiPriority w:val="0"/>
    <w:rPr>
      <w:sz w:val="28"/>
    </w:rPr>
  </w:style>
  <w:style w:type="paragraph" w:customStyle="1" w:styleId="129">
    <w:name w:val="正文文本报告（报告）"/>
    <w:basedOn w:val="1"/>
    <w:qFormat/>
    <w:uiPriority w:val="0"/>
    <w:pPr>
      <w:spacing w:line="440" w:lineRule="exact"/>
      <w:ind w:firstLine="200" w:firstLineChars="200"/>
    </w:pPr>
    <w:rPr>
      <w:sz w:val="24"/>
    </w:rPr>
  </w:style>
  <w:style w:type="character" w:customStyle="1" w:styleId="130">
    <w:name w:val="font21"/>
    <w:basedOn w:val="41"/>
    <w:qFormat/>
    <w:uiPriority w:val="0"/>
    <w:rPr>
      <w:rFonts w:hint="eastAsia" w:ascii="宋体" w:hAnsi="宋体" w:eastAsia="宋体" w:cs="宋体"/>
      <w:color w:val="000000"/>
      <w:sz w:val="22"/>
      <w:szCs w:val="22"/>
      <w:u w:val="none"/>
    </w:rPr>
  </w:style>
  <w:style w:type="paragraph" w:customStyle="1" w:styleId="131">
    <w:name w:val="章节目录"/>
    <w:basedOn w:val="1"/>
    <w:qFormat/>
    <w:uiPriority w:val="0"/>
    <w:pPr>
      <w:spacing w:line="360" w:lineRule="auto"/>
      <w:outlineLvl w:val="0"/>
    </w:pPr>
    <w:rPr>
      <w:b/>
      <w:sz w:val="28"/>
      <w:szCs w:val="28"/>
    </w:rPr>
  </w:style>
  <w:style w:type="paragraph" w:customStyle="1" w:styleId="132">
    <w:name w:val="报告表"/>
    <w:basedOn w:val="1"/>
    <w:qFormat/>
    <w:uiPriority w:val="0"/>
    <w:pPr>
      <w:autoSpaceDE w:val="0"/>
      <w:autoSpaceDN w:val="0"/>
      <w:spacing w:line="360" w:lineRule="auto"/>
      <w:ind w:firstLine="480" w:firstLineChars="200"/>
    </w:pPr>
    <w:rPr>
      <w:kern w:val="0"/>
      <w:sz w:val="24"/>
      <w:lang w:bidi="zh-CN"/>
    </w:rPr>
  </w:style>
  <w:style w:type="paragraph" w:customStyle="1" w:styleId="133">
    <w:name w:val="Default1"/>
    <w:qFormat/>
    <w:uiPriority w:val="0"/>
    <w:pPr>
      <w:widowControl w:val="0"/>
      <w:autoSpaceDE w:val="0"/>
      <w:autoSpaceDN w:val="0"/>
      <w:adjustRightInd w:val="0"/>
      <w:jc w:val="center"/>
    </w:pPr>
    <w:rPr>
      <w:rFonts w:ascii="Times New Roman" w:hAnsi="Times New Roman" w:eastAsia="宋体" w:cs="宋体"/>
      <w:b/>
      <w:color w:val="000000"/>
      <w:sz w:val="21"/>
      <w:szCs w:val="24"/>
      <w:lang w:val="en-US" w:eastAsia="zh-CN" w:bidi="ar-SA"/>
    </w:rPr>
  </w:style>
  <w:style w:type="paragraph" w:customStyle="1" w:styleId="134">
    <w:name w:val="01表格"/>
    <w:basedOn w:val="1"/>
    <w:next w:val="1"/>
    <w:qFormat/>
    <w:uiPriority w:val="0"/>
    <w:pPr>
      <w:overflowPunct w:val="0"/>
      <w:topLinePunct/>
      <w:adjustRightInd w:val="0"/>
      <w:snapToGrid w:val="0"/>
      <w:spacing w:line="240" w:lineRule="auto"/>
      <w:jc w:val="center"/>
    </w:pPr>
    <w:rPr>
      <w:snapToGrid w:val="0"/>
      <w:kern w:val="0"/>
      <w:sz w:val="21"/>
      <w:szCs w:val="21"/>
    </w:rPr>
  </w:style>
  <w:style w:type="paragraph" w:customStyle="1" w:styleId="135">
    <w:name w:val="表字"/>
    <w:basedOn w:val="1"/>
    <w:qFormat/>
    <w:uiPriority w:val="0"/>
    <w:pPr>
      <w:spacing w:line="240" w:lineRule="auto"/>
      <w:jc w:val="center"/>
    </w:pPr>
    <w:rPr>
      <w:sz w:val="21"/>
      <w:szCs w:val="20"/>
    </w:rPr>
  </w:style>
  <w:style w:type="paragraph" w:customStyle="1" w:styleId="136">
    <w:name w:val="正文格式"/>
    <w:next w:val="1"/>
    <w:qFormat/>
    <w:uiPriority w:val="0"/>
    <w:pPr>
      <w:spacing w:before="156" w:beforeLines="50" w:line="440" w:lineRule="exact"/>
      <w:ind w:firstLine="560" w:firstLineChars="200"/>
    </w:pPr>
    <w:rPr>
      <w:rFonts w:ascii="Times New Roman" w:hAnsi="Times New Roman" w:eastAsia="仿宋_GB2312" w:cs="Times New Roman"/>
      <w:kern w:val="2"/>
      <w:sz w:val="28"/>
      <w:szCs w:val="28"/>
      <w:lang w:val="en-US" w:eastAsia="zh-CN" w:bidi="ar-SA"/>
    </w:rPr>
  </w:style>
  <w:style w:type="paragraph" w:customStyle="1" w:styleId="137">
    <w:name w:val="样式 小四 首行缩进:  0.85 厘米 行距: 1.5 倍行距"/>
    <w:basedOn w:val="1"/>
    <w:qFormat/>
    <w:uiPriority w:val="0"/>
    <w:pPr>
      <w:adjustRightInd w:val="0"/>
      <w:spacing w:line="360" w:lineRule="auto"/>
      <w:ind w:firstLine="480"/>
      <w:textAlignment w:val="baseline"/>
    </w:pPr>
    <w:rPr>
      <w:sz w:val="24"/>
    </w:rPr>
  </w:style>
  <w:style w:type="paragraph" w:customStyle="1" w:styleId="138">
    <w:name w:val="3"/>
    <w:basedOn w:val="139"/>
    <w:qFormat/>
    <w:uiPriority w:val="0"/>
    <w:pPr>
      <w:keepNext w:val="0"/>
      <w:keepLines w:val="0"/>
      <w:widowControl w:val="0"/>
      <w:suppressLineNumbers w:val="0"/>
      <w:spacing w:before="0" w:beforeAutospacing="0" w:after="0" w:afterAutospacing="0" w:line="312" w:lineRule="auto"/>
      <w:ind w:left="0" w:right="0" w:firstLine="200" w:firstLineChars="200"/>
      <w:jc w:val="both"/>
    </w:pPr>
    <w:rPr>
      <w:rFonts w:hint="default" w:ascii="Times New Roman" w:hAnsi="Times New Roman" w:eastAsia="黑体" w:cs="Times New Roman"/>
      <w:kern w:val="2"/>
      <w:sz w:val="24"/>
      <w:szCs w:val="24"/>
      <w:lang w:val="en-US" w:eastAsia="zh-CN" w:bidi="ar"/>
    </w:rPr>
  </w:style>
  <w:style w:type="paragraph" w:customStyle="1" w:styleId="139">
    <w:name w:val="正正"/>
    <w:basedOn w:val="1"/>
    <w:qFormat/>
    <w:uiPriority w:val="0"/>
    <w:pPr>
      <w:keepNext w:val="0"/>
      <w:keepLines w:val="0"/>
      <w:widowControl w:val="0"/>
      <w:suppressLineNumbers w:val="0"/>
      <w:spacing w:before="0" w:beforeAutospacing="0" w:after="0" w:afterAutospacing="0" w:line="312" w:lineRule="auto"/>
      <w:ind w:left="0" w:right="0" w:firstLine="200" w:firstLineChars="200"/>
      <w:jc w:val="both"/>
    </w:pPr>
    <w:rPr>
      <w:rFonts w:hint="default" w:ascii="Times New Roman" w:hAnsi="Times New Roman" w:eastAsia="宋体" w:cs="Times New Roman"/>
      <w:kern w:val="2"/>
      <w:sz w:val="24"/>
      <w:szCs w:val="24"/>
      <w:lang w:val="en-US" w:eastAsia="zh-CN" w:bidi="ar"/>
    </w:rPr>
  </w:style>
  <w:style w:type="paragraph" w:customStyle="1" w:styleId="140">
    <w:name w:val="样式 样式 样式 表头 + 段前: 0.5 行 段后: 0.5 行 + 段后: 0.5 行 + 段前: 0.5 行"/>
    <w:basedOn w:val="1"/>
    <w:qFormat/>
    <w:uiPriority w:val="0"/>
    <w:pPr>
      <w:keepNext w:val="0"/>
      <w:keepLines w:val="0"/>
      <w:widowControl w:val="0"/>
      <w:suppressLineNumbers w:val="0"/>
      <w:adjustRightInd w:val="0"/>
      <w:snapToGrid w:val="0"/>
      <w:spacing w:before="120" w:beforeAutospacing="0" w:after="0" w:afterAutospacing="0" w:line="312" w:lineRule="auto"/>
      <w:ind w:left="0" w:right="0" w:firstLine="200" w:firstLineChars="200"/>
      <w:jc w:val="center"/>
    </w:pPr>
    <w:rPr>
      <w:rFonts w:hint="default" w:ascii="Times New Roman" w:hAnsi="Times New Roman" w:eastAsia="宋体" w:cs="宋体"/>
      <w:b/>
      <w:kern w:val="2"/>
      <w:sz w:val="24"/>
      <w:szCs w:val="20"/>
      <w:lang w:val="en-US" w:eastAsia="zh-CN" w:bidi="ar"/>
    </w:rPr>
  </w:style>
  <w:style w:type="paragraph" w:customStyle="1" w:styleId="141">
    <w:name w:val="单晶硅项目正文"/>
    <w:basedOn w:val="1"/>
    <w:qFormat/>
    <w:uiPriority w:val="0"/>
    <w:pPr>
      <w:keepNext w:val="0"/>
      <w:keepLines w:val="0"/>
      <w:widowControl w:val="0"/>
      <w:suppressLineNumbers w:val="0"/>
      <w:spacing w:before="0" w:beforeAutospacing="0" w:after="0" w:afterAutospacing="0" w:line="560" w:lineRule="exact"/>
      <w:ind w:left="0" w:right="0" w:firstLine="480" w:firstLineChars="200"/>
      <w:jc w:val="both"/>
    </w:pPr>
    <w:rPr>
      <w:rFonts w:hint="eastAsia" w:ascii="宋体" w:hAnsi="宋体" w:eastAsia="宋体" w:cs="Times New Roman"/>
      <w:color w:val="000000"/>
      <w:kern w:val="0"/>
      <w:sz w:val="24"/>
      <w:szCs w:val="24"/>
      <w:lang w:val="en-US" w:eastAsia="zh-CN" w:bidi="ar"/>
    </w:rPr>
  </w:style>
  <w:style w:type="paragraph" w:customStyle="1" w:styleId="142">
    <w:name w:val="p"/>
    <w:basedOn w:val="1"/>
    <w:qFormat/>
    <w:uiPriority w:val="0"/>
    <w:pPr>
      <w:adjustRightInd w:val="0"/>
      <w:snapToGrid w:val="0"/>
      <w:spacing w:line="360" w:lineRule="auto"/>
      <w:ind w:firstLine="1446" w:firstLineChars="200"/>
      <w:jc w:val="left"/>
    </w:pPr>
    <w:rPr>
      <w:kern w:val="0"/>
      <w:sz w:val="20"/>
      <w:szCs w:val="20"/>
    </w:rPr>
  </w:style>
  <w:style w:type="paragraph" w:customStyle="1" w:styleId="143">
    <w:name w:val="样式 行距: 固定值 24 磅 首行缩进:  2 字符"/>
    <w:basedOn w:val="1"/>
    <w:qFormat/>
    <w:uiPriority w:val="0"/>
    <w:pPr>
      <w:spacing w:line="480" w:lineRule="exact"/>
      <w:ind w:firstLine="480" w:firstLineChars="200"/>
    </w:pPr>
    <w:rPr>
      <w:sz w:val="24"/>
      <w:szCs w:val="20"/>
    </w:rPr>
  </w:style>
  <w:style w:type="paragraph" w:customStyle="1" w:styleId="144">
    <w:name w:val="正文样式"/>
    <w:basedOn w:val="1"/>
    <w:qFormat/>
    <w:uiPriority w:val="0"/>
    <w:pPr>
      <w:adjustRightInd w:val="0"/>
      <w:snapToGrid w:val="0"/>
      <w:spacing w:line="360" w:lineRule="auto"/>
      <w:ind w:firstLine="200" w:firstLineChars="200"/>
      <w:jc w:val="left"/>
    </w:pPr>
    <w:rPr>
      <w:rFonts w:cs="宋体"/>
      <w:sz w:val="24"/>
    </w:rPr>
  </w:style>
  <w:style w:type="table" w:customStyle="1" w:styleId="145">
    <w:name w:val="网格型1"/>
    <w:basedOn w:val="39"/>
    <w:unhideWhenUsed/>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46">
    <w:name w:val="p17"/>
    <w:basedOn w:val="1"/>
    <w:qFormat/>
    <w:uiPriority w:val="0"/>
    <w:pPr>
      <w:widowControl/>
      <w:spacing w:line="360" w:lineRule="auto"/>
      <w:ind w:firstLine="420"/>
    </w:pPr>
    <w:rPr>
      <w:rFonts w:ascii="宋体" w:hAnsi="宋体" w:cs="宋体"/>
      <w:color w:val="FF0000"/>
      <w:kern w:val="0"/>
      <w:sz w:val="24"/>
    </w:rPr>
  </w:style>
  <w:style w:type="paragraph" w:customStyle="1" w:styleId="147">
    <w:name w:val="p16"/>
    <w:basedOn w:val="1"/>
    <w:qFormat/>
    <w:uiPriority w:val="0"/>
    <w:pPr>
      <w:widowControl/>
      <w:snapToGrid w:val="0"/>
      <w:spacing w:line="360" w:lineRule="auto"/>
      <w:ind w:firstLine="420"/>
    </w:pPr>
    <w:rPr>
      <w:kern w:val="0"/>
      <w:sz w:val="24"/>
    </w:rPr>
  </w:style>
  <w:style w:type="paragraph" w:customStyle="1" w:styleId="148">
    <w:name w:val="正本文字"/>
    <w:basedOn w:val="1"/>
    <w:qFormat/>
    <w:uiPriority w:val="0"/>
    <w:pPr>
      <w:widowControl/>
      <w:adjustRightInd w:val="0"/>
      <w:snapToGrid w:val="0"/>
      <w:spacing w:line="360" w:lineRule="auto"/>
      <w:ind w:firstLine="480" w:firstLineChars="200"/>
      <w:jc w:val="left"/>
    </w:pPr>
    <w:rPr>
      <w:rFonts w:ascii="Calibri" w:hAnsi="Courier" w:eastAsia="PMingLiU" w:cs="宋体"/>
      <w:kern w:val="18"/>
      <w:sz w:val="24"/>
      <w:szCs w:val="20"/>
      <w:lang w:eastAsia="zh-TW"/>
    </w:rPr>
  </w:style>
  <w:style w:type="paragraph" w:customStyle="1" w:styleId="149">
    <w:name w:val="Table Paragraph"/>
    <w:basedOn w:val="1"/>
    <w:qFormat/>
    <w:uiPriority w:val="1"/>
    <w:pPr>
      <w:widowControl/>
      <w:jc w:val="left"/>
    </w:pPr>
    <w:rPr>
      <w:rFonts w:ascii="Calibri" w:hAnsi="Calibri" w:cs="宋体"/>
      <w:kern w:val="0"/>
      <w:sz w:val="22"/>
      <w:szCs w:val="22"/>
    </w:rPr>
  </w:style>
  <w:style w:type="paragraph" w:customStyle="1" w:styleId="150">
    <w:name w:val="样式1"/>
    <w:basedOn w:val="1"/>
    <w:next w:val="17"/>
    <w:qFormat/>
    <w:uiPriority w:val="0"/>
    <w:pPr>
      <w:ind w:left="90" w:leftChars="32"/>
    </w:pPr>
    <w:rPr>
      <w:rFonts w:ascii="宋体" w:hAnsi="宋体"/>
      <w:sz w:val="23"/>
      <w:szCs w:val="20"/>
    </w:rPr>
  </w:style>
  <w:style w:type="paragraph" w:customStyle="1" w:styleId="151">
    <w:name w:val="1表格"/>
    <w:basedOn w:val="1"/>
    <w:qFormat/>
    <w:uiPriority w:val="0"/>
    <w:pPr>
      <w:snapToGrid w:val="0"/>
      <w:spacing w:line="160" w:lineRule="atLeast"/>
      <w:jc w:val="center"/>
    </w:pPr>
    <w:rPr>
      <w:rFonts w:eastAsia="仿宋_GB2312"/>
      <w:szCs w:val="20"/>
    </w:rPr>
  </w:style>
  <w:style w:type="paragraph" w:customStyle="1" w:styleId="152">
    <w:name w:val="标题 41"/>
    <w:basedOn w:val="1"/>
    <w:uiPriority w:val="99"/>
    <w:pPr>
      <w:autoSpaceDE w:val="0"/>
      <w:autoSpaceDN w:val="0"/>
      <w:spacing w:before="2"/>
      <w:ind w:left="920"/>
      <w:jc w:val="left"/>
      <w:outlineLvl w:val="4"/>
    </w:pPr>
    <w:rPr>
      <w:rFonts w:ascii="宋体" w:hAnsi="宋体" w:cs="宋体"/>
      <w:b/>
      <w:bCs/>
      <w:kern w:val="0"/>
      <w:sz w:val="24"/>
      <w:lang w:val="zh-CN"/>
    </w:rPr>
  </w:style>
  <w:style w:type="paragraph" w:customStyle="1" w:styleId="153">
    <w:name w:val="标题 11"/>
    <w:basedOn w:val="1"/>
    <w:qFormat/>
    <w:uiPriority w:val="99"/>
    <w:pPr>
      <w:autoSpaceDE w:val="0"/>
      <w:autoSpaceDN w:val="0"/>
      <w:spacing w:before="49"/>
      <w:ind w:left="455"/>
      <w:jc w:val="center"/>
      <w:outlineLvl w:val="1"/>
    </w:pPr>
    <w:rPr>
      <w:rFonts w:ascii="宋体" w:hAnsi="宋体" w:cs="宋体"/>
      <w:b/>
      <w:bCs/>
      <w:kern w:val="0"/>
      <w:sz w:val="36"/>
      <w:szCs w:val="36"/>
      <w:lang w:val="zh-CN"/>
    </w:rPr>
  </w:style>
  <w:style w:type="paragraph" w:customStyle="1" w:styleId="154">
    <w:name w:val="正文粗"/>
    <w:basedOn w:val="1"/>
    <w:next w:val="82"/>
    <w:qFormat/>
    <w:uiPriority w:val="0"/>
    <w:pPr>
      <w:ind w:firstLine="482"/>
      <w:jc w:val="both"/>
    </w:pPr>
    <w:rPr>
      <w:rFonts w:ascii="Times New Roman" w:hAnsi="Times New Roman" w:eastAsia="宋体"/>
      <w:b/>
      <w:color w:val="000000"/>
      <w:sz w:val="24"/>
      <w:szCs w:val="20"/>
    </w:rPr>
  </w:style>
  <w:style w:type="paragraph" w:customStyle="1" w:styleId="155">
    <w:name w:val="表格粗"/>
    <w:basedOn w:val="82"/>
    <w:qFormat/>
    <w:uiPriority w:val="0"/>
    <w:pPr>
      <w:adjustRightInd w:val="0"/>
      <w:snapToGrid w:val="0"/>
      <w:spacing w:line="240" w:lineRule="auto"/>
      <w:ind w:firstLine="0" w:firstLineChars="0"/>
      <w:jc w:val="center"/>
    </w:pPr>
    <w:rPr>
      <w:b/>
      <w:sz w:val="21"/>
      <w:shd w:val="clear" w:color="auto" w:fill="auto"/>
    </w:rPr>
  </w:style>
  <w:style w:type="paragraph" w:customStyle="1" w:styleId="156">
    <w:name w:val="_Style 10"/>
    <w:basedOn w:val="1"/>
    <w:qFormat/>
    <w:uiPriority w:val="0"/>
    <w:rPr>
      <w:szCs w:val="20"/>
    </w:rPr>
  </w:style>
  <w:style w:type="paragraph" w:customStyle="1" w:styleId="157">
    <w:name w:val="表格1"/>
    <w:basedOn w:val="1"/>
    <w:qFormat/>
    <w:uiPriority w:val="99"/>
    <w:pPr>
      <w:spacing w:line="360" w:lineRule="exact"/>
    </w:pPr>
    <w:rPr>
      <w:rFonts w:hAnsi="宋?"/>
    </w:rPr>
  </w:style>
  <w:style w:type="paragraph" w:customStyle="1" w:styleId="158">
    <w:name w:val="zly-图表"/>
    <w:basedOn w:val="9"/>
    <w:qFormat/>
    <w:uiPriority w:val="0"/>
    <w:pPr>
      <w:jc w:val="center"/>
    </w:pPr>
    <w:rPr>
      <w:rFonts w:ascii="Calibri" w:hAnsi="Calibri"/>
    </w:rPr>
  </w:style>
  <w:style w:type="paragraph" w:customStyle="1" w:styleId="159">
    <w:name w:val="zly-正文"/>
    <w:basedOn w:val="1"/>
    <w:qFormat/>
    <w:uiPriority w:val="99"/>
    <w:pPr>
      <w:spacing w:line="360" w:lineRule="auto"/>
      <w:ind w:firstLine="200" w:firstLineChars="200"/>
    </w:pPr>
    <w:rPr>
      <w:rFonts w:ascii="Calibri" w:hAnsi="Calibri"/>
      <w:kern w:val="0"/>
      <w:sz w:val="24"/>
    </w:rPr>
  </w:style>
  <w:style w:type="paragraph" w:customStyle="1" w:styleId="160">
    <w:name w:val="正文文本 (2)"/>
    <w:basedOn w:val="1"/>
    <w:qFormat/>
    <w:uiPriority w:val="0"/>
    <w:pPr>
      <w:shd w:val="clear" w:color="auto" w:fill="FFFFFF"/>
      <w:spacing w:line="466" w:lineRule="exact"/>
      <w:ind w:hanging="520"/>
      <w:jc w:val="distribute"/>
    </w:pPr>
    <w:rPr>
      <w:rFonts w:ascii="MingLiU" w:hAnsi="MingLiU" w:eastAsia="MingLiU"/>
      <w:kern w:val="0"/>
      <w:sz w:val="22"/>
      <w:szCs w:val="22"/>
    </w:rPr>
  </w:style>
  <w:style w:type="paragraph" w:customStyle="1" w:styleId="161">
    <w:name w:val="妇幼正文"/>
    <w:basedOn w:val="1"/>
    <w:qFormat/>
    <w:uiPriority w:val="0"/>
    <w:pPr>
      <w:adjustRightInd w:val="0"/>
      <w:spacing w:line="360" w:lineRule="auto"/>
      <w:ind w:firstLine="480" w:firstLineChars="200"/>
    </w:pPr>
    <w:rPr>
      <w:color w:val="000000"/>
      <w:sz w:val="24"/>
    </w:rPr>
  </w:style>
  <w:style w:type="paragraph" w:customStyle="1" w:styleId="162">
    <w:name w:val="样式 小四 首行缩进:  0.95 厘米 行距: 多倍行距 1.25 字行"/>
    <w:basedOn w:val="1"/>
    <w:qFormat/>
    <w:uiPriority w:val="0"/>
    <w:pPr>
      <w:spacing w:line="360" w:lineRule="auto"/>
      <w:ind w:firstLine="539"/>
    </w:pPr>
    <w:rPr>
      <w:rFonts w:ascii="Times New Roman" w:hAnsi="Times New Roman" w:cs="宋体"/>
      <w:sz w:val="24"/>
      <w:szCs w:val="20"/>
      <w:lang w:bidi="ar-SA"/>
    </w:rPr>
  </w:style>
  <w:style w:type="paragraph" w:customStyle="1" w:styleId="163">
    <w:name w:val="文本正文3"/>
    <w:qFormat/>
    <w:uiPriority w:val="0"/>
    <w:pPr>
      <w:spacing w:line="360" w:lineRule="auto"/>
      <w:ind w:firstLine="177" w:firstLineChars="177"/>
    </w:pPr>
    <w:rPr>
      <w:rFonts w:ascii="Calibri" w:hAnsi="Calibri" w:eastAsia="宋体" w:cs="Times New Roman"/>
      <w:kern w:val="2"/>
      <w:sz w:val="24"/>
      <w:szCs w:val="21"/>
      <w:lang w:val="en-US" w:eastAsia="zh-CN" w:bidi="ar-SA"/>
    </w:rPr>
  </w:style>
  <w:style w:type="paragraph" w:customStyle="1" w:styleId="164">
    <w:name w:val="样式7"/>
    <w:basedOn w:val="115"/>
    <w:qFormat/>
    <w:uiPriority w:val="0"/>
    <w:pPr>
      <w:spacing w:before="0" w:beforeLines="0" w:after="0" w:afterLines="0"/>
      <w:ind w:firstLine="420" w:firstLineChars="200"/>
    </w:pPr>
    <w:rPr>
      <w:rFonts w:ascii="Times New Roman" w:eastAsia="华文中宋"/>
      <w:sz w:val="21"/>
      <w:szCs w:val="21"/>
    </w:rPr>
  </w:style>
  <w:style w:type="character" w:customStyle="1" w:styleId="165">
    <w:name w:val="font31"/>
    <w:basedOn w:val="41"/>
    <w:qFormat/>
    <w:uiPriority w:val="0"/>
    <w:rPr>
      <w:rFonts w:hint="default" w:ascii="Times New Roman" w:hAnsi="Times New Roman" w:cs="Times New Roman"/>
      <w:color w:val="000000"/>
      <w:sz w:val="21"/>
      <w:szCs w:val="21"/>
      <w:u w:val="none"/>
    </w:rPr>
  </w:style>
  <w:style w:type="character" w:customStyle="1" w:styleId="166">
    <w:name w:val="font11"/>
    <w:basedOn w:val="41"/>
    <w:uiPriority w:val="0"/>
    <w:rPr>
      <w:rFonts w:hint="default" w:ascii="Calibri" w:hAnsi="Calibri" w:cs="Calibri"/>
      <w:color w:val="000000"/>
      <w:sz w:val="21"/>
      <w:szCs w:val="21"/>
      <w:u w:val="none"/>
    </w:rPr>
  </w:style>
  <w:style w:type="paragraph" w:customStyle="1" w:styleId="167">
    <w:name w:val="正文文本1"/>
    <w:basedOn w:val="1"/>
    <w:qFormat/>
    <w:uiPriority w:val="0"/>
    <w:pPr>
      <w:spacing w:line="480" w:lineRule="exact"/>
      <w:ind w:firstLine="200" w:firstLineChars="200"/>
    </w:pPr>
    <w:rPr>
      <w:color w:val="000000"/>
      <w:sz w:val="24"/>
    </w:rPr>
  </w:style>
  <w:style w:type="paragraph" w:customStyle="1" w:styleId="168">
    <w:name w:val="Char4 Char Char Char"/>
    <w:basedOn w:val="1"/>
    <w:qFormat/>
    <w:uiPriority w:val="0"/>
    <w:pPr>
      <w:adjustRightInd w:val="0"/>
      <w:snapToGrid w:val="0"/>
      <w:spacing w:line="360" w:lineRule="auto"/>
      <w:ind w:firstLine="200" w:firstLineChars="200"/>
    </w:pPr>
    <w:rPr>
      <w:sz w:val="24"/>
      <w:szCs w:val="20"/>
    </w:rPr>
  </w:style>
  <w:style w:type="paragraph" w:customStyle="1" w:styleId="169">
    <w:name w:val="大标题"/>
    <w:basedOn w:val="1"/>
    <w:qFormat/>
    <w:uiPriority w:val="0"/>
    <w:pPr>
      <w:spacing w:line="360" w:lineRule="auto"/>
    </w:pPr>
    <w:rPr>
      <w:rFonts w:ascii="宋体" w:hAnsi="宋体"/>
      <w:b/>
      <w:sz w:val="30"/>
      <w:szCs w:val="24"/>
    </w:rPr>
  </w:style>
  <w:style w:type="paragraph" w:customStyle="1" w:styleId="170">
    <w:name w:val="表格01"/>
    <w:qFormat/>
    <w:uiPriority w:val="0"/>
    <w:pPr>
      <w:jc w:val="center"/>
    </w:pPr>
    <w:rPr>
      <w:rFonts w:ascii="Times New Roman" w:hAnsi="Times New Roman" w:eastAsia="宋体" w:cs="宋体"/>
      <w:kern w:val="2"/>
      <w:sz w:val="21"/>
      <w:szCs w:val="21"/>
      <w:lang w:val="en-US" w:eastAsia="zh-CN" w:bidi="ar-SA"/>
    </w:rPr>
  </w:style>
  <w:style w:type="character" w:customStyle="1" w:styleId="171">
    <w:name w:val="表题 Char"/>
    <w:link w:val="102"/>
    <w:qFormat/>
    <w:uiPriority w:val="0"/>
    <w:rPr>
      <w:rFonts w:ascii="Times New Roman" w:hAnsi="宋体" w:eastAsia="宋体" w:cs="Times New Roman"/>
      <w:b/>
      <w:kern w:val="2"/>
      <w:sz w:val="21"/>
      <w:szCs w:val="24"/>
      <w:lang w:val="en-US" w:eastAsia="zh-CN" w:bidi="ar-SA"/>
    </w:rPr>
  </w:style>
  <w:style w:type="character" w:customStyle="1" w:styleId="172">
    <w:name w:val="-正文 Char"/>
    <w:link w:val="104"/>
    <w:qFormat/>
    <w:uiPriority w:val="0"/>
    <w:rPr>
      <w:rFonts w:cs="宋体"/>
      <w:kern w:val="2"/>
      <w:sz w:val="24"/>
    </w:rPr>
  </w:style>
  <w:style w:type="paragraph" w:customStyle="1" w:styleId="173">
    <w:name w:val="标题-3"/>
    <w:basedOn w:val="1"/>
    <w:qFormat/>
    <w:uiPriority w:val="0"/>
    <w:pPr>
      <w:spacing w:line="480" w:lineRule="exact"/>
      <w:ind w:firstLine="482" w:firstLineChars="200"/>
    </w:pPr>
    <w:rPr>
      <w:rFonts w:cs="宋体"/>
      <w:b/>
      <w:bCs/>
      <w:sz w:val="24"/>
      <w:szCs w:val="20"/>
    </w:rPr>
  </w:style>
  <w:style w:type="character" w:customStyle="1" w:styleId="174">
    <w:name w:val="正文-1 Char"/>
    <w:link w:val="101"/>
    <w:qFormat/>
    <w:uiPriority w:val="0"/>
    <w:rPr>
      <w:rFonts w:ascii="Times New Roman" w:hAnsi="Times New Roman" w:eastAsia="宋体" w:cs="宋体"/>
      <w:kern w:val="2"/>
      <w:sz w:val="24"/>
      <w:lang w:val="en-US" w:eastAsia="zh-CN" w:bidi="ar-SA"/>
    </w:rPr>
  </w:style>
  <w:style w:type="character" w:customStyle="1" w:styleId="175">
    <w:name w:val="标题 2 Char"/>
    <w:link w:val="5"/>
    <w:uiPriority w:val="0"/>
    <w:rPr>
      <w:rFonts w:ascii="黑体" w:hAnsi="宋体" w:eastAsia="Times New Roman"/>
      <w:b/>
      <w:bCs/>
      <w:snapToGrid w:val="0"/>
      <w:kern w:val="0"/>
      <w:szCs w:val="20"/>
    </w:rPr>
  </w:style>
  <w:style w:type="paragraph" w:customStyle="1" w:styleId="176">
    <w:name w:val="13"/>
    <w:basedOn w:val="1"/>
    <w:qFormat/>
    <w:uiPriority w:val="0"/>
    <w:pPr>
      <w:wordWrap w:val="0"/>
      <w:autoSpaceDE w:val="0"/>
      <w:autoSpaceDN w:val="0"/>
      <w:adjustRightInd w:val="0"/>
      <w:jc w:val="center"/>
    </w:pPr>
    <w:rPr>
      <w:rFonts w:ascii="Calibri" w:hAnsi="Calibri" w:eastAsia="宋体" w:cs="Times New Roman"/>
      <w:kern w:val="0"/>
      <w:szCs w:val="21"/>
    </w:rPr>
  </w:style>
  <w:style w:type="paragraph" w:customStyle="1" w:styleId="177">
    <w:name w:val="12"/>
    <w:basedOn w:val="1"/>
    <w:link w:val="180"/>
    <w:qFormat/>
    <w:uiPriority w:val="0"/>
    <w:pPr>
      <w:wordWrap w:val="0"/>
      <w:topLinePunct/>
      <w:adjustRightInd w:val="0"/>
      <w:snapToGrid w:val="0"/>
      <w:spacing w:line="360" w:lineRule="auto"/>
      <w:ind w:firstLine="200" w:firstLineChars="200"/>
      <w:jc w:val="left"/>
    </w:pPr>
    <w:rPr>
      <w:sz w:val="24"/>
    </w:rPr>
  </w:style>
  <w:style w:type="paragraph" w:customStyle="1" w:styleId="178">
    <w:name w:val="14"/>
    <w:basedOn w:val="1"/>
    <w:qFormat/>
    <w:uiPriority w:val="0"/>
    <w:pPr>
      <w:tabs>
        <w:tab w:val="right" w:pos="8306"/>
      </w:tabs>
      <w:spacing w:line="360" w:lineRule="auto"/>
      <w:jc w:val="center"/>
    </w:pPr>
    <w:rPr>
      <w:b/>
      <w:bCs/>
      <w:color w:val="000000"/>
      <w:szCs w:val="21"/>
    </w:rPr>
  </w:style>
  <w:style w:type="paragraph" w:customStyle="1" w:styleId="179">
    <w:name w:val="表格内容-龙池"/>
    <w:basedOn w:val="1"/>
    <w:qFormat/>
    <w:uiPriority w:val="0"/>
    <w:pPr>
      <w:autoSpaceDE w:val="0"/>
      <w:autoSpaceDN w:val="0"/>
      <w:adjustRightInd w:val="0"/>
      <w:contextualSpacing/>
      <w:jc w:val="center"/>
    </w:pPr>
    <w:rPr>
      <w:kern w:val="0"/>
      <w:szCs w:val="21"/>
    </w:rPr>
  </w:style>
  <w:style w:type="character" w:customStyle="1" w:styleId="180">
    <w:name w:val="12 Char"/>
    <w:basedOn w:val="41"/>
    <w:link w:val="177"/>
    <w:uiPriority w:val="0"/>
    <w:rPr>
      <w:sz w:val="24"/>
    </w:rPr>
  </w:style>
  <w:style w:type="paragraph" w:customStyle="1" w:styleId="181">
    <w:name w:val="正文-龙池"/>
    <w:basedOn w:val="1"/>
    <w:qFormat/>
    <w:uiPriority w:val="0"/>
    <w:pPr>
      <w:autoSpaceDE w:val="0"/>
      <w:autoSpaceDN w:val="0"/>
      <w:adjustRightInd w:val="0"/>
      <w:spacing w:line="360" w:lineRule="auto"/>
      <w:ind w:firstLine="480" w:firstLineChars="200"/>
      <w:contextualSpacing/>
    </w:pPr>
    <w:rPr>
      <w:kern w:val="0"/>
      <w:sz w:val="24"/>
    </w:rPr>
  </w:style>
  <w:style w:type="paragraph" w:customStyle="1" w:styleId="182">
    <w:name w:val="标题-龙池"/>
    <w:basedOn w:val="1"/>
    <w:qFormat/>
    <w:uiPriority w:val="0"/>
    <w:pPr>
      <w:tabs>
        <w:tab w:val="left" w:pos="841"/>
      </w:tabs>
      <w:kinsoku w:val="0"/>
      <w:overflowPunct w:val="0"/>
      <w:autoSpaceDE w:val="0"/>
      <w:autoSpaceDN w:val="0"/>
      <w:adjustRightInd w:val="0"/>
      <w:spacing w:line="360" w:lineRule="auto"/>
      <w:contextualSpacing/>
      <w:jc w:val="center"/>
    </w:pPr>
    <w:rPr>
      <w:b/>
      <w:kern w:val="0"/>
      <w:szCs w:val="21"/>
    </w:rPr>
  </w:style>
  <w:style w:type="paragraph" w:customStyle="1" w:styleId="183">
    <w:name w:val="Body Text Indent"/>
    <w:basedOn w:val="1"/>
    <w:qFormat/>
    <w:uiPriority w:val="0"/>
    <w:pPr>
      <w:spacing w:line="360" w:lineRule="auto"/>
      <w:ind w:firstLine="480"/>
    </w:pPr>
    <w:rPr>
      <w:rFonts w:ascii="宋体"/>
      <w:sz w:val="24"/>
    </w:rPr>
  </w:style>
  <w:style w:type="paragraph" w:customStyle="1" w:styleId="184">
    <w:name w:val="Normal_0"/>
    <w:qFormat/>
    <w:uiPriority w:val="0"/>
    <w:pPr>
      <w:widowControl w:val="0"/>
      <w:spacing w:line="360" w:lineRule="auto"/>
      <w:ind w:firstLine="200" w:firstLineChars="200"/>
      <w:jc w:val="both"/>
    </w:pPr>
    <w:rPr>
      <w:rFonts w:ascii="Times New Roman" w:hAnsi="Times New Roman" w:eastAsia="仿宋" w:cs="Times New Roman"/>
      <w:kern w:val="2"/>
      <w:sz w:val="28"/>
      <w:szCs w:val="21"/>
      <w:lang w:val="en-US" w:eastAsia="zh-CN" w:bidi="ar-SA"/>
    </w:rPr>
  </w:style>
  <w:style w:type="character" w:customStyle="1" w:styleId="185">
    <w:name w:val="font01"/>
    <w:basedOn w:val="41"/>
    <w:qFormat/>
    <w:uiPriority w:val="0"/>
    <w:rPr>
      <w:rFonts w:hint="eastAsia" w:ascii="宋体" w:hAnsi="宋体" w:eastAsia="宋体" w:cs="宋体"/>
      <w:color w:val="000000"/>
      <w:sz w:val="24"/>
      <w:szCs w:val="24"/>
      <w:u w:val="none"/>
      <w:vertAlign w:val="superscript"/>
    </w:rPr>
  </w:style>
  <w:style w:type="paragraph" w:customStyle="1" w:styleId="186">
    <w:name w:val="表格题目"/>
    <w:basedOn w:val="11"/>
    <w:next w:val="187"/>
    <w:qFormat/>
    <w:uiPriority w:val="0"/>
    <w:pPr>
      <w:keepNext/>
    </w:pPr>
    <w:rPr>
      <w:rFonts w:ascii="黑体" w:hAnsi="黑体" w:eastAsia="黑体"/>
      <w:szCs w:val="24"/>
    </w:rPr>
  </w:style>
  <w:style w:type="paragraph" w:customStyle="1" w:styleId="187">
    <w:name w:val="表名、图名"/>
    <w:basedOn w:val="1"/>
    <w:next w:val="1"/>
    <w:uiPriority w:val="0"/>
    <w:pPr>
      <w:ind w:firstLine="0" w:firstLineChars="0"/>
      <w:jc w:val="center"/>
    </w:pPr>
    <w:rPr>
      <w:rFonts w:eastAsia="黑体"/>
    </w:rPr>
  </w:style>
  <w:style w:type="character" w:customStyle="1" w:styleId="188">
    <w:name w:val="font51"/>
    <w:basedOn w:val="41"/>
    <w:uiPriority w:val="0"/>
    <w:rPr>
      <w:rFonts w:hint="default" w:ascii="Times New Roman" w:hAnsi="Times New Roman" w:cs="Times New Roman"/>
      <w:color w:val="000000"/>
      <w:sz w:val="21"/>
      <w:szCs w:val="21"/>
      <w:u w:val="none"/>
      <w:vertAlign w:val="superscript"/>
    </w:rPr>
  </w:style>
  <w:style w:type="character" w:customStyle="1" w:styleId="189">
    <w:name w:val="font71"/>
    <w:qFormat/>
    <w:uiPriority w:val="0"/>
    <w:rPr>
      <w:rFonts w:hint="eastAsia" w:ascii="宋体" w:hAnsi="宋体" w:eastAsia="宋体" w:cs="宋体"/>
      <w:b/>
      <w:color w:val="000000"/>
      <w:sz w:val="21"/>
      <w:szCs w:val="21"/>
      <w:u w:val="none"/>
    </w:rPr>
  </w:style>
  <w:style w:type="character" w:customStyle="1" w:styleId="190">
    <w:name w:val="font41"/>
    <w:qFormat/>
    <w:uiPriority w:val="0"/>
    <w:rPr>
      <w:rFonts w:hint="eastAsia" w:ascii="宋体" w:hAnsi="宋体" w:eastAsia="宋体" w:cs="宋体"/>
      <w:color w:val="000000"/>
      <w:sz w:val="21"/>
      <w:szCs w:val="21"/>
      <w:u w:val="none"/>
    </w:rPr>
  </w:style>
  <w:style w:type="character" w:customStyle="1" w:styleId="191">
    <w:name w:val="font81"/>
    <w:basedOn w:val="41"/>
    <w:uiPriority w:val="0"/>
    <w:rPr>
      <w:rFonts w:hint="eastAsia" w:ascii="宋体" w:hAnsi="宋体" w:eastAsia="宋体" w:cs="宋体"/>
      <w:color w:val="000000"/>
      <w:sz w:val="24"/>
      <w:szCs w:val="24"/>
      <w:u w:val="none"/>
    </w:rPr>
  </w:style>
  <w:style w:type="character" w:customStyle="1" w:styleId="192">
    <w:name w:val="font101"/>
    <w:basedOn w:val="41"/>
    <w:uiPriority w:val="0"/>
    <w:rPr>
      <w:rFonts w:hint="default" w:ascii="Times New Roman" w:hAnsi="Times New Roman" w:cs="Times New Roman"/>
      <w:color w:val="000000"/>
      <w:sz w:val="21"/>
      <w:szCs w:val="21"/>
      <w:u w:val="none"/>
      <w:vertAlign w:val="superscript"/>
    </w:r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10.png"/><Relationship Id="rId21" Type="http://schemas.openxmlformats.org/officeDocument/2006/relationships/image" Target="media/image9.wmf"/><Relationship Id="rId20" Type="http://schemas.openxmlformats.org/officeDocument/2006/relationships/oleObject" Target="embeddings/oleObject5.bin"/><Relationship Id="rId2" Type="http://schemas.openxmlformats.org/officeDocument/2006/relationships/settings" Target="settings.xml"/><Relationship Id="rId19" Type="http://schemas.openxmlformats.org/officeDocument/2006/relationships/image" Target="media/image8.wmf"/><Relationship Id="rId18" Type="http://schemas.openxmlformats.org/officeDocument/2006/relationships/oleObject" Target="embeddings/oleObject4.bin"/><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emf"/><Relationship Id="rId14" Type="http://schemas.openxmlformats.org/officeDocument/2006/relationships/oleObject" Target="embeddings/oleObject3.bin"/><Relationship Id="rId13" Type="http://schemas.openxmlformats.org/officeDocument/2006/relationships/image" Target="media/image4.wmf"/><Relationship Id="rId12" Type="http://schemas.openxmlformats.org/officeDocument/2006/relationships/oleObject" Target="embeddings/oleObject2.bin"/><Relationship Id="rId11" Type="http://schemas.openxmlformats.org/officeDocument/2006/relationships/image" Target="media/image3.wmf"/><Relationship Id="rId10" Type="http://schemas.openxmlformats.org/officeDocument/2006/relationships/oleObject" Target="embeddings/oleObject1.bin"/><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168</Pages>
  <Words>21262</Words>
  <Characters>121195</Characters>
  <Lines>1009</Lines>
  <Paragraphs>284</Paragraphs>
  <TotalTime>0</TotalTime>
  <ScaleCrop>false</ScaleCrop>
  <LinksUpToDate>false</LinksUpToDate>
  <CharactersWithSpaces>142173</CharactersWithSpaces>
  <Application>WPS Office_11.8.2.10393_F1E327BC-269C-435d-A152-05C5408002CA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2010-12-31T19:18:00Z</dcterms:created>
  <dc:creator>黑桃A</dc:creator>
  <cp:lastModifiedBy>Administrator</cp:lastModifiedBy>
  <dcterms:modified xsi:type="dcterms:W3CDTF">2022-03-03T06:42:46Z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2052-11.8.2.10393</vt:lpwstr>
  </property>
  <property fmtid="{D5CDD505-2E9C-101B-9397-08002B2CF9AE}" pid="3" name="ICV">
    <vt:lpwstr>B576C2D9AB664531991FDE20E0830230</vt:lpwstr>
  </property>
</Properties>
</file>