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500"/>
        </w:tabs>
        <w:snapToGrid w:val="0"/>
        <w:ind w:firstLine="1043"/>
        <w:jc w:val="center"/>
        <w:rPr>
          <w:rFonts w:cs="Times New Roman"/>
          <w:b/>
          <w:bCs/>
          <w:color w:val="FF0000"/>
          <w:spacing w:val="40"/>
          <w:sz w:val="44"/>
          <w:szCs w:val="44"/>
        </w:rPr>
      </w:pPr>
    </w:p>
    <w:p>
      <w:pPr>
        <w:tabs>
          <w:tab w:val="left" w:pos="2500"/>
        </w:tabs>
        <w:snapToGrid w:val="0"/>
        <w:ind w:firstLine="1043"/>
        <w:jc w:val="center"/>
        <w:rPr>
          <w:rFonts w:cs="Times New Roman"/>
          <w:b/>
          <w:bCs/>
          <w:color w:val="FF0000"/>
          <w:spacing w:val="40"/>
          <w:sz w:val="44"/>
          <w:szCs w:val="44"/>
        </w:rPr>
      </w:pPr>
    </w:p>
    <w:p>
      <w:pPr>
        <w:ind w:firstLine="0" w:firstLineChars="0"/>
        <w:jc w:val="center"/>
        <w:rPr>
          <w:rFonts w:ascii="黑体" w:hAnsi="黑体" w:eastAsia="黑体"/>
          <w:bCs/>
          <w:sz w:val="44"/>
          <w:szCs w:val="44"/>
        </w:rPr>
      </w:pPr>
      <w:r>
        <w:rPr>
          <w:rFonts w:hint="eastAsia" w:ascii="黑体" w:hAnsi="黑体" w:eastAsia="黑体"/>
          <w:bCs/>
          <w:sz w:val="44"/>
          <w:szCs w:val="44"/>
        </w:rPr>
        <w:t>乐山城市资源开发利用有限公司乐山市医疗废物处置中心二期项目地块</w:t>
      </w:r>
    </w:p>
    <w:p>
      <w:pPr>
        <w:tabs>
          <w:tab w:val="left" w:pos="2500"/>
        </w:tabs>
        <w:snapToGrid w:val="0"/>
        <w:ind w:firstLine="0" w:firstLineChars="0"/>
        <w:jc w:val="center"/>
        <w:rPr>
          <w:rFonts w:ascii="黑体" w:hAnsi="黑体" w:eastAsia="黑体" w:cs="Times New Roman"/>
          <w:b/>
          <w:bCs/>
          <w:spacing w:val="40"/>
          <w:sz w:val="48"/>
          <w:szCs w:val="48"/>
        </w:rPr>
      </w:pPr>
    </w:p>
    <w:p>
      <w:pPr>
        <w:tabs>
          <w:tab w:val="left" w:pos="2500"/>
        </w:tabs>
        <w:snapToGrid w:val="0"/>
        <w:ind w:firstLine="0" w:firstLineChars="0"/>
        <w:jc w:val="center"/>
        <w:rPr>
          <w:rFonts w:cs="Times New Roman"/>
          <w:b/>
          <w:bCs/>
          <w:spacing w:val="40"/>
          <w:sz w:val="44"/>
          <w:szCs w:val="44"/>
        </w:rPr>
      </w:pPr>
    </w:p>
    <w:p>
      <w:pPr>
        <w:tabs>
          <w:tab w:val="left" w:pos="2500"/>
        </w:tabs>
        <w:snapToGrid w:val="0"/>
        <w:ind w:firstLine="0" w:firstLineChars="0"/>
        <w:jc w:val="center"/>
        <w:rPr>
          <w:rFonts w:ascii="隶书" w:eastAsia="隶书" w:cs="Times New Roman"/>
          <w:b/>
          <w:bCs/>
          <w:spacing w:val="40"/>
          <w:sz w:val="52"/>
          <w:szCs w:val="52"/>
        </w:rPr>
      </w:pPr>
      <w:r>
        <w:rPr>
          <w:rFonts w:hint="eastAsia" w:ascii="隶书" w:eastAsia="隶书" w:cs="Times New Roman"/>
          <w:b/>
          <w:bCs/>
          <w:spacing w:val="40"/>
          <w:sz w:val="52"/>
          <w:szCs w:val="52"/>
        </w:rPr>
        <w:t>2021年度土壤及地下水环境</w:t>
      </w:r>
    </w:p>
    <w:p>
      <w:pPr>
        <w:tabs>
          <w:tab w:val="left" w:pos="2500"/>
        </w:tabs>
        <w:snapToGrid w:val="0"/>
        <w:ind w:firstLine="0" w:firstLineChars="0"/>
        <w:jc w:val="center"/>
        <w:rPr>
          <w:rFonts w:ascii="隶书" w:eastAsia="隶书" w:cs="Times New Roman"/>
          <w:b/>
          <w:bCs/>
          <w:spacing w:val="40"/>
          <w:sz w:val="52"/>
          <w:szCs w:val="52"/>
        </w:rPr>
      </w:pPr>
      <w:r>
        <w:rPr>
          <w:rFonts w:hint="eastAsia" w:ascii="隶书" w:eastAsia="隶书" w:cs="Times New Roman"/>
          <w:b/>
          <w:bCs/>
          <w:spacing w:val="40"/>
          <w:sz w:val="52"/>
          <w:szCs w:val="52"/>
        </w:rPr>
        <w:t>自行检测报告</w:t>
      </w:r>
    </w:p>
    <w:p>
      <w:pPr>
        <w:tabs>
          <w:tab w:val="left" w:pos="2500"/>
        </w:tabs>
        <w:snapToGrid w:val="0"/>
        <w:ind w:firstLine="803"/>
        <w:jc w:val="center"/>
        <w:rPr>
          <w:rFonts w:cs="Times New Roman"/>
          <w:b/>
          <w:bCs/>
          <w:spacing w:val="40"/>
          <w:sz w:val="32"/>
          <w:szCs w:val="32"/>
        </w:rPr>
      </w:pPr>
    </w:p>
    <w:p>
      <w:pPr>
        <w:tabs>
          <w:tab w:val="left" w:pos="2500"/>
        </w:tabs>
        <w:snapToGrid w:val="0"/>
        <w:ind w:firstLine="803"/>
        <w:jc w:val="center"/>
        <w:rPr>
          <w:rFonts w:cs="Times New Roman"/>
          <w:b/>
          <w:bCs/>
          <w:spacing w:val="40"/>
          <w:sz w:val="32"/>
          <w:szCs w:val="32"/>
        </w:rPr>
      </w:pPr>
    </w:p>
    <w:p>
      <w:pPr>
        <w:tabs>
          <w:tab w:val="left" w:pos="2500"/>
        </w:tabs>
        <w:snapToGrid w:val="0"/>
        <w:ind w:firstLine="803"/>
        <w:jc w:val="center"/>
        <w:rPr>
          <w:rFonts w:cs="Times New Roman"/>
          <w:b/>
          <w:bCs/>
          <w:spacing w:val="40"/>
          <w:sz w:val="32"/>
          <w:szCs w:val="32"/>
        </w:rPr>
      </w:pPr>
    </w:p>
    <w:p>
      <w:pPr>
        <w:tabs>
          <w:tab w:val="left" w:pos="2500"/>
        </w:tabs>
        <w:snapToGrid w:val="0"/>
        <w:ind w:firstLine="803"/>
        <w:jc w:val="center"/>
        <w:rPr>
          <w:rFonts w:cs="Times New Roman"/>
          <w:b/>
          <w:bCs/>
          <w:spacing w:val="40"/>
          <w:sz w:val="32"/>
          <w:szCs w:val="32"/>
        </w:rPr>
      </w:pPr>
    </w:p>
    <w:p>
      <w:pPr>
        <w:tabs>
          <w:tab w:val="left" w:pos="2500"/>
        </w:tabs>
        <w:snapToGrid w:val="0"/>
        <w:ind w:firstLine="803"/>
        <w:jc w:val="center"/>
        <w:rPr>
          <w:rFonts w:cs="Times New Roman"/>
          <w:b/>
          <w:bCs/>
          <w:spacing w:val="40"/>
          <w:sz w:val="32"/>
          <w:szCs w:val="32"/>
        </w:rPr>
      </w:pPr>
    </w:p>
    <w:p>
      <w:pPr>
        <w:tabs>
          <w:tab w:val="left" w:pos="2500"/>
        </w:tabs>
        <w:snapToGrid w:val="0"/>
        <w:ind w:firstLine="803"/>
        <w:jc w:val="center"/>
        <w:rPr>
          <w:rFonts w:cs="Times New Roman"/>
          <w:b/>
          <w:bCs/>
          <w:spacing w:val="40"/>
          <w:sz w:val="32"/>
          <w:szCs w:val="32"/>
        </w:rPr>
      </w:pPr>
    </w:p>
    <w:p>
      <w:pPr>
        <w:tabs>
          <w:tab w:val="left" w:pos="2500"/>
        </w:tabs>
        <w:snapToGrid w:val="0"/>
        <w:ind w:firstLine="803"/>
        <w:jc w:val="center"/>
        <w:rPr>
          <w:rFonts w:cs="Times New Roman"/>
          <w:b/>
          <w:bCs/>
          <w:spacing w:val="40"/>
          <w:sz w:val="32"/>
          <w:szCs w:val="32"/>
        </w:rPr>
      </w:pPr>
    </w:p>
    <w:p>
      <w:pPr>
        <w:ind w:firstLine="0" w:firstLineChars="0"/>
        <w:jc w:val="center"/>
        <w:rPr>
          <w:rFonts w:ascii="楷体" w:hAnsi="楷体" w:eastAsia="楷体" w:cs="Times New Roman"/>
          <w:b/>
          <w:bCs/>
          <w:spacing w:val="40"/>
          <w:sz w:val="32"/>
          <w:szCs w:val="32"/>
        </w:rPr>
      </w:pPr>
      <w:r>
        <w:rPr>
          <w:rFonts w:hint="eastAsia" w:ascii="楷体" w:hAnsi="楷体" w:eastAsia="楷体" w:cs="Times New Roman"/>
          <w:b/>
          <w:bCs/>
          <w:spacing w:val="40"/>
          <w:sz w:val="32"/>
          <w:szCs w:val="32"/>
        </w:rPr>
        <w:t>委托单位：乐山城市资源开发利用有限公司</w:t>
      </w:r>
    </w:p>
    <w:p>
      <w:pPr>
        <w:tabs>
          <w:tab w:val="left" w:pos="2500"/>
        </w:tabs>
        <w:snapToGrid w:val="0"/>
        <w:ind w:firstLine="0" w:firstLineChars="0"/>
        <w:jc w:val="center"/>
        <w:rPr>
          <w:rFonts w:cs="Times New Roman"/>
          <w:b/>
          <w:bCs/>
          <w:spacing w:val="40"/>
          <w:sz w:val="32"/>
          <w:szCs w:val="32"/>
        </w:rPr>
      </w:pPr>
      <w:r>
        <w:rPr>
          <w:rFonts w:hint="eastAsia" w:ascii="楷体" w:hAnsi="楷体" w:eastAsia="楷体" w:cs="Times New Roman"/>
          <w:b/>
          <w:bCs/>
          <w:spacing w:val="40"/>
          <w:sz w:val="32"/>
          <w:szCs w:val="32"/>
        </w:rPr>
        <w:t>编制单位：四川省海蓝晴天环保科技有限公司</w:t>
      </w:r>
    </w:p>
    <w:p>
      <w:pPr>
        <w:tabs>
          <w:tab w:val="left" w:pos="2500"/>
        </w:tabs>
        <w:snapToGrid w:val="0"/>
        <w:ind w:firstLine="0" w:firstLineChars="0"/>
        <w:jc w:val="center"/>
        <w:rPr>
          <w:rFonts w:cs="Times New Roman"/>
          <w:b/>
          <w:bCs/>
          <w:spacing w:val="40"/>
          <w:sz w:val="32"/>
          <w:szCs w:val="32"/>
        </w:rPr>
      </w:pPr>
      <w:r>
        <w:rPr>
          <w:rFonts w:hint="eastAsia" w:cs="Times New Roman"/>
          <w:b/>
          <w:bCs/>
          <w:spacing w:val="40"/>
          <w:sz w:val="32"/>
          <w:szCs w:val="32"/>
        </w:rPr>
        <w:t>202</w:t>
      </w:r>
      <w:r>
        <w:rPr>
          <w:rFonts w:cs="Times New Roman"/>
          <w:b/>
          <w:bCs/>
          <w:spacing w:val="40"/>
          <w:sz w:val="32"/>
          <w:szCs w:val="32"/>
        </w:rPr>
        <w:t>1</w:t>
      </w:r>
      <w:r>
        <w:rPr>
          <w:rFonts w:hint="eastAsia" w:cs="Times New Roman"/>
          <w:b/>
          <w:bCs/>
          <w:spacing w:val="40"/>
          <w:sz w:val="32"/>
          <w:szCs w:val="32"/>
        </w:rPr>
        <w:t>年1</w:t>
      </w:r>
      <w:r>
        <w:rPr>
          <w:rFonts w:cs="Times New Roman"/>
          <w:b/>
          <w:bCs/>
          <w:spacing w:val="40"/>
          <w:sz w:val="32"/>
          <w:szCs w:val="32"/>
        </w:rPr>
        <w:t>2</w:t>
      </w:r>
      <w:r>
        <w:rPr>
          <w:rFonts w:hint="eastAsia" w:cs="Times New Roman"/>
          <w:b/>
          <w:bCs/>
          <w:spacing w:val="40"/>
          <w:sz w:val="32"/>
          <w:szCs w:val="32"/>
        </w:rPr>
        <w:t>月</w:t>
      </w:r>
    </w:p>
    <w:p>
      <w:pPr>
        <w:ind w:firstLine="480"/>
        <w:rPr>
          <w:color w:val="FF0000"/>
        </w:rPr>
      </w:pPr>
    </w:p>
    <w:p>
      <w:pPr>
        <w:pStyle w:val="52"/>
        <w:rPr>
          <w:color w:val="FF0000"/>
          <w:lang w:val="zh-CN"/>
        </w:rPr>
        <w:sectPr>
          <w:headerReference r:id="rId5" w:type="even"/>
          <w:footerReference r:id="rId6" w:type="even"/>
          <w:pgSz w:w="11906" w:h="16838"/>
          <w:pgMar w:top="1440" w:right="1800" w:bottom="1440" w:left="1800" w:header="851" w:footer="992" w:gutter="0"/>
          <w:cols w:space="425" w:num="1"/>
          <w:titlePg/>
          <w:docGrid w:type="lines" w:linePitch="326" w:charSpace="0"/>
        </w:sectPr>
      </w:pPr>
    </w:p>
    <w:sdt>
      <w:sdtPr>
        <w:rPr>
          <w:rFonts w:ascii="Times New Roman" w:hAnsi="Times New Roman" w:eastAsiaTheme="minorEastAsia" w:cstheme="minorBidi"/>
          <w:b w:val="0"/>
          <w:bCs w:val="0"/>
          <w:color w:val="FF0000"/>
          <w:kern w:val="2"/>
          <w:sz w:val="24"/>
          <w:szCs w:val="22"/>
          <w:lang w:val="zh-CN"/>
        </w:rPr>
        <w:id w:val="5300431"/>
        <w:docPartObj>
          <w:docPartGallery w:val="Table of Contents"/>
          <w:docPartUnique/>
        </w:docPartObj>
      </w:sdtPr>
      <w:sdtEndPr>
        <w:rPr>
          <w:rFonts w:ascii="Times New Roman" w:hAnsi="Times New Roman" w:eastAsiaTheme="minorEastAsia" w:cstheme="minorBidi"/>
          <w:b w:val="0"/>
          <w:bCs w:val="0"/>
          <w:color w:val="FF0000"/>
          <w:kern w:val="2"/>
          <w:sz w:val="24"/>
          <w:szCs w:val="22"/>
          <w:lang w:val="en-US"/>
        </w:rPr>
      </w:sdtEndPr>
      <w:sdtContent>
        <w:p>
          <w:pPr>
            <w:pStyle w:val="52"/>
            <w:jc w:val="center"/>
            <w:rPr>
              <w:color w:val="auto"/>
            </w:rPr>
          </w:pPr>
          <w:r>
            <w:rPr>
              <w:color w:val="auto"/>
              <w:lang w:val="zh-CN"/>
            </w:rPr>
            <w:t>目</w:t>
          </w:r>
          <w:r>
            <w:rPr>
              <w:rFonts w:hint="eastAsia"/>
              <w:color w:val="auto"/>
            </w:rPr>
            <w:t xml:space="preserve">  </w:t>
          </w:r>
          <w:r>
            <w:rPr>
              <w:color w:val="auto"/>
              <w:lang w:val="zh-CN"/>
            </w:rPr>
            <w:t>录</w:t>
          </w:r>
        </w:p>
        <w:p>
          <w:pPr>
            <w:pStyle w:val="18"/>
            <w:tabs>
              <w:tab w:val="right" w:leader="dot" w:pos="8296"/>
            </w:tabs>
            <w:ind w:firstLine="480"/>
            <w:rPr>
              <w:rFonts w:asciiTheme="minorHAnsi" w:hAnsiTheme="minorHAnsi"/>
              <w:sz w:val="21"/>
            </w:rPr>
          </w:pPr>
          <w:r>
            <w:rPr>
              <w:color w:val="FF0000"/>
            </w:rPr>
            <w:fldChar w:fldCharType="begin"/>
          </w:r>
          <w:r>
            <w:rPr>
              <w:color w:val="FF0000"/>
            </w:rPr>
            <w:instrText xml:space="preserve"> TOC \o "1-3" \h \z \u </w:instrText>
          </w:r>
          <w:r>
            <w:rPr>
              <w:color w:val="FF0000"/>
            </w:rPr>
            <w:fldChar w:fldCharType="separate"/>
          </w:r>
          <w:r>
            <w:fldChar w:fldCharType="begin"/>
          </w:r>
          <w:r>
            <w:instrText xml:space="preserve"> HYPERLINK \l "_Toc91763514" </w:instrText>
          </w:r>
          <w:r>
            <w:fldChar w:fldCharType="separate"/>
          </w:r>
          <w:r>
            <w:rPr>
              <w:rStyle w:val="27"/>
            </w:rPr>
            <w:t>1.项目概况</w:t>
          </w:r>
          <w:r>
            <w:tab/>
          </w:r>
          <w:r>
            <w:fldChar w:fldCharType="begin"/>
          </w:r>
          <w:r>
            <w:instrText xml:space="preserve"> PAGEREF _Toc91763514 \h </w:instrText>
          </w:r>
          <w:r>
            <w:fldChar w:fldCharType="separate"/>
          </w:r>
          <w:r>
            <w:t>3</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"_Toc91763515" </w:instrText>
          </w:r>
          <w:r>
            <w:fldChar w:fldCharType="separate"/>
          </w:r>
          <w:r>
            <w:rPr>
              <w:rStyle w:val="27"/>
            </w:rPr>
            <w:t>1.1项目背景</w:t>
          </w:r>
          <w:r>
            <w:tab/>
          </w:r>
          <w:r>
            <w:fldChar w:fldCharType="begin"/>
          </w:r>
          <w:r>
            <w:instrText xml:space="preserve"> PAGEREF _Toc91763515 \h </w:instrText>
          </w:r>
          <w:r>
            <w:fldChar w:fldCharType="separate"/>
          </w:r>
          <w:r>
            <w:t>3</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"_Toc91763516" </w:instrText>
          </w:r>
          <w:r>
            <w:fldChar w:fldCharType="separate"/>
          </w:r>
          <w:r>
            <w:rPr>
              <w:rStyle w:val="27"/>
            </w:rPr>
            <w:t>1.2地理位置及周边环境</w:t>
          </w:r>
          <w:r>
            <w:tab/>
          </w:r>
          <w:r>
            <w:fldChar w:fldCharType="begin"/>
          </w:r>
          <w:r>
            <w:instrText xml:space="preserve"> PAGEREF _Toc91763516 \h </w:instrText>
          </w:r>
          <w:r>
            <w:fldChar w:fldCharType="separate"/>
          </w:r>
          <w:r>
            <w:t>3</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"_Toc91763517" </w:instrText>
          </w:r>
          <w:r>
            <w:fldChar w:fldCharType="separate"/>
          </w:r>
          <w:r>
            <w:rPr>
              <w:rStyle w:val="27"/>
            </w:rPr>
            <w:t>1.3场地区域水文地质概况</w:t>
          </w:r>
          <w:r>
            <w:tab/>
          </w:r>
          <w:r>
            <w:fldChar w:fldCharType="begin"/>
          </w:r>
          <w:r>
            <w:instrText xml:space="preserve"> PAGEREF _Toc91763517 \h </w:instrText>
          </w:r>
          <w:r>
            <w:fldChar w:fldCharType="separate"/>
          </w:r>
          <w:r>
            <w:t>5</w:t>
          </w:r>
          <w:r>
            <w:fldChar w:fldCharType="end"/>
          </w:r>
          <w:r>
            <w:fldChar w:fldCharType="end"/>
          </w:r>
        </w:p>
        <w:p>
          <w:pPr>
            <w:pStyle w:val="4"/>
            <w:tabs>
              <w:tab w:val="right" w:leader="dot" w:pos="8296"/>
            </w:tabs>
            <w:ind w:left="960" w:firstLine="480"/>
            <w:rPr>
              <w:rFonts w:asciiTheme="minorHAnsi" w:hAnsiTheme="minorHAnsi"/>
              <w:sz w:val="21"/>
            </w:rPr>
          </w:pPr>
          <w:r>
            <w:fldChar w:fldCharType="begin"/>
          </w:r>
          <w:r>
            <w:instrText xml:space="preserve"> HYPERLINK \l "_Toc91763518" </w:instrText>
          </w:r>
          <w:r>
            <w:fldChar w:fldCharType="separate"/>
          </w:r>
          <w:r>
            <w:rPr>
              <w:rStyle w:val="27"/>
            </w:rPr>
            <w:t>1.3.1水文</w:t>
          </w:r>
          <w:r>
            <w:tab/>
          </w:r>
          <w:r>
            <w:fldChar w:fldCharType="begin"/>
          </w:r>
          <w:r>
            <w:instrText xml:space="preserve"> PAGEREF _Toc91763518 \h </w:instrText>
          </w:r>
          <w:r>
            <w:fldChar w:fldCharType="separate"/>
          </w:r>
          <w:r>
            <w:t>5</w:t>
          </w:r>
          <w:r>
            <w:fldChar w:fldCharType="end"/>
          </w:r>
          <w:r>
            <w:fldChar w:fldCharType="end"/>
          </w:r>
        </w:p>
        <w:p>
          <w:pPr>
            <w:pStyle w:val="4"/>
            <w:tabs>
              <w:tab w:val="right" w:leader="dot" w:pos="8296"/>
            </w:tabs>
            <w:ind w:left="960" w:firstLine="480"/>
            <w:rPr>
              <w:rFonts w:asciiTheme="minorHAnsi" w:hAnsiTheme="minorHAnsi"/>
              <w:sz w:val="21"/>
            </w:rPr>
          </w:pPr>
          <w:r>
            <w:fldChar w:fldCharType="begin"/>
          </w:r>
          <w:r>
            <w:instrText xml:space="preserve"> HYPERLINK \l "_Toc91763519" </w:instrText>
          </w:r>
          <w:r>
            <w:fldChar w:fldCharType="separate"/>
          </w:r>
          <w:r>
            <w:rPr>
              <w:rStyle w:val="27"/>
            </w:rPr>
            <w:t>1.3.2区域地质条件</w:t>
          </w:r>
          <w:r>
            <w:tab/>
          </w:r>
          <w:r>
            <w:fldChar w:fldCharType="begin"/>
          </w:r>
          <w:r>
            <w:instrText xml:space="preserve"> PAGEREF _Toc91763519 \h </w:instrText>
          </w:r>
          <w:r>
            <w:fldChar w:fldCharType="separate"/>
          </w:r>
          <w:r>
            <w:t>5</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"_Toc91763520" </w:instrText>
          </w:r>
          <w:r>
            <w:fldChar w:fldCharType="separate"/>
          </w:r>
          <w:r>
            <w:rPr>
              <w:rStyle w:val="27"/>
            </w:rPr>
            <w:t>2.检测目的及任务</w:t>
          </w:r>
          <w:r>
            <w:tab/>
          </w:r>
          <w:r>
            <w:fldChar w:fldCharType="begin"/>
          </w:r>
          <w:r>
            <w:instrText xml:space="preserve"> PAGEREF _Toc91763520 \h </w:instrText>
          </w:r>
          <w:r>
            <w:fldChar w:fldCharType="separate"/>
          </w:r>
          <w:r>
            <w:t>8</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"_Toc91763521" </w:instrText>
          </w:r>
          <w:r>
            <w:fldChar w:fldCharType="separate"/>
          </w:r>
          <w:r>
            <w:rPr>
              <w:rStyle w:val="27"/>
            </w:rPr>
            <w:t>2.1检测目的</w:t>
          </w:r>
          <w:r>
            <w:tab/>
          </w:r>
          <w:r>
            <w:fldChar w:fldCharType="begin"/>
          </w:r>
          <w:r>
            <w:instrText xml:space="preserve"> PAGEREF _Toc91763521 \h </w:instrText>
          </w:r>
          <w:r>
            <w:fldChar w:fldCharType="separate"/>
          </w:r>
          <w:r>
            <w:t>8</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"_Toc91763522" </w:instrText>
          </w:r>
          <w:r>
            <w:fldChar w:fldCharType="separate"/>
          </w:r>
          <w:r>
            <w:rPr>
              <w:rStyle w:val="27"/>
            </w:rPr>
            <w:t>2.2检测任务</w:t>
          </w:r>
          <w:r>
            <w:tab/>
          </w:r>
          <w:r>
            <w:fldChar w:fldCharType="begin"/>
          </w:r>
          <w:r>
            <w:instrText xml:space="preserve"> PAGEREF _Toc91763522 \h </w:instrText>
          </w:r>
          <w:r>
            <w:fldChar w:fldCharType="separate"/>
          </w:r>
          <w:r>
            <w:t>8</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"_Toc91763523" </w:instrText>
          </w:r>
          <w:r>
            <w:fldChar w:fldCharType="separate"/>
          </w:r>
          <w:r>
            <w:rPr>
              <w:rStyle w:val="27"/>
            </w:rPr>
            <w:t>3.工作依据</w:t>
          </w:r>
          <w:r>
            <w:tab/>
          </w:r>
          <w:r>
            <w:fldChar w:fldCharType="begin"/>
          </w:r>
          <w:r>
            <w:instrText xml:space="preserve"> PAGEREF _Toc91763523 \h </w:instrText>
          </w:r>
          <w:r>
            <w:fldChar w:fldCharType="separate"/>
          </w:r>
          <w:r>
            <w:t>10</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"_Toc91763524" </w:instrText>
          </w:r>
          <w:r>
            <w:fldChar w:fldCharType="separate"/>
          </w:r>
          <w:r>
            <w:rPr>
              <w:rStyle w:val="27"/>
            </w:rPr>
            <w:t>3.1政策法规</w:t>
          </w:r>
          <w:r>
            <w:tab/>
          </w:r>
          <w:r>
            <w:fldChar w:fldCharType="begin"/>
          </w:r>
          <w:r>
            <w:instrText xml:space="preserve"> PAGEREF _Toc91763524 \h </w:instrText>
          </w:r>
          <w:r>
            <w:fldChar w:fldCharType="separate"/>
          </w:r>
          <w:r>
            <w:t>10</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"_Toc91763525" </w:instrText>
          </w:r>
          <w:r>
            <w:fldChar w:fldCharType="separate"/>
          </w:r>
          <w:r>
            <w:rPr>
              <w:rStyle w:val="27"/>
            </w:rPr>
            <w:t>3.2相关导则与技术标准</w:t>
          </w:r>
          <w:r>
            <w:tab/>
          </w:r>
          <w:r>
            <w:fldChar w:fldCharType="begin"/>
          </w:r>
          <w:r>
            <w:instrText xml:space="preserve"> PAGEREF _Toc91763525 \h </w:instrText>
          </w:r>
          <w:r>
            <w:fldChar w:fldCharType="separate"/>
          </w:r>
          <w:r>
            <w:t>11</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"_Toc91763526" </w:instrText>
          </w:r>
          <w:r>
            <w:fldChar w:fldCharType="separate"/>
          </w:r>
          <w:r>
            <w:rPr>
              <w:rStyle w:val="27"/>
            </w:rPr>
            <w:t>3.3相关技术资料</w:t>
          </w:r>
          <w:r>
            <w:tab/>
          </w:r>
          <w:r>
            <w:fldChar w:fldCharType="begin"/>
          </w:r>
          <w:r>
            <w:instrText xml:space="preserve"> PAGEREF _Toc91763526 \h </w:instrText>
          </w:r>
          <w:r>
            <w:fldChar w:fldCharType="separate"/>
          </w:r>
          <w:r>
            <w:t>11</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"_Toc91763527" </w:instrText>
          </w:r>
          <w:r>
            <w:fldChar w:fldCharType="separate"/>
          </w:r>
          <w:r>
            <w:rPr>
              <w:rStyle w:val="27"/>
            </w:rPr>
            <w:t>4.采样现场工作照片</w:t>
          </w:r>
          <w:r>
            <w:tab/>
          </w:r>
          <w:r>
            <w:fldChar w:fldCharType="begin"/>
          </w:r>
          <w:r>
            <w:instrText xml:space="preserve"> PAGEREF _Toc91763527 \h </w:instrText>
          </w:r>
          <w:r>
            <w:fldChar w:fldCharType="separate"/>
          </w:r>
          <w:r>
            <w:t>12</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"_Toc91763528" </w:instrText>
          </w:r>
          <w:r>
            <w:fldChar w:fldCharType="separate"/>
          </w:r>
          <w:r>
            <w:rPr>
              <w:rStyle w:val="27"/>
            </w:rPr>
            <w:t>5.布点情况</w:t>
          </w:r>
          <w:r>
            <w:tab/>
          </w:r>
          <w:r>
            <w:fldChar w:fldCharType="begin"/>
          </w:r>
          <w:r>
            <w:instrText xml:space="preserve"> PAGEREF _Toc91763528 \h </w:instrText>
          </w:r>
          <w:r>
            <w:fldChar w:fldCharType="separate"/>
          </w:r>
          <w:r>
            <w:t>17</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"_Toc91763529" </w:instrText>
          </w:r>
          <w:r>
            <w:fldChar w:fldCharType="separate"/>
          </w:r>
          <w:r>
            <w:rPr>
              <w:rStyle w:val="27"/>
            </w:rPr>
            <w:t>5.1土壤取样点布设情况</w:t>
          </w:r>
          <w:r>
            <w:tab/>
          </w:r>
          <w:r>
            <w:fldChar w:fldCharType="begin"/>
          </w:r>
          <w:r>
            <w:instrText xml:space="preserve"> PAGEREF _Toc91763529 \h </w:instrText>
          </w:r>
          <w:r>
            <w:fldChar w:fldCharType="separate"/>
          </w:r>
          <w:r>
            <w:t>17</w:t>
          </w:r>
          <w:r>
            <w:fldChar w:fldCharType="end"/>
          </w:r>
          <w:r>
            <w:fldChar w:fldCharType="end"/>
          </w:r>
        </w:p>
        <w:p>
          <w:pPr>
            <w:pStyle w:val="4"/>
            <w:tabs>
              <w:tab w:val="right" w:leader="dot" w:pos="8296"/>
            </w:tabs>
            <w:ind w:left="960" w:firstLine="480"/>
            <w:rPr>
              <w:rFonts w:asciiTheme="minorHAnsi" w:hAnsiTheme="minorHAnsi"/>
              <w:sz w:val="21"/>
            </w:rPr>
          </w:pPr>
          <w:r>
            <w:fldChar w:fldCharType="begin"/>
          </w:r>
          <w:r>
            <w:instrText xml:space="preserve"> HYPERLINK \l "_Toc91763530" </w:instrText>
          </w:r>
          <w:r>
            <w:fldChar w:fldCharType="separate"/>
          </w:r>
          <w:r>
            <w:rPr>
              <w:rStyle w:val="27"/>
            </w:rPr>
            <w:t>5.1.1点位数量</w:t>
          </w:r>
          <w:r>
            <w:tab/>
          </w:r>
          <w:r>
            <w:fldChar w:fldCharType="begin"/>
          </w:r>
          <w:r>
            <w:instrText xml:space="preserve"> PAGEREF _Toc91763530 \h </w:instrText>
          </w:r>
          <w:r>
            <w:fldChar w:fldCharType="separate"/>
          </w:r>
          <w:r>
            <w:t>17</w:t>
          </w:r>
          <w:r>
            <w:fldChar w:fldCharType="end"/>
          </w:r>
          <w:r>
            <w:fldChar w:fldCharType="end"/>
          </w:r>
        </w:p>
        <w:p>
          <w:pPr>
            <w:pStyle w:val="4"/>
            <w:tabs>
              <w:tab w:val="right" w:leader="dot" w:pos="8296"/>
            </w:tabs>
            <w:ind w:left="960" w:firstLine="480"/>
            <w:rPr>
              <w:rFonts w:asciiTheme="minorHAnsi" w:hAnsiTheme="minorHAnsi"/>
              <w:sz w:val="21"/>
            </w:rPr>
          </w:pPr>
          <w:r>
            <w:fldChar w:fldCharType="begin"/>
          </w:r>
          <w:r>
            <w:instrText xml:space="preserve"> HYPERLINK \l "_Toc91763531" </w:instrText>
          </w:r>
          <w:r>
            <w:fldChar w:fldCharType="separate"/>
          </w:r>
          <w:r>
            <w:rPr>
              <w:rStyle w:val="27"/>
            </w:rPr>
            <w:t>5.1.2点位位置</w:t>
          </w:r>
          <w:r>
            <w:tab/>
          </w:r>
          <w:r>
            <w:fldChar w:fldCharType="begin"/>
          </w:r>
          <w:r>
            <w:instrText xml:space="preserve"> PAGEREF _Toc91763531 \h </w:instrText>
          </w:r>
          <w:r>
            <w:fldChar w:fldCharType="separate"/>
          </w:r>
          <w:r>
            <w:t>17</w:t>
          </w:r>
          <w:r>
            <w:fldChar w:fldCharType="end"/>
          </w:r>
          <w:r>
            <w:fldChar w:fldCharType="end"/>
          </w:r>
        </w:p>
        <w:p>
          <w:pPr>
            <w:pStyle w:val="4"/>
            <w:tabs>
              <w:tab w:val="right" w:leader="dot" w:pos="8296"/>
            </w:tabs>
            <w:ind w:left="960" w:firstLine="480"/>
            <w:rPr>
              <w:rFonts w:asciiTheme="minorHAnsi" w:hAnsiTheme="minorHAnsi"/>
              <w:sz w:val="21"/>
            </w:rPr>
          </w:pPr>
          <w:r>
            <w:fldChar w:fldCharType="begin"/>
          </w:r>
          <w:r>
            <w:instrText xml:space="preserve"> HYPERLINK \l "_Toc91763532" </w:instrText>
          </w:r>
          <w:r>
            <w:fldChar w:fldCharType="separate"/>
          </w:r>
          <w:r>
            <w:rPr>
              <w:rStyle w:val="27"/>
            </w:rPr>
            <w:t>5.1.3采样深度</w:t>
          </w:r>
          <w:r>
            <w:tab/>
          </w:r>
          <w:r>
            <w:fldChar w:fldCharType="begin"/>
          </w:r>
          <w:r>
            <w:instrText xml:space="preserve"> PAGEREF _Toc91763532 \h </w:instrText>
          </w:r>
          <w:r>
            <w:fldChar w:fldCharType="separate"/>
          </w:r>
          <w:r>
            <w:t>18</w:t>
          </w:r>
          <w:r>
            <w:fldChar w:fldCharType="end"/>
          </w:r>
          <w:r>
            <w:fldChar w:fldCharType="end"/>
          </w:r>
        </w:p>
        <w:p>
          <w:pPr>
            <w:pStyle w:val="4"/>
            <w:tabs>
              <w:tab w:val="right" w:leader="dot" w:pos="8296"/>
            </w:tabs>
            <w:ind w:left="960" w:firstLine="480"/>
            <w:rPr>
              <w:rFonts w:asciiTheme="minorHAnsi" w:hAnsiTheme="minorHAnsi"/>
              <w:sz w:val="21"/>
            </w:rPr>
          </w:pPr>
          <w:r>
            <w:fldChar w:fldCharType="begin"/>
          </w:r>
          <w:r>
            <w:instrText xml:space="preserve"> HYPERLINK \l "_Toc91763533" </w:instrText>
          </w:r>
          <w:r>
            <w:fldChar w:fldCharType="separate"/>
          </w:r>
          <w:r>
            <w:rPr>
              <w:rStyle w:val="27"/>
            </w:rPr>
            <w:t>5.1.4 检测频率</w:t>
          </w:r>
          <w:r>
            <w:tab/>
          </w:r>
          <w:r>
            <w:fldChar w:fldCharType="begin"/>
          </w:r>
          <w:r>
            <w:instrText xml:space="preserve"> PAGEREF _Toc91763533 \h </w:instrText>
          </w:r>
          <w:r>
            <w:fldChar w:fldCharType="separate"/>
          </w:r>
          <w:r>
            <w:t>18</w:t>
          </w:r>
          <w:r>
            <w:fldChar w:fldCharType="end"/>
          </w:r>
          <w:r>
            <w:fldChar w:fldCharType="end"/>
          </w:r>
        </w:p>
        <w:p>
          <w:pPr>
            <w:pStyle w:val="4"/>
            <w:tabs>
              <w:tab w:val="right" w:leader="dot" w:pos="8296"/>
            </w:tabs>
            <w:ind w:left="960" w:firstLine="480"/>
            <w:rPr>
              <w:rFonts w:asciiTheme="minorHAnsi" w:hAnsiTheme="minorHAnsi"/>
              <w:sz w:val="21"/>
            </w:rPr>
          </w:pPr>
          <w:r>
            <w:fldChar w:fldCharType="begin"/>
          </w:r>
          <w:r>
            <w:instrText xml:space="preserve"> HYPERLINK \l "_Toc91763534" </w:instrText>
          </w:r>
          <w:r>
            <w:fldChar w:fldCharType="separate"/>
          </w:r>
          <w:r>
            <w:rPr>
              <w:rStyle w:val="27"/>
            </w:rPr>
            <w:t>5.1.5监测项目</w:t>
          </w:r>
          <w:r>
            <w:tab/>
          </w:r>
          <w:r>
            <w:fldChar w:fldCharType="begin"/>
          </w:r>
          <w:r>
            <w:instrText xml:space="preserve"> PAGEREF _Toc91763534 \h </w:instrText>
          </w:r>
          <w:r>
            <w:fldChar w:fldCharType="separate"/>
          </w:r>
          <w:r>
            <w:t>18</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"_Toc91763535" </w:instrText>
          </w:r>
          <w:r>
            <w:fldChar w:fldCharType="separate"/>
          </w:r>
          <w:r>
            <w:rPr>
              <w:rStyle w:val="27"/>
            </w:rPr>
            <w:t>5.2地下水布点情况</w:t>
          </w:r>
          <w:r>
            <w:tab/>
          </w:r>
          <w:r>
            <w:fldChar w:fldCharType="begin"/>
          </w:r>
          <w:r>
            <w:instrText xml:space="preserve"> PAGEREF _Toc91763535 \h </w:instrText>
          </w:r>
          <w:r>
            <w:fldChar w:fldCharType="separate"/>
          </w:r>
          <w:r>
            <w:t>19</w:t>
          </w:r>
          <w:r>
            <w:fldChar w:fldCharType="end"/>
          </w:r>
          <w:r>
            <w:fldChar w:fldCharType="end"/>
          </w:r>
        </w:p>
        <w:p>
          <w:pPr>
            <w:pStyle w:val="4"/>
            <w:tabs>
              <w:tab w:val="right" w:leader="dot" w:pos="8296"/>
            </w:tabs>
            <w:ind w:left="960" w:firstLine="480"/>
            <w:rPr>
              <w:rFonts w:asciiTheme="minorHAnsi" w:hAnsiTheme="minorHAnsi"/>
              <w:sz w:val="21"/>
            </w:rPr>
          </w:pPr>
          <w:r>
            <w:fldChar w:fldCharType="begin"/>
          </w:r>
          <w:r>
            <w:instrText xml:space="preserve"> HYPERLINK \l "_Toc91763536" </w:instrText>
          </w:r>
          <w:r>
            <w:fldChar w:fldCharType="separate"/>
          </w:r>
          <w:r>
            <w:rPr>
              <w:rStyle w:val="27"/>
            </w:rPr>
            <w:t>5.2.1对照点检测</w:t>
          </w:r>
          <w:r>
            <w:tab/>
          </w:r>
          <w:r>
            <w:fldChar w:fldCharType="begin"/>
          </w:r>
          <w:r>
            <w:instrText xml:space="preserve"> PAGEREF _Toc91763536 \h </w:instrText>
          </w:r>
          <w:r>
            <w:fldChar w:fldCharType="separate"/>
          </w:r>
          <w:r>
            <w:t>19</w:t>
          </w:r>
          <w:r>
            <w:fldChar w:fldCharType="end"/>
          </w:r>
          <w:r>
            <w:fldChar w:fldCharType="end"/>
          </w:r>
        </w:p>
        <w:p>
          <w:pPr>
            <w:pStyle w:val="4"/>
            <w:tabs>
              <w:tab w:val="right" w:leader="dot" w:pos="8296"/>
            </w:tabs>
            <w:ind w:left="960" w:firstLine="480"/>
            <w:rPr>
              <w:rFonts w:asciiTheme="minorHAnsi" w:hAnsiTheme="minorHAnsi"/>
              <w:sz w:val="21"/>
            </w:rPr>
          </w:pPr>
          <w:r>
            <w:fldChar w:fldCharType="begin"/>
          </w:r>
          <w:r>
            <w:instrText xml:space="preserve"> HYPERLINK \l "_Toc91763537" </w:instrText>
          </w:r>
          <w:r>
            <w:fldChar w:fldCharType="separate"/>
          </w:r>
          <w:r>
            <w:rPr>
              <w:rStyle w:val="27"/>
            </w:rPr>
            <w:t>5.2.2监控点检测</w:t>
          </w:r>
          <w:r>
            <w:tab/>
          </w:r>
          <w:r>
            <w:fldChar w:fldCharType="begin"/>
          </w:r>
          <w:r>
            <w:instrText xml:space="preserve"> PAGEREF _Toc91763537 \h </w:instrText>
          </w:r>
          <w:r>
            <w:fldChar w:fldCharType="separate"/>
          </w:r>
          <w:r>
            <w:t>19</w:t>
          </w:r>
          <w:r>
            <w:fldChar w:fldCharType="end"/>
          </w:r>
          <w:r>
            <w:fldChar w:fldCharType="end"/>
          </w:r>
        </w:p>
        <w:p>
          <w:pPr>
            <w:pStyle w:val="4"/>
            <w:tabs>
              <w:tab w:val="right" w:leader="dot" w:pos="8296"/>
            </w:tabs>
            <w:ind w:left="960" w:firstLine="480"/>
            <w:rPr>
              <w:rFonts w:asciiTheme="minorHAnsi" w:hAnsiTheme="minorHAnsi"/>
              <w:sz w:val="21"/>
            </w:rPr>
          </w:pPr>
          <w:r>
            <w:fldChar w:fldCharType="begin"/>
          </w:r>
          <w:r>
            <w:instrText xml:space="preserve"> HYPERLINK \l "_Toc91763538" </w:instrText>
          </w:r>
          <w:r>
            <w:fldChar w:fldCharType="separate"/>
          </w:r>
          <w:r>
            <w:rPr>
              <w:rStyle w:val="27"/>
            </w:rPr>
            <w:t>5.2.3 采样深度</w:t>
          </w:r>
          <w:r>
            <w:tab/>
          </w:r>
          <w:r>
            <w:fldChar w:fldCharType="begin"/>
          </w:r>
          <w:r>
            <w:instrText xml:space="preserve"> PAGEREF _Toc91763538 \h </w:instrText>
          </w:r>
          <w:r>
            <w:fldChar w:fldCharType="separate"/>
          </w:r>
          <w:r>
            <w:t>20</w:t>
          </w:r>
          <w:r>
            <w:fldChar w:fldCharType="end"/>
          </w:r>
          <w:r>
            <w:fldChar w:fldCharType="end"/>
          </w:r>
        </w:p>
        <w:p>
          <w:pPr>
            <w:pStyle w:val="4"/>
            <w:tabs>
              <w:tab w:val="right" w:leader="dot" w:pos="8296"/>
            </w:tabs>
            <w:ind w:left="960" w:firstLine="480"/>
            <w:rPr>
              <w:rFonts w:asciiTheme="minorHAnsi" w:hAnsiTheme="minorHAnsi"/>
              <w:sz w:val="21"/>
            </w:rPr>
          </w:pPr>
          <w:r>
            <w:fldChar w:fldCharType="begin"/>
          </w:r>
          <w:r>
            <w:instrText xml:space="preserve"> HYPERLINK \l "_Toc91763539" </w:instrText>
          </w:r>
          <w:r>
            <w:fldChar w:fldCharType="separate"/>
          </w:r>
          <w:r>
            <w:rPr>
              <w:rStyle w:val="27"/>
            </w:rPr>
            <w:t>5.2.4检测频率</w:t>
          </w:r>
          <w:r>
            <w:tab/>
          </w:r>
          <w:r>
            <w:fldChar w:fldCharType="begin"/>
          </w:r>
          <w:r>
            <w:instrText xml:space="preserve"> PAGEREF _Toc91763539 \h </w:instrText>
          </w:r>
          <w:r>
            <w:fldChar w:fldCharType="separate"/>
          </w:r>
          <w:r>
            <w:t>20</w:t>
          </w:r>
          <w:r>
            <w:fldChar w:fldCharType="end"/>
          </w:r>
          <w:r>
            <w:fldChar w:fldCharType="end"/>
          </w:r>
        </w:p>
        <w:p>
          <w:pPr>
            <w:pStyle w:val="4"/>
            <w:tabs>
              <w:tab w:val="right" w:leader="dot" w:pos="8296"/>
            </w:tabs>
            <w:ind w:left="960" w:firstLine="480"/>
            <w:rPr>
              <w:rFonts w:asciiTheme="minorHAnsi" w:hAnsiTheme="minorHAnsi"/>
              <w:sz w:val="21"/>
            </w:rPr>
          </w:pPr>
          <w:r>
            <w:fldChar w:fldCharType="begin"/>
          </w:r>
          <w:r>
            <w:instrText xml:space="preserve"> HYPERLINK \l "_Toc91763540" </w:instrText>
          </w:r>
          <w:r>
            <w:fldChar w:fldCharType="separate"/>
          </w:r>
          <w:r>
            <w:rPr>
              <w:rStyle w:val="27"/>
              <w:rFonts w:ascii="宋体" w:hAnsi="宋体" w:eastAsia="宋体" w:cs="Times New Roman"/>
            </w:rPr>
            <w:t>5.</w:t>
          </w:r>
          <w:r>
            <w:rPr>
              <w:rStyle w:val="27"/>
              <w:rFonts w:eastAsia="宋体" w:cs="Times New Roman"/>
            </w:rPr>
            <w:t>2.5</w:t>
          </w:r>
          <w:r>
            <w:rPr>
              <w:rStyle w:val="27"/>
              <w:rFonts w:hAnsi="宋体" w:eastAsia="宋体" w:cs="Times New Roman"/>
            </w:rPr>
            <w:t>检测项目</w:t>
          </w:r>
          <w:r>
            <w:tab/>
          </w:r>
          <w:r>
            <w:fldChar w:fldCharType="begin"/>
          </w:r>
          <w:r>
            <w:instrText xml:space="preserve"> PAGEREF _Toc91763540 \h </w:instrText>
          </w:r>
          <w:r>
            <w:fldChar w:fldCharType="separate"/>
          </w:r>
          <w:r>
            <w:t>20</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"_Toc91763541" </w:instrText>
          </w:r>
          <w:r>
            <w:fldChar w:fldCharType="separate"/>
          </w:r>
          <w:r>
            <w:rPr>
              <w:rStyle w:val="27"/>
            </w:rPr>
            <w:t>6.监测因子选取原因</w:t>
          </w:r>
          <w:r>
            <w:tab/>
          </w:r>
          <w:r>
            <w:fldChar w:fldCharType="begin"/>
          </w:r>
          <w:r>
            <w:instrText xml:space="preserve"> PAGEREF _Toc91763541 \h </w:instrText>
          </w:r>
          <w:r>
            <w:fldChar w:fldCharType="separate"/>
          </w:r>
          <w:r>
            <w:t>22</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"_Toc91763542" </w:instrText>
          </w:r>
          <w:r>
            <w:fldChar w:fldCharType="separate"/>
          </w:r>
          <w:r>
            <w:rPr>
              <w:rStyle w:val="27"/>
            </w:rPr>
            <w:t>6.1土壤监测因子选取原因</w:t>
          </w:r>
          <w:r>
            <w:tab/>
          </w:r>
          <w:r>
            <w:fldChar w:fldCharType="begin"/>
          </w:r>
          <w:r>
            <w:instrText xml:space="preserve"> PAGEREF _Toc91763542 \h </w:instrText>
          </w:r>
          <w:r>
            <w:fldChar w:fldCharType="separate"/>
          </w:r>
          <w:r>
            <w:t>22</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"_Toc91763543" </w:instrText>
          </w:r>
          <w:r>
            <w:fldChar w:fldCharType="separate"/>
          </w:r>
          <w:r>
            <w:rPr>
              <w:rStyle w:val="27"/>
            </w:rPr>
            <w:t>6.2地下水监测因子选取原因</w:t>
          </w:r>
          <w:r>
            <w:tab/>
          </w:r>
          <w:r>
            <w:fldChar w:fldCharType="begin"/>
          </w:r>
          <w:r>
            <w:instrText xml:space="preserve"> PAGEREF _Toc91763543 \h </w:instrText>
          </w:r>
          <w:r>
            <w:fldChar w:fldCharType="separate"/>
          </w:r>
          <w:r>
            <w:t>22</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"_Toc91763544" </w:instrText>
          </w:r>
          <w:r>
            <w:fldChar w:fldCharType="separate"/>
          </w:r>
          <w:r>
            <w:rPr>
              <w:rStyle w:val="27"/>
            </w:rPr>
            <w:t>7.评价标准</w:t>
          </w:r>
          <w:r>
            <w:tab/>
          </w:r>
          <w:r>
            <w:fldChar w:fldCharType="begin"/>
          </w:r>
          <w:r>
            <w:instrText xml:space="preserve"> PAGEREF _Toc91763544 \h </w:instrText>
          </w:r>
          <w:r>
            <w:fldChar w:fldCharType="separate"/>
          </w:r>
          <w:r>
            <w:t>24</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"_Toc91763545" </w:instrText>
          </w:r>
          <w:r>
            <w:fldChar w:fldCharType="separate"/>
          </w:r>
          <w:r>
            <w:rPr>
              <w:rStyle w:val="27"/>
            </w:rPr>
            <w:t>7.1土壤筛选值</w:t>
          </w:r>
          <w:r>
            <w:tab/>
          </w:r>
          <w:r>
            <w:fldChar w:fldCharType="begin"/>
          </w:r>
          <w:r>
            <w:instrText xml:space="preserve"> PAGEREF _Toc91763545 \h </w:instrText>
          </w:r>
          <w:r>
            <w:fldChar w:fldCharType="separate"/>
          </w:r>
          <w:r>
            <w:t>24</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"_Toc91763546" </w:instrText>
          </w:r>
          <w:r>
            <w:fldChar w:fldCharType="separate"/>
          </w:r>
          <w:r>
            <w:rPr>
              <w:rStyle w:val="27"/>
            </w:rPr>
            <w:t>7.2地下水标准值</w:t>
          </w:r>
          <w:r>
            <w:tab/>
          </w:r>
          <w:r>
            <w:fldChar w:fldCharType="begin"/>
          </w:r>
          <w:r>
            <w:instrText xml:space="preserve"> PAGEREF _Toc91763546 \h </w:instrText>
          </w:r>
          <w:r>
            <w:fldChar w:fldCharType="separate"/>
          </w:r>
          <w:r>
            <w:t>25</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"_Toc91763547" </w:instrText>
          </w:r>
          <w:r>
            <w:fldChar w:fldCharType="separate"/>
          </w:r>
          <w:r>
            <w:rPr>
              <w:rStyle w:val="27"/>
            </w:rPr>
            <w:t>8.检测结果及分析</w:t>
          </w:r>
          <w:r>
            <w:tab/>
          </w:r>
          <w:r>
            <w:fldChar w:fldCharType="begin"/>
          </w:r>
          <w:r>
            <w:instrText xml:space="preserve"> PAGEREF _Toc91763547 \h </w:instrText>
          </w:r>
          <w:r>
            <w:fldChar w:fldCharType="separate"/>
          </w:r>
          <w:r>
            <w:t>27</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"_Toc91763548" </w:instrText>
          </w:r>
          <w:r>
            <w:fldChar w:fldCharType="separate"/>
          </w:r>
          <w:r>
            <w:rPr>
              <w:rStyle w:val="27"/>
            </w:rPr>
            <w:t>8.1土壤检测分析方法</w:t>
          </w:r>
          <w:r>
            <w:tab/>
          </w:r>
          <w:r>
            <w:fldChar w:fldCharType="begin"/>
          </w:r>
          <w:r>
            <w:instrText xml:space="preserve"> PAGEREF _Toc91763548 \h </w:instrText>
          </w:r>
          <w:r>
            <w:fldChar w:fldCharType="separate"/>
          </w:r>
          <w:r>
            <w:t>27</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"_Toc91763549" </w:instrText>
          </w:r>
          <w:r>
            <w:fldChar w:fldCharType="separate"/>
          </w:r>
          <w:r>
            <w:rPr>
              <w:rStyle w:val="27"/>
            </w:rPr>
            <w:t>8.2土壤检测结果</w:t>
          </w:r>
          <w:r>
            <w:tab/>
          </w:r>
          <w:r>
            <w:fldChar w:fldCharType="begin"/>
          </w:r>
          <w:r>
            <w:instrText xml:space="preserve"> PAGEREF _Toc91763549 \h </w:instrText>
          </w:r>
          <w:r>
            <w:fldChar w:fldCharType="separate"/>
          </w:r>
          <w:r>
            <w:t>29</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"_Toc91763550" </w:instrText>
          </w:r>
          <w:r>
            <w:fldChar w:fldCharType="separate"/>
          </w:r>
          <w:r>
            <w:rPr>
              <w:rStyle w:val="27"/>
            </w:rPr>
            <w:t>8.3土壤检测质量控制</w:t>
          </w:r>
          <w:r>
            <w:tab/>
          </w:r>
          <w:r>
            <w:fldChar w:fldCharType="begin"/>
          </w:r>
          <w:r>
            <w:instrText xml:space="preserve"> PAGEREF _Toc91763550 \h </w:instrText>
          </w:r>
          <w:r>
            <w:fldChar w:fldCharType="separate"/>
          </w:r>
          <w:r>
            <w:t>34</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"_Toc91763551" </w:instrText>
          </w:r>
          <w:r>
            <w:fldChar w:fldCharType="separate"/>
          </w:r>
          <w:r>
            <w:rPr>
              <w:rStyle w:val="27"/>
            </w:rPr>
            <w:t>8.4地下水分析方法</w:t>
          </w:r>
          <w:r>
            <w:tab/>
          </w:r>
          <w:r>
            <w:fldChar w:fldCharType="begin"/>
          </w:r>
          <w:r>
            <w:instrText xml:space="preserve"> PAGEREF _Toc91763551 \h </w:instrText>
          </w:r>
          <w:r>
            <w:fldChar w:fldCharType="separate"/>
          </w:r>
          <w:r>
            <w:t>34</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"_Toc91763552" </w:instrText>
          </w:r>
          <w:r>
            <w:fldChar w:fldCharType="separate"/>
          </w:r>
          <w:r>
            <w:rPr>
              <w:rStyle w:val="27"/>
            </w:rPr>
            <w:t>8.5地下水检测结果</w:t>
          </w:r>
          <w:r>
            <w:tab/>
          </w:r>
          <w:r>
            <w:fldChar w:fldCharType="begin"/>
          </w:r>
          <w:r>
            <w:instrText xml:space="preserve"> PAGEREF _Toc91763552 \h </w:instrText>
          </w:r>
          <w:r>
            <w:fldChar w:fldCharType="separate"/>
          </w:r>
          <w:r>
            <w:t>36</w:t>
          </w:r>
          <w:r>
            <w:fldChar w:fldCharType="end"/>
          </w:r>
          <w:r>
            <w:fldChar w:fldCharType="end"/>
          </w:r>
        </w:p>
        <w:p>
          <w:pPr>
            <w:pStyle w:val="19"/>
            <w:tabs>
              <w:tab w:val="right" w:leader="dot" w:pos="8296"/>
            </w:tabs>
            <w:ind w:left="480" w:firstLine="480"/>
            <w:rPr>
              <w:rFonts w:asciiTheme="minorHAnsi" w:hAnsiTheme="minorHAnsi"/>
              <w:sz w:val="21"/>
            </w:rPr>
          </w:pPr>
          <w:r>
            <w:fldChar w:fldCharType="begin"/>
          </w:r>
          <w:r>
            <w:instrText xml:space="preserve"> HYPERLINK \l "_Toc91763553" </w:instrText>
          </w:r>
          <w:r>
            <w:fldChar w:fldCharType="separate"/>
          </w:r>
          <w:r>
            <w:rPr>
              <w:rStyle w:val="27"/>
            </w:rPr>
            <w:t>8.6地下水质量控制</w:t>
          </w:r>
          <w:r>
            <w:tab/>
          </w:r>
          <w:r>
            <w:fldChar w:fldCharType="begin"/>
          </w:r>
          <w:r>
            <w:instrText xml:space="preserve"> PAGEREF _Toc91763553 \h </w:instrText>
          </w:r>
          <w:r>
            <w:fldChar w:fldCharType="separate"/>
          </w:r>
          <w:r>
            <w:t>38</w:t>
          </w:r>
          <w:r>
            <w:fldChar w:fldCharType="end"/>
          </w:r>
          <w:r>
            <w:fldChar w:fldCharType="end"/>
          </w:r>
        </w:p>
        <w:p>
          <w:pPr>
            <w:pStyle w:val="18"/>
            <w:tabs>
              <w:tab w:val="right" w:leader="dot" w:pos="8296"/>
            </w:tabs>
            <w:ind w:firstLine="480"/>
            <w:rPr>
              <w:rFonts w:asciiTheme="minorHAnsi" w:hAnsiTheme="minorHAnsi"/>
              <w:sz w:val="21"/>
            </w:rPr>
          </w:pPr>
          <w:r>
            <w:fldChar w:fldCharType="begin"/>
          </w:r>
          <w:r>
            <w:instrText xml:space="preserve"> HYPERLINK \l "_Toc91763554" </w:instrText>
          </w:r>
          <w:r>
            <w:fldChar w:fldCharType="separate"/>
          </w:r>
          <w:r>
            <w:rPr>
              <w:rStyle w:val="27"/>
            </w:rPr>
            <w:t>9. 风险管控建议</w:t>
          </w:r>
          <w:r>
            <w:tab/>
          </w:r>
          <w:r>
            <w:fldChar w:fldCharType="begin"/>
          </w:r>
          <w:r>
            <w:instrText xml:space="preserve"> PAGEREF _Toc91763554 \h </w:instrText>
          </w:r>
          <w:r>
            <w:fldChar w:fldCharType="separate"/>
          </w:r>
          <w:r>
            <w:t>39</w:t>
          </w:r>
          <w:r>
            <w:fldChar w:fldCharType="end"/>
          </w:r>
          <w:r>
            <w:fldChar w:fldCharType="end"/>
          </w:r>
        </w:p>
        <w:p>
          <w:pPr>
            <w:ind w:firstLine="480"/>
            <w:rPr>
              <w:color w:val="FF0000"/>
            </w:rPr>
          </w:pPr>
          <w:r>
            <w:rPr>
              <w:color w:val="FF0000"/>
            </w:rPr>
            <w:fldChar w:fldCharType="end"/>
          </w:r>
        </w:p>
      </w:sdtContent>
    </w:sdt>
    <w:p>
      <w:pPr>
        <w:ind w:firstLine="480"/>
        <w:rPr>
          <w:color w:val="FF0000"/>
        </w:rPr>
      </w:pPr>
    </w:p>
    <w:p>
      <w:pPr>
        <w:ind w:firstLine="480"/>
        <w:rPr>
          <w:color w:val="FF0000"/>
        </w:rPr>
      </w:pPr>
    </w:p>
    <w:p>
      <w:pPr>
        <w:ind w:firstLine="480"/>
      </w:pPr>
    </w:p>
    <w:p>
      <w:pPr>
        <w:ind w:firstLine="480"/>
      </w:pPr>
      <w:r>
        <w:rPr>
          <w:rFonts w:hint="eastAsia"/>
        </w:rPr>
        <w:t>附件一、样品流转记录</w:t>
      </w:r>
    </w:p>
    <w:p>
      <w:pPr>
        <w:ind w:firstLine="480"/>
      </w:pPr>
      <w:r>
        <w:rPr>
          <w:rFonts w:hint="eastAsia"/>
        </w:rPr>
        <w:t>附件二、检测报告</w:t>
      </w:r>
    </w:p>
    <w:p>
      <w:pPr>
        <w:ind w:firstLine="480"/>
        <w:rPr>
          <w:color w:val="FF0000"/>
        </w:rPr>
        <w:sectPr>
          <w:footerReference r:id="rId8" w:type="first"/>
          <w:footerReference r:id="rId7" w:type="default"/>
          <w:pgSz w:w="11906" w:h="16838"/>
          <w:pgMar w:top="1440" w:right="1800" w:bottom="1440" w:left="1800" w:header="851" w:footer="992" w:gutter="0"/>
          <w:pgNumType w:fmt="upperRoman" w:start="1"/>
          <w:cols w:space="425" w:num="1"/>
          <w:titlePg/>
          <w:docGrid w:type="lines" w:linePitch="326" w:charSpace="0"/>
        </w:sectPr>
      </w:pPr>
    </w:p>
    <w:p>
      <w:pPr>
        <w:ind w:firstLine="480"/>
        <w:rPr>
          <w:color w:val="FF0000"/>
        </w:rPr>
      </w:pPr>
    </w:p>
    <w:p>
      <w:pPr>
        <w:pStyle w:val="5"/>
      </w:pPr>
      <w:bookmarkStart w:id="0" w:name="_Toc91763514"/>
      <w:r>
        <w:rPr>
          <w:rFonts w:hint="eastAsia"/>
        </w:rPr>
        <w:t>1.项目概况</w:t>
      </w:r>
      <w:bookmarkEnd w:id="0"/>
    </w:p>
    <w:p>
      <w:pPr>
        <w:ind w:firstLine="480"/>
      </w:pPr>
    </w:p>
    <w:p>
      <w:pPr>
        <w:pStyle w:val="6"/>
      </w:pPr>
      <w:bookmarkStart w:id="1" w:name="_Toc91763515"/>
      <w:r>
        <w:rPr>
          <w:rFonts w:hint="eastAsia"/>
        </w:rPr>
        <w:t>1.1项目背景</w:t>
      </w:r>
      <w:bookmarkEnd w:id="1"/>
    </w:p>
    <w:p>
      <w:pPr>
        <w:ind w:firstLine="480"/>
        <w:rPr>
          <w:rStyle w:val="34"/>
          <w:rFonts w:hint="default"/>
          <w:color w:val="auto"/>
        </w:rPr>
      </w:pPr>
      <w:r>
        <w:rPr>
          <w:rStyle w:val="34"/>
          <w:rFonts w:hint="default"/>
          <w:color w:val="auto"/>
        </w:rPr>
        <w:t>根据《土壤污染防治行动计划》（国发</w:t>
      </w:r>
      <w:r>
        <w:rPr>
          <w:rStyle w:val="35"/>
          <w:color w:val="auto"/>
        </w:rPr>
        <w:t>[2016]31</w:t>
      </w:r>
      <w:r>
        <w:rPr>
          <w:rStyle w:val="34"/>
          <w:rFonts w:hint="default"/>
          <w:color w:val="auto"/>
        </w:rPr>
        <w:t>号）、《污染地块土壤环境管理办法（试行）》（环境保护部令第</w:t>
      </w:r>
      <w:r>
        <w:rPr>
          <w:rStyle w:val="35"/>
          <w:color w:val="auto"/>
        </w:rPr>
        <w:t>42</w:t>
      </w:r>
      <w:r>
        <w:rPr>
          <w:rStyle w:val="34"/>
          <w:rFonts w:hint="default"/>
          <w:color w:val="auto"/>
        </w:rPr>
        <w:t>号）等文件的要求，为了准确掌握场地所在区域的土壤污染状况，为政府下一步开发或利用提供安全可靠的科学依据，需对</w:t>
      </w:r>
      <w:r>
        <w:rPr>
          <w:rFonts w:hint="eastAsia" w:eastAsia="宋体"/>
        </w:rPr>
        <w:t>乐山城市资源开发利用有限公司乐山市医疗废物处置中心二期项目地块</w:t>
      </w:r>
      <w:r>
        <w:rPr>
          <w:rStyle w:val="34"/>
          <w:rFonts w:hint="default"/>
          <w:color w:val="auto"/>
        </w:rPr>
        <w:t>开展疑似污染地块土壤环境初步调查。</w:t>
      </w:r>
      <w:r>
        <w:rPr>
          <w:rFonts w:hint="eastAsia" w:eastAsia="宋体"/>
        </w:rPr>
        <w:t>乐山城市资源开发利用有限公司</w:t>
      </w:r>
      <w:r>
        <w:rPr>
          <w:rStyle w:val="34"/>
          <w:rFonts w:hint="default"/>
          <w:color w:val="auto"/>
        </w:rPr>
        <w:t>大力开展此项工作，积极响应政府政策，主动开展企业土壤及地下水自行监测工作。</w:t>
      </w:r>
    </w:p>
    <w:p>
      <w:pPr>
        <w:ind w:firstLine="480"/>
      </w:pPr>
    </w:p>
    <w:p>
      <w:pPr>
        <w:pStyle w:val="6"/>
      </w:pPr>
      <w:bookmarkStart w:id="2" w:name="_Toc91763516"/>
      <w:r>
        <w:rPr>
          <w:rFonts w:hint="eastAsia"/>
        </w:rPr>
        <w:t>1.2地理位置及周边环境</w:t>
      </w:r>
      <w:bookmarkEnd w:id="2"/>
    </w:p>
    <w:p>
      <w:pPr>
        <w:pStyle w:val="61"/>
      </w:pPr>
      <w:r>
        <w:t xml:space="preserve">乐山市位于四川盆地的西南部，北连成都平原，西接川南山地、东及东南跨川中丘陵。其东邻自贡与宜宾市，南靠凉山彝族自治州，西连雅安市，北接眉山市。市域地理坐标在东经102°50'—104°14'，北纬28°25'—29°23'之间，全市行政管辖面积12827.49平方公里。 </w:t>
      </w:r>
    </w:p>
    <w:p>
      <w:pPr>
        <w:pStyle w:val="61"/>
        <w:rPr>
          <w:rFonts w:hint="eastAsia"/>
          <w:color w:val="FF0000"/>
          <w:szCs w:val="20"/>
        </w:rPr>
      </w:pPr>
      <w:r>
        <w:t>本项目场址位于乐山市迎阳乡迎阳村，场址处于城市主导风向的侧风向；地势较平坦。</w:t>
      </w:r>
    </w:p>
    <w:p>
      <w:pPr>
        <w:ind w:firstLine="480"/>
        <w:rPr>
          <w:color w:val="000000"/>
        </w:rPr>
      </w:pPr>
      <w:r>
        <w:rPr>
          <w:color w:val="000000"/>
        </w:rPr>
        <w:t>本项目位于乐山市市中区迎阳乡迎阳村桂花冲，西侧紧邻乐山市城市生活垃圾环保发电项目和餐厨垃圾资源化利用项目，厂址东南侧距离迎阳乡约2.5km，厂址东南侧距离茅桥镇约6.5km，距离最近的居民约</w:t>
      </w:r>
      <w:r>
        <w:rPr>
          <w:rFonts w:hint="eastAsia"/>
          <w:color w:val="000000"/>
        </w:rPr>
        <w:t>330</w:t>
      </w:r>
      <w:r>
        <w:rPr>
          <w:color w:val="000000"/>
        </w:rPr>
        <w:t>米，厂址西侧距离乐山市市中区建成区约11km，厂址西侧距离岷江直线距离约10km</w:t>
      </w:r>
      <w:r>
        <w:rPr>
          <w:rFonts w:hint="eastAsia"/>
          <w:color w:val="000000"/>
        </w:rPr>
        <w:t>。</w:t>
      </w:r>
    </w:p>
    <w:p>
      <w:pPr>
        <w:ind w:firstLine="480"/>
      </w:pPr>
      <w:r>
        <w:rPr>
          <w:rFonts w:hint="eastAsia"/>
        </w:rPr>
        <w:t>场地地理位置见图2-1。</w:t>
      </w:r>
    </w:p>
    <w:p>
      <w:pPr>
        <w:spacing w:line="240" w:lineRule="auto"/>
        <w:ind w:firstLine="0" w:firstLineChars="0"/>
        <w:jc w:val="left"/>
        <w:rPr>
          <w:color w:val="FF0000"/>
        </w:rPr>
      </w:pPr>
      <w:r>
        <w:rPr>
          <w:color w:val="FF0000"/>
        </w:rPr>
        <w:pict>
          <v:shape id="_x0000_s1026" o:spid="_x0000_s1026" o:spt="202" type="#_x0000_t202" style="position:absolute;left:0pt;margin-left:373.5pt;margin-top:1.95pt;height:50.25pt;width:42.75pt;mso-position-vertical-relative:line;z-index:251663360;mso-width-relative:page;mso-height-relative:page;" filled="f" stroked="f" coordsize="21600,21600">
            <v:path/>
            <v:fill on="f" focussize="0,0"/>
            <v:stroke on="f" joinstyle="miter"/>
            <v:imagedata o:title=""/>
            <o:lock v:ext="edit"/>
            <v:textbox>
              <w:txbxContent>
                <w:p>
                  <w:pPr>
                    <w:ind w:firstLine="0" w:firstLineChars="0"/>
                  </w:pPr>
                </w:p>
              </w:txbxContent>
            </v:textbox>
          </v:shape>
        </w:pict>
      </w:r>
    </w:p>
    <w:p>
      <w:pPr>
        <w:spacing w:line="240" w:lineRule="auto"/>
        <w:ind w:firstLine="0" w:firstLineChars="0"/>
        <w:rPr>
          <w:rFonts w:cs="Times New Roman"/>
          <w:b/>
          <w:color w:val="FF0000"/>
          <w:szCs w:val="21"/>
        </w:rPr>
      </w:pPr>
      <w:r>
        <w:pict>
          <v:shape id="_x0000_s1029" o:spid="_x0000_s1029" o:spt="202" type="#_x0000_t202" style="position:absolute;left:0pt;margin-left:18pt;margin-top:29.05pt;height:72pt;width:72pt;z-index:251664384;mso-width-relative:page;mso-height-relative:page;" filled="f" stroked="f" coordsize="21600,21600">
            <v:path/>
            <v:fill on="f" focussize="0,0"/>
            <v:stroke on="f" joinstyle="miter"/>
            <v:imagedata o:title=""/>
            <o:lock v:ext="edit"/>
            <v:textbox>
              <w:txbxContent>
                <w:p>
                  <w:pPr>
                    <w:spacing w:line="240" w:lineRule="auto"/>
                    <w:ind w:firstLine="0" w:firstLineChars="0"/>
                    <w:rPr>
                      <w:b/>
                      <w:color w:val="FF0000"/>
                    </w:rPr>
                  </w:pPr>
                  <w:r>
                    <w:rPr>
                      <w:rFonts w:hint="eastAsia"/>
                      <w:b/>
                      <w:color w:val="FF0000"/>
                    </w:rPr>
                    <w:t>厂界周边5</w:t>
                  </w:r>
                  <w:r>
                    <w:rPr>
                      <w:b/>
                      <w:color w:val="FF0000"/>
                    </w:rPr>
                    <w:t>00</w:t>
                  </w:r>
                  <w:r>
                    <w:rPr>
                      <w:rFonts w:hint="eastAsia"/>
                      <w:b/>
                      <w:color w:val="FF0000"/>
                    </w:rPr>
                    <w:t>m范围</w:t>
                  </w:r>
                </w:p>
              </w:txbxContent>
            </v:textbox>
          </v:shape>
        </w:pict>
      </w:r>
      <w:r>
        <w:drawing>
          <wp:inline distT="0" distB="0" distL="114300" distR="114300">
            <wp:extent cx="5328285" cy="7378700"/>
            <wp:effectExtent l="0" t="0" r="5715" b="1270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3"/>
                    <a:stretch>
                      <a:fillRect/>
                    </a:stretch>
                  </pic:blipFill>
                  <pic:spPr>
                    <a:xfrm>
                      <a:off x="0" y="0"/>
                      <a:ext cx="5328285" cy="7378700"/>
                    </a:xfrm>
                    <a:prstGeom prst="rect">
                      <a:avLst/>
                    </a:prstGeom>
                    <a:noFill/>
                    <a:ln>
                      <a:noFill/>
                    </a:ln>
                  </pic:spPr>
                </pic:pic>
              </a:graphicData>
            </a:graphic>
          </wp:inline>
        </w:drawing>
      </w:r>
    </w:p>
    <w:p>
      <w:pPr>
        <w:spacing w:line="240" w:lineRule="auto"/>
        <w:ind w:firstLine="0" w:firstLineChars="0"/>
        <w:jc w:val="center"/>
        <w:rPr>
          <w:rFonts w:cs="Times New Roman"/>
          <w:b/>
          <w:szCs w:val="21"/>
        </w:rPr>
      </w:pPr>
      <w:r>
        <w:rPr>
          <w:rFonts w:cs="Times New Roman"/>
          <w:b/>
          <w:szCs w:val="21"/>
        </w:rPr>
        <w:t>图</w:t>
      </w:r>
      <w:r>
        <w:rPr>
          <w:rFonts w:hint="eastAsia" w:cs="Times New Roman"/>
          <w:b/>
          <w:szCs w:val="21"/>
        </w:rPr>
        <w:t>1</w:t>
      </w:r>
      <w:r>
        <w:rPr>
          <w:rFonts w:cs="Times New Roman"/>
          <w:b/>
          <w:szCs w:val="21"/>
        </w:rPr>
        <w:t>-</w:t>
      </w:r>
      <w:r>
        <w:rPr>
          <w:rFonts w:hint="eastAsia" w:cs="Times New Roman"/>
          <w:b/>
          <w:szCs w:val="21"/>
        </w:rPr>
        <w:t>2  企业场地外环境图</w:t>
      </w:r>
    </w:p>
    <w:p>
      <w:pPr>
        <w:ind w:firstLine="480"/>
        <w:rPr>
          <w:rStyle w:val="34"/>
          <w:rFonts w:hint="default"/>
          <w:color w:val="FF0000"/>
        </w:rPr>
      </w:pPr>
    </w:p>
    <w:p>
      <w:pPr>
        <w:pStyle w:val="6"/>
      </w:pPr>
      <w:bookmarkStart w:id="3" w:name="_Toc7293_WPSOffice_Level1"/>
      <w:bookmarkStart w:id="4" w:name="_Toc91763517"/>
      <w:bookmarkStart w:id="5" w:name="_Toc4071130"/>
      <w:bookmarkStart w:id="6" w:name="_Toc15515"/>
      <w:r>
        <w:t>1.</w:t>
      </w:r>
      <w:r>
        <w:rPr>
          <w:rFonts w:hint="eastAsia"/>
        </w:rPr>
        <w:t>3场地区域</w:t>
      </w:r>
      <w:r>
        <w:t>水文地质概况</w:t>
      </w:r>
      <w:bookmarkEnd w:id="3"/>
      <w:bookmarkEnd w:id="4"/>
      <w:bookmarkEnd w:id="5"/>
      <w:bookmarkEnd w:id="6"/>
    </w:p>
    <w:p>
      <w:pPr>
        <w:spacing w:line="360" w:lineRule="auto"/>
        <w:ind w:firstLine="0" w:firstLineChars="0"/>
        <w:outlineLvl w:val="2"/>
        <w:rPr>
          <w:rFonts w:ascii="宋体" w:hAnsi="宋体" w:cs="宋体"/>
          <w:b/>
          <w:bCs/>
        </w:rPr>
      </w:pPr>
      <w:bookmarkStart w:id="7" w:name="_Toc91763518"/>
      <w:r>
        <w:rPr>
          <w:rFonts w:hint="eastAsia"/>
        </w:rPr>
        <w:t>1.3.1水文</w:t>
      </w:r>
      <w:bookmarkEnd w:id="7"/>
    </w:p>
    <w:p>
      <w:pPr>
        <w:pStyle w:val="61"/>
      </w:pPr>
      <w:r>
        <w:t xml:space="preserve">乐山市域内江河众多，境内流域面积在100平方公里以上的河流有44条，其中流域面积在1000平方公里以上的有6条，全属长江流域，除马边县东南部的中都河、西宁河经屏山注入金沙江外，其余河流均属岷江水系。岷江干流纵贯全境，是市内最大河流。岷江自眉山青神入境，入境水量大于627亿m3。流经市中区、五通桥区、犍为至宜宾与金沙江汇入长江。境内先后接纳大渡河、青衣江于市中区城区附近，马边河于犍为。市内流域面积为15579平方公里。 </w:t>
      </w:r>
    </w:p>
    <w:p>
      <w:pPr>
        <w:pStyle w:val="61"/>
      </w:pPr>
      <w:r>
        <w:t xml:space="preserve">乐山市地质结构较为复杂，蕴藏着钙芒硝、磷矿等多种矿产资源。低山丘陵主要组成岩石是古生界片岩、千枚岩、板岩、花岗岩、砂岩及石灰岩。山势低缓土质较好，人类活动频繁。 </w:t>
      </w:r>
    </w:p>
    <w:p>
      <w:pPr>
        <w:pStyle w:val="61"/>
      </w:pPr>
      <w:r>
        <w:t xml:space="preserve">盆地主要由宽阔的阶地、坝子，以及丘陵、河谷等构成的地貌单元。盆地内分布有一到四级阶地：一级阶地高出河床4—15m，阶地宽100—3500m。前缘以陡坎与漫滩或河床相接，由砂土、粉砂土及砂卵石组成。土壤肥沃，耕垦率甚高，主要城镇均位于此阶地上。二级阶地高出河床20—40m，前缘陡坎高10m以上，阶地宽100—3000m。由于流水切割，阶地面已不太完整，多呈片状分布。主要地层为上更新统冲积粉土、粉砂及砂砾。三级阶地高出河床40—70m，一般宽1—3km。地层岩性为更新统红色粘土、粉砂及砂砾层，粘土中含钙核。四级阶地主要分布在盆地边缘，高出河床80—120m。大都由粘土充填的砂砾石组成，局部盖有薄层粉质粘土。由于长期受侵蚀破坏，已成孤丘或残梁零星分布。 </w:t>
      </w:r>
    </w:p>
    <w:p>
      <w:pPr>
        <w:spacing w:line="360" w:lineRule="auto"/>
        <w:ind w:firstLine="0" w:firstLineChars="0"/>
        <w:outlineLvl w:val="2"/>
        <w:rPr>
          <w:b/>
        </w:rPr>
      </w:pPr>
      <w:bookmarkStart w:id="8" w:name="_Toc91763519"/>
      <w:r>
        <w:rPr>
          <w:rFonts w:hint="eastAsia"/>
          <w:b/>
        </w:rPr>
        <w:t>1</w:t>
      </w:r>
      <w:r>
        <w:rPr>
          <w:b/>
        </w:rPr>
        <w:t>.3.2</w:t>
      </w:r>
      <w:r>
        <w:rPr>
          <w:rFonts w:hint="eastAsia"/>
          <w:b/>
        </w:rPr>
        <w:t>区域地质条件</w:t>
      </w:r>
      <w:bookmarkEnd w:id="8"/>
    </w:p>
    <w:p>
      <w:pPr>
        <w:pStyle w:val="61"/>
      </w:pPr>
      <w:r>
        <w:t>乐山市市中区地处川西台陷、川中台拱、威远—龙女寺台穹并受龙泉山穹褶束南端影响，主要发育一组北东～南西向展布的新桥逆断层、周坡冲断层及威远—龙女寺台穹乐山隐伏断层，地质构造较简单，出露地表岩层绝大部分为整体向北西缓倾的单斜岩层，走向与构造线基本一致，地层平缓，倾角一般3°～8°，北部低山区倾角7°～13°。本项目位于新桥逆断层东侧丘陵地区。</w:t>
      </w:r>
    </w:p>
    <w:p>
      <w:pPr>
        <w:pStyle w:val="61"/>
        <w:rPr>
          <w:rFonts w:hint="eastAsia"/>
        </w:rPr>
      </w:pPr>
      <w:r>
        <w:rPr>
          <w:rFonts w:hint="eastAsia"/>
        </w:rPr>
        <w:t>地下水类型及赋存条件：</w:t>
      </w:r>
    </w:p>
    <w:p>
      <w:pPr>
        <w:pStyle w:val="61"/>
      </w:pPr>
      <w:r>
        <w:t>地下水的赋存与分布，主要受地质构造、地貌、岩性、气候等条件的控制。根据赋存条件，本项目区地下水主要类型为碎屑岩浅层风化裂隙水。</w:t>
      </w:r>
    </w:p>
    <w:p>
      <w:pPr>
        <w:pStyle w:val="61"/>
      </w:pPr>
      <w:r>
        <w:t>碎屑裂隙水赋存于评价区出露的白垩纪下统剑门关组碎屑岩裂隙中，该地层上部风化层岩体裂隙较发育，构成评价区潜水含水层的赋存裂隙。浅层风化裂隙含水层地下水的赋存主要受裂隙发育控制，一般富水性弱。</w:t>
      </w:r>
      <w:r>
        <w:rPr>
          <w:bCs/>
        </w:rPr>
        <w:t>根据本项目</w:t>
      </w:r>
      <w:r>
        <w:t>原位水文地质试验成果，</w:t>
      </w:r>
      <w:r>
        <w:rPr>
          <w:bCs/>
        </w:rPr>
        <w:t>该含水层</w:t>
      </w:r>
      <w:r>
        <w:t>强～中风化带渗透系数介于1.16×10</w:t>
      </w:r>
      <w:r>
        <w:rPr>
          <w:vertAlign w:val="superscript"/>
        </w:rPr>
        <w:t>-5</w:t>
      </w:r>
      <w:r>
        <w:t>～1.27×10</w:t>
      </w:r>
      <w:r>
        <w:rPr>
          <w:vertAlign w:val="superscript"/>
        </w:rPr>
        <w:t>-5</w:t>
      </w:r>
      <w:r>
        <w:t>cm/s，渗透性较弱。</w:t>
      </w:r>
    </w:p>
    <w:p>
      <w:pPr>
        <w:pStyle w:val="61"/>
        <w:rPr>
          <w:rFonts w:hint="eastAsia"/>
          <w:spacing w:val="-2"/>
        </w:rPr>
      </w:pPr>
      <w:r>
        <w:t>地下水径流、补给和排泄条件</w:t>
      </w:r>
    </w:p>
    <w:p>
      <w:pPr>
        <w:pageBreakBefore/>
        <w:ind w:firstLine="480"/>
      </w:pPr>
      <w:r>
        <w:rPr>
          <w:rFonts w:hint="eastAsia"/>
        </w:rPr>
        <w:t>本项目区主要含水层为白垩纪下统剑门关组碎屑岩浅层风化裂隙含水层。根据现场调查，项目区该含水层地下水水位埋深为1.1～11.0m。碎屑岩浅层风化裂隙含水层主要补给源为大气降水，由于项目区内水文网发育，堰塘、稻田广布，地表水亦成为地下水补给源之一。项目区属于四川典型“红层”地区，该潜水含水层的径流方向基本受地形控制。根据现场调查，本项目拟建厂区北侧、西侧及南侧由地表分水岭围限，项目区地下水接受降雨补给后，将由项目区向北东侧径流，呈泄流方式排泄至评价区最低排泄基准面迎阳沟。</w:t>
      </w:r>
    </w:p>
    <w:p>
      <w:pPr>
        <w:pStyle w:val="2"/>
        <w:ind w:left="480" w:firstLine="480"/>
      </w:pPr>
    </w:p>
    <w:p>
      <w:pPr>
        <w:pStyle w:val="2"/>
        <w:ind w:left="480" w:firstLine="480"/>
      </w:pPr>
    </w:p>
    <w:p>
      <w:pPr>
        <w:pStyle w:val="2"/>
        <w:ind w:left="480" w:firstLine="480"/>
      </w:pPr>
    </w:p>
    <w:p>
      <w:pPr>
        <w:pStyle w:val="2"/>
        <w:ind w:left="480" w:firstLine="480"/>
      </w:pPr>
    </w:p>
    <w:p>
      <w:pPr>
        <w:pStyle w:val="2"/>
        <w:ind w:left="480" w:firstLine="480"/>
        <w:rPr>
          <w:rFonts w:hint="eastAsia"/>
        </w:rPr>
      </w:pPr>
    </w:p>
    <w:p>
      <w:pPr>
        <w:pStyle w:val="5"/>
        <w:pageBreakBefore/>
      </w:pPr>
      <w:bookmarkStart w:id="9" w:name="_Toc91763520"/>
      <w:r>
        <w:rPr>
          <w:rFonts w:hint="eastAsia"/>
        </w:rPr>
        <w:t>2.检测目的及任务</w:t>
      </w:r>
      <w:bookmarkEnd w:id="9"/>
    </w:p>
    <w:p>
      <w:pPr>
        <w:ind w:firstLine="480"/>
      </w:pPr>
    </w:p>
    <w:p>
      <w:pPr>
        <w:pStyle w:val="6"/>
      </w:pPr>
      <w:bookmarkStart w:id="10" w:name="_Toc91763521"/>
      <w:r>
        <w:rPr>
          <w:rFonts w:hint="eastAsia"/>
        </w:rPr>
        <w:t>2.1检测目的</w:t>
      </w:r>
      <w:bookmarkEnd w:id="10"/>
    </w:p>
    <w:p>
      <w:pPr>
        <w:ind w:firstLine="480"/>
        <w:rPr>
          <w:rStyle w:val="34"/>
          <w:rFonts w:hint="default"/>
          <w:color w:val="auto"/>
        </w:rPr>
      </w:pPr>
      <w:r>
        <w:rPr>
          <w:rStyle w:val="34"/>
          <w:rFonts w:hint="default"/>
          <w:color w:val="auto"/>
        </w:rPr>
        <w:t>本次监测对象为</w:t>
      </w:r>
      <w:r>
        <w:rPr>
          <w:rStyle w:val="34"/>
          <w:rFonts w:hint="default" w:cs="Times New Roman"/>
          <w:color w:val="auto"/>
        </w:rPr>
        <w:t>乐山城市资源开发利用有限公司乐山市医疗废物处置中心二期项目地块</w:t>
      </w:r>
      <w:r>
        <w:rPr>
          <w:rStyle w:val="34"/>
          <w:rFonts w:hint="default"/>
          <w:color w:val="auto"/>
        </w:rPr>
        <w:t>，目前该公司正在运营，企业为医疗废物处置企业，为确定企业场地土壤是否存在污染，公司对本企业进行土壤及地下水检测工作，为企业土壤调查提供依据。</w:t>
      </w:r>
    </w:p>
    <w:p>
      <w:pPr>
        <w:ind w:firstLine="480"/>
      </w:pPr>
    </w:p>
    <w:p>
      <w:pPr>
        <w:pStyle w:val="6"/>
      </w:pPr>
      <w:bookmarkStart w:id="11" w:name="_Toc91763522"/>
      <w:r>
        <w:rPr>
          <w:rFonts w:hint="eastAsia"/>
        </w:rPr>
        <w:t>2.2检测任务</w:t>
      </w:r>
      <w:bookmarkEnd w:id="11"/>
    </w:p>
    <w:p>
      <w:pPr>
        <w:ind w:firstLine="480"/>
        <w:rPr>
          <w:rStyle w:val="34"/>
          <w:rFonts w:hint="default"/>
          <w:color w:val="auto"/>
        </w:rPr>
      </w:pPr>
      <w:r>
        <w:rPr>
          <w:rStyle w:val="34"/>
          <w:rFonts w:hint="default"/>
          <w:color w:val="auto"/>
        </w:rPr>
        <w:t>在通过收集和分析厂区及周边区域水文地质条件、厂区布局、生产工艺及所用原辅材料等资料的基础上，对疑似污染区域设置采样点并进行采样分析。</w:t>
      </w:r>
    </w:p>
    <w:p>
      <w:pPr>
        <w:ind w:firstLine="480"/>
        <w:rPr>
          <w:rStyle w:val="34"/>
          <w:rFonts w:hint="default"/>
          <w:color w:val="auto"/>
        </w:rPr>
      </w:pPr>
      <w:r>
        <w:rPr>
          <w:rStyle w:val="34"/>
          <w:rFonts w:hint="default"/>
          <w:color w:val="auto"/>
        </w:rPr>
        <w:t>本次检测方案的任务：根据公司自行监测方案确定检测点位及检测项目。</w:t>
      </w:r>
    </w:p>
    <w:p>
      <w:pPr>
        <w:ind w:firstLine="480"/>
        <w:rPr>
          <w:rStyle w:val="34"/>
          <w:rFonts w:hint="default"/>
          <w:color w:val="auto"/>
        </w:rPr>
      </w:pPr>
      <w:r>
        <w:rPr>
          <w:rStyle w:val="34"/>
          <w:rFonts w:hint="default"/>
          <w:color w:val="auto"/>
        </w:rPr>
        <w:t>本次检测的具体任务如下：</w:t>
      </w:r>
    </w:p>
    <w:p>
      <w:pPr>
        <w:ind w:firstLine="480"/>
        <w:rPr>
          <w:rStyle w:val="34"/>
          <w:rFonts w:hint="eastAsia" w:eastAsia="宋体"/>
          <w:color w:val="auto"/>
          <w:lang w:eastAsia="zh-CN"/>
        </w:rPr>
      </w:pPr>
      <w:r>
        <w:rPr>
          <w:rStyle w:val="34"/>
          <w:rFonts w:hint="default"/>
          <w:color w:val="auto"/>
        </w:rPr>
        <w:t>通过对该厂区生产工艺的分析，初步分析场地中可能存在的污染物种类；</w:t>
      </w:r>
    </w:p>
    <w:p>
      <w:pPr>
        <w:ind w:firstLine="480"/>
        <w:rPr>
          <w:rStyle w:val="34"/>
          <w:rFonts w:hint="default"/>
          <w:color w:val="auto"/>
        </w:rPr>
      </w:pPr>
      <w:r>
        <w:rPr>
          <w:rStyle w:val="34"/>
          <w:rFonts w:hint="default"/>
          <w:color w:val="auto"/>
        </w:rPr>
        <w:t>通过对厂区区块功能的识别，如生活废水处理区、生产废水处理区、医疗废物处理车间、危废暂存间等，以识别潜在污染区域；</w:t>
      </w:r>
    </w:p>
    <w:p>
      <w:pPr>
        <w:ind w:firstLine="480"/>
      </w:pPr>
      <w:r>
        <w:t>本场地重点关注的污染物主要包括：</w:t>
      </w:r>
      <w:r>
        <w:rPr>
          <w:rFonts w:hint="eastAsia"/>
        </w:rPr>
        <w:t>病菌、医废等。场地污染识别汇总详</w:t>
      </w:r>
      <w:r>
        <w:t>见</w:t>
      </w:r>
      <w:r>
        <w:rPr>
          <w:rFonts w:hint="eastAsia"/>
        </w:rPr>
        <w:t>表2-1</w:t>
      </w:r>
      <w:r>
        <w:t>。</w:t>
      </w:r>
    </w:p>
    <w:p>
      <w:pPr>
        <w:pStyle w:val="9"/>
      </w:pPr>
      <w:bookmarkStart w:id="12" w:name="_Ref28389"/>
    </w:p>
    <w:p>
      <w:pPr>
        <w:pStyle w:val="9"/>
        <w:rPr>
          <w:color w:val="FF0000"/>
        </w:rPr>
      </w:pPr>
    </w:p>
    <w:p>
      <w:pPr>
        <w:pStyle w:val="9"/>
        <w:rPr>
          <w:color w:val="FF0000"/>
        </w:rPr>
      </w:pPr>
    </w:p>
    <w:p>
      <w:pPr>
        <w:pStyle w:val="9"/>
        <w:rPr>
          <w:color w:val="FF0000"/>
        </w:rPr>
      </w:pPr>
    </w:p>
    <w:p>
      <w:pPr>
        <w:pStyle w:val="9"/>
        <w:rPr>
          <w:color w:val="FF0000"/>
        </w:rPr>
      </w:pPr>
    </w:p>
    <w:p>
      <w:pPr>
        <w:pStyle w:val="9"/>
        <w:rPr>
          <w:color w:val="FF0000"/>
        </w:rPr>
      </w:pPr>
    </w:p>
    <w:p>
      <w:pPr>
        <w:pStyle w:val="9"/>
      </w:pPr>
      <w:r>
        <w:t>表</w:t>
      </w:r>
      <w:r>
        <w:rPr>
          <w:rFonts w:hint="eastAsia"/>
        </w:rPr>
        <w:t>2</w:t>
      </w:r>
      <w:r>
        <w:t>-</w:t>
      </w:r>
      <w:bookmarkEnd w:id="12"/>
      <w:r>
        <w:rPr>
          <w:rFonts w:hint="eastAsia"/>
        </w:rPr>
        <w:t>1 企业潜在</w:t>
      </w:r>
      <w:r>
        <w:t>污染识别结果汇总</w:t>
      </w:r>
    </w:p>
    <w:tbl>
      <w:tblPr>
        <w:tblStyle w:val="23"/>
        <w:tblW w:w="8306" w:type="dxa"/>
        <w:tblInd w:w="108"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385"/>
        <w:gridCol w:w="1380"/>
        <w:gridCol w:w="1385"/>
        <w:gridCol w:w="1391"/>
        <w:gridCol w:w="138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0" w:type="dxa"/>
            <w:vAlign w:val="center"/>
          </w:tcPr>
          <w:p>
            <w:pPr>
              <w:pStyle w:val="58"/>
            </w:pPr>
            <w:r>
              <w:rPr>
                <w:rFonts w:hint="eastAsia"/>
              </w:rPr>
              <w:t>企业名称</w:t>
            </w:r>
          </w:p>
        </w:tc>
        <w:tc>
          <w:tcPr>
            <w:tcW w:w="6926" w:type="dxa"/>
            <w:gridSpan w:val="5"/>
            <w:vAlign w:val="center"/>
          </w:tcPr>
          <w:p>
            <w:pPr>
              <w:pStyle w:val="58"/>
            </w:pPr>
            <w:r>
              <w:rPr>
                <w:rFonts w:hint="eastAsia"/>
              </w:rPr>
              <w:t>乐山城市资源开发利用有限公司乐山市医疗废物处置中心二期项目场地</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0" w:type="dxa"/>
            <w:vAlign w:val="center"/>
          </w:tcPr>
          <w:p>
            <w:pPr>
              <w:pStyle w:val="58"/>
            </w:pPr>
            <w:r>
              <w:rPr>
                <w:rFonts w:hint="eastAsia"/>
              </w:rPr>
              <w:t>调查日期</w:t>
            </w:r>
          </w:p>
        </w:tc>
        <w:tc>
          <w:tcPr>
            <w:tcW w:w="1385" w:type="dxa"/>
            <w:vAlign w:val="center"/>
          </w:tcPr>
          <w:p>
            <w:pPr>
              <w:pStyle w:val="58"/>
            </w:pPr>
            <w:r>
              <w:rPr>
                <w:rFonts w:hint="eastAsia"/>
              </w:rPr>
              <w:t>2021年</w:t>
            </w:r>
            <w:r>
              <w:t>12</w:t>
            </w:r>
            <w:r>
              <w:rPr>
                <w:rFonts w:hint="eastAsia"/>
              </w:rPr>
              <w:t>月</w:t>
            </w:r>
          </w:p>
        </w:tc>
        <w:tc>
          <w:tcPr>
            <w:tcW w:w="1380" w:type="dxa"/>
            <w:vAlign w:val="center"/>
          </w:tcPr>
          <w:p>
            <w:pPr>
              <w:pStyle w:val="58"/>
            </w:pPr>
            <w:r>
              <w:rPr>
                <w:rFonts w:hint="eastAsia"/>
              </w:rPr>
              <w:t>参与人员</w:t>
            </w:r>
          </w:p>
        </w:tc>
        <w:tc>
          <w:tcPr>
            <w:tcW w:w="4161" w:type="dxa"/>
            <w:gridSpan w:val="3"/>
            <w:vAlign w:val="center"/>
          </w:tcPr>
          <w:p>
            <w:pPr>
              <w:pStyle w:val="58"/>
            </w:pPr>
            <w:r>
              <w:rPr>
                <w:rFonts w:hint="eastAsia"/>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0" w:type="dxa"/>
            <w:vAlign w:val="center"/>
          </w:tcPr>
          <w:p>
            <w:pPr>
              <w:pStyle w:val="58"/>
            </w:pPr>
            <w:r>
              <w:rPr>
                <w:rFonts w:hint="eastAsia"/>
              </w:rPr>
              <w:t>重点设施名称</w:t>
            </w:r>
          </w:p>
        </w:tc>
        <w:tc>
          <w:tcPr>
            <w:tcW w:w="1385" w:type="dxa"/>
            <w:vAlign w:val="center"/>
          </w:tcPr>
          <w:p>
            <w:pPr>
              <w:pStyle w:val="58"/>
            </w:pPr>
            <w:r>
              <w:rPr>
                <w:rFonts w:hint="eastAsia"/>
              </w:rPr>
              <w:t>点位编号</w:t>
            </w:r>
          </w:p>
        </w:tc>
        <w:tc>
          <w:tcPr>
            <w:tcW w:w="1380" w:type="dxa"/>
            <w:vAlign w:val="center"/>
          </w:tcPr>
          <w:p>
            <w:pPr>
              <w:pStyle w:val="58"/>
            </w:pPr>
            <w:r>
              <w:rPr>
                <w:rFonts w:hint="eastAsia"/>
              </w:rPr>
              <w:t>设施功能</w:t>
            </w:r>
          </w:p>
        </w:tc>
        <w:tc>
          <w:tcPr>
            <w:tcW w:w="1385" w:type="dxa"/>
            <w:vAlign w:val="center"/>
          </w:tcPr>
          <w:p>
            <w:pPr>
              <w:pStyle w:val="58"/>
            </w:pPr>
            <w:r>
              <w:rPr>
                <w:rFonts w:hint="eastAsia"/>
              </w:rPr>
              <w:t>涉及有毒有害物质清单</w:t>
            </w:r>
          </w:p>
        </w:tc>
        <w:tc>
          <w:tcPr>
            <w:tcW w:w="1391" w:type="dxa"/>
            <w:vAlign w:val="center"/>
          </w:tcPr>
          <w:p>
            <w:pPr>
              <w:pStyle w:val="58"/>
            </w:pPr>
            <w:r>
              <w:rPr>
                <w:rFonts w:hint="eastAsia"/>
              </w:rPr>
              <w:t>特征污染物</w:t>
            </w:r>
          </w:p>
        </w:tc>
        <w:tc>
          <w:tcPr>
            <w:tcW w:w="1385" w:type="dxa"/>
            <w:vAlign w:val="center"/>
          </w:tcPr>
          <w:p>
            <w:pPr>
              <w:pStyle w:val="58"/>
            </w:pPr>
            <w:r>
              <w:rPr>
                <w:rFonts w:hint="eastAsia"/>
              </w:rPr>
              <w:t>可能迁移途径（沉降、泄露、淋滤等）</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0" w:type="dxa"/>
            <w:vAlign w:val="center"/>
          </w:tcPr>
          <w:p>
            <w:pPr>
              <w:pStyle w:val="58"/>
            </w:pPr>
            <w:r>
              <w:rPr>
                <w:rFonts w:hint="eastAsia"/>
              </w:rPr>
              <w:t>生产废水处理区</w:t>
            </w:r>
          </w:p>
        </w:tc>
        <w:tc>
          <w:tcPr>
            <w:tcW w:w="1385" w:type="dxa"/>
            <w:vAlign w:val="center"/>
          </w:tcPr>
          <w:p>
            <w:pPr>
              <w:pStyle w:val="58"/>
            </w:pPr>
            <w:r>
              <w:rPr>
                <w:rFonts w:hint="eastAsia"/>
              </w:rPr>
              <w:t>S</w:t>
            </w:r>
            <w:r>
              <w:t>1</w:t>
            </w:r>
          </w:p>
        </w:tc>
        <w:tc>
          <w:tcPr>
            <w:tcW w:w="1380" w:type="dxa"/>
            <w:vAlign w:val="center"/>
          </w:tcPr>
          <w:p>
            <w:pPr>
              <w:pStyle w:val="58"/>
            </w:pPr>
            <w:r>
              <w:rPr>
                <w:rFonts w:hint="eastAsia"/>
              </w:rPr>
              <w:t>生产废水处理</w:t>
            </w:r>
          </w:p>
        </w:tc>
        <w:tc>
          <w:tcPr>
            <w:tcW w:w="1385" w:type="dxa"/>
            <w:vAlign w:val="center"/>
          </w:tcPr>
          <w:p>
            <w:pPr>
              <w:pStyle w:val="58"/>
            </w:pPr>
            <w:r>
              <w:rPr>
                <w:rFonts w:hint="eastAsia"/>
              </w:rPr>
              <w:t>生产废水</w:t>
            </w:r>
          </w:p>
        </w:tc>
        <w:tc>
          <w:tcPr>
            <w:tcW w:w="1391" w:type="dxa"/>
            <w:vAlign w:val="center"/>
          </w:tcPr>
          <w:p>
            <w:pPr>
              <w:pStyle w:val="58"/>
            </w:pPr>
            <w:r>
              <w:rPr>
                <w:rFonts w:hint="eastAsia"/>
              </w:rPr>
              <w:t>病菌</w:t>
            </w:r>
          </w:p>
        </w:tc>
        <w:tc>
          <w:tcPr>
            <w:tcW w:w="1385" w:type="dxa"/>
            <w:vAlign w:val="center"/>
          </w:tcPr>
          <w:p>
            <w:pPr>
              <w:pStyle w:val="58"/>
            </w:pPr>
            <w:r>
              <w:rPr>
                <w:rFonts w:hint="eastAsia"/>
              </w:rPr>
              <w:t>泄露、沉降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0" w:type="dxa"/>
            <w:vAlign w:val="center"/>
          </w:tcPr>
          <w:p>
            <w:pPr>
              <w:pStyle w:val="58"/>
            </w:pPr>
            <w:r>
              <w:rPr>
                <w:rFonts w:hint="eastAsia"/>
              </w:rPr>
              <w:t>医废处理车间</w:t>
            </w:r>
          </w:p>
        </w:tc>
        <w:tc>
          <w:tcPr>
            <w:tcW w:w="1385" w:type="dxa"/>
            <w:vAlign w:val="center"/>
          </w:tcPr>
          <w:p>
            <w:pPr>
              <w:pStyle w:val="58"/>
            </w:pPr>
            <w:r>
              <w:rPr>
                <w:rFonts w:hint="eastAsia"/>
              </w:rPr>
              <w:t>S</w:t>
            </w:r>
            <w:r>
              <w:t>2</w:t>
            </w:r>
          </w:p>
        </w:tc>
        <w:tc>
          <w:tcPr>
            <w:tcW w:w="1380" w:type="dxa"/>
            <w:vAlign w:val="center"/>
          </w:tcPr>
          <w:p>
            <w:pPr>
              <w:pStyle w:val="58"/>
            </w:pPr>
            <w:r>
              <w:rPr>
                <w:rFonts w:hint="eastAsia"/>
              </w:rPr>
              <w:t>医废处理</w:t>
            </w:r>
          </w:p>
        </w:tc>
        <w:tc>
          <w:tcPr>
            <w:tcW w:w="1385" w:type="dxa"/>
            <w:vAlign w:val="center"/>
          </w:tcPr>
          <w:p>
            <w:pPr>
              <w:pStyle w:val="58"/>
            </w:pPr>
            <w:r>
              <w:rPr>
                <w:rFonts w:hint="eastAsia"/>
              </w:rPr>
              <w:t>医疗废物、病菌</w:t>
            </w:r>
          </w:p>
        </w:tc>
        <w:tc>
          <w:tcPr>
            <w:tcW w:w="1391" w:type="dxa"/>
            <w:vAlign w:val="center"/>
          </w:tcPr>
          <w:p>
            <w:pPr>
              <w:pStyle w:val="58"/>
            </w:pPr>
            <w:r>
              <w:rPr>
                <w:rFonts w:hint="eastAsia"/>
              </w:rPr>
              <w:t>医废、病菌</w:t>
            </w:r>
          </w:p>
        </w:tc>
        <w:tc>
          <w:tcPr>
            <w:tcW w:w="1385" w:type="dxa"/>
            <w:vAlign w:val="center"/>
          </w:tcPr>
          <w:p>
            <w:pPr>
              <w:pStyle w:val="58"/>
            </w:pPr>
            <w:r>
              <w:rPr>
                <w:rFonts w:hint="eastAsia"/>
              </w:rPr>
              <w:t>泄露、沉降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80" w:type="dxa"/>
            <w:vAlign w:val="center"/>
          </w:tcPr>
          <w:p>
            <w:pPr>
              <w:pStyle w:val="58"/>
            </w:pPr>
            <w:r>
              <w:rPr>
                <w:rFonts w:hint="eastAsia"/>
              </w:rPr>
              <w:t>危废暂存间</w:t>
            </w:r>
          </w:p>
        </w:tc>
        <w:tc>
          <w:tcPr>
            <w:tcW w:w="1385" w:type="dxa"/>
            <w:vAlign w:val="center"/>
          </w:tcPr>
          <w:p>
            <w:pPr>
              <w:pStyle w:val="58"/>
            </w:pPr>
            <w:r>
              <w:rPr>
                <w:rFonts w:hint="eastAsia"/>
              </w:rPr>
              <w:t>S</w:t>
            </w:r>
            <w:r>
              <w:t>3</w:t>
            </w:r>
          </w:p>
        </w:tc>
        <w:tc>
          <w:tcPr>
            <w:tcW w:w="1380" w:type="dxa"/>
            <w:vAlign w:val="center"/>
          </w:tcPr>
          <w:p>
            <w:pPr>
              <w:pStyle w:val="58"/>
            </w:pPr>
            <w:r>
              <w:rPr>
                <w:rFonts w:hint="eastAsia"/>
              </w:rPr>
              <w:t>危废暂存</w:t>
            </w:r>
          </w:p>
        </w:tc>
        <w:tc>
          <w:tcPr>
            <w:tcW w:w="1385" w:type="dxa"/>
            <w:vAlign w:val="center"/>
          </w:tcPr>
          <w:p>
            <w:pPr>
              <w:pStyle w:val="58"/>
            </w:pPr>
            <w:r>
              <w:rPr>
                <w:rFonts w:hint="eastAsia"/>
              </w:rPr>
              <w:t>废机油、污泥、废过滤膜、废活性炭等</w:t>
            </w:r>
          </w:p>
        </w:tc>
        <w:tc>
          <w:tcPr>
            <w:tcW w:w="1391" w:type="dxa"/>
            <w:vAlign w:val="center"/>
          </w:tcPr>
          <w:p>
            <w:pPr>
              <w:pStyle w:val="58"/>
            </w:pPr>
            <w:r>
              <w:rPr>
                <w:rFonts w:hint="eastAsia"/>
              </w:rPr>
              <w:t>废机油、污泥、废过滤膜、废活性炭等</w:t>
            </w:r>
          </w:p>
        </w:tc>
        <w:tc>
          <w:tcPr>
            <w:tcW w:w="1385" w:type="dxa"/>
            <w:vAlign w:val="center"/>
          </w:tcPr>
          <w:p>
            <w:pPr>
              <w:pStyle w:val="58"/>
            </w:pPr>
            <w:r>
              <w:rPr>
                <w:rFonts w:hint="eastAsia"/>
              </w:rPr>
              <w:t>泄露、沉降</w:t>
            </w:r>
          </w:p>
        </w:tc>
      </w:tr>
    </w:tbl>
    <w:p>
      <w:pPr>
        <w:ind w:firstLine="480"/>
        <w:rPr>
          <w:rStyle w:val="34"/>
          <w:rFonts w:hint="default"/>
          <w:color w:val="auto"/>
        </w:rPr>
      </w:pPr>
    </w:p>
    <w:p>
      <w:pPr>
        <w:ind w:firstLine="480"/>
        <w:rPr>
          <w:rStyle w:val="34"/>
          <w:rFonts w:hint="default"/>
          <w:color w:val="auto"/>
        </w:rPr>
      </w:pPr>
      <w:r>
        <w:rPr>
          <w:rStyle w:val="34"/>
          <w:rFonts w:hint="default"/>
          <w:color w:val="auto"/>
        </w:rPr>
        <w:t>根据场地现状及未来土地利用的要求，通过对资料的收集及分析初步设定采样点位及采样深度；</w:t>
      </w:r>
    </w:p>
    <w:p>
      <w:pPr>
        <w:ind w:firstLine="480"/>
        <w:rPr>
          <w:rStyle w:val="34"/>
          <w:rFonts w:hint="default"/>
          <w:color w:val="auto"/>
        </w:rPr>
      </w:pPr>
      <w:r>
        <w:rPr>
          <w:rStyle w:val="34"/>
          <w:rFonts w:hint="default"/>
          <w:color w:val="auto"/>
        </w:rPr>
        <w:t>分析测试土壤和地下水样品，运用相关国家标准进行评价。</w:t>
      </w:r>
    </w:p>
    <w:p>
      <w:pPr>
        <w:pStyle w:val="29"/>
        <w:pageBreakBefore/>
        <w:spacing w:line="560" w:lineRule="exact"/>
        <w:rPr>
          <w:color w:val="FF0000"/>
        </w:rPr>
      </w:pPr>
    </w:p>
    <w:p>
      <w:pPr>
        <w:pStyle w:val="5"/>
      </w:pPr>
      <w:bookmarkStart w:id="13" w:name="_Toc91763523"/>
      <w:r>
        <w:rPr>
          <w:rFonts w:hint="eastAsia"/>
        </w:rPr>
        <w:t>3.工作依据</w:t>
      </w:r>
      <w:bookmarkEnd w:id="13"/>
    </w:p>
    <w:p>
      <w:pPr>
        <w:ind w:firstLine="480"/>
      </w:pPr>
    </w:p>
    <w:p>
      <w:pPr>
        <w:pStyle w:val="6"/>
      </w:pPr>
      <w:bookmarkStart w:id="14" w:name="_Toc455579922"/>
      <w:bookmarkStart w:id="15" w:name="_Toc448735828"/>
      <w:bookmarkStart w:id="16" w:name="_Toc4071124"/>
      <w:bookmarkStart w:id="17" w:name="_Toc29576"/>
      <w:bookmarkStart w:id="18" w:name="_Toc29609"/>
      <w:bookmarkStart w:id="19" w:name="_Toc91763524"/>
      <w:bookmarkStart w:id="20" w:name="_Toc10984_WPSOffice_Level2"/>
      <w:bookmarkStart w:id="21" w:name="_Toc5332"/>
      <w:bookmarkStart w:id="22" w:name="_Toc409082766"/>
      <w:bookmarkStart w:id="23" w:name="_Toc434401580"/>
      <w:bookmarkStart w:id="24" w:name="_Toc24335"/>
      <w:r>
        <w:rPr>
          <w:rFonts w:hint="eastAsia"/>
        </w:rPr>
        <w:t>3.1</w:t>
      </w:r>
      <w:r>
        <w:t>政策法规</w:t>
      </w:r>
      <w:bookmarkEnd w:id="14"/>
      <w:bookmarkEnd w:id="15"/>
      <w:bookmarkEnd w:id="16"/>
      <w:bookmarkEnd w:id="17"/>
      <w:bookmarkEnd w:id="18"/>
      <w:bookmarkEnd w:id="19"/>
      <w:bookmarkEnd w:id="20"/>
      <w:bookmarkEnd w:id="21"/>
      <w:bookmarkEnd w:id="22"/>
      <w:bookmarkEnd w:id="23"/>
      <w:bookmarkEnd w:id="24"/>
    </w:p>
    <w:p>
      <w:pPr>
        <w:ind w:firstLine="480"/>
        <w:rPr>
          <w:lang w:val="zh-CN"/>
        </w:rPr>
      </w:pPr>
      <w:r>
        <w:rPr>
          <w:rFonts w:hint="eastAsia"/>
          <w:lang w:val="zh-CN"/>
        </w:rPr>
        <w:t>1、</w:t>
      </w:r>
      <w:r>
        <w:rPr>
          <w:lang w:val="zh-CN"/>
        </w:rPr>
        <w:t>《中华人民共和国环境保护法》（2015）；</w:t>
      </w:r>
    </w:p>
    <w:p>
      <w:pPr>
        <w:ind w:firstLine="480"/>
        <w:rPr>
          <w:lang w:val="zh-CN"/>
        </w:rPr>
      </w:pPr>
      <w:r>
        <w:rPr>
          <w:rFonts w:hint="eastAsia"/>
          <w:lang w:val="zh-CN"/>
        </w:rPr>
        <w:t>2、</w:t>
      </w:r>
      <w:r>
        <w:rPr>
          <w:lang w:val="zh-CN"/>
        </w:rPr>
        <w:t>《中华人民共和国固体废物污染环境防治法》（2015）；</w:t>
      </w:r>
    </w:p>
    <w:p>
      <w:pPr>
        <w:ind w:firstLine="480"/>
        <w:rPr>
          <w:lang w:val="zh-CN"/>
        </w:rPr>
      </w:pPr>
      <w:r>
        <w:rPr>
          <w:rFonts w:hint="eastAsia"/>
          <w:lang w:val="zh-CN"/>
        </w:rPr>
        <w:t>3、</w:t>
      </w:r>
      <w:r>
        <w:t>《中华人民共和国水法》（主席令四十八号）（2016）；</w:t>
      </w:r>
    </w:p>
    <w:p>
      <w:pPr>
        <w:ind w:firstLine="480"/>
        <w:rPr>
          <w:lang w:val="zh-CN"/>
        </w:rPr>
      </w:pPr>
      <w:r>
        <w:t>4</w:t>
      </w:r>
      <w:r>
        <w:rPr>
          <w:lang w:val="zh-CN"/>
        </w:rPr>
        <w:t>、《中华人民共和国水污染防治法》（2018.1.1）；</w:t>
      </w:r>
    </w:p>
    <w:p>
      <w:pPr>
        <w:ind w:firstLine="480"/>
        <w:rPr>
          <w:lang w:val="zh-CN"/>
        </w:rPr>
      </w:pPr>
      <w:r>
        <w:t>5</w:t>
      </w:r>
      <w:r>
        <w:rPr>
          <w:lang w:val="zh-CN"/>
        </w:rPr>
        <w:t>、《中华人民共和国土壤污染防治法》</w:t>
      </w:r>
      <w:r>
        <w:rPr>
          <w:rFonts w:hint="eastAsia"/>
          <w:lang w:val="zh-CN"/>
        </w:rPr>
        <w:t>（</w:t>
      </w:r>
      <w:r>
        <w:rPr>
          <w:lang w:val="zh-CN"/>
        </w:rPr>
        <w:t>2018年8月31日)；</w:t>
      </w:r>
    </w:p>
    <w:p>
      <w:pPr>
        <w:ind w:firstLine="480"/>
        <w:rPr>
          <w:lang w:val="zh-CN"/>
        </w:rPr>
      </w:pPr>
      <w:r>
        <w:rPr>
          <w:lang w:val="zh-CN"/>
        </w:rPr>
        <w:t>6</w:t>
      </w:r>
      <w:r>
        <w:rPr>
          <w:rFonts w:hint="eastAsia"/>
          <w:lang w:val="zh-CN"/>
        </w:rPr>
        <w:t>、</w:t>
      </w:r>
      <w:r>
        <w:rPr>
          <w:lang w:val="zh-CN"/>
        </w:rPr>
        <w:t>《中华人民共和国大气污染防治法》（2016）；</w:t>
      </w:r>
    </w:p>
    <w:p>
      <w:pPr>
        <w:ind w:firstLine="480"/>
        <w:rPr>
          <w:lang w:val="zh-CN"/>
        </w:rPr>
      </w:pPr>
      <w:r>
        <w:t>7</w:t>
      </w:r>
      <w:r>
        <w:rPr>
          <w:lang w:val="zh-CN"/>
        </w:rPr>
        <w:t>、《土壤污染防治行动计划》（2016）；</w:t>
      </w:r>
    </w:p>
    <w:p>
      <w:pPr>
        <w:ind w:firstLine="480"/>
        <w:rPr>
          <w:lang w:val="zh-CN"/>
        </w:rPr>
      </w:pPr>
      <w:r>
        <w:rPr>
          <w:lang w:val="zh-CN"/>
        </w:rPr>
        <w:t>8、</w:t>
      </w:r>
      <w:r>
        <w:t>《污染地块土壤环境管理办法（试行）》</w:t>
      </w:r>
      <w:r>
        <w:rPr>
          <w:lang w:val="zh-CN"/>
        </w:rPr>
        <w:t>（2016）</w:t>
      </w:r>
      <w:r>
        <w:t>；</w:t>
      </w:r>
    </w:p>
    <w:p>
      <w:pPr>
        <w:ind w:firstLine="480"/>
      </w:pPr>
      <w:r>
        <w:t>9、</w:t>
      </w:r>
      <w:r>
        <w:rPr>
          <w:lang w:val="zh-CN"/>
        </w:rPr>
        <w:t>《危险化学品安全管理条例》（国务院令[2003]344号）；</w:t>
      </w:r>
    </w:p>
    <w:p>
      <w:pPr>
        <w:ind w:firstLine="480"/>
        <w:rPr>
          <w:lang w:val="zh-CN"/>
        </w:rPr>
      </w:pPr>
      <w:r>
        <w:t>10</w:t>
      </w:r>
      <w:r>
        <w:rPr>
          <w:lang w:val="zh-CN"/>
        </w:rPr>
        <w:t>、《废弃危险化学品污染环境防治办法》（国家环保总局令[2005]第27号）；</w:t>
      </w:r>
    </w:p>
    <w:p>
      <w:pPr>
        <w:ind w:firstLine="480"/>
        <w:rPr>
          <w:lang w:val="zh-CN"/>
        </w:rPr>
      </w:pPr>
      <w:r>
        <w:rPr>
          <w:lang w:val="zh-CN"/>
        </w:rPr>
        <w:t>11、《土壤污染防治行动计划四川省工作方案》（川环办发[2017]119号）；；</w:t>
      </w:r>
    </w:p>
    <w:p>
      <w:pPr>
        <w:ind w:firstLine="480"/>
        <w:rPr>
          <w:lang w:val="zh-CN"/>
        </w:rPr>
      </w:pPr>
      <w:r>
        <w:rPr>
          <w:lang w:val="zh-CN"/>
        </w:rPr>
        <w:t>12、《四川省环境保护厅办公室关于做好土壤污染重点监管单位土壤环境自行监测工作的通知》（川环办函[2018]446号）；</w:t>
      </w:r>
    </w:p>
    <w:p>
      <w:pPr>
        <w:ind w:firstLine="480"/>
        <w:rPr>
          <w:lang w:val="zh-CN"/>
        </w:rPr>
      </w:pPr>
      <w:r>
        <w:rPr>
          <w:lang w:val="zh-CN"/>
        </w:rPr>
        <w:t>13、《关于印发重点行业企业用地调查系列技术文件的通知》（环办土壤[2017]67号）；</w:t>
      </w:r>
    </w:p>
    <w:p>
      <w:pPr>
        <w:ind w:firstLine="480"/>
        <w:rPr>
          <w:rFonts w:eastAsia="宋体"/>
        </w:rPr>
      </w:pPr>
      <w:r>
        <w:t>14</w:t>
      </w:r>
      <w:r>
        <w:rPr>
          <w:lang w:val="zh-CN"/>
        </w:rPr>
        <w:t>、《关于印发2018年四川省土壤污染重点监管单位名单的通知》（川环办函〔2018〕518号）</w:t>
      </w:r>
    </w:p>
    <w:p>
      <w:pPr>
        <w:ind w:firstLine="480"/>
        <w:rPr>
          <w:lang w:val="zh-CN"/>
        </w:rPr>
      </w:pPr>
      <w:r>
        <w:rPr>
          <w:lang w:val="zh-CN"/>
        </w:rPr>
        <w:t>1</w:t>
      </w:r>
      <w:r>
        <w:t>5</w:t>
      </w:r>
      <w:r>
        <w:rPr>
          <w:lang w:val="zh-CN"/>
        </w:rPr>
        <w:t>、《关于加强工业企业关停、搬迁及原址场地再开发利用过程中污染防治工作的通知》（环发[2014]66号）；</w:t>
      </w:r>
    </w:p>
    <w:p>
      <w:pPr>
        <w:ind w:firstLine="480"/>
        <w:rPr>
          <w:lang w:val="zh-CN"/>
        </w:rPr>
      </w:pPr>
      <w:r>
        <w:rPr>
          <w:lang w:val="zh-CN"/>
        </w:rPr>
        <w:t>1</w:t>
      </w:r>
      <w:r>
        <w:t>6</w:t>
      </w:r>
      <w:r>
        <w:rPr>
          <w:lang w:val="zh-CN"/>
        </w:rPr>
        <w:t>、《关于印发&lt;四川省重点行业企业用地调查实施方案&gt;的通知》（川环办发[2018]73号）。</w:t>
      </w:r>
    </w:p>
    <w:p>
      <w:pPr>
        <w:pStyle w:val="6"/>
      </w:pPr>
      <w:bookmarkStart w:id="25" w:name="_Toc4071125"/>
      <w:bookmarkStart w:id="26" w:name="_Toc91763525"/>
      <w:bookmarkStart w:id="27" w:name="_Toc29044_WPSOffice_Level2"/>
      <w:r>
        <w:rPr>
          <w:rFonts w:hint="eastAsia"/>
        </w:rPr>
        <w:t>3.2</w:t>
      </w:r>
      <w:r>
        <w:t>相关导则与技术标准</w:t>
      </w:r>
      <w:bookmarkEnd w:id="25"/>
      <w:bookmarkEnd w:id="26"/>
      <w:bookmarkEnd w:id="27"/>
    </w:p>
    <w:p>
      <w:pPr>
        <w:ind w:firstLine="480"/>
        <w:rPr>
          <w:lang w:val="zh-CN"/>
        </w:rPr>
      </w:pPr>
      <w:r>
        <w:rPr>
          <w:lang w:val="zh-CN"/>
        </w:rPr>
        <w:t>1、《建设用地土壤污染状况调查技术导则》（HJ25.1-201</w:t>
      </w:r>
      <w:r>
        <w:t>9</w:t>
      </w:r>
      <w:r>
        <w:rPr>
          <w:lang w:val="zh-CN"/>
        </w:rPr>
        <w:t>）；</w:t>
      </w:r>
    </w:p>
    <w:p>
      <w:pPr>
        <w:ind w:firstLine="480"/>
        <w:rPr>
          <w:lang w:val="zh-CN"/>
        </w:rPr>
      </w:pPr>
      <w:r>
        <w:rPr>
          <w:lang w:val="zh-CN"/>
        </w:rPr>
        <w:t>2、《建设用地土壤污染风险管控和修复监测技术导则》（HJ25.2-201</w:t>
      </w:r>
      <w:r>
        <w:t>9</w:t>
      </w:r>
      <w:r>
        <w:rPr>
          <w:lang w:val="zh-CN"/>
        </w:rPr>
        <w:t>）；</w:t>
      </w:r>
    </w:p>
    <w:p>
      <w:pPr>
        <w:ind w:firstLine="480"/>
        <w:rPr>
          <w:lang w:val="zh-CN"/>
        </w:rPr>
      </w:pPr>
      <w:r>
        <w:rPr>
          <w:lang w:val="zh-CN"/>
        </w:rPr>
        <w:t>3、《建设用地土壤污染风险评估技术导则》（HJ25.3-201</w:t>
      </w:r>
      <w:r>
        <w:t>9</w:t>
      </w:r>
      <w:r>
        <w:rPr>
          <w:lang w:val="zh-CN"/>
        </w:rPr>
        <w:t>）；</w:t>
      </w:r>
    </w:p>
    <w:p>
      <w:pPr>
        <w:ind w:firstLine="480"/>
        <w:rPr>
          <w:lang w:val="zh-CN"/>
        </w:rPr>
      </w:pPr>
      <w:r>
        <w:rPr>
          <w:lang w:val="zh-CN"/>
        </w:rPr>
        <w:t>4、《建设用地土壤修复技术导则》（HJ25.4-201</w:t>
      </w:r>
      <w:r>
        <w:t>9</w:t>
      </w:r>
      <w:r>
        <w:rPr>
          <w:lang w:val="zh-CN"/>
        </w:rPr>
        <w:t>）；</w:t>
      </w:r>
    </w:p>
    <w:p>
      <w:pPr>
        <w:ind w:firstLine="480"/>
        <w:rPr>
          <w:lang w:val="zh-CN"/>
        </w:rPr>
      </w:pPr>
      <w:r>
        <w:rPr>
          <w:lang w:val="zh-CN"/>
        </w:rPr>
        <w:t>5、《土壤环境质量建设用地土壤污染风险管控标准（试行）》（GB36600-2018）；</w:t>
      </w:r>
    </w:p>
    <w:p>
      <w:pPr>
        <w:ind w:firstLine="480"/>
        <w:rPr>
          <w:lang w:val="zh-CN"/>
        </w:rPr>
      </w:pPr>
      <w:r>
        <w:rPr>
          <w:lang w:val="zh-CN"/>
        </w:rPr>
        <w:t>8、《土壤环境监测技术规范》（HJ/T166-2004）；</w:t>
      </w:r>
    </w:p>
    <w:p>
      <w:pPr>
        <w:ind w:firstLine="480"/>
      </w:pPr>
      <w:r>
        <w:rPr>
          <w:lang w:val="zh-CN"/>
        </w:rPr>
        <w:t>9、《北京市重点企业土壤环境自行监测技术指南》（暂行）</w:t>
      </w:r>
      <w:r>
        <w:rPr>
          <w:rFonts w:hint="eastAsia"/>
        </w:rPr>
        <w:t>；</w:t>
      </w:r>
    </w:p>
    <w:p>
      <w:pPr>
        <w:ind w:firstLine="480"/>
        <w:rPr>
          <w:lang w:val="zh-CN"/>
        </w:rPr>
      </w:pPr>
      <w:r>
        <w:t>10</w:t>
      </w:r>
      <w:r>
        <w:rPr>
          <w:lang w:val="zh-CN"/>
        </w:rPr>
        <w:t>、《地下水环境监测技术规范》（</w:t>
      </w:r>
      <w:r>
        <w:t>HJ/T164-2004</w:t>
      </w:r>
      <w:r>
        <w:rPr>
          <w:lang w:val="zh-CN"/>
        </w:rPr>
        <w:t>）</w:t>
      </w:r>
      <w:r>
        <w:rPr>
          <w:rFonts w:hint="eastAsia"/>
          <w:lang w:val="zh-CN"/>
        </w:rPr>
        <w:t>；</w:t>
      </w:r>
    </w:p>
    <w:p>
      <w:pPr>
        <w:ind w:firstLine="480"/>
        <w:rPr>
          <w:lang w:val="zh-CN"/>
        </w:rPr>
      </w:pPr>
      <w:r>
        <w:rPr>
          <w:rFonts w:hint="eastAsia"/>
        </w:rPr>
        <w:t>11</w:t>
      </w:r>
      <w:r>
        <w:rPr>
          <w:rFonts w:hint="eastAsia"/>
          <w:lang w:val="zh-CN"/>
        </w:rPr>
        <w:t>、《地下水环境标准》（</w:t>
      </w:r>
      <w:r>
        <w:rPr>
          <w:rFonts w:hint="eastAsia"/>
        </w:rPr>
        <w:t>GB14848-2017</w:t>
      </w:r>
      <w:r>
        <w:rPr>
          <w:rFonts w:hint="eastAsia"/>
          <w:lang w:val="zh-CN"/>
        </w:rPr>
        <w:t>）；</w:t>
      </w:r>
    </w:p>
    <w:p>
      <w:pPr>
        <w:ind w:firstLine="480"/>
        <w:rPr>
          <w:lang w:val="zh-CN"/>
        </w:rPr>
      </w:pPr>
      <w:r>
        <w:rPr>
          <w:rFonts w:hint="eastAsia"/>
        </w:rPr>
        <w:t>12</w:t>
      </w:r>
      <w:r>
        <w:rPr>
          <w:rFonts w:hint="eastAsia"/>
          <w:lang w:val="zh-CN"/>
        </w:rPr>
        <w:t>、《在产企业土壤及地下水自行监测技术指南》（征求意见稿）。</w:t>
      </w:r>
    </w:p>
    <w:p>
      <w:pPr>
        <w:pStyle w:val="6"/>
      </w:pPr>
      <w:bookmarkStart w:id="28" w:name="_Toc91763526"/>
      <w:r>
        <w:rPr>
          <w:rFonts w:hint="eastAsia"/>
        </w:rPr>
        <w:t>3.3相关技术资料</w:t>
      </w:r>
      <w:bookmarkEnd w:id="28"/>
    </w:p>
    <w:p>
      <w:pPr>
        <w:ind w:firstLine="480"/>
      </w:pPr>
      <w:r>
        <w:t>1</w:t>
      </w:r>
      <w:r>
        <w:rPr>
          <w:rFonts w:hint="eastAsia"/>
        </w:rPr>
        <w:t>、</w:t>
      </w:r>
      <w:r>
        <w:t>《乐山城市资源开发利用有限公司乐山市医疗废物处置中心二期项目地块土壤及地下水环境自行监测方案》 （202</w:t>
      </w:r>
      <w:r>
        <w:rPr>
          <w:rFonts w:hint="eastAsia"/>
        </w:rPr>
        <w:t>1</w:t>
      </w:r>
      <w:r>
        <w:t>）</w:t>
      </w:r>
    </w:p>
    <w:p>
      <w:pPr>
        <w:pStyle w:val="29"/>
        <w:rPr>
          <w:color w:val="FF0000"/>
        </w:rPr>
      </w:pPr>
    </w:p>
    <w:p>
      <w:pPr>
        <w:pageBreakBefore/>
        <w:ind w:firstLine="480"/>
      </w:pPr>
    </w:p>
    <w:p>
      <w:pPr>
        <w:pStyle w:val="5"/>
      </w:pPr>
      <w:bookmarkStart w:id="29" w:name="_Toc82417052"/>
      <w:bookmarkStart w:id="30" w:name="_Toc91763527"/>
      <w:r>
        <w:drawing>
          <wp:anchor distT="0" distB="0" distL="114300" distR="114300" simplePos="0" relativeHeight="251667456" behindDoc="0" locked="0" layoutInCell="1" allowOverlap="1">
            <wp:simplePos x="0" y="0"/>
            <wp:positionH relativeFrom="column">
              <wp:posOffset>53975</wp:posOffset>
            </wp:positionH>
            <wp:positionV relativeFrom="paragraph">
              <wp:posOffset>572135</wp:posOffset>
            </wp:positionV>
            <wp:extent cx="5582285" cy="6543040"/>
            <wp:effectExtent l="0" t="0" r="18415" b="1016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4"/>
                    <a:stretch>
                      <a:fillRect/>
                    </a:stretch>
                  </pic:blipFill>
                  <pic:spPr>
                    <a:xfrm>
                      <a:off x="0" y="0"/>
                      <a:ext cx="5582285" cy="6543040"/>
                    </a:xfrm>
                    <a:prstGeom prst="rect">
                      <a:avLst/>
                    </a:prstGeom>
                    <a:noFill/>
                    <a:ln>
                      <a:noFill/>
                    </a:ln>
                  </pic:spPr>
                </pic:pic>
              </a:graphicData>
            </a:graphic>
          </wp:anchor>
        </w:drawing>
      </w:r>
      <w:r>
        <w:rPr>
          <w:rFonts w:hint="eastAsia"/>
        </w:rPr>
        <w:t>4.采样现场工作照片</w:t>
      </w:r>
      <w:bookmarkEnd w:id="29"/>
      <w:bookmarkEnd w:id="30"/>
    </w:p>
    <w:p>
      <w:pPr>
        <w:ind w:firstLine="0" w:firstLineChars="0"/>
        <w:jc w:val="center"/>
        <w:rPr>
          <w:rStyle w:val="26"/>
          <w:rFonts w:hint="eastAsia"/>
        </w:rPr>
      </w:pPr>
      <w:r>
        <w:rPr>
          <w:rStyle w:val="26"/>
          <w:rFonts w:hint="eastAsia"/>
        </w:rPr>
        <w:t>图4-1  土壤现场采样照片</w:t>
      </w: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p>
    <w:p>
      <w:pPr>
        <w:pStyle w:val="2"/>
        <w:rPr>
          <w:rStyle w:val="26"/>
          <w:rFonts w:hint="eastAsia"/>
        </w:rPr>
      </w:pPr>
      <w:r>
        <w:drawing>
          <wp:anchor distT="0" distB="0" distL="114300" distR="114300" simplePos="0" relativeHeight="251668480" behindDoc="0" locked="0" layoutInCell="1" allowOverlap="1">
            <wp:simplePos x="0" y="0"/>
            <wp:positionH relativeFrom="column">
              <wp:posOffset>280670</wp:posOffset>
            </wp:positionH>
            <wp:positionV relativeFrom="paragraph">
              <wp:posOffset>266065</wp:posOffset>
            </wp:positionV>
            <wp:extent cx="4775835" cy="6415405"/>
            <wp:effectExtent l="0" t="0" r="5715" b="444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5"/>
                    <a:stretch>
                      <a:fillRect/>
                    </a:stretch>
                  </pic:blipFill>
                  <pic:spPr>
                    <a:xfrm>
                      <a:off x="0" y="0"/>
                      <a:ext cx="4775835" cy="6415405"/>
                    </a:xfrm>
                    <a:prstGeom prst="rect">
                      <a:avLst/>
                    </a:prstGeom>
                    <a:noFill/>
                    <a:ln>
                      <a:noFill/>
                    </a:ln>
                  </pic:spPr>
                </pic:pic>
              </a:graphicData>
            </a:graphic>
          </wp:anchor>
        </w:drawing>
      </w:r>
    </w:p>
    <w:p>
      <w:pPr>
        <w:pStyle w:val="2"/>
        <w:rPr>
          <w:rStyle w:val="26"/>
          <w:rFonts w:hint="eastAsia"/>
        </w:rPr>
      </w:pPr>
    </w:p>
    <w:p>
      <w:pPr>
        <w:ind w:firstLine="0" w:firstLineChars="0"/>
        <w:jc w:val="center"/>
        <w:rPr>
          <w:rStyle w:val="26"/>
          <w:rFonts w:hint="eastAsia"/>
        </w:rPr>
      </w:pPr>
    </w:p>
    <w:p>
      <w:pPr>
        <w:ind w:firstLine="0" w:firstLineChars="0"/>
        <w:jc w:val="center"/>
        <w:rPr>
          <w:rStyle w:val="26"/>
          <w:rFonts w:hint="eastAsia"/>
        </w:rPr>
      </w:pPr>
    </w:p>
    <w:p>
      <w:pPr>
        <w:ind w:firstLine="0" w:firstLineChars="0"/>
        <w:jc w:val="center"/>
        <w:rPr>
          <w:rStyle w:val="26"/>
          <w:rFonts w:hint="eastAsia"/>
        </w:rPr>
      </w:pPr>
    </w:p>
    <w:p>
      <w:pPr>
        <w:ind w:firstLine="0" w:firstLineChars="0"/>
        <w:jc w:val="center"/>
        <w:rPr>
          <w:rStyle w:val="26"/>
          <w:rFonts w:hint="eastAsia"/>
        </w:rPr>
      </w:pPr>
    </w:p>
    <w:p>
      <w:pPr>
        <w:ind w:firstLine="0" w:firstLineChars="0"/>
        <w:jc w:val="center"/>
        <w:rPr>
          <w:rStyle w:val="26"/>
          <w:rFonts w:hint="eastAsia"/>
        </w:rPr>
      </w:pPr>
    </w:p>
    <w:p>
      <w:pPr>
        <w:ind w:firstLine="0" w:firstLineChars="0"/>
        <w:jc w:val="center"/>
        <w:rPr>
          <w:rStyle w:val="26"/>
          <w:rFonts w:hint="eastAsia"/>
        </w:rPr>
      </w:pPr>
    </w:p>
    <w:p>
      <w:pPr>
        <w:ind w:firstLine="0" w:firstLineChars="0"/>
        <w:jc w:val="center"/>
        <w:rPr>
          <w:rStyle w:val="26"/>
          <w:rFonts w:hint="eastAsia"/>
        </w:rPr>
      </w:pPr>
    </w:p>
    <w:p>
      <w:pPr>
        <w:ind w:firstLine="0" w:firstLineChars="0"/>
        <w:jc w:val="center"/>
        <w:rPr>
          <w:rStyle w:val="26"/>
          <w:rFonts w:hint="eastAsia"/>
        </w:rPr>
      </w:pPr>
    </w:p>
    <w:p>
      <w:pPr>
        <w:ind w:firstLine="0" w:firstLineChars="0"/>
        <w:jc w:val="center"/>
        <w:rPr>
          <w:rStyle w:val="26"/>
          <w:rFonts w:hint="eastAsia"/>
        </w:rPr>
      </w:pPr>
    </w:p>
    <w:p>
      <w:pPr>
        <w:ind w:firstLine="0" w:firstLineChars="0"/>
        <w:jc w:val="center"/>
        <w:rPr>
          <w:rStyle w:val="26"/>
          <w:rFonts w:hint="eastAsia"/>
        </w:rPr>
      </w:pPr>
    </w:p>
    <w:p>
      <w:pPr>
        <w:ind w:firstLine="0" w:firstLineChars="0"/>
        <w:jc w:val="center"/>
        <w:rPr>
          <w:rStyle w:val="26"/>
          <w:rFonts w:hint="eastAsia"/>
        </w:rPr>
      </w:pPr>
    </w:p>
    <w:p>
      <w:pPr>
        <w:ind w:firstLine="0" w:firstLineChars="0"/>
        <w:jc w:val="center"/>
        <w:rPr>
          <w:rStyle w:val="26"/>
          <w:rFonts w:hint="eastAsia"/>
        </w:rPr>
      </w:pPr>
    </w:p>
    <w:p>
      <w:pPr>
        <w:ind w:firstLine="0" w:firstLineChars="0"/>
        <w:jc w:val="center"/>
        <w:rPr>
          <w:rStyle w:val="26"/>
          <w:rFonts w:hint="eastAsia"/>
        </w:rPr>
      </w:pPr>
    </w:p>
    <w:p>
      <w:pPr>
        <w:ind w:firstLine="0" w:firstLineChars="0"/>
        <w:jc w:val="center"/>
        <w:rPr>
          <w:rStyle w:val="26"/>
          <w:rFonts w:hint="eastAsia"/>
        </w:rPr>
      </w:pPr>
    </w:p>
    <w:p>
      <w:pPr>
        <w:ind w:firstLine="0" w:firstLineChars="0"/>
        <w:jc w:val="center"/>
        <w:rPr>
          <w:rStyle w:val="26"/>
          <w:rFonts w:hint="eastAsia"/>
        </w:rPr>
      </w:pPr>
    </w:p>
    <w:p>
      <w:pPr>
        <w:ind w:firstLine="0" w:firstLineChars="0"/>
        <w:jc w:val="center"/>
        <w:rPr>
          <w:rStyle w:val="26"/>
          <w:rFonts w:hint="eastAsia"/>
        </w:rPr>
      </w:pPr>
    </w:p>
    <w:p>
      <w:pPr>
        <w:ind w:firstLine="0" w:firstLineChars="0"/>
        <w:jc w:val="center"/>
        <w:rPr>
          <w:rStyle w:val="26"/>
          <w:rFonts w:hint="eastAsia"/>
        </w:rPr>
      </w:pPr>
    </w:p>
    <w:p>
      <w:pPr>
        <w:ind w:firstLine="0" w:firstLineChars="0"/>
        <w:jc w:val="center"/>
        <w:rPr>
          <w:rStyle w:val="26"/>
        </w:rPr>
      </w:pPr>
      <w:r>
        <w:rPr>
          <w:rStyle w:val="26"/>
          <w:rFonts w:hint="eastAsia"/>
        </w:rPr>
        <w:t>图4-2  地下水现场采样照片</w:t>
      </w:r>
    </w:p>
    <w:p>
      <w:pPr>
        <w:pStyle w:val="2"/>
        <w:ind w:left="480" w:firstLine="480"/>
        <w:rPr>
          <w:color w:val="FF0000"/>
        </w:rPr>
      </w:pPr>
    </w:p>
    <w:p>
      <w:pPr>
        <w:pStyle w:val="2"/>
        <w:ind w:left="0" w:leftChars="0" w:firstLine="0" w:firstLineChars="0"/>
        <w:rPr>
          <w:color w:val="FF0000"/>
        </w:rPr>
      </w:pPr>
    </w:p>
    <w:p>
      <w:pPr>
        <w:pStyle w:val="5"/>
      </w:pPr>
      <w:bookmarkStart w:id="31" w:name="_Toc91763528"/>
      <w:r>
        <w:t>5</w:t>
      </w:r>
      <w:r>
        <w:rPr>
          <w:rFonts w:hint="eastAsia"/>
        </w:rPr>
        <w:t>.布点情况</w:t>
      </w:r>
      <w:bookmarkEnd w:id="31"/>
    </w:p>
    <w:p>
      <w:pPr>
        <w:ind w:firstLine="480"/>
      </w:pPr>
    </w:p>
    <w:p>
      <w:pPr>
        <w:ind w:firstLine="480"/>
        <w:rPr>
          <w:rFonts w:cs="Times New Roman"/>
          <w:color w:val="FF0000"/>
          <w:szCs w:val="24"/>
        </w:rPr>
      </w:pPr>
      <w:r>
        <w:rPr>
          <w:rFonts w:cs="Times New Roman"/>
          <w:szCs w:val="24"/>
          <w:lang w:val="zh-CN"/>
        </w:rPr>
        <w:t>本次</w:t>
      </w:r>
      <w:r>
        <w:rPr>
          <w:rFonts w:hint="eastAsia" w:cs="Times New Roman"/>
          <w:szCs w:val="24"/>
          <w:lang w:val="zh-CN"/>
        </w:rPr>
        <w:t>自行监测</w:t>
      </w:r>
      <w:r>
        <w:rPr>
          <w:rFonts w:cs="Times New Roman"/>
          <w:szCs w:val="24"/>
          <w:lang w:val="zh-CN"/>
        </w:rPr>
        <w:t>范围主要</w:t>
      </w:r>
      <w:r>
        <w:rPr>
          <w:rFonts w:hint="eastAsia" w:cs="Times New Roman"/>
          <w:szCs w:val="24"/>
          <w:lang w:val="zh-CN"/>
        </w:rPr>
        <w:t>为</w:t>
      </w:r>
      <w:r>
        <w:rPr>
          <w:rStyle w:val="34"/>
          <w:rFonts w:hint="default" w:cs="Times New Roman"/>
          <w:color w:val="auto"/>
        </w:rPr>
        <w:t>乐山城市资源开发利用有限公司乐山市医疗废物处置中心二期项目</w:t>
      </w:r>
      <w:r>
        <w:rPr>
          <w:rFonts w:hint="eastAsia" w:cs="Times New Roman"/>
          <w:szCs w:val="24"/>
        </w:rPr>
        <w:t>所在地块，</w:t>
      </w:r>
      <w:r>
        <w:rPr>
          <w:rFonts w:hint="eastAsia" w:cs="Times New Roman"/>
          <w:szCs w:val="24"/>
          <w:lang w:val="zh-CN"/>
        </w:rPr>
        <w:t>场地占地面积约</w:t>
      </w:r>
      <w:r>
        <w:rPr>
          <w:rFonts w:hint="eastAsia"/>
          <w:szCs w:val="24"/>
        </w:rPr>
        <w:t>为</w:t>
      </w:r>
      <w:r>
        <w:rPr>
          <w:rFonts w:hint="eastAsia"/>
        </w:rPr>
        <w:t>8693.33m</w:t>
      </w:r>
      <w:r>
        <w:rPr>
          <w:vertAlign w:val="superscript"/>
        </w:rPr>
        <w:t>2</w:t>
      </w:r>
      <w:r>
        <w:rPr>
          <w:rFonts w:hint="eastAsia" w:cs="Times New Roman"/>
          <w:szCs w:val="24"/>
        </w:rPr>
        <w:t>。</w:t>
      </w:r>
    </w:p>
    <w:p>
      <w:pPr>
        <w:ind w:firstLine="480"/>
        <w:rPr>
          <w:color w:val="FF0000"/>
        </w:rPr>
      </w:pPr>
    </w:p>
    <w:p>
      <w:pPr>
        <w:pStyle w:val="6"/>
      </w:pPr>
      <w:bookmarkStart w:id="32" w:name="_Toc91763529"/>
      <w:r>
        <w:rPr>
          <w:rFonts w:hint="eastAsia"/>
        </w:rPr>
        <w:t>5.1土壤取样点布设情况</w:t>
      </w:r>
      <w:bookmarkEnd w:id="32"/>
    </w:p>
    <w:p>
      <w:pPr>
        <w:pStyle w:val="7"/>
        <w:rPr>
          <w:color w:val="auto"/>
        </w:rPr>
      </w:pPr>
      <w:bookmarkStart w:id="33" w:name="_Toc91763530"/>
      <w:r>
        <w:rPr>
          <w:rFonts w:hint="eastAsia"/>
          <w:color w:val="auto"/>
        </w:rPr>
        <w:t>5.1.1点位数量</w:t>
      </w:r>
      <w:bookmarkEnd w:id="33"/>
    </w:p>
    <w:p>
      <w:pPr>
        <w:pStyle w:val="39"/>
        <w:rPr>
          <w:lang w:val="en-US"/>
        </w:rPr>
      </w:pPr>
      <w:r>
        <w:rPr>
          <w:rFonts w:hint="eastAsia"/>
        </w:rPr>
        <w:t>土壤点位设置：在企业厂内疑似污染区域共设置土壤采样点位</w:t>
      </w:r>
      <w:r>
        <w:rPr>
          <w:lang w:val="en-US"/>
        </w:rPr>
        <w:t>6</w:t>
      </w:r>
      <w:r>
        <w:rPr>
          <w:rFonts w:hint="eastAsia"/>
        </w:rPr>
        <w:t>个，分布于主厂房周围、生产废水处理区、运输通道旁等区域；</w:t>
      </w:r>
      <w:r>
        <w:rPr>
          <w:rFonts w:hint="eastAsia"/>
          <w:lang w:val="en-US"/>
        </w:rPr>
        <w:t>同时在场地内地下水上游区域设置参照点1个，共计</w:t>
      </w:r>
      <w:r>
        <w:rPr>
          <w:lang w:val="en-US"/>
        </w:rPr>
        <w:t>7</w:t>
      </w:r>
      <w:r>
        <w:rPr>
          <w:rFonts w:hint="eastAsia"/>
          <w:lang w:val="en-US"/>
        </w:rPr>
        <w:t>个土壤点。</w:t>
      </w:r>
    </w:p>
    <w:p>
      <w:pPr>
        <w:pStyle w:val="39"/>
        <w:rPr>
          <w:lang w:val="en-US"/>
        </w:rPr>
      </w:pPr>
      <w:r>
        <w:rPr>
          <w:rFonts w:hint="eastAsia"/>
          <w:lang w:val="en-US"/>
        </w:rPr>
        <w:t>地下水点位设置：利用厂区现有</w:t>
      </w:r>
      <w:r>
        <w:rPr>
          <w:lang w:val="en-US"/>
        </w:rPr>
        <w:t>1</w:t>
      </w:r>
      <w:r>
        <w:rPr>
          <w:rFonts w:hint="eastAsia"/>
          <w:lang w:val="en-US"/>
        </w:rPr>
        <w:t>口地下水监测水井， 厂区上游新建一口地下水井，共2个地下水监测点位。</w:t>
      </w:r>
    </w:p>
    <w:p>
      <w:pPr>
        <w:ind w:firstLine="480"/>
        <w:rPr>
          <w:rStyle w:val="34"/>
          <w:rFonts w:hint="default"/>
          <w:color w:val="auto"/>
        </w:rPr>
      </w:pPr>
      <w:r>
        <w:rPr>
          <w:rStyle w:val="34"/>
          <w:rFonts w:hint="default"/>
          <w:color w:val="auto"/>
        </w:rPr>
        <w:t>本次检测点位数量设置与企业自行监测方案要求一致，若在后期检测过程中， 如遇企业生产工艺变化以及重点区域增加或减少等状况，应根据企业实际情况增加或减少检测点位，并重新修订自行监测方案。</w:t>
      </w:r>
    </w:p>
    <w:p>
      <w:pPr>
        <w:pStyle w:val="7"/>
        <w:rPr>
          <w:color w:val="auto"/>
        </w:rPr>
      </w:pPr>
      <w:bookmarkStart w:id="34" w:name="_Toc91763531"/>
      <w:r>
        <w:rPr>
          <w:rFonts w:hint="eastAsia"/>
          <w:color w:val="auto"/>
        </w:rPr>
        <w:t>5.</w:t>
      </w:r>
      <w:r>
        <w:rPr>
          <w:color w:val="auto"/>
        </w:rPr>
        <w:t>1.2点位位置</w:t>
      </w:r>
      <w:bookmarkEnd w:id="34"/>
    </w:p>
    <w:p>
      <w:pPr>
        <w:ind w:firstLine="480"/>
        <w:rPr>
          <w:rFonts w:ascii="宋体" w:hAnsi="宋体" w:eastAsia="宋体"/>
        </w:rPr>
      </w:pPr>
      <w:r>
        <w:rPr>
          <w:rFonts w:ascii="宋体" w:hAnsi="宋体" w:eastAsia="宋体"/>
        </w:rPr>
        <w:t>采样点应在不影响企业正常生产且不造成安全隐患与二次污染的情况下尽可能接近污染源，企业所在地区地下水流向以</w:t>
      </w:r>
      <w:r>
        <w:rPr>
          <w:rFonts w:hint="eastAsia" w:ascii="宋体" w:hAnsi="宋体" w:eastAsia="宋体"/>
        </w:rPr>
        <w:t>自西向东为</w:t>
      </w:r>
      <w:r>
        <w:rPr>
          <w:rFonts w:ascii="宋体" w:hAnsi="宋体" w:eastAsia="宋体"/>
        </w:rPr>
        <w:t>主，</w:t>
      </w:r>
      <w:r>
        <w:rPr>
          <w:rFonts w:hint="eastAsia" w:ascii="宋体" w:hAnsi="宋体" w:eastAsia="宋体"/>
        </w:rPr>
        <w:t>对照</w:t>
      </w:r>
      <w:r>
        <w:rPr>
          <w:rFonts w:ascii="宋体" w:hAnsi="宋体" w:eastAsia="宋体"/>
        </w:rPr>
        <w:t>点选在企业</w:t>
      </w:r>
      <w:r>
        <w:rPr>
          <w:rFonts w:hint="eastAsia" w:ascii="宋体" w:hAnsi="宋体" w:eastAsia="宋体"/>
        </w:rPr>
        <w:t>西部边缘区域</w:t>
      </w:r>
      <w:r>
        <w:rPr>
          <w:rFonts w:ascii="宋体" w:hAnsi="宋体" w:eastAsia="宋体"/>
        </w:rPr>
        <w:t>，厂区内监控点采样位置为</w:t>
      </w:r>
      <w:r>
        <w:rPr>
          <w:rFonts w:hint="eastAsia" w:ascii="宋体" w:hAnsi="宋体" w:eastAsia="宋体"/>
        </w:rPr>
        <w:t>医废处理车间、生产废水处理区、运输通道等</w:t>
      </w:r>
      <w:r>
        <w:rPr>
          <w:rFonts w:hint="eastAsia"/>
        </w:rPr>
        <w:t>，</w:t>
      </w:r>
      <w:r>
        <w:rPr>
          <w:rFonts w:ascii="宋体" w:hAnsi="宋体" w:eastAsia="宋体"/>
        </w:rPr>
        <w:t xml:space="preserve">采样位置与监测方案要求一致。 </w:t>
      </w:r>
    </w:p>
    <w:p>
      <w:pPr>
        <w:ind w:firstLine="480"/>
        <w:rPr>
          <w:rFonts w:ascii="宋体" w:hAnsi="宋体" w:eastAsia="宋体"/>
        </w:rPr>
      </w:pPr>
      <w:r>
        <w:rPr>
          <w:rFonts w:ascii="宋体" w:hAnsi="宋体" w:eastAsia="宋体"/>
        </w:rPr>
        <w:t>若在后期检测过程中，企业生产工艺变化以及重点区域位移等状况，应根据企业实际情况调整点位位置。并重新修订自行监测方案。</w:t>
      </w:r>
    </w:p>
    <w:p>
      <w:pPr>
        <w:pStyle w:val="9"/>
        <w:rPr>
          <w:color w:val="FF0000"/>
        </w:rPr>
      </w:pPr>
    </w:p>
    <w:p>
      <w:pPr>
        <w:pStyle w:val="9"/>
        <w:rPr>
          <w:color w:val="FF0000"/>
        </w:rPr>
      </w:pPr>
    </w:p>
    <w:p>
      <w:pPr>
        <w:pStyle w:val="9"/>
      </w:pPr>
      <w:r>
        <w:t>表</w:t>
      </w:r>
      <w:r>
        <w:rPr>
          <w:rFonts w:hint="eastAsia"/>
        </w:rPr>
        <w:t>5-</w:t>
      </w:r>
      <w:r>
        <w:t xml:space="preserve">1  </w:t>
      </w:r>
      <w:r>
        <w:rPr>
          <w:rFonts w:hint="eastAsia"/>
        </w:rPr>
        <w:t>土壤</w:t>
      </w:r>
      <w:r>
        <w:t>检测点位、项目及频次表</w:t>
      </w:r>
    </w:p>
    <w:tbl>
      <w:tblPr>
        <w:tblStyle w:val="23"/>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52"/>
        <w:gridCol w:w="3751"/>
        <w:gridCol w:w="3586"/>
        <w:gridCol w:w="9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752" w:type="dxa"/>
            <w:tcBorders>
              <w:bottom w:val="single" w:color="auto" w:sz="12" w:space="0"/>
            </w:tcBorders>
            <w:noWrap/>
            <w:vAlign w:val="center"/>
          </w:tcPr>
          <w:p>
            <w:pPr>
              <w:pStyle w:val="55"/>
              <w:rPr>
                <w:szCs w:val="21"/>
              </w:rPr>
            </w:pPr>
            <w:r>
              <w:rPr>
                <w:szCs w:val="21"/>
              </w:rPr>
              <w:t>类别</w:t>
            </w:r>
          </w:p>
        </w:tc>
        <w:tc>
          <w:tcPr>
            <w:tcW w:w="3751" w:type="dxa"/>
            <w:tcBorders>
              <w:bottom w:val="single" w:color="auto" w:sz="12" w:space="0"/>
            </w:tcBorders>
            <w:noWrap/>
            <w:vAlign w:val="center"/>
          </w:tcPr>
          <w:p>
            <w:pPr>
              <w:pStyle w:val="55"/>
              <w:rPr>
                <w:szCs w:val="21"/>
              </w:rPr>
            </w:pPr>
            <w:r>
              <w:rPr>
                <w:szCs w:val="21"/>
              </w:rPr>
              <w:t>检测点位及编号</w:t>
            </w:r>
          </w:p>
        </w:tc>
        <w:tc>
          <w:tcPr>
            <w:tcW w:w="3586" w:type="dxa"/>
            <w:tcBorders>
              <w:bottom w:val="single" w:color="auto" w:sz="12" w:space="0"/>
            </w:tcBorders>
            <w:noWrap/>
            <w:vAlign w:val="center"/>
          </w:tcPr>
          <w:p>
            <w:pPr>
              <w:pStyle w:val="55"/>
              <w:rPr>
                <w:szCs w:val="21"/>
              </w:rPr>
            </w:pPr>
            <w:r>
              <w:rPr>
                <w:szCs w:val="21"/>
              </w:rPr>
              <w:t>检测项目</w:t>
            </w:r>
          </w:p>
        </w:tc>
        <w:tc>
          <w:tcPr>
            <w:tcW w:w="982" w:type="dxa"/>
            <w:tcBorders>
              <w:bottom w:val="single" w:color="auto" w:sz="12" w:space="0"/>
            </w:tcBorders>
            <w:noWrap/>
            <w:vAlign w:val="center"/>
          </w:tcPr>
          <w:p>
            <w:pPr>
              <w:pStyle w:val="55"/>
              <w:rPr>
                <w:szCs w:val="21"/>
              </w:rPr>
            </w:pPr>
            <w:r>
              <w:rPr>
                <w:szCs w:val="21"/>
              </w:rPr>
              <w:t>检测频次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752" w:type="dxa"/>
            <w:vMerge w:val="restart"/>
            <w:noWrap/>
            <w:vAlign w:val="center"/>
          </w:tcPr>
          <w:p>
            <w:pPr>
              <w:pStyle w:val="55"/>
              <w:rPr>
                <w:szCs w:val="21"/>
              </w:rPr>
            </w:pPr>
            <w:r>
              <w:rPr>
                <w:szCs w:val="21"/>
              </w:rPr>
              <w:t>土壤</w:t>
            </w:r>
          </w:p>
        </w:tc>
        <w:tc>
          <w:tcPr>
            <w:tcW w:w="3751" w:type="dxa"/>
            <w:noWrap/>
            <w:vAlign w:val="center"/>
          </w:tcPr>
          <w:p>
            <w:pPr>
              <w:spacing w:line="240" w:lineRule="auto"/>
              <w:ind w:firstLine="0" w:firstLineChars="0"/>
              <w:jc w:val="center"/>
              <w:rPr>
                <w:rFonts w:cs="Times New Roman"/>
                <w:sz w:val="21"/>
                <w:szCs w:val="21"/>
              </w:rPr>
            </w:pPr>
            <w:r>
              <w:rPr>
                <w:rFonts w:cs="Times New Roman"/>
                <w:sz w:val="21"/>
                <w:szCs w:val="21"/>
              </w:rPr>
              <w:t>S0对照点办公楼旁，0~0.5m</w:t>
            </w:r>
          </w:p>
          <w:p>
            <w:pPr>
              <w:spacing w:line="240" w:lineRule="auto"/>
              <w:ind w:firstLine="0" w:firstLineChars="0"/>
              <w:jc w:val="center"/>
              <w:rPr>
                <w:rFonts w:cs="Times New Roman"/>
                <w:sz w:val="21"/>
                <w:szCs w:val="21"/>
              </w:rPr>
            </w:pPr>
            <w:r>
              <w:rPr>
                <w:rFonts w:cs="Times New Roman"/>
                <w:sz w:val="21"/>
                <w:szCs w:val="21"/>
              </w:rPr>
              <w:t>（103.87325738°</w:t>
            </w:r>
            <w:r>
              <w:rPr>
                <w:rFonts w:hint="eastAsia" w:cs="Times New Roman"/>
                <w:sz w:val="21"/>
                <w:szCs w:val="21"/>
              </w:rPr>
              <w:t>E</w:t>
            </w:r>
            <w:r>
              <w:rPr>
                <w:rFonts w:cs="Times New Roman"/>
                <w:sz w:val="21"/>
                <w:szCs w:val="21"/>
              </w:rPr>
              <w:t xml:space="preserve"> 29.57592465° N）</w:t>
            </w:r>
          </w:p>
        </w:tc>
        <w:tc>
          <w:tcPr>
            <w:tcW w:w="3586" w:type="dxa"/>
            <w:vMerge w:val="restart"/>
            <w:noWrap/>
            <w:vAlign w:val="center"/>
          </w:tcPr>
          <w:p>
            <w:pPr>
              <w:pStyle w:val="55"/>
              <w:rPr>
                <w:szCs w:val="21"/>
              </w:rPr>
            </w:pPr>
            <w:r>
              <w:rPr>
                <w:szCs w:val="21"/>
              </w:rP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锌、铬</w:t>
            </w:r>
          </w:p>
        </w:tc>
        <w:tc>
          <w:tcPr>
            <w:tcW w:w="982" w:type="dxa"/>
            <w:vMerge w:val="restart"/>
            <w:noWrap/>
            <w:vAlign w:val="center"/>
          </w:tcPr>
          <w:p>
            <w:pPr>
              <w:pStyle w:val="55"/>
              <w:rPr>
                <w:szCs w:val="21"/>
              </w:rPr>
            </w:pPr>
            <w:r>
              <w:rPr>
                <w:szCs w:val="21"/>
              </w:rPr>
              <w:t>每天1次</w:t>
            </w:r>
          </w:p>
          <w:p>
            <w:pPr>
              <w:pStyle w:val="55"/>
              <w:rPr>
                <w:szCs w:val="21"/>
              </w:rPr>
            </w:pPr>
            <w:r>
              <w:rPr>
                <w:szCs w:val="21"/>
              </w:rPr>
              <w:t>检测1天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752" w:type="dxa"/>
            <w:vMerge w:val="continue"/>
            <w:noWrap/>
            <w:vAlign w:val="center"/>
          </w:tcPr>
          <w:p>
            <w:pPr>
              <w:pStyle w:val="55"/>
              <w:rPr>
                <w:color w:val="FF0000"/>
                <w:szCs w:val="21"/>
              </w:rPr>
            </w:pPr>
          </w:p>
        </w:tc>
        <w:tc>
          <w:tcPr>
            <w:tcW w:w="3751" w:type="dxa"/>
            <w:noWrap/>
            <w:vAlign w:val="center"/>
          </w:tcPr>
          <w:p>
            <w:pPr>
              <w:spacing w:line="240" w:lineRule="auto"/>
              <w:ind w:firstLine="0" w:firstLineChars="0"/>
              <w:jc w:val="center"/>
              <w:rPr>
                <w:rFonts w:cs="Times New Roman"/>
                <w:sz w:val="21"/>
                <w:szCs w:val="21"/>
              </w:rPr>
            </w:pPr>
            <w:r>
              <w:rPr>
                <w:rFonts w:cs="Times New Roman"/>
                <w:sz w:val="21"/>
                <w:szCs w:val="21"/>
              </w:rPr>
              <w:t>S1主厂房东侧，0~0.5m</w:t>
            </w:r>
          </w:p>
          <w:p>
            <w:pPr>
              <w:spacing w:line="240" w:lineRule="auto"/>
              <w:ind w:firstLine="0" w:firstLineChars="0"/>
              <w:jc w:val="center"/>
              <w:rPr>
                <w:rFonts w:cs="Times New Roman"/>
                <w:color w:val="FF0000"/>
                <w:sz w:val="21"/>
                <w:szCs w:val="21"/>
              </w:rPr>
            </w:pPr>
            <w:r>
              <w:rPr>
                <w:rFonts w:cs="Times New Roman"/>
                <w:sz w:val="21"/>
                <w:szCs w:val="21"/>
              </w:rPr>
              <w:t>（103.87401021°</w:t>
            </w:r>
            <w:r>
              <w:rPr>
                <w:rFonts w:hint="eastAsia" w:cs="Times New Roman"/>
                <w:sz w:val="21"/>
                <w:szCs w:val="21"/>
              </w:rPr>
              <w:t>E</w:t>
            </w:r>
            <w:r>
              <w:rPr>
                <w:rFonts w:cs="Times New Roman"/>
                <w:sz w:val="21"/>
                <w:szCs w:val="21"/>
              </w:rPr>
              <w:t xml:space="preserve"> 29.57604511° N）</w:t>
            </w:r>
          </w:p>
        </w:tc>
        <w:tc>
          <w:tcPr>
            <w:tcW w:w="3586" w:type="dxa"/>
            <w:vMerge w:val="continue"/>
            <w:noWrap/>
            <w:vAlign w:val="center"/>
          </w:tcPr>
          <w:p>
            <w:pPr>
              <w:pStyle w:val="55"/>
              <w:rPr>
                <w:color w:val="FF0000"/>
                <w:szCs w:val="21"/>
              </w:rPr>
            </w:pPr>
          </w:p>
        </w:tc>
        <w:tc>
          <w:tcPr>
            <w:tcW w:w="982" w:type="dxa"/>
            <w:vMerge w:val="continue"/>
            <w:noWrap/>
            <w:vAlign w:val="center"/>
          </w:tcPr>
          <w:p>
            <w:pPr>
              <w:pStyle w:val="55"/>
              <w:rPr>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752" w:type="dxa"/>
            <w:vMerge w:val="continue"/>
            <w:noWrap/>
            <w:vAlign w:val="center"/>
          </w:tcPr>
          <w:p>
            <w:pPr>
              <w:pStyle w:val="55"/>
              <w:rPr>
                <w:color w:val="FF0000"/>
                <w:szCs w:val="21"/>
              </w:rPr>
            </w:pPr>
          </w:p>
        </w:tc>
        <w:tc>
          <w:tcPr>
            <w:tcW w:w="3751" w:type="dxa"/>
            <w:noWrap/>
            <w:vAlign w:val="center"/>
          </w:tcPr>
          <w:p>
            <w:pPr>
              <w:spacing w:line="240" w:lineRule="auto"/>
              <w:ind w:firstLine="0" w:firstLineChars="0"/>
              <w:jc w:val="center"/>
              <w:rPr>
                <w:rFonts w:cs="Times New Roman"/>
                <w:sz w:val="21"/>
                <w:szCs w:val="21"/>
              </w:rPr>
            </w:pPr>
            <w:r>
              <w:rPr>
                <w:rFonts w:cs="Times New Roman"/>
                <w:sz w:val="21"/>
                <w:szCs w:val="21"/>
              </w:rPr>
              <w:t>S2污水处理站南侧，0~0.5m</w:t>
            </w:r>
          </w:p>
          <w:p>
            <w:pPr>
              <w:spacing w:line="240" w:lineRule="auto"/>
              <w:ind w:firstLine="0" w:firstLineChars="0"/>
              <w:jc w:val="center"/>
              <w:rPr>
                <w:rFonts w:cs="Times New Roman"/>
                <w:color w:val="FF0000"/>
                <w:sz w:val="21"/>
                <w:szCs w:val="21"/>
              </w:rPr>
            </w:pPr>
            <w:r>
              <w:rPr>
                <w:rFonts w:cs="Times New Roman"/>
                <w:sz w:val="21"/>
                <w:szCs w:val="21"/>
              </w:rPr>
              <w:t>（103.87395930°</w:t>
            </w:r>
            <w:r>
              <w:rPr>
                <w:rFonts w:hint="eastAsia" w:cs="Times New Roman"/>
                <w:sz w:val="21"/>
                <w:szCs w:val="21"/>
              </w:rPr>
              <w:t>E</w:t>
            </w:r>
            <w:r>
              <w:rPr>
                <w:rFonts w:cs="Times New Roman"/>
                <w:sz w:val="21"/>
                <w:szCs w:val="21"/>
              </w:rPr>
              <w:t xml:space="preserve"> 29.57585149° N）</w:t>
            </w:r>
          </w:p>
        </w:tc>
        <w:tc>
          <w:tcPr>
            <w:tcW w:w="3586" w:type="dxa"/>
            <w:vMerge w:val="continue"/>
            <w:noWrap/>
            <w:vAlign w:val="center"/>
          </w:tcPr>
          <w:p>
            <w:pPr>
              <w:pStyle w:val="55"/>
              <w:rPr>
                <w:color w:val="FF0000"/>
                <w:szCs w:val="21"/>
              </w:rPr>
            </w:pPr>
          </w:p>
        </w:tc>
        <w:tc>
          <w:tcPr>
            <w:tcW w:w="982" w:type="dxa"/>
            <w:vMerge w:val="continue"/>
            <w:noWrap/>
            <w:vAlign w:val="center"/>
          </w:tcPr>
          <w:p>
            <w:pPr>
              <w:pStyle w:val="55"/>
              <w:rPr>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5" w:hRule="atLeast"/>
          <w:jc w:val="center"/>
        </w:trPr>
        <w:tc>
          <w:tcPr>
            <w:tcW w:w="752" w:type="dxa"/>
            <w:vMerge w:val="continue"/>
            <w:noWrap/>
            <w:vAlign w:val="center"/>
          </w:tcPr>
          <w:p>
            <w:pPr>
              <w:pStyle w:val="55"/>
              <w:rPr>
                <w:color w:val="FF0000"/>
                <w:szCs w:val="21"/>
              </w:rPr>
            </w:pPr>
          </w:p>
        </w:tc>
        <w:tc>
          <w:tcPr>
            <w:tcW w:w="3751" w:type="dxa"/>
            <w:noWrap/>
            <w:vAlign w:val="center"/>
          </w:tcPr>
          <w:p>
            <w:pPr>
              <w:spacing w:line="240" w:lineRule="auto"/>
              <w:ind w:firstLine="0" w:firstLineChars="0"/>
              <w:jc w:val="center"/>
              <w:rPr>
                <w:rFonts w:hint="eastAsia" w:cs="Times New Roman"/>
                <w:sz w:val="21"/>
                <w:szCs w:val="21"/>
              </w:rPr>
            </w:pPr>
            <w:r>
              <w:rPr>
                <w:rFonts w:cs="Times New Roman"/>
                <w:sz w:val="21"/>
                <w:szCs w:val="21"/>
              </w:rPr>
              <w:t>S3化验室外，0~0.5m（103.87387358°</w:t>
            </w:r>
            <w:r>
              <w:rPr>
                <w:rFonts w:hint="eastAsia" w:cs="Times New Roman"/>
                <w:sz w:val="21"/>
                <w:szCs w:val="21"/>
              </w:rPr>
              <w:t>E</w:t>
            </w:r>
            <w:r>
              <w:rPr>
                <w:rFonts w:cs="Times New Roman"/>
                <w:sz w:val="21"/>
                <w:szCs w:val="21"/>
              </w:rPr>
              <w:t xml:space="preserve"> 29.57622727° N）</w:t>
            </w:r>
          </w:p>
        </w:tc>
        <w:tc>
          <w:tcPr>
            <w:tcW w:w="3586" w:type="dxa"/>
            <w:vMerge w:val="continue"/>
            <w:noWrap/>
            <w:vAlign w:val="center"/>
          </w:tcPr>
          <w:p>
            <w:pPr>
              <w:pStyle w:val="55"/>
              <w:rPr>
                <w:color w:val="FF0000"/>
                <w:szCs w:val="21"/>
              </w:rPr>
            </w:pPr>
          </w:p>
        </w:tc>
        <w:tc>
          <w:tcPr>
            <w:tcW w:w="982" w:type="dxa"/>
            <w:vMerge w:val="continue"/>
            <w:noWrap/>
            <w:vAlign w:val="center"/>
          </w:tcPr>
          <w:p>
            <w:pPr>
              <w:pStyle w:val="55"/>
              <w:rPr>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752" w:type="dxa"/>
            <w:vMerge w:val="continue"/>
            <w:noWrap/>
            <w:vAlign w:val="center"/>
          </w:tcPr>
          <w:p>
            <w:pPr>
              <w:pStyle w:val="55"/>
              <w:rPr>
                <w:color w:val="FF0000"/>
                <w:szCs w:val="21"/>
              </w:rPr>
            </w:pPr>
          </w:p>
        </w:tc>
        <w:tc>
          <w:tcPr>
            <w:tcW w:w="3751" w:type="dxa"/>
            <w:noWrap/>
            <w:vAlign w:val="center"/>
          </w:tcPr>
          <w:p>
            <w:pPr>
              <w:spacing w:line="240" w:lineRule="auto"/>
              <w:ind w:firstLine="0" w:firstLineChars="0"/>
              <w:jc w:val="center"/>
              <w:rPr>
                <w:rFonts w:cs="Times New Roman"/>
                <w:sz w:val="21"/>
                <w:szCs w:val="21"/>
              </w:rPr>
            </w:pPr>
            <w:r>
              <w:rPr>
                <w:rFonts w:cs="Times New Roman"/>
                <w:sz w:val="21"/>
                <w:szCs w:val="21"/>
              </w:rPr>
              <w:t>S4主厂房南侧，0~0.5m</w:t>
            </w:r>
          </w:p>
          <w:p>
            <w:pPr>
              <w:spacing w:line="240" w:lineRule="auto"/>
              <w:ind w:firstLine="0" w:firstLineChars="0"/>
              <w:jc w:val="center"/>
              <w:rPr>
                <w:rFonts w:cs="Times New Roman"/>
                <w:color w:val="FF0000"/>
                <w:sz w:val="21"/>
                <w:szCs w:val="21"/>
              </w:rPr>
            </w:pPr>
            <w:r>
              <w:rPr>
                <w:rFonts w:cs="Times New Roman"/>
                <w:sz w:val="21"/>
                <w:szCs w:val="21"/>
              </w:rPr>
              <w:t>（103.87383338°</w:t>
            </w:r>
            <w:r>
              <w:rPr>
                <w:rFonts w:hint="eastAsia" w:cs="Times New Roman"/>
                <w:sz w:val="21"/>
                <w:szCs w:val="21"/>
              </w:rPr>
              <w:t>E</w:t>
            </w:r>
            <w:r>
              <w:rPr>
                <w:rFonts w:cs="Times New Roman"/>
                <w:sz w:val="21"/>
                <w:szCs w:val="21"/>
              </w:rPr>
              <w:t xml:space="preserve"> 29.57585164° N）</w:t>
            </w:r>
          </w:p>
        </w:tc>
        <w:tc>
          <w:tcPr>
            <w:tcW w:w="3586" w:type="dxa"/>
            <w:vMerge w:val="continue"/>
            <w:noWrap/>
            <w:vAlign w:val="center"/>
          </w:tcPr>
          <w:p>
            <w:pPr>
              <w:pStyle w:val="55"/>
              <w:rPr>
                <w:color w:val="FF0000"/>
                <w:szCs w:val="21"/>
              </w:rPr>
            </w:pPr>
          </w:p>
        </w:tc>
        <w:tc>
          <w:tcPr>
            <w:tcW w:w="982" w:type="dxa"/>
            <w:vMerge w:val="continue"/>
            <w:noWrap/>
            <w:vAlign w:val="center"/>
          </w:tcPr>
          <w:p>
            <w:pPr>
              <w:pStyle w:val="55"/>
              <w:rPr>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752" w:type="dxa"/>
            <w:vMerge w:val="continue"/>
            <w:noWrap/>
            <w:vAlign w:val="center"/>
          </w:tcPr>
          <w:p>
            <w:pPr>
              <w:pStyle w:val="55"/>
              <w:rPr>
                <w:color w:val="FF0000"/>
                <w:szCs w:val="21"/>
              </w:rPr>
            </w:pPr>
          </w:p>
        </w:tc>
        <w:tc>
          <w:tcPr>
            <w:tcW w:w="3751" w:type="dxa"/>
            <w:noWrap/>
            <w:vAlign w:val="center"/>
          </w:tcPr>
          <w:p>
            <w:pPr>
              <w:spacing w:line="240" w:lineRule="auto"/>
              <w:ind w:firstLine="0" w:firstLineChars="0"/>
              <w:jc w:val="center"/>
              <w:rPr>
                <w:rFonts w:cs="Times New Roman"/>
                <w:sz w:val="21"/>
                <w:szCs w:val="21"/>
              </w:rPr>
            </w:pPr>
            <w:r>
              <w:rPr>
                <w:rFonts w:cs="Times New Roman"/>
                <w:sz w:val="21"/>
                <w:szCs w:val="21"/>
              </w:rPr>
              <w:t>S5废水池南侧，0</w:t>
            </w:r>
            <w:r>
              <w:rPr>
                <w:rFonts w:hint="eastAsia" w:cs="Times New Roman"/>
                <w:sz w:val="21"/>
                <w:szCs w:val="21"/>
              </w:rPr>
              <w:t>.5</w:t>
            </w:r>
            <w:r>
              <w:rPr>
                <w:rFonts w:cs="Times New Roman"/>
                <w:sz w:val="21"/>
                <w:szCs w:val="21"/>
              </w:rPr>
              <w:t>~</w:t>
            </w:r>
            <w:r>
              <w:rPr>
                <w:rFonts w:hint="eastAsia" w:cs="Times New Roman"/>
                <w:sz w:val="21"/>
                <w:szCs w:val="21"/>
              </w:rPr>
              <w:t>1.0</w:t>
            </w:r>
            <w:r>
              <w:rPr>
                <w:rFonts w:cs="Times New Roman"/>
                <w:sz w:val="21"/>
                <w:szCs w:val="21"/>
              </w:rPr>
              <w:t>m</w:t>
            </w:r>
          </w:p>
          <w:p>
            <w:pPr>
              <w:spacing w:line="240" w:lineRule="auto"/>
              <w:ind w:firstLine="0" w:firstLineChars="0"/>
              <w:jc w:val="center"/>
              <w:rPr>
                <w:rFonts w:cs="Times New Roman"/>
                <w:color w:val="FF0000"/>
                <w:sz w:val="21"/>
                <w:szCs w:val="21"/>
              </w:rPr>
            </w:pPr>
            <w:r>
              <w:rPr>
                <w:rFonts w:cs="Times New Roman"/>
                <w:sz w:val="21"/>
                <w:szCs w:val="21"/>
              </w:rPr>
              <w:t>（103.87416292°</w:t>
            </w:r>
            <w:r>
              <w:rPr>
                <w:rFonts w:hint="eastAsia" w:cs="Times New Roman"/>
                <w:sz w:val="21"/>
                <w:szCs w:val="21"/>
              </w:rPr>
              <w:t>E</w:t>
            </w:r>
            <w:r>
              <w:rPr>
                <w:rFonts w:cs="Times New Roman"/>
                <w:sz w:val="21"/>
                <w:szCs w:val="21"/>
              </w:rPr>
              <w:t xml:space="preserve"> 29.57589092° N）</w:t>
            </w:r>
          </w:p>
        </w:tc>
        <w:tc>
          <w:tcPr>
            <w:tcW w:w="3586" w:type="dxa"/>
            <w:vMerge w:val="continue"/>
            <w:noWrap/>
            <w:vAlign w:val="center"/>
          </w:tcPr>
          <w:p>
            <w:pPr>
              <w:pStyle w:val="55"/>
              <w:rPr>
                <w:color w:val="FF0000"/>
                <w:szCs w:val="21"/>
              </w:rPr>
            </w:pPr>
          </w:p>
        </w:tc>
        <w:tc>
          <w:tcPr>
            <w:tcW w:w="982" w:type="dxa"/>
            <w:vMerge w:val="continue"/>
            <w:noWrap/>
            <w:vAlign w:val="center"/>
          </w:tcPr>
          <w:p>
            <w:pPr>
              <w:pStyle w:val="55"/>
              <w:rPr>
                <w:color w:val="FF000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752" w:type="dxa"/>
            <w:vMerge w:val="continue"/>
            <w:noWrap/>
            <w:vAlign w:val="center"/>
          </w:tcPr>
          <w:p>
            <w:pPr>
              <w:pStyle w:val="55"/>
              <w:rPr>
                <w:color w:val="FF0000"/>
                <w:szCs w:val="21"/>
              </w:rPr>
            </w:pPr>
          </w:p>
        </w:tc>
        <w:tc>
          <w:tcPr>
            <w:tcW w:w="3751" w:type="dxa"/>
            <w:noWrap/>
            <w:vAlign w:val="center"/>
          </w:tcPr>
          <w:p>
            <w:pPr>
              <w:spacing w:line="240" w:lineRule="auto"/>
              <w:ind w:firstLine="0" w:firstLineChars="0"/>
              <w:jc w:val="center"/>
              <w:rPr>
                <w:rFonts w:cs="Times New Roman"/>
                <w:sz w:val="21"/>
                <w:szCs w:val="21"/>
              </w:rPr>
            </w:pPr>
            <w:r>
              <w:rPr>
                <w:rFonts w:cs="Times New Roman"/>
                <w:sz w:val="21"/>
                <w:szCs w:val="21"/>
              </w:rPr>
              <w:t>S6运输通道旁，0~0.5m</w:t>
            </w:r>
          </w:p>
          <w:p>
            <w:pPr>
              <w:spacing w:line="240" w:lineRule="auto"/>
              <w:ind w:firstLine="0" w:firstLineChars="0"/>
              <w:jc w:val="center"/>
              <w:rPr>
                <w:rFonts w:cs="Times New Roman"/>
                <w:color w:val="FF0000"/>
                <w:sz w:val="21"/>
                <w:szCs w:val="21"/>
              </w:rPr>
            </w:pPr>
            <w:r>
              <w:rPr>
                <w:rFonts w:cs="Times New Roman"/>
                <w:sz w:val="21"/>
                <w:szCs w:val="21"/>
              </w:rPr>
              <w:t>（103.87422722°</w:t>
            </w:r>
            <w:r>
              <w:rPr>
                <w:rFonts w:hint="eastAsia" w:cs="Times New Roman"/>
                <w:sz w:val="21"/>
                <w:szCs w:val="21"/>
              </w:rPr>
              <w:t>E</w:t>
            </w:r>
            <w:r>
              <w:rPr>
                <w:rFonts w:cs="Times New Roman"/>
                <w:sz w:val="21"/>
                <w:szCs w:val="21"/>
              </w:rPr>
              <w:t xml:space="preserve"> 29.57604952° N）</w:t>
            </w:r>
          </w:p>
        </w:tc>
        <w:tc>
          <w:tcPr>
            <w:tcW w:w="3586" w:type="dxa"/>
            <w:vMerge w:val="continue"/>
            <w:noWrap/>
            <w:vAlign w:val="center"/>
          </w:tcPr>
          <w:p>
            <w:pPr>
              <w:pStyle w:val="55"/>
              <w:rPr>
                <w:color w:val="FF0000"/>
                <w:szCs w:val="21"/>
              </w:rPr>
            </w:pPr>
          </w:p>
        </w:tc>
        <w:tc>
          <w:tcPr>
            <w:tcW w:w="982" w:type="dxa"/>
            <w:vMerge w:val="continue"/>
            <w:noWrap/>
            <w:vAlign w:val="center"/>
          </w:tcPr>
          <w:p>
            <w:pPr>
              <w:pStyle w:val="55"/>
              <w:rPr>
                <w:color w:val="FF0000"/>
                <w:szCs w:val="21"/>
              </w:rPr>
            </w:pPr>
          </w:p>
        </w:tc>
      </w:tr>
    </w:tbl>
    <w:p>
      <w:pPr>
        <w:pStyle w:val="7"/>
        <w:rPr>
          <w:color w:val="auto"/>
        </w:rPr>
      </w:pPr>
      <w:bookmarkStart w:id="35" w:name="_Toc91763532"/>
      <w:r>
        <w:rPr>
          <w:rFonts w:hint="eastAsia"/>
          <w:color w:val="auto"/>
        </w:rPr>
        <w:t>5.1.3</w:t>
      </w:r>
      <w:r>
        <w:rPr>
          <w:color w:val="auto"/>
        </w:rPr>
        <w:t>采样深度</w:t>
      </w:r>
      <w:bookmarkEnd w:id="35"/>
    </w:p>
    <w:p>
      <w:pPr>
        <w:ind w:firstLine="480"/>
        <w:rPr>
          <w:rFonts w:ascii="宋体" w:hAnsi="宋体" w:eastAsia="宋体"/>
        </w:rPr>
      </w:pPr>
      <w:r>
        <w:rPr>
          <w:rFonts w:ascii="宋体" w:hAnsi="宋体" w:eastAsia="宋体"/>
        </w:rPr>
        <w:t>本次检测以检测区域内表层土壤（</w:t>
      </w:r>
      <w:r>
        <w:rPr>
          <w:rFonts w:hint="eastAsia" w:ascii="TimesNewRomanPSMT" w:hAnsi="TimesNewRomanPSMT" w:eastAsia="宋体"/>
        </w:rPr>
        <w:t>0~</w:t>
      </w:r>
      <w:r>
        <w:rPr>
          <w:rFonts w:ascii="TimesNewRomanPSMT" w:hAnsi="TimesNewRomanPSMT" w:eastAsia="宋体"/>
        </w:rPr>
        <w:t>0.5</w:t>
      </w:r>
      <w:r>
        <w:rPr>
          <w:rFonts w:hint="eastAsia" w:ascii="TimesNewRomanPSMT" w:hAnsi="TimesNewRomanPSMT" w:eastAsia="宋体"/>
        </w:rPr>
        <w:t>c</w:t>
      </w:r>
      <w:r>
        <w:rPr>
          <w:rFonts w:ascii="TimesNewRomanPSMT" w:hAnsi="TimesNewRomanPSMT"/>
        </w:rPr>
        <w:t>m</w:t>
      </w:r>
      <w:r>
        <w:rPr>
          <w:rFonts w:ascii="宋体" w:hAnsi="宋体" w:eastAsia="宋体"/>
        </w:rPr>
        <w:t>处）为重点采样层，开展采样工作。</w:t>
      </w:r>
      <w:r>
        <w:rPr>
          <w:rFonts w:hint="eastAsia" w:ascii="宋体" w:hAnsi="宋体" w:eastAsia="宋体"/>
        </w:rPr>
        <w:t>其中废水收集区进行柱状样采样，采样深度</w:t>
      </w:r>
      <w:r>
        <w:rPr>
          <w:rFonts w:ascii="宋体" w:hAnsi="宋体" w:eastAsia="宋体"/>
        </w:rPr>
        <w:t>0.5-1</w:t>
      </w:r>
      <w:r>
        <w:rPr>
          <w:rFonts w:hint="eastAsia" w:ascii="宋体" w:hAnsi="宋体" w:eastAsia="宋体"/>
        </w:rPr>
        <w:t>m</w:t>
      </w:r>
      <w:r>
        <w:rPr>
          <w:rFonts w:ascii="宋体" w:hAnsi="宋体" w:eastAsia="宋体"/>
        </w:rPr>
        <w:t>，若表层土壤检测数据超过相关土壤环境质量筛选值值，根据土壤污染环境风险需求另行开展深层土壤检测工作。</w:t>
      </w:r>
    </w:p>
    <w:p>
      <w:pPr>
        <w:ind w:firstLine="480"/>
      </w:pPr>
      <w:r>
        <w:rPr>
          <w:rFonts w:hint="eastAsia"/>
        </w:rPr>
        <w:t>土壤采样深度为0-</w:t>
      </w:r>
      <w:r>
        <w:t>50</w:t>
      </w:r>
      <w:r>
        <w:rPr>
          <w:rFonts w:hint="eastAsia"/>
        </w:rPr>
        <w:t>cm，污水处理区为50~</w:t>
      </w:r>
      <w:r>
        <w:t>100</w:t>
      </w:r>
      <w:r>
        <w:rPr>
          <w:rFonts w:hint="eastAsia"/>
        </w:rPr>
        <w:t>cm。</w:t>
      </w:r>
    </w:p>
    <w:p>
      <w:pPr>
        <w:pStyle w:val="7"/>
        <w:rPr>
          <w:color w:val="auto"/>
        </w:rPr>
      </w:pPr>
      <w:bookmarkStart w:id="36" w:name="_Toc91763533"/>
      <w:r>
        <w:rPr>
          <w:rFonts w:hint="eastAsia"/>
          <w:color w:val="auto"/>
        </w:rPr>
        <w:t>5.1.4</w:t>
      </w:r>
      <w:r>
        <w:rPr>
          <w:color w:val="auto"/>
        </w:rPr>
        <w:t xml:space="preserve"> 检测频率</w:t>
      </w:r>
      <w:bookmarkEnd w:id="36"/>
    </w:p>
    <w:p>
      <w:pPr>
        <w:ind w:firstLine="480"/>
        <w:rPr>
          <w:rFonts w:ascii="宋体" w:hAnsi="宋体" w:eastAsia="宋体"/>
        </w:rPr>
      </w:pPr>
      <w:r>
        <w:rPr>
          <w:rFonts w:ascii="宋体" w:hAnsi="宋体" w:eastAsia="宋体"/>
        </w:rPr>
        <w:t>检测频率为一年开展一次土壤及地下水环境质量检测，每次采样一天，一天采样一次。</w:t>
      </w:r>
    </w:p>
    <w:p>
      <w:pPr>
        <w:pStyle w:val="7"/>
        <w:rPr>
          <w:color w:val="auto"/>
        </w:rPr>
      </w:pPr>
      <w:bookmarkStart w:id="37" w:name="_Toc91763534"/>
      <w:r>
        <w:rPr>
          <w:rFonts w:hint="eastAsia"/>
          <w:color w:val="auto"/>
        </w:rPr>
        <w:t>5.1.5监测项目</w:t>
      </w:r>
      <w:bookmarkEnd w:id="37"/>
    </w:p>
    <w:p>
      <w:pPr>
        <w:pStyle w:val="61"/>
      </w:pPr>
      <w:r>
        <w:rPr>
          <w:rFonts w:hint="eastAsia"/>
        </w:rPr>
        <w:t>土壤监测指标：</w:t>
      </w:r>
      <w: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锌、铬</w:t>
      </w:r>
    </w:p>
    <w:p>
      <w:pPr>
        <w:ind w:firstLine="480"/>
        <w:rPr>
          <w:color w:val="FF0000"/>
        </w:rPr>
      </w:pPr>
    </w:p>
    <w:p>
      <w:pPr>
        <w:pStyle w:val="6"/>
      </w:pPr>
      <w:bookmarkStart w:id="38" w:name="_Toc91763535"/>
      <w:r>
        <w:rPr>
          <w:rFonts w:hint="eastAsia"/>
        </w:rPr>
        <w:t>5.2地下水布点情况</w:t>
      </w:r>
      <w:bookmarkEnd w:id="38"/>
    </w:p>
    <w:p>
      <w:pPr>
        <w:ind w:firstLine="480"/>
      </w:pPr>
    </w:p>
    <w:p>
      <w:pPr>
        <w:pStyle w:val="7"/>
        <w:rPr>
          <w:color w:val="auto"/>
        </w:rPr>
      </w:pPr>
      <w:bookmarkStart w:id="39" w:name="_Toc91763536"/>
      <w:r>
        <w:rPr>
          <w:rFonts w:hint="eastAsia"/>
          <w:color w:val="auto"/>
        </w:rPr>
        <w:t>5.</w:t>
      </w:r>
      <w:r>
        <w:rPr>
          <w:color w:val="auto"/>
        </w:rPr>
        <w:t>2.1对照点</w:t>
      </w:r>
      <w:r>
        <w:rPr>
          <w:rFonts w:hint="eastAsia"/>
          <w:color w:val="auto"/>
        </w:rPr>
        <w:t>检</w:t>
      </w:r>
      <w:r>
        <w:rPr>
          <w:color w:val="auto"/>
        </w:rPr>
        <w:t>测</w:t>
      </w:r>
      <w:bookmarkEnd w:id="39"/>
    </w:p>
    <w:p>
      <w:pPr>
        <w:ind w:firstLine="480"/>
        <w:rPr>
          <w:rStyle w:val="34"/>
          <w:rFonts w:hint="default"/>
          <w:color w:val="auto"/>
        </w:rPr>
      </w:pPr>
      <w:r>
        <w:rPr>
          <w:rStyle w:val="34"/>
          <w:rFonts w:hint="default"/>
          <w:color w:val="auto"/>
        </w:rPr>
        <w:t>根据前期水文地质及地下水流向调查，企业区域整体地下水流向自西向东，地下水污染扩散途径主要为渗入扩散方式，因此区域地下水上游位于厂区西侧，根据实际情况在企业上游西侧新建地下水井作为地下水对照点。</w:t>
      </w:r>
    </w:p>
    <w:p>
      <w:pPr>
        <w:pStyle w:val="7"/>
        <w:rPr>
          <w:color w:val="auto"/>
        </w:rPr>
      </w:pPr>
      <w:bookmarkStart w:id="40" w:name="_Toc91763537"/>
      <w:r>
        <w:rPr>
          <w:rFonts w:hint="eastAsia"/>
          <w:color w:val="auto"/>
        </w:rPr>
        <w:t>5.</w:t>
      </w:r>
      <w:r>
        <w:rPr>
          <w:color w:val="auto"/>
        </w:rPr>
        <w:t>2.2监控点检测</w:t>
      </w:r>
      <w:bookmarkEnd w:id="40"/>
    </w:p>
    <w:p>
      <w:pPr>
        <w:ind w:firstLine="480"/>
        <w:rPr>
          <w:rFonts w:ascii="宋体" w:hAnsi="宋体" w:eastAsia="宋体"/>
        </w:rPr>
      </w:pPr>
      <w:r>
        <w:rPr>
          <w:rFonts w:ascii="宋体" w:hAnsi="宋体" w:eastAsia="宋体"/>
        </w:rPr>
        <w:t>根据公司所在地区水流方向及重点区域。 本次检测对</w:t>
      </w:r>
      <w:r>
        <w:rPr>
          <w:rFonts w:hint="eastAsia" w:ascii="宋体" w:hAnsi="宋体" w:eastAsia="宋体"/>
        </w:rPr>
        <w:t>乐山城市资源开发利用有限公司乐山市医疗废物处置中心二期项目地块</w:t>
      </w:r>
      <w:r>
        <w:rPr>
          <w:rFonts w:ascii="宋体" w:hAnsi="宋体" w:eastAsia="宋体"/>
        </w:rPr>
        <w:t>下游进行检测布点，设置</w:t>
      </w:r>
      <w:r>
        <w:rPr>
          <w:rFonts w:ascii="TimesNewRomanPSMT" w:hAnsi="TimesNewRomanPSMT"/>
        </w:rPr>
        <w:t>1</w:t>
      </w:r>
      <w:r>
        <w:rPr>
          <w:rFonts w:ascii="宋体" w:hAnsi="宋体" w:eastAsia="宋体"/>
        </w:rPr>
        <w:t>个监测点。采样点数量与监测方案要求一致。若在后期检测过程中，企业生产工艺发生变化以及重点区域增加或减少等状况，应根据企业实际情况增加或减少检测点位，并重新修订自行监测方案。</w:t>
      </w:r>
    </w:p>
    <w:p>
      <w:pPr>
        <w:ind w:firstLine="480"/>
        <w:rPr>
          <w:rFonts w:ascii="宋体" w:hAnsi="宋体" w:eastAsia="宋体"/>
        </w:rPr>
      </w:pPr>
      <w:r>
        <w:rPr>
          <w:rFonts w:ascii="宋体" w:hAnsi="宋体" w:eastAsia="宋体"/>
        </w:rPr>
        <w:t>地下水监测井应布设在污染物迁移的下游方向。在同一个企业内部，监测井可以根据厂房及设施分布的情况统筹规划。处于同一污染物迁移途径上的相邻区域或设施可合并监测。</w:t>
      </w:r>
    </w:p>
    <w:p>
      <w:pPr>
        <w:ind w:firstLine="480"/>
        <w:rPr>
          <w:rFonts w:ascii="宋体" w:hAnsi="宋体" w:eastAsia="宋体"/>
        </w:rPr>
      </w:pPr>
      <w:r>
        <w:rPr>
          <w:rFonts w:ascii="宋体" w:hAnsi="宋体" w:eastAsia="宋体"/>
        </w:rPr>
        <w:t>如企业所在区域地下水流向发生明显改变或企业重点区域发生变更时，应根据实际情况重新调整点位位置，并重新修订自行监测方案。</w:t>
      </w:r>
    </w:p>
    <w:p>
      <w:pPr>
        <w:spacing w:before="163" w:beforeLines="50"/>
        <w:ind w:firstLine="482"/>
        <w:jc w:val="center"/>
        <w:rPr>
          <w:rFonts w:eastAsia="宋体"/>
          <w:b/>
        </w:rPr>
      </w:pPr>
    </w:p>
    <w:p>
      <w:pPr>
        <w:spacing w:before="163" w:beforeLines="50"/>
        <w:ind w:firstLine="420"/>
        <w:jc w:val="center"/>
        <w:rPr>
          <w:rFonts w:ascii="黑体" w:hAnsi="黑体" w:eastAsia="黑体"/>
          <w:sz w:val="21"/>
          <w:szCs w:val="21"/>
        </w:rPr>
      </w:pPr>
      <w:r>
        <w:rPr>
          <w:rFonts w:ascii="黑体" w:hAnsi="黑体" w:eastAsia="黑体"/>
          <w:sz w:val="21"/>
          <w:szCs w:val="21"/>
        </w:rPr>
        <w:t>表</w:t>
      </w:r>
      <w:r>
        <w:rPr>
          <w:rFonts w:hint="eastAsia" w:ascii="黑体" w:hAnsi="黑体" w:eastAsia="黑体"/>
          <w:sz w:val="21"/>
          <w:szCs w:val="21"/>
        </w:rPr>
        <w:t>5-2</w:t>
      </w:r>
      <w:r>
        <w:rPr>
          <w:rFonts w:ascii="黑体" w:hAnsi="黑体" w:eastAsia="黑体"/>
          <w:sz w:val="21"/>
          <w:szCs w:val="21"/>
        </w:rPr>
        <w:t xml:space="preserve">  检测点位、项目及频次表</w:t>
      </w:r>
    </w:p>
    <w:tbl>
      <w:tblPr>
        <w:tblStyle w:val="23"/>
        <w:tblW w:w="907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52"/>
        <w:gridCol w:w="2618"/>
        <w:gridCol w:w="4719"/>
        <w:gridCol w:w="9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25" w:hRule="atLeast"/>
          <w:jc w:val="center"/>
        </w:trPr>
        <w:tc>
          <w:tcPr>
            <w:tcW w:w="752" w:type="dxa"/>
            <w:tcBorders>
              <w:bottom w:val="single" w:color="auto" w:sz="12" w:space="0"/>
            </w:tcBorders>
            <w:noWrap/>
            <w:vAlign w:val="center"/>
          </w:tcPr>
          <w:p>
            <w:pPr>
              <w:pStyle w:val="21"/>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类别</w:t>
            </w:r>
          </w:p>
        </w:tc>
        <w:tc>
          <w:tcPr>
            <w:tcW w:w="2618" w:type="dxa"/>
            <w:tcBorders>
              <w:bottom w:val="single" w:color="auto" w:sz="12" w:space="0"/>
            </w:tcBorders>
            <w:noWrap/>
            <w:vAlign w:val="center"/>
          </w:tcPr>
          <w:p>
            <w:pPr>
              <w:pStyle w:val="21"/>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检测点位及编号</w:t>
            </w:r>
          </w:p>
        </w:tc>
        <w:tc>
          <w:tcPr>
            <w:tcW w:w="4719" w:type="dxa"/>
            <w:tcBorders>
              <w:bottom w:val="single" w:color="auto" w:sz="12" w:space="0"/>
            </w:tcBorders>
            <w:noWrap/>
            <w:vAlign w:val="center"/>
          </w:tcPr>
          <w:p>
            <w:pPr>
              <w:pStyle w:val="21"/>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检测项目</w:t>
            </w:r>
          </w:p>
        </w:tc>
        <w:tc>
          <w:tcPr>
            <w:tcW w:w="982" w:type="dxa"/>
            <w:tcBorders>
              <w:bottom w:val="single" w:color="auto" w:sz="12" w:space="0"/>
            </w:tcBorders>
            <w:noWrap/>
            <w:vAlign w:val="center"/>
          </w:tcPr>
          <w:p>
            <w:pPr>
              <w:pStyle w:val="21"/>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检测频次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98" w:hRule="atLeast"/>
          <w:jc w:val="center"/>
        </w:trPr>
        <w:tc>
          <w:tcPr>
            <w:tcW w:w="752" w:type="dxa"/>
            <w:vMerge w:val="restart"/>
            <w:noWrap/>
            <w:vAlign w:val="center"/>
          </w:tcPr>
          <w:p>
            <w:pPr>
              <w:pStyle w:val="21"/>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地下水</w:t>
            </w:r>
          </w:p>
        </w:tc>
        <w:tc>
          <w:tcPr>
            <w:tcW w:w="2618" w:type="dxa"/>
            <w:noWrap/>
          </w:tcPr>
          <w:p>
            <w:pPr>
              <w:spacing w:line="240" w:lineRule="auto"/>
              <w:ind w:firstLine="0" w:firstLineChars="0"/>
              <w:jc w:val="center"/>
              <w:rPr>
                <w:rFonts w:cs="Times New Roman"/>
                <w:szCs w:val="21"/>
              </w:rPr>
            </w:pPr>
            <w:r>
              <w:rPr>
                <w:rFonts w:hint="eastAsia" w:cs="Times New Roman"/>
                <w:sz w:val="21"/>
                <w:szCs w:val="21"/>
              </w:rPr>
              <w:t>W1地下水监测背景点</w:t>
            </w:r>
          </w:p>
          <w:p>
            <w:pPr>
              <w:spacing w:line="240" w:lineRule="auto"/>
              <w:ind w:firstLine="0" w:firstLineChars="0"/>
              <w:jc w:val="center"/>
              <w:rPr>
                <w:rFonts w:cs="Times New Roman"/>
                <w:szCs w:val="21"/>
              </w:rPr>
            </w:pPr>
            <w:r>
              <w:rPr>
                <w:rFonts w:cs="Times New Roman"/>
                <w:sz w:val="21"/>
                <w:szCs w:val="21"/>
              </w:rPr>
              <w:t>（10</w:t>
            </w:r>
            <w:r>
              <w:rPr>
                <w:rFonts w:hint="eastAsia" w:cs="Times New Roman"/>
                <w:sz w:val="21"/>
                <w:szCs w:val="21"/>
              </w:rPr>
              <w:t>3.87324399</w:t>
            </w:r>
            <w:r>
              <w:rPr>
                <w:rFonts w:cs="Times New Roman"/>
                <w:sz w:val="21"/>
                <w:szCs w:val="21"/>
              </w:rPr>
              <w:t>°</w:t>
            </w:r>
            <w:r>
              <w:rPr>
                <w:rFonts w:hint="eastAsia" w:cs="Times New Roman"/>
                <w:sz w:val="21"/>
                <w:szCs w:val="21"/>
              </w:rPr>
              <w:t xml:space="preserve"> 29.57591766</w:t>
            </w:r>
            <w:r>
              <w:rPr>
                <w:rFonts w:cs="Times New Roman"/>
                <w:sz w:val="21"/>
                <w:szCs w:val="21"/>
              </w:rPr>
              <w:t>°N）</w:t>
            </w:r>
          </w:p>
        </w:tc>
        <w:tc>
          <w:tcPr>
            <w:tcW w:w="4719" w:type="dxa"/>
            <w:vMerge w:val="restart"/>
            <w:noWrap/>
            <w:vAlign w:val="center"/>
          </w:tcPr>
          <w:p>
            <w:pPr>
              <w:adjustRightInd w:val="0"/>
              <w:snapToGrid w:val="0"/>
              <w:spacing w:line="240" w:lineRule="auto"/>
              <w:ind w:firstLine="0" w:firstLineChars="0"/>
              <w:jc w:val="center"/>
              <w:rPr>
                <w:rFonts w:cs="Times New Roman"/>
                <w:snapToGrid w:val="0"/>
                <w:kern w:val="0"/>
                <w:szCs w:val="21"/>
              </w:rPr>
            </w:pPr>
            <w:r>
              <w:rPr>
                <w:rFonts w:cs="Times New Roman"/>
                <w:sz w:val="21"/>
                <w:szCs w:val="21"/>
              </w:rPr>
              <w:t>色、嗅和味、浑浊度、肉眼可见物、pH、总硬度、溶解性总固体、硫酸盐、氯化物、铁、锰、铜、锌、铝、挥发性酚类、阴离子表面活性剂、耗氧量、氨氨、硫化物、钠、总大肠菌群、菌落总数、亚硝酸盐（以N计）、硝酸盐（以N计）、氰化物、氟化物、碘化物、汞、砷、硒、镉、六价铬、铅、三氧甲烷、四氯化碳、苯、甲苯</w:t>
            </w:r>
          </w:p>
        </w:tc>
        <w:tc>
          <w:tcPr>
            <w:tcW w:w="982" w:type="dxa"/>
            <w:vMerge w:val="restart"/>
            <w:noWrap/>
            <w:vAlign w:val="center"/>
          </w:tcPr>
          <w:p>
            <w:pPr>
              <w:pStyle w:val="21"/>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每天1次</w:t>
            </w:r>
          </w:p>
          <w:p>
            <w:pPr>
              <w:pStyle w:val="21"/>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检测1天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22" w:hRule="atLeast"/>
          <w:jc w:val="center"/>
        </w:trPr>
        <w:tc>
          <w:tcPr>
            <w:tcW w:w="752" w:type="dxa"/>
            <w:vMerge w:val="continue"/>
            <w:noWrap/>
            <w:vAlign w:val="center"/>
          </w:tcPr>
          <w:p>
            <w:pPr>
              <w:pStyle w:val="21"/>
              <w:spacing w:before="0" w:beforeAutospacing="0" w:after="0" w:afterAutospacing="0"/>
              <w:jc w:val="center"/>
              <w:rPr>
                <w:rFonts w:ascii="Times New Roman" w:hAnsi="Times New Roman" w:cs="Times New Roman"/>
                <w:color w:val="FF0000"/>
                <w:sz w:val="21"/>
                <w:szCs w:val="21"/>
              </w:rPr>
            </w:pPr>
          </w:p>
        </w:tc>
        <w:tc>
          <w:tcPr>
            <w:tcW w:w="2618" w:type="dxa"/>
            <w:noWrap/>
          </w:tcPr>
          <w:p>
            <w:pPr>
              <w:spacing w:line="240" w:lineRule="auto"/>
              <w:ind w:firstLine="0" w:firstLineChars="0"/>
              <w:jc w:val="center"/>
              <w:rPr>
                <w:rFonts w:cs="Times New Roman"/>
                <w:szCs w:val="21"/>
              </w:rPr>
            </w:pPr>
            <w:r>
              <w:rPr>
                <w:rFonts w:hint="eastAsia" w:cs="Times New Roman"/>
                <w:sz w:val="21"/>
                <w:szCs w:val="21"/>
              </w:rPr>
              <w:t>W2厂房东侧</w:t>
            </w:r>
          </w:p>
          <w:p>
            <w:pPr>
              <w:spacing w:line="240" w:lineRule="auto"/>
              <w:ind w:firstLine="0" w:firstLineChars="0"/>
              <w:jc w:val="center"/>
              <w:rPr>
                <w:rFonts w:cs="Times New Roman"/>
                <w:szCs w:val="21"/>
              </w:rPr>
            </w:pPr>
            <w:r>
              <w:rPr>
                <w:rFonts w:cs="Times New Roman"/>
                <w:sz w:val="21"/>
                <w:szCs w:val="21"/>
              </w:rPr>
              <w:t>（10</w:t>
            </w:r>
            <w:r>
              <w:rPr>
                <w:rFonts w:hint="eastAsia" w:cs="Times New Roman"/>
                <w:sz w:val="21"/>
                <w:szCs w:val="21"/>
              </w:rPr>
              <w:t>3.87400218</w:t>
            </w:r>
            <w:r>
              <w:rPr>
                <w:rFonts w:cs="Times New Roman"/>
                <w:sz w:val="21"/>
                <w:szCs w:val="21"/>
              </w:rPr>
              <w:t>°</w:t>
            </w:r>
            <w:r>
              <w:rPr>
                <w:rFonts w:hint="eastAsia" w:cs="Times New Roman"/>
                <w:sz w:val="21"/>
                <w:szCs w:val="21"/>
              </w:rPr>
              <w:t xml:space="preserve"> 29.57607078</w:t>
            </w:r>
            <w:r>
              <w:rPr>
                <w:rFonts w:cs="Times New Roman"/>
                <w:sz w:val="21"/>
                <w:szCs w:val="21"/>
              </w:rPr>
              <w:t>°N）</w:t>
            </w:r>
          </w:p>
        </w:tc>
        <w:tc>
          <w:tcPr>
            <w:tcW w:w="4719" w:type="dxa"/>
            <w:vMerge w:val="continue"/>
            <w:noWrap/>
            <w:vAlign w:val="center"/>
          </w:tcPr>
          <w:p>
            <w:pPr>
              <w:pStyle w:val="21"/>
              <w:spacing w:before="0" w:beforeAutospacing="0" w:after="0" w:afterAutospacing="0"/>
              <w:jc w:val="center"/>
              <w:rPr>
                <w:rFonts w:ascii="Times New Roman" w:hAnsi="Times New Roman" w:cs="Times New Roman"/>
                <w:color w:val="FF0000"/>
                <w:sz w:val="21"/>
                <w:szCs w:val="21"/>
              </w:rPr>
            </w:pPr>
          </w:p>
        </w:tc>
        <w:tc>
          <w:tcPr>
            <w:tcW w:w="982" w:type="dxa"/>
            <w:vMerge w:val="continue"/>
            <w:noWrap/>
            <w:vAlign w:val="center"/>
          </w:tcPr>
          <w:p>
            <w:pPr>
              <w:pStyle w:val="21"/>
              <w:spacing w:before="0" w:beforeAutospacing="0" w:after="0" w:afterAutospacing="0"/>
              <w:jc w:val="center"/>
              <w:rPr>
                <w:rFonts w:ascii="Times New Roman" w:hAnsi="Times New Roman" w:cs="Times New Roman"/>
                <w:color w:val="FF0000"/>
                <w:sz w:val="21"/>
                <w:szCs w:val="21"/>
              </w:rPr>
            </w:pPr>
          </w:p>
        </w:tc>
      </w:tr>
    </w:tbl>
    <w:p>
      <w:pPr>
        <w:pStyle w:val="7"/>
        <w:rPr>
          <w:rStyle w:val="32"/>
          <w:b/>
          <w:bCs w:val="0"/>
          <w:color w:val="auto"/>
        </w:rPr>
      </w:pPr>
      <w:bookmarkStart w:id="41" w:name="_Toc91763538"/>
      <w:r>
        <w:rPr>
          <w:rStyle w:val="32"/>
          <w:rFonts w:hint="eastAsia"/>
          <w:b/>
          <w:bCs w:val="0"/>
          <w:color w:val="auto"/>
        </w:rPr>
        <w:t>5.2.3</w:t>
      </w:r>
      <w:r>
        <w:rPr>
          <w:rStyle w:val="32"/>
          <w:b/>
          <w:bCs w:val="0"/>
          <w:color w:val="auto"/>
        </w:rPr>
        <w:t xml:space="preserve"> 采样深度</w:t>
      </w:r>
      <w:bookmarkEnd w:id="41"/>
    </w:p>
    <w:p>
      <w:pPr>
        <w:ind w:firstLine="480"/>
        <w:rPr>
          <w:rStyle w:val="34"/>
          <w:rFonts w:hint="default"/>
          <w:color w:val="auto"/>
        </w:rPr>
      </w:pPr>
      <w:r>
        <w:rPr>
          <w:rFonts w:ascii="宋体" w:hAnsi="宋体" w:eastAsia="宋体"/>
        </w:rPr>
        <w:t>检测井在垂直方向的深度应根据污染物性质、含水层厚度以及地层情况确</w:t>
      </w:r>
      <w:r>
        <w:rPr>
          <w:rFonts w:hint="eastAsia" w:ascii="宋体" w:hAnsi="宋体" w:eastAsia="宋体"/>
        </w:rPr>
        <w:t>定</w:t>
      </w:r>
      <w:r>
        <w:rPr>
          <w:rFonts w:ascii="宋体" w:hAnsi="宋体" w:eastAsia="宋体"/>
        </w:rPr>
        <w:t>。</w:t>
      </w:r>
      <w:r>
        <w:rPr>
          <w:rStyle w:val="34"/>
          <w:rFonts w:hint="default"/>
          <w:color w:val="auto"/>
        </w:rPr>
        <w:t>本次检测地下水采样深度为第一含水层（潜水）上部水样。</w:t>
      </w:r>
    </w:p>
    <w:p>
      <w:pPr>
        <w:ind w:firstLine="480"/>
      </w:pPr>
      <w:r>
        <w:rPr>
          <w:rStyle w:val="34"/>
          <w:rFonts w:hint="default"/>
          <w:color w:val="auto"/>
        </w:rPr>
        <w:t>本次采样深度与监测方案要求基本一致。采样深度应根据企业污染物变化情况适时调整。</w:t>
      </w:r>
    </w:p>
    <w:p>
      <w:pPr>
        <w:pStyle w:val="7"/>
        <w:rPr>
          <w:rStyle w:val="32"/>
          <w:b/>
          <w:bCs/>
          <w:color w:val="auto"/>
        </w:rPr>
      </w:pPr>
      <w:bookmarkStart w:id="42" w:name="_Toc91763539"/>
      <w:r>
        <w:rPr>
          <w:rStyle w:val="32"/>
          <w:rFonts w:hint="eastAsia"/>
          <w:b/>
          <w:bCs/>
          <w:color w:val="auto"/>
        </w:rPr>
        <w:t>5.</w:t>
      </w:r>
      <w:r>
        <w:rPr>
          <w:rStyle w:val="32"/>
          <w:b/>
          <w:bCs/>
          <w:color w:val="auto"/>
        </w:rPr>
        <w:t>2.4检测频率</w:t>
      </w:r>
      <w:bookmarkEnd w:id="42"/>
    </w:p>
    <w:p>
      <w:pPr>
        <w:ind w:firstLine="436" w:firstLineChars="182"/>
        <w:rPr>
          <w:rStyle w:val="34"/>
          <w:rFonts w:hint="default"/>
          <w:color w:val="auto"/>
        </w:rPr>
      </w:pPr>
      <w:r>
        <w:rPr>
          <w:rStyle w:val="34"/>
          <w:rFonts w:hint="default"/>
          <w:color w:val="auto"/>
        </w:rPr>
        <w:t>每年进行一次地下水检测，选择枯水期最有代表性的月份采样，每次采样一天，一天采样一次。</w:t>
      </w:r>
    </w:p>
    <w:p>
      <w:pPr>
        <w:pStyle w:val="7"/>
        <w:rPr>
          <w:rStyle w:val="34"/>
          <w:rFonts w:hint="default" w:ascii="Times New Roman" w:cs="Times New Roman"/>
          <w:color w:val="auto"/>
        </w:rPr>
      </w:pPr>
      <w:bookmarkStart w:id="43" w:name="_Toc91763540"/>
      <w:r>
        <w:rPr>
          <w:rStyle w:val="34"/>
          <w:rFonts w:hint="default" w:cs="Times New Roman"/>
          <w:color w:val="auto"/>
        </w:rPr>
        <w:t>5.</w:t>
      </w:r>
      <w:r>
        <w:rPr>
          <w:rStyle w:val="34"/>
          <w:rFonts w:hint="default" w:ascii="Times New Roman" w:hAnsi="Times New Roman" w:cs="Times New Roman"/>
          <w:color w:val="auto"/>
        </w:rPr>
        <w:t>2.5</w:t>
      </w:r>
      <w:r>
        <w:rPr>
          <w:rStyle w:val="34"/>
          <w:rFonts w:hint="default" w:ascii="Times New Roman" w:cs="Times New Roman"/>
          <w:color w:val="auto"/>
        </w:rPr>
        <w:t>检测项目</w:t>
      </w:r>
      <w:bookmarkEnd w:id="43"/>
    </w:p>
    <w:p>
      <w:pPr>
        <w:pStyle w:val="61"/>
        <w:rPr>
          <w:lang w:bidi="ar"/>
        </w:rPr>
      </w:pPr>
      <w:r>
        <w:rPr>
          <w:rFonts w:hint="eastAsia"/>
        </w:rPr>
        <w:t>地下水检测项目：</w:t>
      </w:r>
      <w:r>
        <w:t>色、嗅和味、浑浊度、肉眼可见物、pH、总硬度、溶解性总固体、硫酸盐、氯化物、铁、锰、铜、锌、铝、挥发性酚类、阴离子表面活性剂、耗氧量、氨氨、硫化物、钠、总大肠菌群、菌落总数、亚硝酸盐（以N计）、硝酸盐（以N计）、氰化物、氟化物、碘化物、汞、砷、硒、镉、六价铬、铅、三氧甲烷、四氯化碳、苯、甲苯</w:t>
      </w:r>
    </w:p>
    <w:p>
      <w:pPr>
        <w:pStyle w:val="2"/>
        <w:spacing w:after="0" w:line="240" w:lineRule="auto"/>
        <w:ind w:left="0" w:leftChars="0" w:firstLine="0" w:firstLineChars="0"/>
        <w:rPr>
          <w:color w:val="FF0000"/>
        </w:rPr>
      </w:pPr>
    </w:p>
    <w:p>
      <w:pPr>
        <w:ind w:firstLine="0" w:firstLineChars="0"/>
        <w:jc w:val="center"/>
        <w:rPr>
          <w:b/>
        </w:rPr>
      </w:pPr>
      <w:r>
        <w:rPr>
          <w:rFonts w:hint="eastAsia"/>
          <w:b/>
        </w:rPr>
        <w:t>图5-1  企业土壤监测点位布置图</w:t>
      </w:r>
    </w:p>
    <w:tbl>
      <w:tblPr>
        <w:tblStyle w:val="23"/>
        <w:tblW w:w="0" w:type="auto"/>
        <w:tblInd w:w="0" w:type="dxa"/>
        <w:tblLayout w:type="autofit"/>
        <w:tblCellMar>
          <w:top w:w="0" w:type="dxa"/>
          <w:left w:w="108" w:type="dxa"/>
          <w:bottom w:w="0" w:type="dxa"/>
          <w:right w:w="108" w:type="dxa"/>
        </w:tblCellMar>
      </w:tblPr>
      <w:tblGrid>
        <w:gridCol w:w="8420"/>
      </w:tblGrid>
      <w:tr>
        <w:tblPrEx>
          <w:tblCellMar>
            <w:top w:w="0" w:type="dxa"/>
            <w:left w:w="108" w:type="dxa"/>
            <w:bottom w:w="0" w:type="dxa"/>
            <w:right w:w="108" w:type="dxa"/>
          </w:tblCellMar>
        </w:tblPrEx>
        <w:trPr>
          <w:trHeight w:val="11269" w:hRule="atLeast"/>
        </w:trPr>
        <w:tc>
          <w:tcPr>
            <w:tcW w:w="8420" w:type="dxa"/>
            <w:vAlign w:val="center"/>
          </w:tcPr>
          <w:p>
            <w:pPr>
              <w:pStyle w:val="58"/>
              <w:rPr>
                <w:rFonts w:hint="eastAsia"/>
              </w:rPr>
            </w:pPr>
            <w:bookmarkStart w:id="61" w:name="_GoBack"/>
            <w:r>
              <w:pict>
                <v:shape id="_x0000_s1031" o:spid="_x0000_s1031" o:spt="202" type="#_x0000_t202" style="position:absolute;left:0pt;margin-left:138.1pt;margin-top:108.6pt;height:72pt;width:89.75pt;z-index:251666432;mso-width-relative:page;mso-height-relative:page;" filled="f" stroked="f" coordsize="21600,21600">
                  <v:path/>
                  <v:fill on="f" focussize="0,0"/>
                  <v:stroke on="f" joinstyle="miter"/>
                  <v:imagedata o:title=""/>
                  <o:lock v:ext="edit"/>
                  <v:textbox>
                    <w:txbxContent>
                      <w:p>
                        <w:pPr>
                          <w:spacing w:line="240" w:lineRule="auto"/>
                          <w:ind w:firstLine="0" w:firstLineChars="0"/>
                          <w:rPr>
                            <w:b/>
                            <w:color w:val="FF0000"/>
                          </w:rPr>
                        </w:pPr>
                        <w:r>
                          <w:rPr>
                            <w:rFonts w:hint="eastAsia"/>
                            <w:b/>
                            <w:color w:val="FF0000"/>
                          </w:rPr>
                          <w:t>地下水流向</w:t>
                        </w:r>
                      </w:p>
                    </w:txbxContent>
                  </v:textbox>
                </v:shape>
              </w:pict>
            </w:r>
            <w:r>
              <w:pict>
                <v:shape id="自选图形 71" o:spid="_x0000_s1030" o:spt="67" type="#_x0000_t67" style="position:absolute;left:0pt;margin-left:172.7pt;margin-top:64.2pt;height:73.05pt;width:16.15pt;rotation:17694720f;z-index:251665408;mso-width-relative:page;mso-height-relative:page;" fillcolor="#FF0000" filled="t" stroked="t" coordsize="21600,21600">
                  <v:path/>
                  <v:fill on="t" focussize="0,0"/>
                  <v:stroke color="#FF0000" joinstyle="miter"/>
                  <v:imagedata o:title=""/>
                  <o:lock v:ext="edit"/>
                </v:shape>
              </w:pict>
            </w:r>
            <w:r>
              <w:drawing>
                <wp:inline distT="0" distB="0" distL="114300" distR="114300">
                  <wp:extent cx="3867150" cy="4676775"/>
                  <wp:effectExtent l="0" t="0" r="0"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6"/>
                          <a:stretch>
                            <a:fillRect/>
                          </a:stretch>
                        </pic:blipFill>
                        <pic:spPr>
                          <a:xfrm>
                            <a:off x="0" y="0"/>
                            <a:ext cx="3867150" cy="4676775"/>
                          </a:xfrm>
                          <a:prstGeom prst="rect">
                            <a:avLst/>
                          </a:prstGeom>
                          <a:noFill/>
                          <a:ln>
                            <a:noFill/>
                          </a:ln>
                        </pic:spPr>
                      </pic:pic>
                    </a:graphicData>
                  </a:graphic>
                </wp:inline>
              </w:drawing>
            </w:r>
          </w:p>
        </w:tc>
      </w:tr>
      <w:bookmarkEnd w:id="61"/>
    </w:tbl>
    <w:p>
      <w:pPr>
        <w:ind w:firstLine="0" w:firstLineChars="0"/>
        <w:jc w:val="center"/>
        <w:rPr>
          <w:b/>
        </w:rPr>
      </w:pPr>
      <w:r>
        <w:rPr>
          <w:rFonts w:hint="eastAsia"/>
          <w:b/>
        </w:rPr>
        <w:t>图5-</w:t>
      </w:r>
      <w:r>
        <w:rPr>
          <w:b/>
        </w:rPr>
        <w:t>2</w:t>
      </w:r>
      <w:r>
        <w:rPr>
          <w:rFonts w:hint="eastAsia"/>
          <w:b/>
        </w:rPr>
        <w:t xml:space="preserve">  企业土壤监测点位布置图</w:t>
      </w:r>
    </w:p>
    <w:p>
      <w:pPr>
        <w:pStyle w:val="2"/>
        <w:ind w:left="480" w:firstLine="480"/>
        <w:rPr>
          <w:rFonts w:hint="eastAsia"/>
        </w:rPr>
      </w:pPr>
    </w:p>
    <w:p>
      <w:pPr>
        <w:pageBreakBefore/>
        <w:ind w:firstLine="480"/>
        <w:rPr>
          <w:color w:val="FF0000"/>
        </w:rPr>
      </w:pPr>
    </w:p>
    <w:p>
      <w:pPr>
        <w:pStyle w:val="5"/>
      </w:pPr>
      <w:bookmarkStart w:id="44" w:name="_Toc91763541"/>
      <w:r>
        <w:t>6</w:t>
      </w:r>
      <w:r>
        <w:rPr>
          <w:rFonts w:hint="eastAsia"/>
        </w:rPr>
        <w:t>.监测因子选取原因</w:t>
      </w:r>
      <w:bookmarkEnd w:id="44"/>
    </w:p>
    <w:p>
      <w:pPr>
        <w:ind w:firstLine="480"/>
      </w:pPr>
    </w:p>
    <w:p>
      <w:pPr>
        <w:pStyle w:val="6"/>
        <w:rPr>
          <w:rStyle w:val="31"/>
          <w:b/>
          <w:bCs/>
        </w:rPr>
      </w:pPr>
      <w:bookmarkStart w:id="45" w:name="_Toc91763542"/>
      <w:r>
        <w:rPr>
          <w:rStyle w:val="31"/>
          <w:b/>
          <w:bCs/>
        </w:rPr>
        <w:t>6</w:t>
      </w:r>
      <w:r>
        <w:rPr>
          <w:rStyle w:val="31"/>
          <w:rFonts w:hint="eastAsia"/>
          <w:b/>
          <w:bCs/>
        </w:rPr>
        <w:t>.</w:t>
      </w:r>
      <w:r>
        <w:rPr>
          <w:rStyle w:val="31"/>
          <w:b/>
          <w:bCs/>
        </w:rPr>
        <w:t>1土壤监测因子选取原因</w:t>
      </w:r>
      <w:bookmarkEnd w:id="45"/>
    </w:p>
    <w:p>
      <w:pPr>
        <w:ind w:firstLine="480"/>
      </w:pPr>
      <w:r>
        <w:rPr>
          <w:rFonts w:hint="eastAsia"/>
        </w:rPr>
        <w:t>本项目为首次进行自行监测的单位，根据《工业企业土壤和地下水自行监测技术指南（试行）》（HJ</w:t>
      </w:r>
      <w:r>
        <w:t>1209-2021</w:t>
      </w:r>
      <w:r>
        <w:rPr>
          <w:rFonts w:hint="eastAsia"/>
        </w:rPr>
        <w:t>），监测项目应包括GB 36600 表 1 基本项目并结合环评文件等要求，因此本项目土壤监测因子选取GB 36600 表 1 基本项目并附加锌、铬。</w:t>
      </w:r>
      <w:bookmarkStart w:id="46" w:name="_Toc21711"/>
    </w:p>
    <w:bookmarkEnd w:id="46"/>
    <w:p>
      <w:pPr>
        <w:ind w:firstLine="480"/>
        <w:rPr>
          <w:rFonts w:hint="eastAsia" w:ascii="TimesNewRomanPSMT" w:hAnsi="TimesNewRomanPSMT"/>
        </w:rPr>
      </w:pPr>
      <w:r>
        <w:rPr>
          <w:rFonts w:hint="eastAsia" w:ascii="TimesNewRomanPSMT" w:hAnsi="TimesNewRomanPSMT"/>
        </w:rPr>
        <w:t>土壤监测因子：</w:t>
      </w:r>
    </w:p>
    <w:p>
      <w:pPr>
        <w:pStyle w:val="61"/>
        <w:rPr>
          <w:color w:val="FF0000"/>
        </w:rPr>
      </w:pPr>
      <w:r>
        <w:t>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锌、铬</w:t>
      </w:r>
    </w:p>
    <w:p>
      <w:pPr>
        <w:pStyle w:val="2"/>
        <w:ind w:left="480" w:firstLine="480"/>
        <w:rPr>
          <w:color w:val="FF0000"/>
        </w:rPr>
      </w:pPr>
    </w:p>
    <w:p>
      <w:pPr>
        <w:pStyle w:val="6"/>
        <w:rPr>
          <w:rStyle w:val="31"/>
          <w:b/>
          <w:bCs/>
        </w:rPr>
      </w:pPr>
      <w:bookmarkStart w:id="47" w:name="_Toc91763543"/>
      <w:r>
        <w:rPr>
          <w:rStyle w:val="31"/>
          <w:b/>
          <w:bCs/>
        </w:rPr>
        <w:t>6</w:t>
      </w:r>
      <w:r>
        <w:rPr>
          <w:rStyle w:val="31"/>
          <w:rFonts w:hint="eastAsia"/>
          <w:b/>
          <w:bCs/>
        </w:rPr>
        <w:t>.2地下水</w:t>
      </w:r>
      <w:r>
        <w:rPr>
          <w:rStyle w:val="31"/>
          <w:b/>
          <w:bCs/>
        </w:rPr>
        <w:t>监测因子选取原因</w:t>
      </w:r>
      <w:bookmarkEnd w:id="47"/>
    </w:p>
    <w:p>
      <w:pPr>
        <w:ind w:firstLine="480"/>
      </w:pPr>
      <w:r>
        <w:rPr>
          <w:rFonts w:hAnsi="宋体" w:eastAsia="宋体" w:cs="Times New Roman"/>
        </w:rPr>
        <w:t>选取原因：</w:t>
      </w:r>
      <w:r>
        <w:t>初次进行自行监测的单位，地下水监测井的监测指标至少应包括GB/T 14848 表 1 常规指标（微生物指标、放射性指标除外），以及涉及HJ 164 附录F 中对应行业的特征项目（仅限地下水监测）。</w:t>
      </w:r>
    </w:p>
    <w:p>
      <w:pPr>
        <w:ind w:firstLine="480"/>
        <w:rPr>
          <w:rFonts w:hAnsi="宋体" w:eastAsia="宋体" w:cs="Times New Roman"/>
        </w:rPr>
      </w:pPr>
      <w:r>
        <w:rPr>
          <w:rFonts w:hAnsi="宋体" w:eastAsia="宋体" w:cs="Times New Roman"/>
        </w:rPr>
        <w:t>根据重点功能区污染源分布情况和污染物可能垂直渗入等情况，确定检测项目如下</w:t>
      </w:r>
      <w:r>
        <w:rPr>
          <w:rFonts w:hint="eastAsia" w:hAnsi="宋体" w:eastAsia="宋体" w:cs="Times New Roman"/>
        </w:rPr>
        <w:t>：</w:t>
      </w:r>
    </w:p>
    <w:p>
      <w:pPr>
        <w:pStyle w:val="61"/>
        <w:rPr>
          <w:color w:val="FF0000"/>
          <w:lang w:bidi="ar"/>
        </w:rPr>
      </w:pPr>
      <w:r>
        <w:t>色、嗅和味、浑浊度、肉眼可见物、pH、总硬度、溶解性总固体、硫酸盐、氯化物、铁、锰、铜、锌、铝、挥发性酚类、阴离子表面活性剂、耗氧量、氨氨、硫化物、钠、总大肠菌群、菌落总数、亚硝酸盐（以N计）、硝酸盐（以N计）、氰化物、氟化物、碘化物、汞、砷、硒、镉、六价铬、铅、三氧甲烷、四氯化碳、苯、甲苯</w:t>
      </w:r>
    </w:p>
    <w:p>
      <w:pPr>
        <w:pageBreakBefore/>
        <w:ind w:firstLine="480"/>
        <w:rPr>
          <w:color w:val="FF0000"/>
        </w:rPr>
      </w:pPr>
    </w:p>
    <w:p>
      <w:pPr>
        <w:pStyle w:val="5"/>
      </w:pPr>
      <w:bookmarkStart w:id="48" w:name="_Toc91763544"/>
      <w:r>
        <w:t>7</w:t>
      </w:r>
      <w:r>
        <w:rPr>
          <w:rFonts w:hint="eastAsia"/>
        </w:rPr>
        <w:t>.评价标准</w:t>
      </w:r>
      <w:bookmarkEnd w:id="48"/>
    </w:p>
    <w:p>
      <w:pPr>
        <w:ind w:firstLine="480"/>
      </w:pPr>
    </w:p>
    <w:p>
      <w:pPr>
        <w:pStyle w:val="6"/>
      </w:pPr>
      <w:bookmarkStart w:id="49" w:name="_Toc91763545"/>
      <w:bookmarkStart w:id="50" w:name="_Toc4071171"/>
      <w:r>
        <w:t>7</w:t>
      </w:r>
      <w:r>
        <w:rPr>
          <w:rFonts w:hint="eastAsia"/>
        </w:rPr>
        <w:t>.</w:t>
      </w:r>
      <w:r>
        <w:t>1</w:t>
      </w:r>
      <w:r>
        <w:rPr>
          <w:rFonts w:hint="eastAsia"/>
        </w:rPr>
        <w:t>土壤筛选值</w:t>
      </w:r>
      <w:bookmarkEnd w:id="49"/>
      <w:bookmarkEnd w:id="50"/>
    </w:p>
    <w:p>
      <w:pPr>
        <w:pStyle w:val="55"/>
        <w:spacing w:line="360" w:lineRule="auto"/>
        <w:ind w:firstLine="480" w:firstLineChars="200"/>
        <w:jc w:val="both"/>
        <w:rPr>
          <w:sz w:val="24"/>
        </w:rPr>
      </w:pPr>
      <w:r>
        <w:rPr>
          <w:rFonts w:hint="eastAsia"/>
          <w:sz w:val="24"/>
        </w:rPr>
        <w:t>本企业土壤环境自行监测可能涉及到的污染物为重金属、挥发性有机物、半挥发性有机物等，土壤污染物评价标准主要选取《土壤环境质量建设用地土壤污染风险管控标准》（GB36600-2018）中“第二类用地”标准进行评价。当GB36600-2018标准中没有的相关指标的筛选值时，参考北京地表《场地土壤环境风险评价筛选值》（DB11/T811-2011）中“工业/商服用地”</w:t>
      </w:r>
      <w:r>
        <w:rPr>
          <w:sz w:val="24"/>
        </w:rPr>
        <w:t>筛选值</w:t>
      </w:r>
      <w:r>
        <w:rPr>
          <w:rFonts w:hint="eastAsia"/>
          <w:sz w:val="24"/>
        </w:rPr>
        <w:t>。</w:t>
      </w:r>
    </w:p>
    <w:p>
      <w:pPr>
        <w:pStyle w:val="55"/>
        <w:spacing w:line="360" w:lineRule="auto"/>
        <w:ind w:firstLine="480" w:firstLineChars="200"/>
        <w:jc w:val="both"/>
        <w:rPr>
          <w:sz w:val="24"/>
        </w:rPr>
      </w:pPr>
      <w:r>
        <w:rPr>
          <w:sz w:val="24"/>
        </w:rPr>
        <w:t>具体</w:t>
      </w:r>
      <w:r>
        <w:rPr>
          <w:rFonts w:hint="eastAsia"/>
          <w:sz w:val="24"/>
        </w:rPr>
        <w:t>筛选</w:t>
      </w:r>
      <w:r>
        <w:rPr>
          <w:sz w:val="24"/>
        </w:rPr>
        <w:t>值见表7-</w:t>
      </w:r>
      <w:r>
        <w:rPr>
          <w:rFonts w:hint="eastAsia"/>
          <w:sz w:val="24"/>
        </w:rPr>
        <w:t>1</w:t>
      </w:r>
      <w:r>
        <w:rPr>
          <w:sz w:val="24"/>
        </w:rPr>
        <w:t>。</w:t>
      </w:r>
    </w:p>
    <w:p>
      <w:pPr>
        <w:ind w:firstLine="482"/>
        <w:jc w:val="center"/>
      </w:pPr>
      <w:r>
        <w:rPr>
          <w:rFonts w:cs="Times New Roman"/>
          <w:b/>
          <w:kern w:val="0"/>
          <w:szCs w:val="21"/>
        </w:rPr>
        <w:t>表7</w:t>
      </w:r>
      <w:r>
        <w:rPr>
          <w:rFonts w:hint="eastAsia" w:cs="Times New Roman"/>
          <w:b/>
          <w:kern w:val="0"/>
          <w:szCs w:val="21"/>
        </w:rPr>
        <w:t>-1  检测物质土壤</w:t>
      </w:r>
      <w:r>
        <w:rPr>
          <w:rFonts w:cs="Times New Roman"/>
          <w:b/>
          <w:kern w:val="0"/>
          <w:szCs w:val="21"/>
        </w:rPr>
        <w:t>筛选值一览表</w:t>
      </w:r>
    </w:p>
    <w:tbl>
      <w:tblPr>
        <w:tblStyle w:val="23"/>
        <w:tblW w:w="8504"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15"/>
        <w:gridCol w:w="2268"/>
        <w:gridCol w:w="522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tcBorders>
              <w:top w:val="single" w:color="auto" w:sz="12" w:space="0"/>
              <w:bottom w:val="single" w:color="auto" w:sz="12" w:space="0"/>
            </w:tcBorders>
            <w:shd w:val="clear" w:color="auto" w:fill="auto"/>
            <w:vAlign w:val="center"/>
          </w:tcPr>
          <w:p>
            <w:pPr>
              <w:autoSpaceDE w:val="0"/>
              <w:autoSpaceDN w:val="0"/>
              <w:spacing w:line="240" w:lineRule="auto"/>
              <w:ind w:firstLine="0" w:firstLineChars="0"/>
              <w:jc w:val="center"/>
              <w:rPr>
                <w:rFonts w:cs="Times New Roman"/>
                <w:b/>
                <w:sz w:val="21"/>
                <w:szCs w:val="21"/>
                <w:lang w:eastAsia="en-US"/>
              </w:rPr>
            </w:pPr>
            <w:r>
              <w:rPr>
                <w:rFonts w:cs="Times New Roman"/>
                <w:b/>
                <w:sz w:val="21"/>
                <w:szCs w:val="21"/>
                <w:lang w:eastAsia="en-US"/>
              </w:rPr>
              <w:t>序号</w:t>
            </w:r>
          </w:p>
        </w:tc>
        <w:tc>
          <w:tcPr>
            <w:tcW w:w="2268" w:type="dxa"/>
            <w:tcBorders>
              <w:top w:val="single" w:color="auto" w:sz="12" w:space="0"/>
              <w:bottom w:val="single" w:color="auto" w:sz="12" w:space="0"/>
            </w:tcBorders>
            <w:shd w:val="clear" w:color="auto" w:fill="auto"/>
            <w:vAlign w:val="center"/>
          </w:tcPr>
          <w:p>
            <w:pPr>
              <w:autoSpaceDE w:val="0"/>
              <w:autoSpaceDN w:val="0"/>
              <w:spacing w:line="240" w:lineRule="auto"/>
              <w:ind w:firstLine="0" w:firstLineChars="0"/>
              <w:jc w:val="center"/>
              <w:rPr>
                <w:rFonts w:cs="Times New Roman"/>
                <w:b/>
                <w:sz w:val="21"/>
                <w:szCs w:val="21"/>
                <w:lang w:eastAsia="en-US"/>
              </w:rPr>
            </w:pPr>
            <w:r>
              <w:rPr>
                <w:rFonts w:cs="Times New Roman"/>
                <w:b/>
                <w:sz w:val="21"/>
                <w:szCs w:val="21"/>
                <w:lang w:eastAsia="en-US"/>
              </w:rPr>
              <w:t>污染物项目</w:t>
            </w:r>
          </w:p>
        </w:tc>
        <w:tc>
          <w:tcPr>
            <w:tcW w:w="5221" w:type="dxa"/>
            <w:tcBorders>
              <w:top w:val="single" w:color="auto" w:sz="12" w:space="0"/>
              <w:bottom w:val="single" w:color="auto" w:sz="12" w:space="0"/>
            </w:tcBorders>
            <w:shd w:val="clear" w:color="auto" w:fill="auto"/>
            <w:vAlign w:val="center"/>
          </w:tcPr>
          <w:p>
            <w:pPr>
              <w:autoSpaceDE w:val="0"/>
              <w:autoSpaceDN w:val="0"/>
              <w:spacing w:line="240" w:lineRule="auto"/>
              <w:ind w:firstLine="0" w:firstLineChars="0"/>
              <w:jc w:val="center"/>
              <w:rPr>
                <w:rFonts w:cs="Times New Roman"/>
                <w:b/>
                <w:sz w:val="21"/>
                <w:szCs w:val="21"/>
              </w:rPr>
            </w:pPr>
            <w:r>
              <w:rPr>
                <w:rFonts w:hint="eastAsia" w:cs="Times New Roman"/>
                <w:b/>
                <w:sz w:val="21"/>
                <w:szCs w:val="21"/>
              </w:rPr>
              <w:t>《土壤环境质量建设用地土壤污染风险管控标准》（GB36600-2018）中“第二类用地”</w:t>
            </w:r>
            <w:r>
              <w:rPr>
                <w:rFonts w:cs="Times New Roman"/>
                <w:b/>
                <w:sz w:val="21"/>
                <w:szCs w:val="21"/>
              </w:rPr>
              <w:t>筛选值</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tcBorders>
              <w:top w:val="single" w:color="auto" w:sz="12" w:space="0"/>
            </w:tcBorders>
            <w:shd w:val="clear" w:color="auto" w:fill="auto"/>
            <w:vAlign w:val="center"/>
          </w:tcPr>
          <w:p>
            <w:pPr>
              <w:autoSpaceDE w:val="0"/>
              <w:autoSpaceDN w:val="0"/>
              <w:spacing w:line="240" w:lineRule="auto"/>
              <w:ind w:firstLine="0" w:firstLineChars="0"/>
              <w:jc w:val="center"/>
              <w:rPr>
                <w:rFonts w:cs="Times New Roman"/>
                <w:sz w:val="21"/>
                <w:szCs w:val="21"/>
                <w:lang w:eastAsia="en-US"/>
              </w:rPr>
            </w:pPr>
            <w:r>
              <w:rPr>
                <w:rFonts w:cs="Times New Roman"/>
                <w:sz w:val="21"/>
                <w:szCs w:val="21"/>
                <w:lang w:eastAsia="en-US"/>
              </w:rPr>
              <w:t>1</w:t>
            </w:r>
          </w:p>
        </w:tc>
        <w:tc>
          <w:tcPr>
            <w:tcW w:w="2268" w:type="dxa"/>
            <w:tcBorders>
              <w:top w:val="single" w:color="auto" w:sz="12" w:space="0"/>
            </w:tcBorders>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砷</w:t>
            </w:r>
          </w:p>
        </w:tc>
        <w:tc>
          <w:tcPr>
            <w:tcW w:w="5221" w:type="dxa"/>
            <w:tcBorders>
              <w:top w:val="single" w:color="auto" w:sz="12" w:space="0"/>
            </w:tcBorders>
            <w:shd w:val="clear" w:color="auto" w:fill="auto"/>
            <w:vAlign w:val="center"/>
          </w:tcPr>
          <w:p>
            <w:pPr>
              <w:spacing w:line="240" w:lineRule="auto"/>
              <w:ind w:firstLine="0" w:firstLineChars="0"/>
              <w:jc w:val="center"/>
              <w:rPr>
                <w:rFonts w:cs="Times New Roman"/>
                <w:sz w:val="21"/>
                <w:szCs w:val="21"/>
              </w:rPr>
            </w:pPr>
            <w:r>
              <w:rPr>
                <w:rFonts w:hint="eastAsia" w:cs="Times New Roman"/>
                <w:sz w:val="21"/>
                <w:szCs w:val="21"/>
              </w:rPr>
              <w:t>60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autoSpaceDE w:val="0"/>
              <w:autoSpaceDN w:val="0"/>
              <w:spacing w:line="240" w:lineRule="auto"/>
              <w:ind w:firstLine="0" w:firstLineChars="0"/>
              <w:jc w:val="center"/>
              <w:rPr>
                <w:rFonts w:cs="Times New Roman"/>
                <w:sz w:val="21"/>
                <w:szCs w:val="21"/>
                <w:lang w:eastAsia="en-US"/>
              </w:rPr>
            </w:pPr>
            <w:r>
              <w:rPr>
                <w:rFonts w:cs="Times New Roman"/>
                <w:sz w:val="21"/>
                <w:szCs w:val="21"/>
                <w:lang w:eastAsia="en-US"/>
              </w:rPr>
              <w:t>2</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镉</w:t>
            </w:r>
          </w:p>
        </w:tc>
        <w:tc>
          <w:tcPr>
            <w:tcW w:w="5221" w:type="dxa"/>
            <w:shd w:val="clear" w:color="auto" w:fill="auto"/>
            <w:vAlign w:val="center"/>
          </w:tcPr>
          <w:p>
            <w:pPr>
              <w:spacing w:line="240" w:lineRule="auto"/>
              <w:ind w:firstLine="0" w:firstLineChars="0"/>
              <w:jc w:val="center"/>
              <w:rPr>
                <w:rFonts w:cs="Times New Roman"/>
                <w:sz w:val="21"/>
                <w:szCs w:val="21"/>
              </w:rPr>
            </w:pPr>
            <w:r>
              <w:rPr>
                <w:rFonts w:hint="eastAsia" w:cs="Times New Roman"/>
                <w:sz w:val="21"/>
                <w:szCs w:val="21"/>
              </w:rPr>
              <w:t>65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autoSpaceDE w:val="0"/>
              <w:autoSpaceDN w:val="0"/>
              <w:spacing w:line="240" w:lineRule="auto"/>
              <w:ind w:firstLine="0" w:firstLineChars="0"/>
              <w:jc w:val="center"/>
              <w:rPr>
                <w:rFonts w:cs="Times New Roman"/>
                <w:sz w:val="21"/>
                <w:szCs w:val="21"/>
                <w:lang w:eastAsia="en-US"/>
              </w:rPr>
            </w:pPr>
            <w:r>
              <w:rPr>
                <w:rFonts w:hint="eastAsia" w:cs="Times New Roman"/>
                <w:sz w:val="21"/>
                <w:szCs w:val="21"/>
                <w:lang w:eastAsia="en-US"/>
              </w:rPr>
              <w:t>3</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六价铬</w:t>
            </w:r>
          </w:p>
        </w:tc>
        <w:tc>
          <w:tcPr>
            <w:tcW w:w="5221" w:type="dxa"/>
            <w:shd w:val="clear" w:color="auto" w:fill="auto"/>
            <w:vAlign w:val="center"/>
          </w:tcPr>
          <w:p>
            <w:pPr>
              <w:spacing w:line="240" w:lineRule="auto"/>
              <w:ind w:firstLine="0" w:firstLineChars="0"/>
              <w:jc w:val="center"/>
              <w:rPr>
                <w:rFonts w:cs="Times New Roman"/>
                <w:sz w:val="21"/>
                <w:szCs w:val="21"/>
              </w:rPr>
            </w:pPr>
            <w:r>
              <w:rPr>
                <w:rFonts w:hint="eastAsia" w:cs="Times New Roman"/>
                <w:sz w:val="21"/>
                <w:szCs w:val="21"/>
              </w:rPr>
              <w:t>5.7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autoSpaceDE w:val="0"/>
              <w:autoSpaceDN w:val="0"/>
              <w:spacing w:line="240" w:lineRule="auto"/>
              <w:ind w:firstLine="0" w:firstLineChars="0"/>
              <w:jc w:val="center"/>
              <w:rPr>
                <w:rFonts w:cs="Times New Roman"/>
                <w:sz w:val="21"/>
                <w:szCs w:val="21"/>
                <w:lang w:eastAsia="en-US"/>
              </w:rPr>
            </w:pPr>
            <w:r>
              <w:rPr>
                <w:rFonts w:cs="Times New Roman"/>
                <w:sz w:val="21"/>
                <w:szCs w:val="21"/>
                <w:lang w:eastAsia="en-US"/>
              </w:rPr>
              <w:t>4</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铜</w:t>
            </w:r>
          </w:p>
        </w:tc>
        <w:tc>
          <w:tcPr>
            <w:tcW w:w="5221" w:type="dxa"/>
            <w:shd w:val="clear" w:color="auto" w:fill="auto"/>
            <w:vAlign w:val="center"/>
          </w:tcPr>
          <w:p>
            <w:pPr>
              <w:spacing w:line="240" w:lineRule="auto"/>
              <w:ind w:firstLine="0" w:firstLineChars="0"/>
              <w:jc w:val="center"/>
              <w:rPr>
                <w:rFonts w:cs="Times New Roman"/>
                <w:sz w:val="21"/>
                <w:szCs w:val="21"/>
              </w:rPr>
            </w:pPr>
            <w:r>
              <w:rPr>
                <w:rFonts w:hint="eastAsia" w:cs="Times New Roman"/>
                <w:sz w:val="21"/>
                <w:szCs w:val="21"/>
              </w:rPr>
              <w:t>18000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autoSpaceDE w:val="0"/>
              <w:autoSpaceDN w:val="0"/>
              <w:spacing w:line="240" w:lineRule="auto"/>
              <w:ind w:firstLine="0" w:firstLineChars="0"/>
              <w:jc w:val="center"/>
              <w:rPr>
                <w:rFonts w:cs="Times New Roman"/>
                <w:sz w:val="21"/>
                <w:szCs w:val="21"/>
                <w:lang w:eastAsia="en-US"/>
              </w:rPr>
            </w:pPr>
            <w:r>
              <w:rPr>
                <w:rFonts w:cs="Times New Roman"/>
                <w:sz w:val="21"/>
                <w:szCs w:val="21"/>
                <w:lang w:eastAsia="en-US"/>
              </w:rPr>
              <w:t>5</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铅</w:t>
            </w:r>
          </w:p>
        </w:tc>
        <w:tc>
          <w:tcPr>
            <w:tcW w:w="5221" w:type="dxa"/>
            <w:shd w:val="clear" w:color="auto" w:fill="auto"/>
            <w:vAlign w:val="center"/>
          </w:tcPr>
          <w:p>
            <w:pPr>
              <w:spacing w:line="240" w:lineRule="auto"/>
              <w:ind w:firstLine="0" w:firstLineChars="0"/>
              <w:jc w:val="center"/>
              <w:rPr>
                <w:rFonts w:cs="Times New Roman"/>
                <w:sz w:val="21"/>
                <w:szCs w:val="21"/>
              </w:rPr>
            </w:pPr>
            <w:r>
              <w:rPr>
                <w:rFonts w:hint="eastAsia" w:cs="Times New Roman"/>
                <w:sz w:val="21"/>
                <w:szCs w:val="21"/>
              </w:rPr>
              <w:t>800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autoSpaceDE w:val="0"/>
              <w:autoSpaceDN w:val="0"/>
              <w:spacing w:line="240" w:lineRule="auto"/>
              <w:ind w:firstLine="0" w:firstLineChars="0"/>
              <w:jc w:val="center"/>
              <w:rPr>
                <w:rFonts w:cs="Times New Roman"/>
                <w:sz w:val="21"/>
                <w:szCs w:val="21"/>
                <w:lang w:eastAsia="en-US"/>
              </w:rPr>
            </w:pPr>
            <w:r>
              <w:rPr>
                <w:rFonts w:cs="Times New Roman"/>
                <w:sz w:val="21"/>
                <w:szCs w:val="21"/>
                <w:lang w:eastAsia="en-US"/>
              </w:rPr>
              <w:t>6</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汞</w:t>
            </w:r>
          </w:p>
        </w:tc>
        <w:tc>
          <w:tcPr>
            <w:tcW w:w="5221" w:type="dxa"/>
            <w:shd w:val="clear" w:color="auto" w:fill="auto"/>
            <w:vAlign w:val="center"/>
          </w:tcPr>
          <w:p>
            <w:pPr>
              <w:spacing w:line="240" w:lineRule="auto"/>
              <w:ind w:firstLine="0" w:firstLineChars="0"/>
              <w:jc w:val="center"/>
              <w:rPr>
                <w:rFonts w:cs="Times New Roman"/>
                <w:sz w:val="21"/>
                <w:szCs w:val="21"/>
              </w:rPr>
            </w:pPr>
            <w:r>
              <w:rPr>
                <w:rFonts w:hint="eastAsia" w:cs="Times New Roman"/>
                <w:sz w:val="21"/>
                <w:szCs w:val="21"/>
              </w:rPr>
              <w:t>38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autoSpaceDE w:val="0"/>
              <w:autoSpaceDN w:val="0"/>
              <w:spacing w:line="240" w:lineRule="auto"/>
              <w:ind w:firstLine="0" w:firstLineChars="0"/>
              <w:jc w:val="center"/>
              <w:rPr>
                <w:rFonts w:cs="Times New Roman"/>
                <w:sz w:val="21"/>
                <w:szCs w:val="21"/>
                <w:lang w:eastAsia="en-US"/>
              </w:rPr>
            </w:pPr>
            <w:r>
              <w:rPr>
                <w:rFonts w:cs="Times New Roman"/>
                <w:sz w:val="21"/>
                <w:szCs w:val="21"/>
                <w:lang w:eastAsia="en-US"/>
              </w:rPr>
              <w:t>7</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镍</w:t>
            </w:r>
          </w:p>
        </w:tc>
        <w:tc>
          <w:tcPr>
            <w:tcW w:w="5221" w:type="dxa"/>
            <w:shd w:val="clear" w:color="auto" w:fill="auto"/>
            <w:vAlign w:val="center"/>
          </w:tcPr>
          <w:p>
            <w:pPr>
              <w:spacing w:line="240" w:lineRule="auto"/>
              <w:ind w:firstLine="0" w:firstLineChars="0"/>
              <w:jc w:val="center"/>
              <w:rPr>
                <w:rFonts w:cs="Times New Roman"/>
                <w:sz w:val="21"/>
                <w:szCs w:val="21"/>
              </w:rPr>
            </w:pPr>
            <w:r>
              <w:rPr>
                <w:rFonts w:hint="eastAsia" w:cs="Times New Roman"/>
                <w:sz w:val="21"/>
                <w:szCs w:val="21"/>
              </w:rPr>
              <w:t>900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autoSpaceDE w:val="0"/>
              <w:autoSpaceDN w:val="0"/>
              <w:spacing w:line="240" w:lineRule="auto"/>
              <w:ind w:firstLine="0" w:firstLineChars="0"/>
              <w:jc w:val="center"/>
              <w:rPr>
                <w:rFonts w:cs="Times New Roman"/>
                <w:sz w:val="21"/>
                <w:szCs w:val="21"/>
                <w:lang w:eastAsia="en-US"/>
              </w:rPr>
            </w:pPr>
            <w:r>
              <w:rPr>
                <w:rFonts w:cs="Times New Roman"/>
                <w:sz w:val="21"/>
                <w:szCs w:val="21"/>
                <w:lang w:eastAsia="en-US"/>
              </w:rPr>
              <w:t>9</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铬</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2500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autoSpaceDE w:val="0"/>
              <w:autoSpaceDN w:val="0"/>
              <w:spacing w:line="240" w:lineRule="auto"/>
              <w:ind w:firstLine="0" w:firstLineChars="0"/>
              <w:jc w:val="center"/>
              <w:rPr>
                <w:rFonts w:cs="Times New Roman"/>
                <w:sz w:val="21"/>
                <w:szCs w:val="21"/>
                <w:lang w:eastAsia="en-US"/>
              </w:rPr>
            </w:pPr>
            <w:r>
              <w:rPr>
                <w:rFonts w:cs="Times New Roman"/>
                <w:sz w:val="21"/>
                <w:szCs w:val="21"/>
                <w:lang w:eastAsia="en-US"/>
              </w:rPr>
              <w:t>10</w:t>
            </w:r>
          </w:p>
        </w:tc>
        <w:tc>
          <w:tcPr>
            <w:tcW w:w="2268" w:type="dxa"/>
            <w:shd w:val="clear" w:color="auto" w:fill="auto"/>
            <w:vAlign w:val="center"/>
          </w:tcPr>
          <w:p>
            <w:pPr>
              <w:spacing w:line="240" w:lineRule="auto"/>
              <w:ind w:firstLine="0" w:firstLineChars="0"/>
              <w:jc w:val="center"/>
              <w:rPr>
                <w:rFonts w:cs="Times New Roman"/>
                <w:sz w:val="21"/>
                <w:szCs w:val="21"/>
              </w:rPr>
            </w:pPr>
            <w:r>
              <w:rPr>
                <w:rFonts w:hint="eastAsia" w:cs="Times New Roman"/>
                <w:sz w:val="21"/>
                <w:szCs w:val="21"/>
              </w:rPr>
              <w:t>锌</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10000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autoSpaceDE w:val="0"/>
              <w:autoSpaceDN w:val="0"/>
              <w:spacing w:line="240" w:lineRule="auto"/>
              <w:ind w:firstLine="0" w:firstLineChars="0"/>
              <w:jc w:val="center"/>
              <w:rPr>
                <w:rFonts w:cs="Times New Roman"/>
                <w:sz w:val="21"/>
                <w:szCs w:val="21"/>
                <w:lang w:eastAsia="en-US"/>
              </w:rPr>
            </w:pPr>
            <w:r>
              <w:rPr>
                <w:rFonts w:cs="Times New Roman"/>
                <w:sz w:val="21"/>
                <w:szCs w:val="21"/>
                <w:lang w:eastAsia="en-US"/>
              </w:rPr>
              <w:t>11</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四氯化碳</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2.8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autoSpaceDE w:val="0"/>
              <w:autoSpaceDN w:val="0"/>
              <w:spacing w:line="240" w:lineRule="auto"/>
              <w:ind w:firstLine="0" w:firstLineChars="0"/>
              <w:jc w:val="center"/>
              <w:rPr>
                <w:rFonts w:cs="Times New Roman"/>
                <w:sz w:val="21"/>
                <w:szCs w:val="21"/>
                <w:lang w:eastAsia="en-US"/>
              </w:rPr>
            </w:pPr>
            <w:r>
              <w:rPr>
                <w:rFonts w:cs="Times New Roman"/>
                <w:sz w:val="21"/>
                <w:szCs w:val="21"/>
                <w:lang w:eastAsia="en-US"/>
              </w:rPr>
              <w:t>12</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氯仿</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0.9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autoSpaceDE w:val="0"/>
              <w:autoSpaceDN w:val="0"/>
              <w:spacing w:line="240" w:lineRule="auto"/>
              <w:ind w:firstLine="0" w:firstLineChars="0"/>
              <w:jc w:val="center"/>
              <w:rPr>
                <w:rFonts w:cs="Times New Roman"/>
                <w:sz w:val="21"/>
                <w:szCs w:val="21"/>
                <w:lang w:eastAsia="en-US"/>
              </w:rPr>
            </w:pPr>
            <w:r>
              <w:rPr>
                <w:rFonts w:hint="eastAsia" w:cs="Times New Roman"/>
                <w:sz w:val="21"/>
                <w:szCs w:val="21"/>
                <w:lang w:eastAsia="en-US"/>
              </w:rPr>
              <w:t>13</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氯甲烷</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37</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autoSpaceDE w:val="0"/>
              <w:autoSpaceDN w:val="0"/>
              <w:spacing w:line="240" w:lineRule="auto"/>
              <w:ind w:firstLine="0" w:firstLineChars="0"/>
              <w:jc w:val="center"/>
              <w:rPr>
                <w:rFonts w:cs="Times New Roman"/>
                <w:sz w:val="21"/>
                <w:szCs w:val="21"/>
              </w:rPr>
            </w:pPr>
            <w:r>
              <w:rPr>
                <w:rFonts w:hint="eastAsia" w:cs="Times New Roman"/>
                <w:sz w:val="21"/>
                <w:szCs w:val="21"/>
              </w:rPr>
              <w:t>14</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1,1-二氯乙烷</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9</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autoSpaceDE w:val="0"/>
              <w:autoSpaceDN w:val="0"/>
              <w:spacing w:line="240" w:lineRule="auto"/>
              <w:ind w:firstLine="0" w:firstLineChars="0"/>
              <w:jc w:val="center"/>
              <w:rPr>
                <w:rFonts w:cs="Times New Roman"/>
                <w:sz w:val="21"/>
                <w:szCs w:val="21"/>
              </w:rPr>
            </w:pPr>
            <w:r>
              <w:rPr>
                <w:rFonts w:hint="eastAsia" w:cs="Times New Roman"/>
                <w:sz w:val="21"/>
                <w:szCs w:val="21"/>
              </w:rPr>
              <w:t>15</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1,2-二氯乙烷</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autoSpaceDE w:val="0"/>
              <w:autoSpaceDN w:val="0"/>
              <w:spacing w:line="240" w:lineRule="auto"/>
              <w:ind w:firstLine="0" w:firstLineChars="0"/>
              <w:jc w:val="center"/>
              <w:rPr>
                <w:rFonts w:cs="Times New Roman"/>
                <w:sz w:val="21"/>
                <w:szCs w:val="21"/>
              </w:rPr>
            </w:pPr>
            <w:r>
              <w:rPr>
                <w:rFonts w:hint="eastAsia" w:cs="Times New Roman"/>
                <w:sz w:val="21"/>
                <w:szCs w:val="21"/>
              </w:rPr>
              <w:t>16</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1,1-二氯乙烯</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66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autoSpaceDE w:val="0"/>
              <w:autoSpaceDN w:val="0"/>
              <w:spacing w:line="240" w:lineRule="auto"/>
              <w:ind w:firstLine="0" w:firstLineChars="0"/>
              <w:jc w:val="center"/>
              <w:rPr>
                <w:rFonts w:cs="Times New Roman"/>
                <w:sz w:val="21"/>
                <w:szCs w:val="21"/>
              </w:rPr>
            </w:pPr>
            <w:r>
              <w:rPr>
                <w:rFonts w:hint="eastAsia" w:cs="Times New Roman"/>
                <w:sz w:val="21"/>
                <w:szCs w:val="21"/>
              </w:rPr>
              <w:t>17</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顺-1,2-二氯乙烯</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596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autoSpaceDE w:val="0"/>
              <w:autoSpaceDN w:val="0"/>
              <w:spacing w:line="240" w:lineRule="auto"/>
              <w:ind w:firstLine="0" w:firstLineChars="0"/>
              <w:jc w:val="center"/>
              <w:rPr>
                <w:rFonts w:cs="Times New Roman"/>
                <w:sz w:val="21"/>
                <w:szCs w:val="21"/>
              </w:rPr>
            </w:pPr>
            <w:r>
              <w:rPr>
                <w:rFonts w:hint="eastAsia" w:cs="Times New Roman"/>
                <w:sz w:val="21"/>
                <w:szCs w:val="21"/>
              </w:rPr>
              <w:t>18</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反-1,2-二氯乙烯</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54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autoSpaceDE w:val="0"/>
              <w:autoSpaceDN w:val="0"/>
              <w:spacing w:line="240" w:lineRule="auto"/>
              <w:ind w:firstLine="0" w:firstLineChars="0"/>
              <w:jc w:val="center"/>
              <w:rPr>
                <w:rFonts w:cs="Times New Roman"/>
                <w:sz w:val="21"/>
                <w:szCs w:val="21"/>
              </w:rPr>
            </w:pPr>
            <w:r>
              <w:rPr>
                <w:rFonts w:hint="eastAsia" w:cs="Times New Roman"/>
                <w:sz w:val="21"/>
                <w:szCs w:val="21"/>
              </w:rPr>
              <w:t>19</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二氯甲烷</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616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widowControl/>
              <w:spacing w:line="240" w:lineRule="auto"/>
              <w:ind w:firstLine="0" w:firstLineChars="0"/>
              <w:jc w:val="center"/>
              <w:rPr>
                <w:rFonts w:eastAsia="等线" w:cs="Times New Roman"/>
                <w:kern w:val="0"/>
                <w:sz w:val="21"/>
                <w:szCs w:val="21"/>
              </w:rPr>
            </w:pPr>
            <w:r>
              <w:rPr>
                <w:rFonts w:eastAsia="等线" w:cs="Times New Roman"/>
                <w:sz w:val="21"/>
                <w:szCs w:val="21"/>
              </w:rPr>
              <w:t>20</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1,2-二氯丙烷</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21</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1,1,1,2-四氯乙烷</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10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22</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1,1,2,2-四氯乙烷</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6.8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23</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四氯乙烯</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53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24</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1,1,1-三氯乙烷</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840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25</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1,1,2-三氯乙烷</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2.8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26</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三氯乙烯</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2.8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27</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1,2,3-三氯丙烷</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0.5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28</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氯乙烯</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0.43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29</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苯</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4</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30</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氯苯</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270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31</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1,2-二氯苯</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560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32</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1,4-二氯苯</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20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33</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乙苯</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28</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34</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苯乙烯</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1290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35</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甲苯</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1200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36</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间二甲苯+对二甲苯</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570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37</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邻二甲苯</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640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38</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硝基苯</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76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39</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苯胺</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260</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40</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2-氯酚</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2256</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41</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苯并[a]蒽</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15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42</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苯并[a]芘</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1.5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43</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苯并[b]荧蒽</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15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44</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苯并[k]荧蒽</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151</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widowControl/>
              <w:spacing w:line="240" w:lineRule="auto"/>
              <w:ind w:firstLine="0" w:firstLineChars="0"/>
              <w:jc w:val="center"/>
              <w:rPr>
                <w:rFonts w:eastAsia="等线" w:cs="Times New Roman"/>
                <w:kern w:val="0"/>
                <w:sz w:val="21"/>
                <w:szCs w:val="21"/>
              </w:rPr>
            </w:pPr>
            <w:r>
              <w:rPr>
                <w:rFonts w:eastAsia="等线" w:cs="Times New Roman"/>
                <w:sz w:val="21"/>
                <w:szCs w:val="21"/>
              </w:rPr>
              <w:t>41</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䓛</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1293</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hint="eastAsia" w:eastAsia="等线" w:cs="Times New Roman"/>
                <w:sz w:val="21"/>
                <w:szCs w:val="21"/>
              </w:rPr>
              <w:t>4</w:t>
            </w:r>
            <w:r>
              <w:rPr>
                <w:rFonts w:eastAsia="等线" w:cs="Times New Roman"/>
                <w:sz w:val="21"/>
                <w:szCs w:val="21"/>
              </w:rPr>
              <w:t>2</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二苯并[a,h]蒽</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1.5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43</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茚并[1,2,3-cd]芘</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15</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1015" w:type="dxa"/>
            <w:shd w:val="clear" w:color="auto" w:fill="auto"/>
            <w:vAlign w:val="center"/>
          </w:tcPr>
          <w:p>
            <w:pPr>
              <w:spacing w:line="240" w:lineRule="auto"/>
              <w:ind w:firstLine="0" w:firstLineChars="0"/>
              <w:jc w:val="center"/>
              <w:rPr>
                <w:rFonts w:eastAsia="等线" w:cs="Times New Roman"/>
                <w:sz w:val="21"/>
                <w:szCs w:val="21"/>
              </w:rPr>
            </w:pPr>
            <w:r>
              <w:rPr>
                <w:rFonts w:eastAsia="等线" w:cs="Times New Roman"/>
                <w:sz w:val="21"/>
                <w:szCs w:val="21"/>
              </w:rPr>
              <w:t>44</w:t>
            </w:r>
          </w:p>
        </w:tc>
        <w:tc>
          <w:tcPr>
            <w:tcW w:w="2268" w:type="dxa"/>
            <w:shd w:val="clear" w:color="auto" w:fill="auto"/>
            <w:vAlign w:val="center"/>
          </w:tcPr>
          <w:p>
            <w:pPr>
              <w:spacing w:line="240" w:lineRule="auto"/>
              <w:ind w:firstLine="0" w:firstLineChars="0"/>
              <w:jc w:val="center"/>
              <w:rPr>
                <w:rFonts w:cs="Times New Roman"/>
                <w:sz w:val="21"/>
                <w:szCs w:val="21"/>
              </w:rPr>
            </w:pPr>
            <w:r>
              <w:rPr>
                <w:rFonts w:cs="Times New Roman"/>
                <w:sz w:val="21"/>
                <w:szCs w:val="21"/>
              </w:rPr>
              <w:t>萘</w:t>
            </w:r>
          </w:p>
        </w:tc>
        <w:tc>
          <w:tcPr>
            <w:tcW w:w="5221" w:type="dxa"/>
            <w:vAlign w:val="center"/>
          </w:tcPr>
          <w:p>
            <w:pPr>
              <w:spacing w:line="240" w:lineRule="auto"/>
              <w:ind w:firstLine="0" w:firstLineChars="0"/>
              <w:jc w:val="center"/>
              <w:rPr>
                <w:rFonts w:cs="Times New Roman"/>
                <w:sz w:val="21"/>
                <w:szCs w:val="21"/>
              </w:rPr>
            </w:pPr>
            <w:r>
              <w:rPr>
                <w:rFonts w:hint="eastAsia" w:cs="Times New Roman"/>
                <w:sz w:val="21"/>
                <w:szCs w:val="21"/>
              </w:rPr>
              <w:t>70</w:t>
            </w:r>
          </w:p>
        </w:tc>
      </w:tr>
    </w:tbl>
    <w:p>
      <w:pPr>
        <w:pStyle w:val="6"/>
      </w:pPr>
      <w:bookmarkStart w:id="51" w:name="_Toc4071172"/>
      <w:bookmarkStart w:id="52" w:name="_Toc91763546"/>
      <w:r>
        <w:t>7</w:t>
      </w:r>
      <w:r>
        <w:rPr>
          <w:rFonts w:hint="eastAsia"/>
        </w:rPr>
        <w:t>.</w:t>
      </w:r>
      <w:r>
        <w:t>2</w:t>
      </w:r>
      <w:r>
        <w:rPr>
          <w:rFonts w:hint="eastAsia"/>
        </w:rPr>
        <w:t>地下水标准值</w:t>
      </w:r>
      <w:bookmarkEnd w:id="51"/>
      <w:bookmarkEnd w:id="52"/>
    </w:p>
    <w:p>
      <w:pPr>
        <w:ind w:firstLine="482"/>
        <w:jc w:val="center"/>
        <w:rPr>
          <w:rFonts w:cs="Times New Roman"/>
          <w:b/>
          <w:kern w:val="0"/>
          <w:szCs w:val="21"/>
        </w:rPr>
      </w:pPr>
      <w:r>
        <w:rPr>
          <w:rFonts w:cs="Times New Roman"/>
          <w:b/>
          <w:kern w:val="0"/>
          <w:szCs w:val="21"/>
        </w:rPr>
        <w:t>表7</w:t>
      </w:r>
      <w:r>
        <w:rPr>
          <w:rFonts w:hint="eastAsia" w:cs="Times New Roman"/>
          <w:b/>
          <w:kern w:val="0"/>
          <w:szCs w:val="21"/>
        </w:rPr>
        <w:t>-2  检测物质地下水标准</w:t>
      </w:r>
      <w:r>
        <w:rPr>
          <w:rFonts w:cs="Times New Roman"/>
          <w:b/>
          <w:kern w:val="0"/>
          <w:szCs w:val="21"/>
        </w:rPr>
        <w:t>一览表</w:t>
      </w:r>
    </w:p>
    <w:tbl>
      <w:tblPr>
        <w:tblStyle w:val="23"/>
        <w:tblW w:w="826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28"/>
        <w:gridCol w:w="3720"/>
        <w:gridCol w:w="1920"/>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2628" w:type="dxa"/>
            <w:vAlign w:val="center"/>
          </w:tcPr>
          <w:p>
            <w:pPr>
              <w:pStyle w:val="58"/>
              <w:rPr>
                <w:szCs w:val="21"/>
              </w:rPr>
            </w:pPr>
            <w:r>
              <w:rPr>
                <w:szCs w:val="21"/>
              </w:rPr>
              <w:t>项目</w:t>
            </w:r>
          </w:p>
        </w:tc>
        <w:tc>
          <w:tcPr>
            <w:tcW w:w="3720" w:type="dxa"/>
            <w:vAlign w:val="center"/>
          </w:tcPr>
          <w:p>
            <w:pPr>
              <w:pStyle w:val="58"/>
              <w:rPr>
                <w:szCs w:val="21"/>
              </w:rPr>
            </w:pPr>
            <w:r>
              <w:rPr>
                <w:szCs w:val="21"/>
              </w:rPr>
              <w:t>地下水质量指标</w:t>
            </w:r>
            <w:r>
              <w:rPr>
                <w:rFonts w:hint="eastAsia"/>
                <w:szCs w:val="21"/>
              </w:rPr>
              <w:t>III类（单位：mg</w:t>
            </w:r>
            <w:r>
              <w:rPr>
                <w:szCs w:val="21"/>
              </w:rPr>
              <w:t>/</w:t>
            </w:r>
            <w:r>
              <w:rPr>
                <w:rFonts w:hint="eastAsia"/>
                <w:szCs w:val="21"/>
              </w:rPr>
              <w:t>L）</w:t>
            </w:r>
          </w:p>
        </w:tc>
        <w:tc>
          <w:tcPr>
            <w:tcW w:w="1920" w:type="dxa"/>
            <w:vAlign w:val="center"/>
          </w:tcPr>
          <w:p>
            <w:pPr>
              <w:pStyle w:val="58"/>
              <w:rPr>
                <w:szCs w:val="21"/>
              </w:rPr>
            </w:pPr>
            <w:r>
              <w:rPr>
                <w:szCs w:val="21"/>
              </w:rPr>
              <w:t>标准来源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hint="eastAsia" w:cs="Times New Roman"/>
                <w:sz w:val="21"/>
                <w:szCs w:val="21"/>
              </w:rPr>
              <w:t>色（度）</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15</w:t>
            </w:r>
          </w:p>
        </w:tc>
        <w:tc>
          <w:tcPr>
            <w:tcW w:w="1920" w:type="dxa"/>
            <w:vMerge w:val="restart"/>
            <w:vAlign w:val="center"/>
          </w:tcPr>
          <w:p>
            <w:pPr>
              <w:pStyle w:val="58"/>
              <w:rPr>
                <w:szCs w:val="21"/>
              </w:rPr>
            </w:pPr>
            <w:r>
              <w:rPr>
                <w:szCs w:val="21"/>
              </w:rPr>
              <w:t>《地下水质量标准》（GB/T 14848-2017）</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hint="eastAsia" w:cs="Times New Roman"/>
                <w:sz w:val="21"/>
                <w:szCs w:val="21"/>
              </w:rPr>
              <w:t>嗅和味</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无</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hint="eastAsia" w:cs="Times New Roman"/>
                <w:sz w:val="21"/>
                <w:szCs w:val="21"/>
              </w:rPr>
              <w:t>浑浊度（NTU）</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3</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hint="eastAsia" w:cs="Times New Roman"/>
                <w:sz w:val="21"/>
                <w:szCs w:val="21"/>
              </w:rPr>
              <w:t>肉眼可见物</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无</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eastAsia="宋体" w:cs="Times New Roman"/>
                <w:sz w:val="21"/>
                <w:szCs w:val="21"/>
              </w:rPr>
            </w:pPr>
            <w:r>
              <w:rPr>
                <w:rFonts w:eastAsia="宋体" w:cs="Times New Roman"/>
                <w:snapToGrid w:val="0"/>
                <w:kern w:val="0"/>
                <w:sz w:val="21"/>
                <w:szCs w:val="21"/>
              </w:rPr>
              <w:t>pH</w:t>
            </w:r>
            <w:r>
              <w:rPr>
                <w:rFonts w:hint="eastAsia" w:eastAsia="宋体" w:cs="Times New Roman"/>
                <w:snapToGrid w:val="0"/>
                <w:kern w:val="0"/>
                <w:sz w:val="21"/>
                <w:szCs w:val="21"/>
              </w:rPr>
              <w:t>（无量纲）</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6.5~8.5</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cs="Times New Roman"/>
                <w:sz w:val="21"/>
                <w:szCs w:val="21"/>
              </w:rPr>
              <w:t>总硬度</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450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cs="Times New Roman"/>
                <w:sz w:val="21"/>
                <w:szCs w:val="21"/>
              </w:rPr>
              <w:t>溶解性总固体</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1000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hint="eastAsia" w:cs="Times New Roman"/>
                <w:sz w:val="21"/>
                <w:szCs w:val="21"/>
              </w:rPr>
              <w:t>硫酸盐</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250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hint="eastAsia" w:cs="Times New Roman"/>
                <w:sz w:val="21"/>
                <w:szCs w:val="21"/>
              </w:rPr>
              <w:t>氯化物</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250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hint="eastAsia" w:cs="Times New Roman"/>
                <w:sz w:val="21"/>
                <w:szCs w:val="21"/>
              </w:rPr>
              <w:t>铁</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0.3</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hint="eastAsia" w:cs="Times New Roman"/>
                <w:sz w:val="21"/>
                <w:szCs w:val="21"/>
              </w:rPr>
              <w:t>锰</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0.10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2628" w:type="dxa"/>
            <w:vAlign w:val="center"/>
          </w:tcPr>
          <w:p>
            <w:pPr>
              <w:spacing w:line="240" w:lineRule="auto"/>
              <w:ind w:firstLine="0" w:firstLineChars="0"/>
              <w:jc w:val="center"/>
              <w:rPr>
                <w:rFonts w:cs="Times New Roman"/>
                <w:sz w:val="21"/>
                <w:szCs w:val="21"/>
              </w:rPr>
            </w:pPr>
            <w:r>
              <w:rPr>
                <w:rFonts w:cs="Times New Roman"/>
                <w:sz w:val="21"/>
                <w:szCs w:val="21"/>
              </w:rPr>
              <w:t>铜</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1.00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cs="Times New Roman"/>
                <w:sz w:val="21"/>
                <w:szCs w:val="21"/>
              </w:rPr>
              <w:t>锌</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1.00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hint="eastAsia" w:cs="Times New Roman"/>
                <w:sz w:val="21"/>
                <w:szCs w:val="21"/>
              </w:rPr>
              <w:t>铝</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0.20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eastAsia="宋体" w:cs="Times New Roman"/>
                <w:sz w:val="21"/>
                <w:szCs w:val="21"/>
              </w:rPr>
              <w:t>挥发</w:t>
            </w:r>
            <w:r>
              <w:rPr>
                <w:rFonts w:hint="eastAsia" w:eastAsia="宋体" w:cs="Times New Roman"/>
                <w:sz w:val="21"/>
                <w:szCs w:val="21"/>
              </w:rPr>
              <w:t>性</w:t>
            </w:r>
            <w:r>
              <w:rPr>
                <w:rFonts w:eastAsia="宋体" w:cs="Times New Roman"/>
                <w:sz w:val="21"/>
                <w:szCs w:val="21"/>
              </w:rPr>
              <w:t>酚</w:t>
            </w:r>
            <w:r>
              <w:rPr>
                <w:rFonts w:hint="eastAsia" w:eastAsia="宋体" w:cs="Times New Roman"/>
                <w:sz w:val="21"/>
                <w:szCs w:val="21"/>
              </w:rPr>
              <w:t>类</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0.002</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eastAsia="宋体" w:cs="Times New Roman"/>
                <w:sz w:val="21"/>
                <w:szCs w:val="21"/>
              </w:rPr>
            </w:pPr>
            <w:r>
              <w:rPr>
                <w:rFonts w:hint="eastAsia" w:ascii="宋体" w:hAnsi="宋体" w:eastAsia="宋体" w:cs="宋体"/>
                <w:kern w:val="0"/>
                <w:sz w:val="21"/>
                <w:szCs w:val="21"/>
                <w:lang w:bidi="ar"/>
              </w:rPr>
              <w:t>阴离子表面活性剂</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0.3</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widowControl/>
              <w:spacing w:line="240" w:lineRule="auto"/>
              <w:ind w:firstLine="0" w:firstLineChars="0"/>
              <w:jc w:val="center"/>
              <w:textAlignment w:val="center"/>
              <w:rPr>
                <w:rFonts w:cs="Times New Roman"/>
                <w:sz w:val="21"/>
                <w:szCs w:val="21"/>
              </w:rPr>
            </w:pPr>
            <w:r>
              <w:rPr>
                <w:rFonts w:cs="Times New Roman"/>
                <w:sz w:val="21"/>
                <w:szCs w:val="21"/>
              </w:rPr>
              <w:t>耗氧量</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3.0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cs="Times New Roman"/>
                <w:sz w:val="21"/>
                <w:szCs w:val="21"/>
              </w:rPr>
              <w:t>氨氮</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0.50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widowControl/>
              <w:spacing w:line="240" w:lineRule="auto"/>
              <w:ind w:firstLine="0" w:firstLineChars="0"/>
              <w:jc w:val="center"/>
              <w:textAlignment w:val="center"/>
              <w:rPr>
                <w:rFonts w:cs="Times New Roman"/>
                <w:sz w:val="21"/>
                <w:szCs w:val="21"/>
              </w:rPr>
            </w:pPr>
            <w:r>
              <w:rPr>
                <w:rFonts w:hint="eastAsia" w:ascii="宋体" w:hAnsi="宋体" w:eastAsia="宋体" w:cs="宋体"/>
                <w:kern w:val="0"/>
                <w:sz w:val="21"/>
                <w:szCs w:val="21"/>
                <w:lang w:bidi="ar"/>
              </w:rPr>
              <w:t>硫化物</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0.02</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hint="eastAsia" w:cs="Times New Roman"/>
                <w:sz w:val="21"/>
                <w:szCs w:val="21"/>
              </w:rPr>
              <w:t>钠</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200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cs="Times New Roman"/>
                <w:sz w:val="21"/>
                <w:szCs w:val="21"/>
              </w:rPr>
              <w:t>总大肠菌群</w:t>
            </w:r>
            <w:r>
              <w:rPr>
                <w:rFonts w:hint="eastAsia" w:cs="Times New Roman"/>
                <w:sz w:val="21"/>
                <w:szCs w:val="21"/>
              </w:rPr>
              <w:t>（MPN/100mL）</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3.0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cs="Times New Roman"/>
                <w:sz w:val="21"/>
                <w:szCs w:val="21"/>
              </w:rPr>
              <w:t>菌落总数</w:t>
            </w:r>
            <w:r>
              <w:rPr>
                <w:rFonts w:hint="eastAsia" w:cs="Times New Roman"/>
                <w:sz w:val="21"/>
                <w:szCs w:val="21"/>
              </w:rPr>
              <w:t>（CFU/mL）</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100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cs="Times New Roman"/>
                <w:sz w:val="21"/>
                <w:szCs w:val="21"/>
              </w:rPr>
              <w:t>亚硝酸盐</w:t>
            </w:r>
            <w:r>
              <w:rPr>
                <w:rFonts w:hint="eastAsia" w:cs="Times New Roman"/>
                <w:sz w:val="21"/>
                <w:szCs w:val="21"/>
              </w:rPr>
              <w:t>（以N计）</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1.00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hint="eastAsia" w:cs="Times New Roman"/>
                <w:sz w:val="21"/>
                <w:szCs w:val="21"/>
              </w:rPr>
              <w:t>硝酸盐（硝酸盐（以N计））</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20.0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氰化物</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0.05</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hint="eastAsia" w:cs="Times New Roman"/>
                <w:sz w:val="21"/>
                <w:szCs w:val="21"/>
              </w:rPr>
              <w:t>氟化物</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1.0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widowControl/>
              <w:spacing w:line="240" w:lineRule="auto"/>
              <w:ind w:firstLine="0" w:firstLineChars="0"/>
              <w:jc w:val="center"/>
              <w:textAlignment w:val="center"/>
              <w:rPr>
                <w:rFonts w:ascii="宋体" w:hAnsi="宋体" w:eastAsia="宋体" w:cs="宋体"/>
                <w:kern w:val="0"/>
                <w:sz w:val="21"/>
                <w:szCs w:val="21"/>
                <w:lang w:bidi="ar"/>
              </w:rPr>
            </w:pPr>
            <w:r>
              <w:rPr>
                <w:rFonts w:cs="Times New Roman"/>
                <w:sz w:val="21"/>
                <w:szCs w:val="21"/>
              </w:rPr>
              <w:t>碘化物</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0.08</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cs="Times New Roman"/>
                <w:sz w:val="21"/>
                <w:szCs w:val="21"/>
              </w:rPr>
              <w:t>汞</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0.001</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cs="Times New Roman"/>
                <w:sz w:val="21"/>
                <w:szCs w:val="21"/>
              </w:rPr>
              <w:t>砷</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0.01</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hint="eastAsia" w:cs="Times New Roman"/>
                <w:sz w:val="21"/>
                <w:szCs w:val="21"/>
              </w:rPr>
              <w:t>硒</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0.01</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cs="Times New Roman"/>
                <w:sz w:val="21"/>
                <w:szCs w:val="21"/>
              </w:rPr>
              <w:t>镉</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0.005</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cs="Times New Roman"/>
                <w:sz w:val="21"/>
                <w:szCs w:val="21"/>
              </w:rPr>
              <w:t>六价铬</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0.05</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cs="Times New Roman"/>
                <w:sz w:val="21"/>
                <w:szCs w:val="21"/>
              </w:rPr>
              <w:t>铅</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0.01</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cs="Times New Roman"/>
                <w:sz w:val="21"/>
                <w:szCs w:val="21"/>
              </w:rPr>
              <w:t>三氧甲烷</w:t>
            </w:r>
            <w:r>
              <w:rPr>
                <w:rFonts w:hint="eastAsia" w:cs="Times New Roman"/>
                <w:sz w:val="21"/>
                <w:szCs w:val="21"/>
              </w:rPr>
              <w:t>（</w:t>
            </w:r>
            <w:r>
              <w:rPr>
                <w:rFonts w:eastAsia="宋体" w:cs="Times New Roman"/>
                <w:kern w:val="0"/>
                <w:sz w:val="21"/>
                <w:szCs w:val="21"/>
                <w:lang w:bidi="ar"/>
              </w:rPr>
              <w:t>μg/L</w:t>
            </w:r>
            <w:r>
              <w:rPr>
                <w:rFonts w:hint="eastAsia" w:cs="Times New Roman"/>
                <w:sz w:val="21"/>
                <w:szCs w:val="21"/>
              </w:rPr>
              <w:t>）</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60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cs="Times New Roman"/>
                <w:sz w:val="21"/>
                <w:szCs w:val="21"/>
              </w:rPr>
              <w:t>四氯化碳</w:t>
            </w:r>
            <w:r>
              <w:rPr>
                <w:rFonts w:hint="eastAsia" w:cs="Times New Roman"/>
                <w:sz w:val="21"/>
                <w:szCs w:val="21"/>
              </w:rPr>
              <w:t>（</w:t>
            </w:r>
            <w:r>
              <w:rPr>
                <w:rFonts w:eastAsia="宋体" w:cs="Times New Roman"/>
                <w:kern w:val="0"/>
                <w:sz w:val="21"/>
                <w:szCs w:val="21"/>
                <w:lang w:bidi="ar"/>
              </w:rPr>
              <w:t>μg/L</w:t>
            </w:r>
            <w:r>
              <w:rPr>
                <w:rFonts w:hint="eastAsia" w:cs="Times New Roman"/>
                <w:sz w:val="21"/>
                <w:szCs w:val="21"/>
              </w:rPr>
              <w:t>）</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2.0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28" w:type="dxa"/>
            <w:vAlign w:val="center"/>
          </w:tcPr>
          <w:p>
            <w:pPr>
              <w:spacing w:line="240" w:lineRule="auto"/>
              <w:ind w:firstLine="0" w:firstLineChars="0"/>
              <w:jc w:val="center"/>
              <w:rPr>
                <w:rFonts w:cs="Times New Roman"/>
                <w:sz w:val="21"/>
                <w:szCs w:val="21"/>
              </w:rPr>
            </w:pPr>
            <w:r>
              <w:rPr>
                <w:rFonts w:cs="Times New Roman"/>
                <w:sz w:val="21"/>
                <w:szCs w:val="21"/>
              </w:rPr>
              <w:t>苯</w:t>
            </w:r>
            <w:r>
              <w:rPr>
                <w:rFonts w:hint="eastAsia" w:cs="Times New Roman"/>
                <w:sz w:val="21"/>
                <w:szCs w:val="21"/>
              </w:rPr>
              <w:t>（</w:t>
            </w:r>
            <w:r>
              <w:rPr>
                <w:rFonts w:eastAsia="宋体" w:cs="Times New Roman"/>
                <w:kern w:val="0"/>
                <w:sz w:val="21"/>
                <w:szCs w:val="21"/>
                <w:lang w:bidi="ar"/>
              </w:rPr>
              <w:t>μg/L</w:t>
            </w:r>
            <w:r>
              <w:rPr>
                <w:rFonts w:hint="eastAsia" w:cs="Times New Roman"/>
                <w:sz w:val="21"/>
                <w:szCs w:val="21"/>
              </w:rPr>
              <w:t>）</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10.0</w:t>
            </w:r>
          </w:p>
        </w:tc>
        <w:tc>
          <w:tcPr>
            <w:tcW w:w="1920" w:type="dxa"/>
            <w:vMerge w:val="continue"/>
            <w:vAlign w:val="center"/>
          </w:tcPr>
          <w:p>
            <w:pPr>
              <w:pStyle w:val="58"/>
              <w:rPr>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628" w:type="dxa"/>
            <w:vAlign w:val="center"/>
          </w:tcPr>
          <w:p>
            <w:pPr>
              <w:spacing w:line="240" w:lineRule="auto"/>
              <w:ind w:firstLine="0" w:firstLineChars="0"/>
              <w:jc w:val="center"/>
              <w:rPr>
                <w:rFonts w:cs="Times New Roman"/>
                <w:sz w:val="21"/>
                <w:szCs w:val="21"/>
              </w:rPr>
            </w:pPr>
            <w:r>
              <w:rPr>
                <w:rFonts w:cs="Times New Roman"/>
                <w:sz w:val="21"/>
                <w:szCs w:val="21"/>
              </w:rPr>
              <w:t>甲苯</w:t>
            </w:r>
            <w:r>
              <w:rPr>
                <w:rFonts w:hint="eastAsia" w:cs="Times New Roman"/>
                <w:sz w:val="21"/>
                <w:szCs w:val="21"/>
              </w:rPr>
              <w:t>（</w:t>
            </w:r>
            <w:r>
              <w:rPr>
                <w:rFonts w:eastAsia="宋体" w:cs="Times New Roman"/>
                <w:kern w:val="0"/>
                <w:sz w:val="21"/>
                <w:szCs w:val="21"/>
                <w:lang w:bidi="ar"/>
              </w:rPr>
              <w:t>μg/L</w:t>
            </w:r>
            <w:r>
              <w:rPr>
                <w:rFonts w:hint="eastAsia" w:cs="Times New Roman"/>
                <w:sz w:val="21"/>
                <w:szCs w:val="21"/>
              </w:rPr>
              <w:t>）</w:t>
            </w:r>
          </w:p>
        </w:tc>
        <w:tc>
          <w:tcPr>
            <w:tcW w:w="3720" w:type="dxa"/>
            <w:vAlign w:val="center"/>
          </w:tcPr>
          <w:p>
            <w:pPr>
              <w:spacing w:line="240" w:lineRule="auto"/>
              <w:ind w:firstLine="0" w:firstLineChars="0"/>
              <w:jc w:val="center"/>
              <w:rPr>
                <w:rFonts w:cs="Times New Roman"/>
                <w:sz w:val="21"/>
                <w:szCs w:val="21"/>
              </w:rPr>
            </w:pPr>
            <w:r>
              <w:rPr>
                <w:rFonts w:hint="eastAsia" w:cs="Times New Roman"/>
                <w:sz w:val="21"/>
                <w:szCs w:val="21"/>
              </w:rPr>
              <w:t>700</w:t>
            </w:r>
          </w:p>
        </w:tc>
        <w:tc>
          <w:tcPr>
            <w:tcW w:w="1920" w:type="dxa"/>
            <w:vMerge w:val="continue"/>
            <w:vAlign w:val="center"/>
          </w:tcPr>
          <w:p>
            <w:pPr>
              <w:pStyle w:val="58"/>
              <w:rPr>
                <w:szCs w:val="21"/>
              </w:rPr>
            </w:pPr>
          </w:p>
        </w:tc>
      </w:tr>
    </w:tbl>
    <w:p>
      <w:pPr>
        <w:pStyle w:val="2"/>
        <w:ind w:left="0" w:leftChars="0" w:firstLine="0" w:firstLineChars="0"/>
        <w:rPr>
          <w:rFonts w:cs="Times New Roman"/>
          <w:b/>
          <w:kern w:val="0"/>
          <w:szCs w:val="21"/>
        </w:rPr>
      </w:pPr>
    </w:p>
    <w:p>
      <w:pPr>
        <w:pageBreakBefore/>
        <w:ind w:firstLine="480"/>
        <w:rPr>
          <w:color w:val="FF0000"/>
        </w:rPr>
      </w:pPr>
    </w:p>
    <w:p>
      <w:pPr>
        <w:pStyle w:val="5"/>
      </w:pPr>
      <w:bookmarkStart w:id="53" w:name="_Toc91763547"/>
      <w:r>
        <w:t>8</w:t>
      </w:r>
      <w:r>
        <w:rPr>
          <w:rFonts w:hint="eastAsia"/>
        </w:rPr>
        <w:t>.检测结果及分析</w:t>
      </w:r>
      <w:bookmarkEnd w:id="53"/>
    </w:p>
    <w:p>
      <w:pPr>
        <w:ind w:firstLine="480"/>
      </w:pPr>
    </w:p>
    <w:p>
      <w:pPr>
        <w:pStyle w:val="6"/>
      </w:pPr>
      <w:bookmarkStart w:id="54" w:name="_Toc91763548"/>
      <w:r>
        <w:t>8</w:t>
      </w:r>
      <w:r>
        <w:rPr>
          <w:rFonts w:hint="eastAsia"/>
        </w:rPr>
        <w:t>.1土壤检测分析方法</w:t>
      </w:r>
      <w:bookmarkEnd w:id="54"/>
    </w:p>
    <w:p>
      <w:pPr>
        <w:overflowPunct w:val="0"/>
        <w:adjustRightInd w:val="0"/>
        <w:snapToGrid w:val="0"/>
        <w:ind w:firstLine="482"/>
        <w:jc w:val="center"/>
        <w:rPr>
          <w:rFonts w:cs="Times New Roman"/>
          <w:b/>
        </w:rPr>
      </w:pPr>
      <w:r>
        <w:rPr>
          <w:rFonts w:cs="Times New Roman"/>
          <w:b/>
        </w:rPr>
        <w:t>表8</w:t>
      </w:r>
      <w:r>
        <w:rPr>
          <w:rFonts w:hint="eastAsia" w:cs="Times New Roman"/>
          <w:b/>
        </w:rPr>
        <w:t>-1土壤</w:t>
      </w:r>
      <w:r>
        <w:rPr>
          <w:rFonts w:cs="Times New Roman"/>
          <w:b/>
        </w:rPr>
        <w:t>检测方法、方法来源、检出限及使用仪器</w:t>
      </w:r>
    </w:p>
    <w:tbl>
      <w:tblPr>
        <w:tblStyle w:val="23"/>
        <w:tblW w:w="1011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3171"/>
        <w:gridCol w:w="1629"/>
        <w:gridCol w:w="2070"/>
        <w:gridCol w:w="125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3" w:type="dxa"/>
            <w:vAlign w:val="center"/>
          </w:tcPr>
          <w:p>
            <w:pPr>
              <w:pStyle w:val="58"/>
              <w:rPr>
                <w:szCs w:val="21"/>
              </w:rPr>
            </w:pPr>
            <w:r>
              <w:rPr>
                <w:szCs w:val="21"/>
              </w:rPr>
              <w:t>检测因子</w:t>
            </w:r>
          </w:p>
        </w:tc>
        <w:tc>
          <w:tcPr>
            <w:tcW w:w="3171" w:type="dxa"/>
            <w:vAlign w:val="center"/>
          </w:tcPr>
          <w:p>
            <w:pPr>
              <w:pStyle w:val="58"/>
              <w:rPr>
                <w:szCs w:val="21"/>
              </w:rPr>
            </w:pPr>
            <w:r>
              <w:rPr>
                <w:szCs w:val="21"/>
              </w:rPr>
              <w:t>检测方法</w:t>
            </w:r>
          </w:p>
        </w:tc>
        <w:tc>
          <w:tcPr>
            <w:tcW w:w="1629" w:type="dxa"/>
            <w:vAlign w:val="center"/>
          </w:tcPr>
          <w:p>
            <w:pPr>
              <w:pStyle w:val="58"/>
              <w:rPr>
                <w:szCs w:val="21"/>
              </w:rPr>
            </w:pPr>
            <w:r>
              <w:rPr>
                <w:rFonts w:hint="eastAsia"/>
                <w:szCs w:val="21"/>
              </w:rPr>
              <w:t>方法来源</w:t>
            </w:r>
          </w:p>
        </w:tc>
        <w:tc>
          <w:tcPr>
            <w:tcW w:w="2070" w:type="dxa"/>
            <w:vAlign w:val="center"/>
          </w:tcPr>
          <w:p>
            <w:pPr>
              <w:pStyle w:val="58"/>
              <w:rPr>
                <w:szCs w:val="21"/>
              </w:rPr>
            </w:pPr>
            <w:r>
              <w:rPr>
                <w:rFonts w:hint="eastAsia"/>
                <w:szCs w:val="21"/>
              </w:rPr>
              <w:t>使用仪器及编号</w:t>
            </w:r>
          </w:p>
        </w:tc>
        <w:tc>
          <w:tcPr>
            <w:tcW w:w="1258" w:type="dxa"/>
            <w:vAlign w:val="center"/>
          </w:tcPr>
          <w:p>
            <w:pPr>
              <w:pStyle w:val="58"/>
              <w:rPr>
                <w:szCs w:val="21"/>
              </w:rPr>
            </w:pPr>
            <w:r>
              <w:rPr>
                <w:szCs w:val="21"/>
              </w:rPr>
              <w:t>检出限</w:t>
            </w:r>
          </w:p>
          <w:p>
            <w:pPr>
              <w:pStyle w:val="58"/>
              <w:rPr>
                <w:szCs w:val="21"/>
              </w:rPr>
            </w:pPr>
            <w:r>
              <w:rPr>
                <w:szCs w:val="21"/>
              </w:rPr>
              <w:t>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983" w:type="dxa"/>
            <w:vAlign w:val="center"/>
          </w:tcPr>
          <w:p>
            <w:pPr>
              <w:spacing w:line="240" w:lineRule="auto"/>
              <w:ind w:firstLine="0" w:firstLineChars="0"/>
              <w:jc w:val="center"/>
              <w:rPr>
                <w:rFonts w:cs="Times New Roman"/>
                <w:sz w:val="21"/>
                <w:szCs w:val="21"/>
                <w:highlight w:val="yellow"/>
              </w:rPr>
            </w:pPr>
            <w:r>
              <w:rPr>
                <w:rFonts w:cs="Times New Roman"/>
                <w:sz w:val="21"/>
                <w:szCs w:val="21"/>
              </w:rPr>
              <w:t>汞</w:t>
            </w:r>
          </w:p>
        </w:tc>
        <w:tc>
          <w:tcPr>
            <w:tcW w:w="3171"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土壤和沉积物 汞、砷、硒、铋、锑的测定</w:t>
            </w:r>
          </w:p>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微波消解/原子荧光法</w:t>
            </w:r>
          </w:p>
        </w:tc>
        <w:tc>
          <w:tcPr>
            <w:tcW w:w="1629"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HJ 680-2013</w:t>
            </w:r>
          </w:p>
        </w:tc>
        <w:tc>
          <w:tcPr>
            <w:tcW w:w="2070"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AFS-8500</w:t>
            </w:r>
          </w:p>
          <w:p>
            <w:pPr>
              <w:widowControl/>
              <w:spacing w:line="240" w:lineRule="auto"/>
              <w:ind w:firstLine="0" w:firstLineChars="0"/>
              <w:jc w:val="center"/>
              <w:textAlignment w:val="center"/>
              <w:rPr>
                <w:rFonts w:hint="eastAsia" w:eastAsia="宋体" w:cs="Times New Roman"/>
                <w:kern w:val="0"/>
                <w:sz w:val="21"/>
                <w:szCs w:val="21"/>
                <w:lang w:eastAsia="zh-CN" w:bidi="ar"/>
              </w:rPr>
            </w:pPr>
            <w:r>
              <w:rPr>
                <w:rFonts w:eastAsia="宋体" w:cs="Times New Roman"/>
                <w:kern w:val="0"/>
                <w:sz w:val="21"/>
                <w:szCs w:val="21"/>
                <w:lang w:bidi="ar"/>
              </w:rPr>
              <w:t>原子荧光光度计</w:t>
            </w:r>
          </w:p>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YYQ-JL004</w:t>
            </w:r>
          </w:p>
        </w:tc>
        <w:tc>
          <w:tcPr>
            <w:tcW w:w="1258" w:type="dxa"/>
            <w:vAlign w:val="center"/>
          </w:tcPr>
          <w:p>
            <w:pPr>
              <w:spacing w:line="240" w:lineRule="auto"/>
              <w:ind w:firstLine="0" w:firstLineChars="0"/>
              <w:jc w:val="center"/>
              <w:rPr>
                <w:rFonts w:cs="Times New Roman"/>
                <w:sz w:val="21"/>
                <w:szCs w:val="21"/>
              </w:rPr>
            </w:pPr>
            <w:r>
              <w:rPr>
                <w:rFonts w:cs="Times New Roman"/>
                <w:sz w:val="21"/>
                <w:szCs w:val="21"/>
              </w:rPr>
              <w:t>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983" w:type="dxa"/>
            <w:vAlign w:val="center"/>
          </w:tcPr>
          <w:p>
            <w:pPr>
              <w:spacing w:line="240" w:lineRule="auto"/>
              <w:ind w:firstLine="0" w:firstLineChars="0"/>
              <w:jc w:val="center"/>
              <w:rPr>
                <w:rFonts w:cs="Times New Roman"/>
                <w:sz w:val="21"/>
                <w:szCs w:val="21"/>
              </w:rPr>
            </w:pPr>
            <w:r>
              <w:rPr>
                <w:rFonts w:cs="Times New Roman"/>
                <w:sz w:val="21"/>
                <w:szCs w:val="21"/>
              </w:rPr>
              <w:t>砷</w:t>
            </w:r>
          </w:p>
        </w:tc>
        <w:tc>
          <w:tcPr>
            <w:tcW w:w="3171" w:type="dxa"/>
            <w:vMerge w:val="restart"/>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土壤和沉积物 12种金属元素的测定 王水提取-电感耦合等离子体质谱法</w:t>
            </w:r>
          </w:p>
        </w:tc>
        <w:tc>
          <w:tcPr>
            <w:tcW w:w="1629" w:type="dxa"/>
            <w:vMerge w:val="restart"/>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HJ 803-2016</w:t>
            </w:r>
          </w:p>
        </w:tc>
        <w:tc>
          <w:tcPr>
            <w:tcW w:w="2070" w:type="dxa"/>
            <w:vMerge w:val="restart"/>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7800电感耦合</w:t>
            </w:r>
          </w:p>
          <w:p>
            <w:pPr>
              <w:widowControl/>
              <w:spacing w:line="240" w:lineRule="auto"/>
              <w:ind w:firstLine="0" w:firstLineChars="0"/>
              <w:jc w:val="center"/>
              <w:textAlignment w:val="center"/>
              <w:rPr>
                <w:rFonts w:hint="eastAsia" w:eastAsia="宋体" w:cs="Times New Roman"/>
                <w:kern w:val="0"/>
                <w:sz w:val="21"/>
                <w:szCs w:val="21"/>
                <w:lang w:eastAsia="zh-CN" w:bidi="ar"/>
              </w:rPr>
            </w:pPr>
            <w:r>
              <w:rPr>
                <w:rFonts w:eastAsia="宋体" w:cs="Times New Roman"/>
                <w:kern w:val="0"/>
                <w:sz w:val="21"/>
                <w:szCs w:val="21"/>
                <w:lang w:bidi="ar"/>
              </w:rPr>
              <w:t>等离子体质谱仪</w:t>
            </w:r>
          </w:p>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YYQ-JL001</w:t>
            </w:r>
          </w:p>
        </w:tc>
        <w:tc>
          <w:tcPr>
            <w:tcW w:w="1258" w:type="dxa"/>
            <w:vAlign w:val="center"/>
          </w:tcPr>
          <w:p>
            <w:pPr>
              <w:spacing w:line="240" w:lineRule="auto"/>
              <w:ind w:firstLine="0" w:firstLineChars="0"/>
              <w:jc w:val="center"/>
              <w:rPr>
                <w:rFonts w:cs="Times New Roman"/>
                <w:sz w:val="21"/>
                <w:szCs w:val="21"/>
              </w:rPr>
            </w:pPr>
            <w:r>
              <w:rPr>
                <w:rFonts w:cs="Times New Roman"/>
                <w:sz w:val="21"/>
                <w:szCs w:val="21"/>
              </w:rPr>
              <w:t>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镉</w:t>
            </w:r>
          </w:p>
        </w:tc>
        <w:tc>
          <w:tcPr>
            <w:tcW w:w="3171" w:type="dxa"/>
            <w:vMerge w:val="continue"/>
            <w:vAlign w:val="center"/>
          </w:tcPr>
          <w:p>
            <w:pPr>
              <w:pStyle w:val="58"/>
              <w:rPr>
                <w:szCs w:val="21"/>
              </w:rPr>
            </w:pPr>
          </w:p>
        </w:tc>
        <w:tc>
          <w:tcPr>
            <w:tcW w:w="1629" w:type="dxa"/>
            <w:vMerge w:val="continue"/>
            <w:vAlign w:val="center"/>
          </w:tcPr>
          <w:p>
            <w:pPr>
              <w:spacing w:line="240" w:lineRule="auto"/>
              <w:ind w:firstLine="0" w:firstLineChars="0"/>
              <w:jc w:val="center"/>
              <w:rPr>
                <w:kern w:val="0"/>
                <w:sz w:val="21"/>
                <w:szCs w:val="21"/>
                <w:lang w:bidi="ar"/>
              </w:rPr>
            </w:pPr>
          </w:p>
        </w:tc>
        <w:tc>
          <w:tcPr>
            <w:tcW w:w="2070" w:type="dxa"/>
            <w:vMerge w:val="continue"/>
            <w:vAlign w:val="center"/>
          </w:tcPr>
          <w:p>
            <w:pPr>
              <w:spacing w:line="240" w:lineRule="auto"/>
              <w:ind w:firstLine="0" w:firstLineChars="0"/>
              <w:jc w:val="center"/>
              <w:rPr>
                <w:kern w:val="0"/>
                <w:sz w:val="21"/>
                <w:szCs w:val="21"/>
                <w:lang w:bidi="ar"/>
              </w:rPr>
            </w:pPr>
          </w:p>
        </w:tc>
        <w:tc>
          <w:tcPr>
            <w:tcW w:w="1258" w:type="dxa"/>
            <w:vAlign w:val="center"/>
          </w:tcPr>
          <w:p>
            <w:pPr>
              <w:spacing w:line="240" w:lineRule="auto"/>
              <w:ind w:firstLine="0" w:firstLineChars="0"/>
              <w:jc w:val="center"/>
              <w:rPr>
                <w:kern w:val="0"/>
                <w:sz w:val="21"/>
                <w:szCs w:val="21"/>
                <w:lang w:bidi="ar"/>
              </w:rPr>
            </w:pPr>
            <w:r>
              <w:rPr>
                <w:rFonts w:cs="Times New Roman"/>
                <w:sz w:val="21"/>
                <w:szCs w:val="21"/>
              </w:rPr>
              <w:t>0.09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镍</w:t>
            </w:r>
          </w:p>
        </w:tc>
        <w:tc>
          <w:tcPr>
            <w:tcW w:w="3171" w:type="dxa"/>
            <w:vMerge w:val="continue"/>
            <w:vAlign w:val="center"/>
          </w:tcPr>
          <w:p>
            <w:pPr>
              <w:pStyle w:val="58"/>
              <w:rPr>
                <w:szCs w:val="21"/>
              </w:rPr>
            </w:pPr>
          </w:p>
        </w:tc>
        <w:tc>
          <w:tcPr>
            <w:tcW w:w="1629" w:type="dxa"/>
            <w:vMerge w:val="continue"/>
            <w:vAlign w:val="center"/>
          </w:tcPr>
          <w:p>
            <w:pPr>
              <w:spacing w:line="240" w:lineRule="auto"/>
              <w:ind w:firstLine="0" w:firstLineChars="0"/>
              <w:jc w:val="center"/>
              <w:rPr>
                <w:kern w:val="0"/>
                <w:sz w:val="21"/>
                <w:szCs w:val="21"/>
                <w:lang w:bidi="ar"/>
              </w:rPr>
            </w:pPr>
          </w:p>
        </w:tc>
        <w:tc>
          <w:tcPr>
            <w:tcW w:w="2070" w:type="dxa"/>
            <w:vMerge w:val="continue"/>
            <w:vAlign w:val="center"/>
          </w:tcPr>
          <w:p>
            <w:pPr>
              <w:spacing w:line="240" w:lineRule="auto"/>
              <w:ind w:firstLine="0" w:firstLineChars="0"/>
              <w:jc w:val="center"/>
              <w:rPr>
                <w:kern w:val="0"/>
                <w:sz w:val="21"/>
                <w:szCs w:val="21"/>
                <w:lang w:bidi="ar"/>
              </w:rPr>
            </w:pPr>
          </w:p>
        </w:tc>
        <w:tc>
          <w:tcPr>
            <w:tcW w:w="1258" w:type="dxa"/>
            <w:vAlign w:val="center"/>
          </w:tcPr>
          <w:p>
            <w:pPr>
              <w:spacing w:line="240" w:lineRule="auto"/>
              <w:ind w:firstLine="0" w:firstLineChars="0"/>
              <w:jc w:val="center"/>
              <w:rPr>
                <w:kern w:val="0"/>
                <w:sz w:val="21"/>
                <w:szCs w:val="21"/>
                <w:lang w:bidi="ar"/>
              </w:rPr>
            </w:pPr>
            <w:r>
              <w:rPr>
                <w:rFonts w:cs="Times New Roman"/>
                <w:sz w:val="21"/>
                <w:szCs w:val="21"/>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983" w:type="dxa"/>
            <w:vAlign w:val="center"/>
          </w:tcPr>
          <w:p>
            <w:pPr>
              <w:spacing w:line="240" w:lineRule="auto"/>
              <w:ind w:firstLine="0" w:firstLineChars="0"/>
              <w:jc w:val="center"/>
              <w:rPr>
                <w:sz w:val="21"/>
                <w:szCs w:val="21"/>
              </w:rPr>
            </w:pPr>
            <w:r>
              <w:rPr>
                <w:rFonts w:hint="eastAsia" w:cs="Times New Roman"/>
                <w:sz w:val="21"/>
                <w:szCs w:val="21"/>
              </w:rPr>
              <w:t>锌</w:t>
            </w:r>
          </w:p>
        </w:tc>
        <w:tc>
          <w:tcPr>
            <w:tcW w:w="3171" w:type="dxa"/>
            <w:vMerge w:val="continue"/>
            <w:vAlign w:val="center"/>
          </w:tcPr>
          <w:p>
            <w:pPr>
              <w:pStyle w:val="58"/>
              <w:rPr>
                <w:szCs w:val="21"/>
              </w:rPr>
            </w:pPr>
          </w:p>
        </w:tc>
        <w:tc>
          <w:tcPr>
            <w:tcW w:w="1629" w:type="dxa"/>
            <w:vMerge w:val="continue"/>
            <w:vAlign w:val="center"/>
          </w:tcPr>
          <w:p>
            <w:pPr>
              <w:spacing w:line="240" w:lineRule="auto"/>
              <w:ind w:firstLine="0" w:firstLineChars="0"/>
              <w:jc w:val="center"/>
              <w:rPr>
                <w:kern w:val="0"/>
                <w:sz w:val="21"/>
                <w:szCs w:val="21"/>
                <w:lang w:bidi="ar"/>
              </w:rPr>
            </w:pPr>
          </w:p>
        </w:tc>
        <w:tc>
          <w:tcPr>
            <w:tcW w:w="2070" w:type="dxa"/>
            <w:vMerge w:val="continue"/>
            <w:vAlign w:val="center"/>
          </w:tcPr>
          <w:p>
            <w:pPr>
              <w:spacing w:line="240" w:lineRule="auto"/>
              <w:ind w:firstLine="0" w:firstLineChars="0"/>
              <w:jc w:val="center"/>
              <w:rPr>
                <w:kern w:val="0"/>
                <w:sz w:val="21"/>
                <w:szCs w:val="21"/>
                <w:lang w:bidi="ar"/>
              </w:rPr>
            </w:pPr>
          </w:p>
        </w:tc>
        <w:tc>
          <w:tcPr>
            <w:tcW w:w="1258" w:type="dxa"/>
            <w:vAlign w:val="center"/>
          </w:tcPr>
          <w:p>
            <w:pPr>
              <w:spacing w:line="240" w:lineRule="auto"/>
              <w:ind w:firstLine="0" w:firstLineChars="0"/>
              <w:jc w:val="center"/>
              <w:rPr>
                <w:kern w:val="0"/>
                <w:sz w:val="21"/>
                <w:szCs w:val="21"/>
                <w:lang w:bidi="ar"/>
              </w:rPr>
            </w:pPr>
            <w:r>
              <w:rPr>
                <w:rFonts w:eastAsia="宋体" w:cs="Times New Roman"/>
                <w:kern w:val="0"/>
                <w:sz w:val="21"/>
                <w:szCs w:val="21"/>
                <w:lang w:bidi="ar"/>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铜</w:t>
            </w:r>
          </w:p>
        </w:tc>
        <w:tc>
          <w:tcPr>
            <w:tcW w:w="3171" w:type="dxa"/>
            <w:vMerge w:val="continue"/>
            <w:vAlign w:val="center"/>
          </w:tcPr>
          <w:p>
            <w:pPr>
              <w:pStyle w:val="58"/>
              <w:rPr>
                <w:szCs w:val="21"/>
              </w:rPr>
            </w:pPr>
          </w:p>
        </w:tc>
        <w:tc>
          <w:tcPr>
            <w:tcW w:w="1629" w:type="dxa"/>
            <w:vMerge w:val="continue"/>
            <w:vAlign w:val="center"/>
          </w:tcPr>
          <w:p>
            <w:pPr>
              <w:spacing w:line="240" w:lineRule="auto"/>
              <w:ind w:firstLine="0" w:firstLineChars="0"/>
              <w:jc w:val="center"/>
              <w:rPr>
                <w:kern w:val="0"/>
                <w:sz w:val="21"/>
                <w:szCs w:val="21"/>
                <w:lang w:bidi="ar"/>
              </w:rPr>
            </w:pPr>
          </w:p>
        </w:tc>
        <w:tc>
          <w:tcPr>
            <w:tcW w:w="2070" w:type="dxa"/>
            <w:vMerge w:val="continue"/>
            <w:vAlign w:val="center"/>
          </w:tcPr>
          <w:p>
            <w:pPr>
              <w:spacing w:line="240" w:lineRule="auto"/>
              <w:ind w:firstLine="0" w:firstLineChars="0"/>
              <w:jc w:val="center"/>
              <w:rPr>
                <w:kern w:val="0"/>
                <w:sz w:val="21"/>
                <w:szCs w:val="21"/>
                <w:lang w:bidi="ar"/>
              </w:rPr>
            </w:pPr>
          </w:p>
        </w:tc>
        <w:tc>
          <w:tcPr>
            <w:tcW w:w="1258" w:type="dxa"/>
            <w:vAlign w:val="center"/>
          </w:tcPr>
          <w:p>
            <w:pPr>
              <w:spacing w:line="240" w:lineRule="auto"/>
              <w:ind w:firstLine="0" w:firstLineChars="0"/>
              <w:jc w:val="center"/>
              <w:rPr>
                <w:kern w:val="0"/>
                <w:sz w:val="21"/>
                <w:szCs w:val="21"/>
                <w:lang w:bidi="ar"/>
              </w:rPr>
            </w:pPr>
            <w:r>
              <w:rPr>
                <w:rFonts w:cs="Times New Roman"/>
                <w:sz w:val="21"/>
                <w:szCs w:val="21"/>
              </w:rPr>
              <w:t>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铅</w:t>
            </w:r>
          </w:p>
        </w:tc>
        <w:tc>
          <w:tcPr>
            <w:tcW w:w="3171" w:type="dxa"/>
            <w:vMerge w:val="continue"/>
            <w:vAlign w:val="center"/>
          </w:tcPr>
          <w:p>
            <w:pPr>
              <w:pStyle w:val="58"/>
              <w:rPr>
                <w:szCs w:val="21"/>
              </w:rPr>
            </w:pPr>
          </w:p>
        </w:tc>
        <w:tc>
          <w:tcPr>
            <w:tcW w:w="1629" w:type="dxa"/>
            <w:vMerge w:val="continue"/>
            <w:vAlign w:val="center"/>
          </w:tcPr>
          <w:p>
            <w:pPr>
              <w:spacing w:line="240" w:lineRule="auto"/>
              <w:ind w:firstLine="0" w:firstLineChars="0"/>
              <w:jc w:val="center"/>
              <w:rPr>
                <w:kern w:val="0"/>
                <w:sz w:val="21"/>
                <w:szCs w:val="21"/>
                <w:lang w:bidi="ar"/>
              </w:rPr>
            </w:pPr>
          </w:p>
        </w:tc>
        <w:tc>
          <w:tcPr>
            <w:tcW w:w="2070" w:type="dxa"/>
            <w:vMerge w:val="continue"/>
            <w:vAlign w:val="center"/>
          </w:tcPr>
          <w:p>
            <w:pPr>
              <w:spacing w:line="240" w:lineRule="auto"/>
              <w:ind w:firstLine="0" w:firstLineChars="0"/>
              <w:jc w:val="center"/>
              <w:rPr>
                <w:kern w:val="0"/>
                <w:sz w:val="21"/>
                <w:szCs w:val="21"/>
                <w:lang w:bidi="ar"/>
              </w:rPr>
            </w:pPr>
          </w:p>
        </w:tc>
        <w:tc>
          <w:tcPr>
            <w:tcW w:w="1258" w:type="dxa"/>
            <w:vAlign w:val="center"/>
          </w:tcPr>
          <w:p>
            <w:pPr>
              <w:spacing w:line="240" w:lineRule="auto"/>
              <w:ind w:firstLine="0" w:firstLineChars="0"/>
              <w:jc w:val="center"/>
              <w:rPr>
                <w:kern w:val="0"/>
                <w:sz w:val="21"/>
                <w:szCs w:val="21"/>
                <w:lang w:bidi="ar"/>
              </w:rPr>
            </w:pPr>
            <w:r>
              <w:rPr>
                <w:rFonts w:cs="Times New Roman"/>
                <w:sz w:val="21"/>
                <w:szCs w:val="21"/>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铬</w:t>
            </w:r>
          </w:p>
        </w:tc>
        <w:tc>
          <w:tcPr>
            <w:tcW w:w="3171" w:type="dxa"/>
            <w:vMerge w:val="continue"/>
            <w:vAlign w:val="center"/>
          </w:tcPr>
          <w:p>
            <w:pPr>
              <w:pStyle w:val="58"/>
              <w:rPr>
                <w:szCs w:val="21"/>
              </w:rPr>
            </w:pPr>
          </w:p>
        </w:tc>
        <w:tc>
          <w:tcPr>
            <w:tcW w:w="1629" w:type="dxa"/>
            <w:vMerge w:val="continue"/>
            <w:vAlign w:val="center"/>
          </w:tcPr>
          <w:p>
            <w:pPr>
              <w:spacing w:line="240" w:lineRule="auto"/>
              <w:ind w:firstLine="0" w:firstLineChars="0"/>
              <w:jc w:val="center"/>
              <w:rPr>
                <w:kern w:val="0"/>
                <w:sz w:val="21"/>
                <w:szCs w:val="21"/>
                <w:lang w:bidi="ar"/>
              </w:rPr>
            </w:pPr>
          </w:p>
        </w:tc>
        <w:tc>
          <w:tcPr>
            <w:tcW w:w="2070" w:type="dxa"/>
            <w:vMerge w:val="continue"/>
            <w:vAlign w:val="center"/>
          </w:tcPr>
          <w:p>
            <w:pPr>
              <w:spacing w:line="240" w:lineRule="auto"/>
              <w:ind w:firstLine="0" w:firstLineChars="0"/>
              <w:jc w:val="center"/>
              <w:rPr>
                <w:kern w:val="0"/>
                <w:sz w:val="21"/>
                <w:szCs w:val="21"/>
                <w:lang w:bidi="ar"/>
              </w:rPr>
            </w:pPr>
          </w:p>
        </w:tc>
        <w:tc>
          <w:tcPr>
            <w:tcW w:w="1258" w:type="dxa"/>
            <w:vAlign w:val="center"/>
          </w:tcPr>
          <w:p>
            <w:pPr>
              <w:spacing w:line="240" w:lineRule="auto"/>
              <w:ind w:firstLine="0" w:firstLineChars="0"/>
              <w:jc w:val="center"/>
              <w:rPr>
                <w:kern w:val="0"/>
                <w:sz w:val="21"/>
                <w:szCs w:val="21"/>
                <w:lang w:bidi="ar"/>
              </w:rPr>
            </w:pPr>
            <w:r>
              <w:rPr>
                <w:rFonts w:eastAsia="宋体" w:cs="Times New Roman"/>
                <w:kern w:val="0"/>
                <w:sz w:val="21"/>
                <w:szCs w:val="21"/>
                <w:lang w:bidi="ar"/>
              </w:rPr>
              <w:t>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983" w:type="dxa"/>
            <w:vAlign w:val="center"/>
          </w:tcPr>
          <w:p>
            <w:pPr>
              <w:spacing w:line="240" w:lineRule="auto"/>
              <w:ind w:firstLine="0" w:firstLineChars="0"/>
              <w:jc w:val="center"/>
              <w:rPr>
                <w:rFonts w:cs="Times New Roman"/>
                <w:sz w:val="21"/>
                <w:szCs w:val="21"/>
              </w:rPr>
            </w:pPr>
            <w:r>
              <w:rPr>
                <w:rFonts w:cs="Times New Roman"/>
                <w:sz w:val="21"/>
                <w:szCs w:val="21"/>
              </w:rPr>
              <w:t>六价铬</w:t>
            </w:r>
          </w:p>
        </w:tc>
        <w:tc>
          <w:tcPr>
            <w:tcW w:w="3171"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土壤和沉积物</w:t>
            </w:r>
            <w:r>
              <w:rPr>
                <w:rFonts w:hint="eastAsia" w:eastAsia="宋体" w:cs="Times New Roman"/>
                <w:kern w:val="0"/>
                <w:sz w:val="21"/>
                <w:szCs w:val="21"/>
                <w:lang w:bidi="ar"/>
              </w:rPr>
              <w:t xml:space="preserve"> </w:t>
            </w:r>
            <w:r>
              <w:rPr>
                <w:rFonts w:eastAsia="宋体" w:cs="Times New Roman"/>
                <w:kern w:val="0"/>
                <w:sz w:val="21"/>
                <w:szCs w:val="21"/>
                <w:lang w:bidi="ar"/>
              </w:rPr>
              <w:t>六价铬的测定</w:t>
            </w:r>
            <w:r>
              <w:rPr>
                <w:rFonts w:hint="eastAsia" w:eastAsia="宋体" w:cs="Times New Roman"/>
                <w:kern w:val="0"/>
                <w:sz w:val="21"/>
                <w:szCs w:val="21"/>
                <w:lang w:bidi="ar"/>
              </w:rPr>
              <w:t xml:space="preserve"> </w:t>
            </w:r>
            <w:r>
              <w:rPr>
                <w:rFonts w:eastAsia="宋体" w:cs="Times New Roman"/>
                <w:kern w:val="0"/>
                <w:sz w:val="21"/>
                <w:szCs w:val="21"/>
                <w:lang w:bidi="ar"/>
              </w:rPr>
              <w:t>碱溶液提取-火焰原子吸收分光光度法</w:t>
            </w:r>
          </w:p>
        </w:tc>
        <w:tc>
          <w:tcPr>
            <w:tcW w:w="1629"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HJ 1082-2019</w:t>
            </w:r>
          </w:p>
        </w:tc>
        <w:tc>
          <w:tcPr>
            <w:tcW w:w="2070"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iCE 3300 火焰原子吸收分光光度计SEP-CD-J154</w:t>
            </w:r>
          </w:p>
        </w:tc>
        <w:tc>
          <w:tcPr>
            <w:tcW w:w="1258" w:type="dxa"/>
            <w:vAlign w:val="center"/>
          </w:tcPr>
          <w:p>
            <w:pPr>
              <w:spacing w:line="240" w:lineRule="auto"/>
              <w:ind w:firstLine="0" w:firstLineChars="0"/>
              <w:jc w:val="center"/>
              <w:rPr>
                <w:rFonts w:cs="Times New Roman"/>
                <w:sz w:val="21"/>
                <w:szCs w:val="21"/>
              </w:rPr>
            </w:pPr>
            <w:r>
              <w:rPr>
                <w:rFonts w:eastAsia="宋体" w:cs="Times New Roman"/>
                <w:kern w:val="0"/>
                <w:sz w:val="21"/>
                <w:szCs w:val="21"/>
                <w:lang w:bidi="ar"/>
              </w:rPr>
              <w:t>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 w:hRule="atLeast"/>
          <w:jc w:val="center"/>
        </w:trPr>
        <w:tc>
          <w:tcPr>
            <w:tcW w:w="1983" w:type="dxa"/>
            <w:vAlign w:val="center"/>
          </w:tcPr>
          <w:p>
            <w:pPr>
              <w:spacing w:line="240" w:lineRule="auto"/>
              <w:ind w:firstLine="0" w:firstLineChars="0"/>
              <w:jc w:val="center"/>
              <w:rPr>
                <w:rFonts w:cs="Times New Roman"/>
                <w:sz w:val="21"/>
                <w:szCs w:val="21"/>
              </w:rPr>
            </w:pPr>
            <w:r>
              <w:rPr>
                <w:rFonts w:cs="Times New Roman"/>
                <w:sz w:val="21"/>
                <w:szCs w:val="21"/>
              </w:rPr>
              <w:t>四氯化碳</w:t>
            </w:r>
          </w:p>
        </w:tc>
        <w:tc>
          <w:tcPr>
            <w:tcW w:w="3171" w:type="dxa"/>
            <w:vMerge w:val="restart"/>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土壤和沉积物 挥发性有机物的测定 吹扫捕集气相色谱-质谱法</w:t>
            </w:r>
          </w:p>
        </w:tc>
        <w:tc>
          <w:tcPr>
            <w:tcW w:w="1629" w:type="dxa"/>
            <w:vMerge w:val="restart"/>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HJ 605-2011</w:t>
            </w:r>
          </w:p>
        </w:tc>
        <w:tc>
          <w:tcPr>
            <w:tcW w:w="2070" w:type="dxa"/>
            <w:vMerge w:val="restart"/>
            <w:vAlign w:val="center"/>
          </w:tcPr>
          <w:p>
            <w:pPr>
              <w:widowControl/>
              <w:spacing w:line="240" w:lineRule="auto"/>
              <w:ind w:firstLine="0" w:firstLineChars="0"/>
              <w:jc w:val="center"/>
              <w:textAlignment w:val="center"/>
              <w:rPr>
                <w:rFonts w:cs="Times New Roman"/>
                <w:sz w:val="21"/>
                <w:szCs w:val="21"/>
              </w:rPr>
            </w:pPr>
            <w:r>
              <w:rPr>
                <w:rFonts w:cs="Times New Roman"/>
                <w:sz w:val="21"/>
                <w:szCs w:val="21"/>
              </w:rPr>
              <w:t>ATOMX-7890B/5977B(PT&amp;GCMSD)</w:t>
            </w:r>
          </w:p>
          <w:p>
            <w:pPr>
              <w:widowControl/>
              <w:spacing w:line="240" w:lineRule="auto"/>
              <w:ind w:firstLine="0" w:firstLineChars="0"/>
              <w:jc w:val="center"/>
              <w:textAlignment w:val="center"/>
              <w:rPr>
                <w:rFonts w:cs="Times New Roman"/>
                <w:sz w:val="21"/>
                <w:szCs w:val="21"/>
              </w:rPr>
            </w:pPr>
            <w:r>
              <w:rPr>
                <w:rFonts w:cs="Times New Roman"/>
                <w:sz w:val="21"/>
                <w:szCs w:val="21"/>
              </w:rPr>
              <w:t>吹扫捕集气质联用仪SEP-CD-J076</w:t>
            </w:r>
          </w:p>
        </w:tc>
        <w:tc>
          <w:tcPr>
            <w:tcW w:w="1258" w:type="dxa"/>
            <w:vAlign w:val="center"/>
          </w:tcPr>
          <w:p>
            <w:pPr>
              <w:spacing w:line="240" w:lineRule="auto"/>
              <w:ind w:firstLine="0" w:firstLineChars="0"/>
              <w:jc w:val="center"/>
              <w:rPr>
                <w:rFonts w:eastAsia="宋体" w:cs="Times New Roman"/>
                <w:kern w:val="0"/>
                <w:sz w:val="21"/>
                <w:szCs w:val="21"/>
                <w:lang w:bidi="ar"/>
              </w:rPr>
            </w:pPr>
            <w:r>
              <w:rPr>
                <w:rFonts w:eastAsia="宋体" w:cs="Times New Roman"/>
                <w:kern w:val="0"/>
                <w:sz w:val="21"/>
                <w:szCs w:val="21"/>
                <w:lang w:bidi="ar"/>
              </w:rPr>
              <w:t>1.3</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氯仿</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textAlignment w:val="center"/>
              <w:rPr>
                <w:kern w:val="0"/>
                <w:sz w:val="21"/>
                <w:szCs w:val="21"/>
                <w:lang w:bidi="ar"/>
              </w:rPr>
            </w:pPr>
            <w:r>
              <w:rPr>
                <w:rFonts w:eastAsia="宋体" w:cs="Times New Roman"/>
                <w:kern w:val="0"/>
                <w:sz w:val="21"/>
                <w:szCs w:val="21"/>
                <w:lang w:bidi="ar"/>
              </w:rPr>
              <w:t>1.1</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氯甲烷</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textAlignment w:val="center"/>
              <w:rPr>
                <w:kern w:val="0"/>
                <w:sz w:val="21"/>
                <w:szCs w:val="21"/>
                <w:lang w:bidi="ar"/>
              </w:rPr>
            </w:pPr>
            <w:r>
              <w:rPr>
                <w:rFonts w:eastAsia="宋体" w:cs="Times New Roman"/>
                <w:kern w:val="0"/>
                <w:sz w:val="21"/>
                <w:szCs w:val="21"/>
                <w:lang w:bidi="ar"/>
              </w:rPr>
              <w:t>1.0</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1,1-二氯乙烷</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textAlignment w:val="center"/>
              <w:rPr>
                <w:kern w:val="0"/>
                <w:sz w:val="21"/>
                <w:szCs w:val="21"/>
                <w:lang w:bidi="ar"/>
              </w:rPr>
            </w:pPr>
            <w:r>
              <w:rPr>
                <w:rFonts w:hint="eastAsia" w:eastAsia="宋体" w:cs="Times New Roman"/>
                <w:kern w:val="0"/>
                <w:sz w:val="21"/>
                <w:szCs w:val="21"/>
                <w:lang w:bidi="ar"/>
              </w:rPr>
              <w:t xml:space="preserve">1.2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1,2-二氯乙烷</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textAlignment w:val="center"/>
              <w:rPr>
                <w:kern w:val="0"/>
                <w:sz w:val="21"/>
                <w:szCs w:val="21"/>
                <w:lang w:bidi="ar"/>
              </w:rPr>
            </w:pPr>
            <w:r>
              <w:rPr>
                <w:rFonts w:eastAsia="宋体" w:cs="Times New Roman"/>
                <w:kern w:val="0"/>
                <w:sz w:val="21"/>
                <w:szCs w:val="21"/>
                <w:lang w:bidi="ar"/>
              </w:rPr>
              <w:t>1.3</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1,1-二氯乙烯</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textAlignment w:val="center"/>
              <w:rPr>
                <w:kern w:val="0"/>
                <w:sz w:val="21"/>
                <w:szCs w:val="21"/>
                <w:lang w:bidi="ar"/>
              </w:rPr>
            </w:pPr>
            <w:r>
              <w:rPr>
                <w:rFonts w:eastAsia="宋体" w:cs="Times New Roman"/>
                <w:kern w:val="0"/>
                <w:sz w:val="21"/>
                <w:szCs w:val="21"/>
                <w:lang w:bidi="ar"/>
              </w:rPr>
              <w:t>1.0</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顺-1,2-二氯乙烯</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textAlignment w:val="center"/>
              <w:rPr>
                <w:kern w:val="0"/>
                <w:sz w:val="21"/>
                <w:szCs w:val="21"/>
                <w:lang w:bidi="ar"/>
              </w:rPr>
            </w:pPr>
            <w:r>
              <w:rPr>
                <w:rFonts w:hint="eastAsia" w:eastAsia="宋体" w:cs="Times New Roman"/>
                <w:kern w:val="0"/>
                <w:sz w:val="21"/>
                <w:szCs w:val="21"/>
                <w:lang w:bidi="ar"/>
              </w:rPr>
              <w:t xml:space="preserve">1.3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反-1,2-二氯乙烯</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textAlignment w:val="center"/>
              <w:rPr>
                <w:kern w:val="0"/>
                <w:sz w:val="21"/>
                <w:szCs w:val="21"/>
                <w:lang w:bidi="ar"/>
              </w:rPr>
            </w:pPr>
            <w:r>
              <w:rPr>
                <w:rFonts w:hint="eastAsia" w:eastAsia="宋体" w:cs="Times New Roman"/>
                <w:kern w:val="0"/>
                <w:sz w:val="21"/>
                <w:szCs w:val="21"/>
                <w:lang w:bidi="ar"/>
              </w:rPr>
              <w:t xml:space="preserve">1.4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二氯甲烷</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textAlignment w:val="center"/>
              <w:rPr>
                <w:kern w:val="0"/>
                <w:sz w:val="21"/>
                <w:szCs w:val="21"/>
                <w:lang w:bidi="ar"/>
              </w:rPr>
            </w:pPr>
            <w:r>
              <w:rPr>
                <w:rFonts w:hint="eastAsia" w:eastAsia="宋体" w:cs="Times New Roman"/>
                <w:kern w:val="0"/>
                <w:sz w:val="21"/>
                <w:szCs w:val="21"/>
                <w:lang w:bidi="ar"/>
              </w:rPr>
              <w:t xml:space="preserve">1.5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1,2-二氯丙烷</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textAlignment w:val="center"/>
              <w:rPr>
                <w:kern w:val="0"/>
                <w:sz w:val="21"/>
                <w:szCs w:val="21"/>
                <w:lang w:bidi="ar"/>
              </w:rPr>
            </w:pPr>
            <w:r>
              <w:rPr>
                <w:rFonts w:eastAsia="宋体" w:cs="Times New Roman"/>
                <w:kern w:val="0"/>
                <w:sz w:val="21"/>
                <w:szCs w:val="21"/>
                <w:lang w:bidi="ar"/>
              </w:rPr>
              <w:t>1.1</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1,1,1,2-四氯乙烷</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textAlignment w:val="center"/>
              <w:rPr>
                <w:kern w:val="0"/>
                <w:sz w:val="21"/>
                <w:szCs w:val="21"/>
                <w:lang w:bidi="ar"/>
              </w:rPr>
            </w:pPr>
            <w:r>
              <w:rPr>
                <w:rFonts w:eastAsia="宋体" w:cs="Times New Roman"/>
                <w:kern w:val="0"/>
                <w:sz w:val="21"/>
                <w:szCs w:val="21"/>
                <w:lang w:bidi="ar"/>
              </w:rPr>
              <w:t>1.2</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1,1,2,2-四氯乙烷</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textAlignment w:val="center"/>
              <w:rPr>
                <w:kern w:val="0"/>
                <w:sz w:val="21"/>
                <w:szCs w:val="21"/>
                <w:lang w:bidi="ar"/>
              </w:rPr>
            </w:pPr>
            <w:r>
              <w:rPr>
                <w:rFonts w:eastAsia="宋体" w:cs="Times New Roman"/>
                <w:kern w:val="0"/>
                <w:sz w:val="21"/>
                <w:szCs w:val="21"/>
                <w:lang w:bidi="ar"/>
              </w:rPr>
              <w:t>1.2</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四氯乙烯</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textAlignment w:val="center"/>
              <w:rPr>
                <w:kern w:val="0"/>
                <w:sz w:val="21"/>
                <w:szCs w:val="21"/>
                <w:lang w:bidi="ar"/>
              </w:rPr>
            </w:pPr>
            <w:r>
              <w:rPr>
                <w:rFonts w:eastAsia="宋体" w:cs="Times New Roman"/>
                <w:kern w:val="0"/>
                <w:sz w:val="21"/>
                <w:szCs w:val="21"/>
                <w:lang w:bidi="ar"/>
              </w:rPr>
              <w:t>1.4</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1,1,1-三氯乙烷</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textAlignment w:val="center"/>
              <w:rPr>
                <w:kern w:val="0"/>
                <w:sz w:val="21"/>
                <w:szCs w:val="21"/>
                <w:lang w:bidi="ar"/>
              </w:rPr>
            </w:pPr>
            <w:r>
              <w:rPr>
                <w:rFonts w:eastAsia="宋体" w:cs="Times New Roman"/>
                <w:kern w:val="0"/>
                <w:sz w:val="21"/>
                <w:szCs w:val="21"/>
                <w:lang w:bidi="ar"/>
              </w:rPr>
              <w:t>1.3</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1,1,2-三氯乙烷</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textAlignment w:val="center"/>
              <w:rPr>
                <w:kern w:val="0"/>
                <w:sz w:val="21"/>
                <w:szCs w:val="21"/>
                <w:lang w:bidi="ar"/>
              </w:rPr>
            </w:pPr>
            <w:r>
              <w:rPr>
                <w:rFonts w:eastAsia="宋体" w:cs="Times New Roman"/>
                <w:kern w:val="0"/>
                <w:sz w:val="21"/>
                <w:szCs w:val="21"/>
                <w:lang w:bidi="ar"/>
              </w:rPr>
              <w:t>1.2</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三氯乙烯</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textAlignment w:val="center"/>
              <w:rPr>
                <w:kern w:val="0"/>
                <w:sz w:val="21"/>
                <w:szCs w:val="21"/>
                <w:lang w:bidi="ar"/>
              </w:rPr>
            </w:pPr>
            <w:r>
              <w:rPr>
                <w:rFonts w:eastAsia="宋体" w:cs="Times New Roman"/>
                <w:kern w:val="0"/>
                <w:sz w:val="21"/>
                <w:szCs w:val="21"/>
                <w:lang w:bidi="ar"/>
              </w:rPr>
              <w:t>1.2</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rFonts w:cs="Times New Roman"/>
                <w:sz w:val="21"/>
                <w:szCs w:val="21"/>
              </w:rPr>
            </w:pPr>
            <w:r>
              <w:rPr>
                <w:rFonts w:cs="Times New Roman"/>
                <w:sz w:val="21"/>
                <w:szCs w:val="21"/>
              </w:rPr>
              <w:t>1,2,3-三氯丙烷</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rPr>
                <w:rFonts w:eastAsia="宋体" w:cs="Times New Roman"/>
                <w:kern w:val="0"/>
                <w:sz w:val="21"/>
                <w:szCs w:val="21"/>
                <w:lang w:bidi="ar"/>
              </w:rPr>
            </w:pPr>
            <w:r>
              <w:rPr>
                <w:rFonts w:hint="eastAsia" w:eastAsia="宋体" w:cs="Times New Roman"/>
                <w:kern w:val="0"/>
                <w:sz w:val="21"/>
                <w:szCs w:val="21"/>
                <w:lang w:bidi="ar"/>
              </w:rPr>
              <w:t xml:space="preserve">1.2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rFonts w:cs="Times New Roman"/>
                <w:sz w:val="21"/>
                <w:szCs w:val="21"/>
              </w:rPr>
            </w:pPr>
            <w:r>
              <w:rPr>
                <w:rFonts w:cs="Times New Roman"/>
                <w:sz w:val="21"/>
                <w:szCs w:val="21"/>
              </w:rPr>
              <w:t>氯乙烯</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rPr>
                <w:rFonts w:eastAsia="宋体" w:cs="Times New Roman"/>
                <w:kern w:val="0"/>
                <w:sz w:val="21"/>
                <w:szCs w:val="21"/>
                <w:lang w:bidi="ar"/>
              </w:rPr>
            </w:pPr>
            <w:r>
              <w:rPr>
                <w:rFonts w:eastAsia="宋体" w:cs="Times New Roman"/>
                <w:kern w:val="0"/>
                <w:sz w:val="21"/>
                <w:szCs w:val="21"/>
                <w:lang w:bidi="ar"/>
              </w:rPr>
              <w:t>1.0</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rFonts w:cs="Times New Roman"/>
                <w:sz w:val="21"/>
                <w:szCs w:val="21"/>
              </w:rPr>
            </w:pPr>
            <w:r>
              <w:rPr>
                <w:rFonts w:cs="Times New Roman"/>
                <w:sz w:val="21"/>
                <w:szCs w:val="21"/>
              </w:rPr>
              <w:t>苯</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rPr>
                <w:rFonts w:eastAsia="宋体" w:cs="Times New Roman"/>
                <w:kern w:val="0"/>
                <w:sz w:val="21"/>
                <w:szCs w:val="21"/>
                <w:lang w:bidi="ar"/>
              </w:rPr>
            </w:pPr>
            <w:r>
              <w:rPr>
                <w:rFonts w:eastAsia="宋体" w:cs="Times New Roman"/>
                <w:kern w:val="0"/>
                <w:sz w:val="21"/>
                <w:szCs w:val="21"/>
                <w:lang w:bidi="ar"/>
              </w:rPr>
              <w:t>1.9</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rFonts w:cs="Times New Roman"/>
                <w:sz w:val="21"/>
                <w:szCs w:val="21"/>
              </w:rPr>
            </w:pPr>
            <w:r>
              <w:rPr>
                <w:rFonts w:cs="Times New Roman"/>
                <w:sz w:val="21"/>
                <w:szCs w:val="21"/>
              </w:rPr>
              <w:t>氯苯</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rPr>
                <w:rFonts w:eastAsia="宋体" w:cs="Times New Roman"/>
                <w:kern w:val="0"/>
                <w:sz w:val="21"/>
                <w:szCs w:val="21"/>
                <w:lang w:bidi="ar"/>
              </w:rPr>
            </w:pPr>
            <w:r>
              <w:rPr>
                <w:rFonts w:eastAsia="宋体" w:cs="Times New Roman"/>
                <w:kern w:val="0"/>
                <w:sz w:val="21"/>
                <w:szCs w:val="21"/>
                <w:lang w:bidi="ar"/>
              </w:rPr>
              <w:t>1.2</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rFonts w:cs="Times New Roman"/>
                <w:sz w:val="21"/>
                <w:szCs w:val="21"/>
              </w:rPr>
            </w:pPr>
            <w:r>
              <w:rPr>
                <w:rFonts w:cs="Times New Roman"/>
                <w:sz w:val="21"/>
                <w:szCs w:val="21"/>
              </w:rPr>
              <w:t>1,2-二氯苯</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rPr>
                <w:rFonts w:eastAsia="宋体" w:cs="Times New Roman"/>
                <w:kern w:val="0"/>
                <w:sz w:val="21"/>
                <w:szCs w:val="21"/>
                <w:lang w:bidi="ar"/>
              </w:rPr>
            </w:pPr>
            <w:r>
              <w:rPr>
                <w:rFonts w:eastAsia="宋体" w:cs="Times New Roman"/>
                <w:kern w:val="0"/>
                <w:sz w:val="21"/>
                <w:szCs w:val="21"/>
                <w:lang w:bidi="ar"/>
              </w:rPr>
              <w:t>1.5</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rFonts w:cs="Times New Roman"/>
                <w:sz w:val="21"/>
                <w:szCs w:val="21"/>
              </w:rPr>
            </w:pPr>
            <w:r>
              <w:rPr>
                <w:rFonts w:cs="Times New Roman"/>
                <w:sz w:val="21"/>
                <w:szCs w:val="21"/>
              </w:rPr>
              <w:t>1,4-二氯苯</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rPr>
                <w:rFonts w:eastAsia="宋体" w:cs="Times New Roman"/>
                <w:kern w:val="0"/>
                <w:sz w:val="21"/>
                <w:szCs w:val="21"/>
                <w:lang w:bidi="ar"/>
              </w:rPr>
            </w:pPr>
            <w:r>
              <w:rPr>
                <w:rFonts w:eastAsia="宋体" w:cs="Times New Roman"/>
                <w:kern w:val="0"/>
                <w:sz w:val="21"/>
                <w:szCs w:val="21"/>
                <w:lang w:bidi="ar"/>
              </w:rPr>
              <w:t>1.5</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rFonts w:cs="Times New Roman"/>
                <w:sz w:val="21"/>
                <w:szCs w:val="21"/>
              </w:rPr>
            </w:pPr>
            <w:r>
              <w:rPr>
                <w:rFonts w:cs="Times New Roman"/>
                <w:sz w:val="21"/>
                <w:szCs w:val="21"/>
              </w:rPr>
              <w:t>乙苯</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rPr>
                <w:rFonts w:eastAsia="宋体" w:cs="Times New Roman"/>
                <w:kern w:val="0"/>
                <w:sz w:val="21"/>
                <w:szCs w:val="21"/>
                <w:lang w:bidi="ar"/>
              </w:rPr>
            </w:pPr>
            <w:r>
              <w:rPr>
                <w:rFonts w:eastAsia="宋体" w:cs="Times New Roman"/>
                <w:kern w:val="0"/>
                <w:sz w:val="21"/>
                <w:szCs w:val="21"/>
                <w:lang w:bidi="ar"/>
              </w:rPr>
              <w:t>1.2</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rFonts w:cs="Times New Roman"/>
                <w:sz w:val="21"/>
                <w:szCs w:val="21"/>
              </w:rPr>
            </w:pPr>
            <w:r>
              <w:rPr>
                <w:rFonts w:cs="Times New Roman"/>
                <w:sz w:val="21"/>
                <w:szCs w:val="21"/>
              </w:rPr>
              <w:t>苯乙烯</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rPr>
                <w:rFonts w:eastAsia="宋体" w:cs="Times New Roman"/>
                <w:kern w:val="0"/>
                <w:sz w:val="21"/>
                <w:szCs w:val="21"/>
                <w:lang w:bidi="ar"/>
              </w:rPr>
            </w:pPr>
            <w:r>
              <w:rPr>
                <w:rFonts w:eastAsia="宋体" w:cs="Times New Roman"/>
                <w:kern w:val="0"/>
                <w:sz w:val="21"/>
                <w:szCs w:val="21"/>
                <w:lang w:bidi="ar"/>
              </w:rPr>
              <w:t>1.1</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rFonts w:cs="Times New Roman"/>
                <w:sz w:val="21"/>
                <w:szCs w:val="21"/>
              </w:rPr>
            </w:pPr>
            <w:r>
              <w:rPr>
                <w:rFonts w:cs="Times New Roman"/>
                <w:sz w:val="21"/>
                <w:szCs w:val="21"/>
              </w:rPr>
              <w:t>甲苯</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rPr>
                <w:rFonts w:eastAsia="宋体" w:cs="Times New Roman"/>
                <w:kern w:val="0"/>
                <w:sz w:val="21"/>
                <w:szCs w:val="21"/>
                <w:lang w:bidi="ar"/>
              </w:rPr>
            </w:pPr>
            <w:r>
              <w:rPr>
                <w:rFonts w:eastAsia="宋体" w:cs="Times New Roman"/>
                <w:kern w:val="0"/>
                <w:sz w:val="21"/>
                <w:szCs w:val="21"/>
                <w:lang w:bidi="ar"/>
              </w:rPr>
              <w:t>1.3</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rFonts w:cs="Times New Roman"/>
                <w:sz w:val="21"/>
                <w:szCs w:val="21"/>
              </w:rPr>
            </w:pPr>
            <w:r>
              <w:rPr>
                <w:rFonts w:cs="Times New Roman"/>
                <w:sz w:val="21"/>
                <w:szCs w:val="21"/>
              </w:rPr>
              <w:t>间二甲苯+对二甲苯</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rPr>
                <w:rFonts w:eastAsia="宋体" w:cs="Times New Roman"/>
                <w:kern w:val="0"/>
                <w:sz w:val="21"/>
                <w:szCs w:val="21"/>
                <w:lang w:bidi="ar"/>
              </w:rPr>
            </w:pPr>
            <w:r>
              <w:rPr>
                <w:rFonts w:eastAsia="宋体" w:cs="Times New Roman"/>
                <w:kern w:val="0"/>
                <w:sz w:val="21"/>
                <w:szCs w:val="21"/>
                <w:lang w:bidi="ar"/>
              </w:rPr>
              <w:t>1.2</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1983" w:type="dxa"/>
            <w:vAlign w:val="center"/>
          </w:tcPr>
          <w:p>
            <w:pPr>
              <w:spacing w:line="240" w:lineRule="auto"/>
              <w:ind w:firstLine="0" w:firstLineChars="0"/>
              <w:jc w:val="center"/>
              <w:rPr>
                <w:rFonts w:cs="Times New Roman"/>
                <w:sz w:val="21"/>
                <w:szCs w:val="21"/>
              </w:rPr>
            </w:pPr>
            <w:r>
              <w:rPr>
                <w:rFonts w:cs="Times New Roman"/>
                <w:sz w:val="21"/>
                <w:szCs w:val="21"/>
              </w:rPr>
              <w:t>邻二甲苯</w:t>
            </w:r>
          </w:p>
        </w:tc>
        <w:tc>
          <w:tcPr>
            <w:tcW w:w="3171" w:type="dxa"/>
            <w:vMerge w:val="continue"/>
            <w:vAlign w:val="center"/>
          </w:tcPr>
          <w:p>
            <w:pPr>
              <w:widowControl/>
              <w:spacing w:line="240" w:lineRule="auto"/>
              <w:ind w:firstLine="0" w:firstLineChars="0"/>
              <w:jc w:val="center"/>
              <w:textAlignment w:val="center"/>
              <w:rPr>
                <w:sz w:val="21"/>
                <w:szCs w:val="21"/>
              </w:rPr>
            </w:pPr>
          </w:p>
        </w:tc>
        <w:tc>
          <w:tcPr>
            <w:tcW w:w="1629"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2070" w:type="dxa"/>
            <w:vMerge w:val="continue"/>
            <w:vAlign w:val="center"/>
          </w:tcPr>
          <w:p>
            <w:pPr>
              <w:widowControl/>
              <w:spacing w:line="240" w:lineRule="auto"/>
              <w:ind w:firstLine="0" w:firstLineChars="0"/>
              <w:jc w:val="center"/>
              <w:textAlignment w:val="center"/>
              <w:rPr>
                <w:rFonts w:eastAsia="Times New Roman" w:cs="Times New Roman"/>
                <w:sz w:val="21"/>
                <w:szCs w:val="21"/>
              </w:rPr>
            </w:pPr>
          </w:p>
        </w:tc>
        <w:tc>
          <w:tcPr>
            <w:tcW w:w="1258" w:type="dxa"/>
            <w:vAlign w:val="center"/>
          </w:tcPr>
          <w:p>
            <w:pPr>
              <w:spacing w:line="240" w:lineRule="auto"/>
              <w:ind w:firstLine="0" w:firstLineChars="0"/>
              <w:jc w:val="center"/>
              <w:rPr>
                <w:rFonts w:eastAsia="宋体" w:cs="Times New Roman"/>
                <w:kern w:val="0"/>
                <w:sz w:val="21"/>
                <w:szCs w:val="21"/>
                <w:lang w:bidi="ar"/>
              </w:rPr>
            </w:pPr>
            <w:r>
              <w:rPr>
                <w:rFonts w:eastAsia="宋体" w:cs="Times New Roman"/>
                <w:kern w:val="0"/>
                <w:sz w:val="21"/>
                <w:szCs w:val="21"/>
                <w:lang w:bidi="ar"/>
              </w:rPr>
              <w:t>1.2</w:t>
            </w:r>
            <w:r>
              <w:rPr>
                <w:rFonts w:hint="eastAsia" w:eastAsia="宋体" w:cs="Times New Roman"/>
                <w:kern w:val="0"/>
                <w:sz w:val="21"/>
                <w:szCs w:val="21"/>
                <w:lang w:bidi="ar"/>
              </w:rPr>
              <w:t xml:space="preserve"> </w:t>
            </w:r>
            <w:r>
              <w:rPr>
                <w:rFonts w:eastAsia="宋体" w:cs="Times New Roman"/>
                <w:kern w:val="0"/>
                <w:sz w:val="21"/>
                <w:szCs w:val="21"/>
                <w:lang w:bidi="ar"/>
              </w:rPr>
              <w:t>μg/kg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1983" w:type="dxa"/>
            <w:vAlign w:val="center"/>
          </w:tcPr>
          <w:p>
            <w:pPr>
              <w:spacing w:line="240" w:lineRule="auto"/>
              <w:ind w:firstLine="0" w:firstLineChars="0"/>
              <w:jc w:val="center"/>
              <w:rPr>
                <w:rFonts w:cs="Times New Roman"/>
                <w:sz w:val="21"/>
                <w:szCs w:val="21"/>
              </w:rPr>
            </w:pPr>
            <w:r>
              <w:rPr>
                <w:rFonts w:cs="Times New Roman"/>
                <w:sz w:val="21"/>
                <w:szCs w:val="21"/>
              </w:rPr>
              <w:t>硝基苯</w:t>
            </w:r>
          </w:p>
        </w:tc>
        <w:tc>
          <w:tcPr>
            <w:tcW w:w="3171" w:type="dxa"/>
            <w:vMerge w:val="restart"/>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土壤和沉积物 半挥发性有机物的测定 气相色谱-质谱法</w:t>
            </w:r>
          </w:p>
        </w:tc>
        <w:tc>
          <w:tcPr>
            <w:tcW w:w="1629" w:type="dxa"/>
            <w:vMerge w:val="restart"/>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HJ 834-2017</w:t>
            </w:r>
          </w:p>
        </w:tc>
        <w:tc>
          <w:tcPr>
            <w:tcW w:w="2070" w:type="dxa"/>
            <w:vMerge w:val="restart"/>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8860-5977B (GC&amp;MSD)</w:t>
            </w:r>
          </w:p>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气质联用仪</w:t>
            </w:r>
          </w:p>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SEP-CD-J179</w:t>
            </w:r>
          </w:p>
        </w:tc>
        <w:tc>
          <w:tcPr>
            <w:tcW w:w="1258" w:type="dxa"/>
            <w:vAlign w:val="center"/>
          </w:tcPr>
          <w:p>
            <w:pPr>
              <w:spacing w:line="240" w:lineRule="auto"/>
              <w:ind w:firstLine="0" w:firstLineChars="0"/>
              <w:jc w:val="center"/>
              <w:rPr>
                <w:rFonts w:cs="Times New Roman"/>
                <w:sz w:val="21"/>
                <w:szCs w:val="21"/>
              </w:rPr>
            </w:pPr>
            <w:r>
              <w:rPr>
                <w:rFonts w:cs="Times New Roman"/>
                <w:sz w:val="21"/>
                <w:szCs w:val="21"/>
              </w:rPr>
              <w:t>0.09</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苯胺</w:t>
            </w:r>
          </w:p>
        </w:tc>
        <w:tc>
          <w:tcPr>
            <w:tcW w:w="3171" w:type="dxa"/>
            <w:vMerge w:val="continue"/>
            <w:vAlign w:val="center"/>
          </w:tcPr>
          <w:p>
            <w:pPr>
              <w:spacing w:line="240" w:lineRule="auto"/>
              <w:ind w:firstLine="0" w:firstLineChars="0"/>
              <w:jc w:val="center"/>
              <w:rPr>
                <w:sz w:val="21"/>
                <w:szCs w:val="21"/>
              </w:rPr>
            </w:pPr>
          </w:p>
        </w:tc>
        <w:tc>
          <w:tcPr>
            <w:tcW w:w="1629" w:type="dxa"/>
            <w:vMerge w:val="continue"/>
            <w:vAlign w:val="center"/>
          </w:tcPr>
          <w:p>
            <w:pPr>
              <w:spacing w:line="240" w:lineRule="auto"/>
              <w:ind w:firstLine="0" w:firstLineChars="0"/>
              <w:jc w:val="center"/>
              <w:rPr>
                <w:rFonts w:eastAsia="宋体" w:cs="Times New Roman"/>
                <w:kern w:val="0"/>
                <w:sz w:val="21"/>
                <w:szCs w:val="21"/>
                <w:lang w:bidi="ar"/>
              </w:rPr>
            </w:pPr>
          </w:p>
        </w:tc>
        <w:tc>
          <w:tcPr>
            <w:tcW w:w="2070" w:type="dxa"/>
            <w:vMerge w:val="continue"/>
            <w:vAlign w:val="center"/>
          </w:tcPr>
          <w:p>
            <w:pPr>
              <w:widowControl/>
              <w:spacing w:line="240" w:lineRule="auto"/>
              <w:ind w:firstLine="0" w:firstLineChars="0"/>
              <w:jc w:val="center"/>
              <w:textAlignment w:val="center"/>
              <w:rPr>
                <w:rFonts w:eastAsia="宋体" w:cs="Times New Roman"/>
                <w:kern w:val="0"/>
                <w:sz w:val="21"/>
                <w:szCs w:val="21"/>
                <w:lang w:bidi="ar"/>
              </w:rPr>
            </w:pPr>
          </w:p>
        </w:tc>
        <w:tc>
          <w:tcPr>
            <w:tcW w:w="1258" w:type="dxa"/>
            <w:vAlign w:val="center"/>
          </w:tcPr>
          <w:p>
            <w:pPr>
              <w:pStyle w:val="58"/>
              <w:rPr>
                <w:szCs w:val="21"/>
              </w:rPr>
            </w:pPr>
            <w:r>
              <w:rPr>
                <w:rFonts w:cs="Times New Roman"/>
                <w:szCs w:val="21"/>
              </w:rPr>
              <w:t>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2-氯酚</w:t>
            </w:r>
          </w:p>
        </w:tc>
        <w:tc>
          <w:tcPr>
            <w:tcW w:w="3171" w:type="dxa"/>
            <w:vMerge w:val="continue"/>
            <w:vAlign w:val="center"/>
          </w:tcPr>
          <w:p>
            <w:pPr>
              <w:spacing w:line="240" w:lineRule="auto"/>
              <w:ind w:firstLine="0" w:firstLineChars="0"/>
              <w:jc w:val="center"/>
              <w:rPr>
                <w:sz w:val="21"/>
                <w:szCs w:val="21"/>
              </w:rPr>
            </w:pPr>
          </w:p>
        </w:tc>
        <w:tc>
          <w:tcPr>
            <w:tcW w:w="1629" w:type="dxa"/>
            <w:vMerge w:val="continue"/>
            <w:vAlign w:val="center"/>
          </w:tcPr>
          <w:p>
            <w:pPr>
              <w:spacing w:line="240" w:lineRule="auto"/>
              <w:ind w:firstLine="0" w:firstLineChars="0"/>
              <w:jc w:val="center"/>
              <w:rPr>
                <w:rFonts w:eastAsia="宋体" w:cs="Times New Roman"/>
                <w:kern w:val="0"/>
                <w:sz w:val="21"/>
                <w:szCs w:val="21"/>
                <w:lang w:bidi="ar"/>
              </w:rPr>
            </w:pPr>
          </w:p>
        </w:tc>
        <w:tc>
          <w:tcPr>
            <w:tcW w:w="2070" w:type="dxa"/>
            <w:vMerge w:val="continue"/>
            <w:vAlign w:val="center"/>
          </w:tcPr>
          <w:p>
            <w:pPr>
              <w:widowControl/>
              <w:spacing w:line="240" w:lineRule="auto"/>
              <w:ind w:firstLine="0" w:firstLineChars="0"/>
              <w:jc w:val="center"/>
              <w:textAlignment w:val="center"/>
              <w:rPr>
                <w:rFonts w:eastAsia="宋体" w:cs="Times New Roman"/>
                <w:kern w:val="0"/>
                <w:sz w:val="21"/>
                <w:szCs w:val="21"/>
                <w:lang w:bidi="ar"/>
              </w:rPr>
            </w:pPr>
          </w:p>
        </w:tc>
        <w:tc>
          <w:tcPr>
            <w:tcW w:w="1258" w:type="dxa"/>
            <w:vAlign w:val="center"/>
          </w:tcPr>
          <w:p>
            <w:pPr>
              <w:pStyle w:val="58"/>
              <w:rPr>
                <w:szCs w:val="21"/>
              </w:rPr>
            </w:pPr>
            <w:r>
              <w:rPr>
                <w:rFonts w:cs="Times New Roman"/>
                <w:szCs w:val="21"/>
              </w:rPr>
              <w:t>0.06</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苯并[a]蒽</w:t>
            </w:r>
          </w:p>
        </w:tc>
        <w:tc>
          <w:tcPr>
            <w:tcW w:w="3171" w:type="dxa"/>
            <w:vMerge w:val="continue"/>
            <w:vAlign w:val="center"/>
          </w:tcPr>
          <w:p>
            <w:pPr>
              <w:spacing w:line="240" w:lineRule="auto"/>
              <w:ind w:firstLine="0" w:firstLineChars="0"/>
              <w:jc w:val="center"/>
              <w:rPr>
                <w:sz w:val="21"/>
                <w:szCs w:val="21"/>
              </w:rPr>
            </w:pPr>
          </w:p>
        </w:tc>
        <w:tc>
          <w:tcPr>
            <w:tcW w:w="1629" w:type="dxa"/>
            <w:vMerge w:val="continue"/>
            <w:vAlign w:val="center"/>
          </w:tcPr>
          <w:p>
            <w:pPr>
              <w:spacing w:line="240" w:lineRule="auto"/>
              <w:ind w:firstLine="0" w:firstLineChars="0"/>
              <w:jc w:val="center"/>
              <w:rPr>
                <w:rFonts w:eastAsia="宋体" w:cs="Times New Roman"/>
                <w:kern w:val="0"/>
                <w:sz w:val="21"/>
                <w:szCs w:val="21"/>
                <w:lang w:bidi="ar"/>
              </w:rPr>
            </w:pPr>
          </w:p>
        </w:tc>
        <w:tc>
          <w:tcPr>
            <w:tcW w:w="2070" w:type="dxa"/>
            <w:vMerge w:val="continue"/>
            <w:vAlign w:val="center"/>
          </w:tcPr>
          <w:p>
            <w:pPr>
              <w:widowControl/>
              <w:spacing w:line="240" w:lineRule="auto"/>
              <w:ind w:firstLine="0" w:firstLineChars="0"/>
              <w:jc w:val="center"/>
              <w:textAlignment w:val="center"/>
              <w:rPr>
                <w:rFonts w:eastAsia="宋体" w:cs="Times New Roman"/>
                <w:kern w:val="0"/>
                <w:sz w:val="21"/>
                <w:szCs w:val="21"/>
                <w:lang w:bidi="ar"/>
              </w:rPr>
            </w:pPr>
          </w:p>
        </w:tc>
        <w:tc>
          <w:tcPr>
            <w:tcW w:w="1258" w:type="dxa"/>
            <w:vAlign w:val="center"/>
          </w:tcPr>
          <w:p>
            <w:pPr>
              <w:pStyle w:val="58"/>
              <w:rPr>
                <w:szCs w:val="21"/>
              </w:rPr>
            </w:pPr>
            <w:r>
              <w:rPr>
                <w:rFonts w:cs="Times New Roman"/>
                <w:szCs w:val="21"/>
              </w:rPr>
              <w:t>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苯并[a]芘</w:t>
            </w:r>
          </w:p>
        </w:tc>
        <w:tc>
          <w:tcPr>
            <w:tcW w:w="3171" w:type="dxa"/>
            <w:vMerge w:val="continue"/>
            <w:vAlign w:val="center"/>
          </w:tcPr>
          <w:p>
            <w:pPr>
              <w:spacing w:line="240" w:lineRule="auto"/>
              <w:ind w:firstLine="0" w:firstLineChars="0"/>
              <w:jc w:val="center"/>
              <w:rPr>
                <w:sz w:val="21"/>
                <w:szCs w:val="21"/>
              </w:rPr>
            </w:pPr>
          </w:p>
        </w:tc>
        <w:tc>
          <w:tcPr>
            <w:tcW w:w="1629" w:type="dxa"/>
            <w:vMerge w:val="continue"/>
            <w:vAlign w:val="center"/>
          </w:tcPr>
          <w:p>
            <w:pPr>
              <w:spacing w:line="240" w:lineRule="auto"/>
              <w:ind w:firstLine="0" w:firstLineChars="0"/>
              <w:jc w:val="center"/>
              <w:rPr>
                <w:rFonts w:eastAsia="宋体" w:cs="Times New Roman"/>
                <w:kern w:val="0"/>
                <w:sz w:val="21"/>
                <w:szCs w:val="21"/>
                <w:lang w:bidi="ar"/>
              </w:rPr>
            </w:pPr>
          </w:p>
        </w:tc>
        <w:tc>
          <w:tcPr>
            <w:tcW w:w="2070" w:type="dxa"/>
            <w:vMerge w:val="continue"/>
            <w:vAlign w:val="center"/>
          </w:tcPr>
          <w:p>
            <w:pPr>
              <w:widowControl/>
              <w:spacing w:line="240" w:lineRule="auto"/>
              <w:ind w:firstLine="0" w:firstLineChars="0"/>
              <w:jc w:val="center"/>
              <w:textAlignment w:val="center"/>
              <w:rPr>
                <w:rFonts w:eastAsia="宋体" w:cs="Times New Roman"/>
                <w:kern w:val="0"/>
                <w:sz w:val="21"/>
                <w:szCs w:val="21"/>
                <w:lang w:bidi="ar"/>
              </w:rPr>
            </w:pPr>
          </w:p>
        </w:tc>
        <w:tc>
          <w:tcPr>
            <w:tcW w:w="1258" w:type="dxa"/>
            <w:vAlign w:val="center"/>
          </w:tcPr>
          <w:p>
            <w:pPr>
              <w:pStyle w:val="58"/>
              <w:rPr>
                <w:szCs w:val="21"/>
              </w:rPr>
            </w:pPr>
            <w:r>
              <w:rPr>
                <w:rFonts w:cs="Times New Roman"/>
                <w:szCs w:val="21"/>
              </w:rPr>
              <w:t>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苯并[b]荧蒽</w:t>
            </w:r>
          </w:p>
        </w:tc>
        <w:tc>
          <w:tcPr>
            <w:tcW w:w="3171" w:type="dxa"/>
            <w:vMerge w:val="continue"/>
            <w:vAlign w:val="center"/>
          </w:tcPr>
          <w:p>
            <w:pPr>
              <w:spacing w:line="240" w:lineRule="auto"/>
              <w:ind w:firstLine="0" w:firstLineChars="0"/>
              <w:jc w:val="center"/>
              <w:rPr>
                <w:sz w:val="21"/>
                <w:szCs w:val="21"/>
              </w:rPr>
            </w:pPr>
          </w:p>
        </w:tc>
        <w:tc>
          <w:tcPr>
            <w:tcW w:w="1629" w:type="dxa"/>
            <w:vMerge w:val="continue"/>
            <w:vAlign w:val="center"/>
          </w:tcPr>
          <w:p>
            <w:pPr>
              <w:spacing w:line="240" w:lineRule="auto"/>
              <w:ind w:firstLine="0" w:firstLineChars="0"/>
              <w:jc w:val="center"/>
              <w:rPr>
                <w:rFonts w:eastAsia="宋体" w:cs="Times New Roman"/>
                <w:kern w:val="0"/>
                <w:sz w:val="21"/>
                <w:szCs w:val="21"/>
                <w:lang w:bidi="ar"/>
              </w:rPr>
            </w:pPr>
          </w:p>
        </w:tc>
        <w:tc>
          <w:tcPr>
            <w:tcW w:w="2070" w:type="dxa"/>
            <w:vMerge w:val="continue"/>
            <w:vAlign w:val="center"/>
          </w:tcPr>
          <w:p>
            <w:pPr>
              <w:widowControl/>
              <w:spacing w:line="240" w:lineRule="auto"/>
              <w:ind w:firstLine="0" w:firstLineChars="0"/>
              <w:jc w:val="center"/>
              <w:textAlignment w:val="center"/>
              <w:rPr>
                <w:rFonts w:eastAsia="宋体" w:cs="Times New Roman"/>
                <w:kern w:val="0"/>
                <w:sz w:val="21"/>
                <w:szCs w:val="21"/>
                <w:lang w:bidi="ar"/>
              </w:rPr>
            </w:pPr>
          </w:p>
        </w:tc>
        <w:tc>
          <w:tcPr>
            <w:tcW w:w="1258" w:type="dxa"/>
            <w:vAlign w:val="center"/>
          </w:tcPr>
          <w:p>
            <w:pPr>
              <w:pStyle w:val="58"/>
              <w:rPr>
                <w:szCs w:val="21"/>
              </w:rPr>
            </w:pPr>
            <w:r>
              <w:rPr>
                <w:rFonts w:cs="Times New Roman"/>
                <w:szCs w:val="21"/>
              </w:rPr>
              <w:t>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苯并[k]荧蒽</w:t>
            </w:r>
          </w:p>
        </w:tc>
        <w:tc>
          <w:tcPr>
            <w:tcW w:w="3171" w:type="dxa"/>
            <w:vMerge w:val="continue"/>
            <w:vAlign w:val="center"/>
          </w:tcPr>
          <w:p>
            <w:pPr>
              <w:spacing w:line="240" w:lineRule="auto"/>
              <w:ind w:firstLine="0" w:firstLineChars="0"/>
              <w:jc w:val="center"/>
              <w:rPr>
                <w:sz w:val="21"/>
                <w:szCs w:val="21"/>
              </w:rPr>
            </w:pPr>
          </w:p>
        </w:tc>
        <w:tc>
          <w:tcPr>
            <w:tcW w:w="1629" w:type="dxa"/>
            <w:vMerge w:val="continue"/>
            <w:vAlign w:val="center"/>
          </w:tcPr>
          <w:p>
            <w:pPr>
              <w:spacing w:line="240" w:lineRule="auto"/>
              <w:ind w:firstLine="0" w:firstLineChars="0"/>
              <w:jc w:val="center"/>
              <w:rPr>
                <w:rFonts w:eastAsia="宋体" w:cs="Times New Roman"/>
                <w:kern w:val="0"/>
                <w:sz w:val="21"/>
                <w:szCs w:val="21"/>
                <w:lang w:bidi="ar"/>
              </w:rPr>
            </w:pPr>
          </w:p>
        </w:tc>
        <w:tc>
          <w:tcPr>
            <w:tcW w:w="2070" w:type="dxa"/>
            <w:vMerge w:val="continue"/>
            <w:vAlign w:val="center"/>
          </w:tcPr>
          <w:p>
            <w:pPr>
              <w:widowControl/>
              <w:spacing w:line="240" w:lineRule="auto"/>
              <w:ind w:firstLine="0" w:firstLineChars="0"/>
              <w:jc w:val="center"/>
              <w:textAlignment w:val="center"/>
              <w:rPr>
                <w:rFonts w:eastAsia="宋体" w:cs="Times New Roman"/>
                <w:kern w:val="0"/>
                <w:sz w:val="21"/>
                <w:szCs w:val="21"/>
                <w:lang w:bidi="ar"/>
              </w:rPr>
            </w:pPr>
          </w:p>
        </w:tc>
        <w:tc>
          <w:tcPr>
            <w:tcW w:w="1258" w:type="dxa"/>
            <w:vAlign w:val="center"/>
          </w:tcPr>
          <w:p>
            <w:pPr>
              <w:pStyle w:val="58"/>
              <w:rPr>
                <w:szCs w:val="21"/>
              </w:rPr>
            </w:pPr>
            <w:r>
              <w:rPr>
                <w:rFonts w:cs="Times New Roman"/>
                <w:szCs w:val="21"/>
              </w:rPr>
              <w:t>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䓛</w:t>
            </w:r>
          </w:p>
        </w:tc>
        <w:tc>
          <w:tcPr>
            <w:tcW w:w="3171" w:type="dxa"/>
            <w:vMerge w:val="continue"/>
            <w:vAlign w:val="center"/>
          </w:tcPr>
          <w:p>
            <w:pPr>
              <w:spacing w:line="240" w:lineRule="auto"/>
              <w:ind w:firstLine="0" w:firstLineChars="0"/>
              <w:jc w:val="center"/>
              <w:rPr>
                <w:sz w:val="21"/>
                <w:szCs w:val="21"/>
              </w:rPr>
            </w:pPr>
          </w:p>
        </w:tc>
        <w:tc>
          <w:tcPr>
            <w:tcW w:w="1629" w:type="dxa"/>
            <w:vMerge w:val="continue"/>
            <w:vAlign w:val="center"/>
          </w:tcPr>
          <w:p>
            <w:pPr>
              <w:spacing w:line="240" w:lineRule="auto"/>
              <w:ind w:firstLine="0" w:firstLineChars="0"/>
              <w:jc w:val="center"/>
              <w:rPr>
                <w:rFonts w:eastAsia="宋体" w:cs="Times New Roman"/>
                <w:kern w:val="0"/>
                <w:sz w:val="21"/>
                <w:szCs w:val="21"/>
                <w:lang w:bidi="ar"/>
              </w:rPr>
            </w:pPr>
          </w:p>
        </w:tc>
        <w:tc>
          <w:tcPr>
            <w:tcW w:w="2070" w:type="dxa"/>
            <w:vMerge w:val="continue"/>
            <w:vAlign w:val="center"/>
          </w:tcPr>
          <w:p>
            <w:pPr>
              <w:widowControl/>
              <w:spacing w:line="240" w:lineRule="auto"/>
              <w:ind w:firstLine="0" w:firstLineChars="0"/>
              <w:jc w:val="center"/>
              <w:textAlignment w:val="center"/>
              <w:rPr>
                <w:rFonts w:eastAsia="宋体" w:cs="Times New Roman"/>
                <w:kern w:val="0"/>
                <w:sz w:val="21"/>
                <w:szCs w:val="21"/>
                <w:lang w:bidi="ar"/>
              </w:rPr>
            </w:pPr>
          </w:p>
        </w:tc>
        <w:tc>
          <w:tcPr>
            <w:tcW w:w="1258" w:type="dxa"/>
            <w:vAlign w:val="center"/>
          </w:tcPr>
          <w:p>
            <w:pPr>
              <w:pStyle w:val="58"/>
              <w:rPr>
                <w:szCs w:val="21"/>
              </w:rPr>
            </w:pPr>
            <w:r>
              <w:rPr>
                <w:rFonts w:cs="Times New Roman"/>
                <w:szCs w:val="21"/>
              </w:rPr>
              <w:t>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二苯并[a,h]蒽</w:t>
            </w:r>
          </w:p>
        </w:tc>
        <w:tc>
          <w:tcPr>
            <w:tcW w:w="3171" w:type="dxa"/>
            <w:vMerge w:val="continue"/>
            <w:vAlign w:val="center"/>
          </w:tcPr>
          <w:p>
            <w:pPr>
              <w:spacing w:line="240" w:lineRule="auto"/>
              <w:ind w:firstLine="0" w:firstLineChars="0"/>
              <w:jc w:val="center"/>
              <w:rPr>
                <w:sz w:val="21"/>
                <w:szCs w:val="21"/>
              </w:rPr>
            </w:pPr>
          </w:p>
        </w:tc>
        <w:tc>
          <w:tcPr>
            <w:tcW w:w="1629" w:type="dxa"/>
            <w:vMerge w:val="continue"/>
            <w:vAlign w:val="center"/>
          </w:tcPr>
          <w:p>
            <w:pPr>
              <w:spacing w:line="240" w:lineRule="auto"/>
              <w:ind w:firstLine="0" w:firstLineChars="0"/>
              <w:jc w:val="center"/>
              <w:rPr>
                <w:rFonts w:eastAsia="宋体" w:cs="Times New Roman"/>
                <w:kern w:val="0"/>
                <w:sz w:val="21"/>
                <w:szCs w:val="21"/>
                <w:lang w:bidi="ar"/>
              </w:rPr>
            </w:pPr>
          </w:p>
        </w:tc>
        <w:tc>
          <w:tcPr>
            <w:tcW w:w="2070" w:type="dxa"/>
            <w:vMerge w:val="continue"/>
            <w:vAlign w:val="center"/>
          </w:tcPr>
          <w:p>
            <w:pPr>
              <w:widowControl/>
              <w:spacing w:line="240" w:lineRule="auto"/>
              <w:ind w:firstLine="0" w:firstLineChars="0"/>
              <w:jc w:val="center"/>
              <w:textAlignment w:val="center"/>
              <w:rPr>
                <w:rFonts w:eastAsia="宋体" w:cs="Times New Roman"/>
                <w:kern w:val="0"/>
                <w:sz w:val="21"/>
                <w:szCs w:val="21"/>
                <w:lang w:bidi="ar"/>
              </w:rPr>
            </w:pPr>
          </w:p>
        </w:tc>
        <w:tc>
          <w:tcPr>
            <w:tcW w:w="1258" w:type="dxa"/>
            <w:vAlign w:val="center"/>
          </w:tcPr>
          <w:p>
            <w:pPr>
              <w:pStyle w:val="58"/>
              <w:rPr>
                <w:szCs w:val="21"/>
              </w:rPr>
            </w:pPr>
            <w:r>
              <w:rPr>
                <w:rFonts w:cs="Times New Roman"/>
                <w:szCs w:val="21"/>
              </w:rPr>
              <w:t>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茚并[1,2,3-cd]芘</w:t>
            </w:r>
          </w:p>
        </w:tc>
        <w:tc>
          <w:tcPr>
            <w:tcW w:w="3171" w:type="dxa"/>
            <w:vMerge w:val="continue"/>
            <w:vAlign w:val="center"/>
          </w:tcPr>
          <w:p>
            <w:pPr>
              <w:spacing w:line="240" w:lineRule="auto"/>
              <w:ind w:firstLine="0" w:firstLineChars="0"/>
              <w:jc w:val="center"/>
              <w:rPr>
                <w:sz w:val="21"/>
                <w:szCs w:val="21"/>
              </w:rPr>
            </w:pPr>
          </w:p>
        </w:tc>
        <w:tc>
          <w:tcPr>
            <w:tcW w:w="1629" w:type="dxa"/>
            <w:vMerge w:val="continue"/>
            <w:vAlign w:val="center"/>
          </w:tcPr>
          <w:p>
            <w:pPr>
              <w:spacing w:line="240" w:lineRule="auto"/>
              <w:ind w:firstLine="0" w:firstLineChars="0"/>
              <w:jc w:val="center"/>
              <w:rPr>
                <w:rFonts w:eastAsia="宋体" w:cs="Times New Roman"/>
                <w:kern w:val="0"/>
                <w:sz w:val="21"/>
                <w:szCs w:val="21"/>
                <w:lang w:bidi="ar"/>
              </w:rPr>
            </w:pPr>
          </w:p>
        </w:tc>
        <w:tc>
          <w:tcPr>
            <w:tcW w:w="2070" w:type="dxa"/>
            <w:vMerge w:val="continue"/>
            <w:vAlign w:val="center"/>
          </w:tcPr>
          <w:p>
            <w:pPr>
              <w:widowControl/>
              <w:spacing w:line="240" w:lineRule="auto"/>
              <w:ind w:firstLine="0" w:firstLineChars="0"/>
              <w:jc w:val="center"/>
              <w:textAlignment w:val="center"/>
              <w:rPr>
                <w:rFonts w:eastAsia="宋体" w:cs="Times New Roman"/>
                <w:kern w:val="0"/>
                <w:sz w:val="21"/>
                <w:szCs w:val="21"/>
                <w:lang w:bidi="ar"/>
              </w:rPr>
            </w:pPr>
          </w:p>
        </w:tc>
        <w:tc>
          <w:tcPr>
            <w:tcW w:w="1258" w:type="dxa"/>
            <w:vAlign w:val="center"/>
          </w:tcPr>
          <w:p>
            <w:pPr>
              <w:pStyle w:val="58"/>
              <w:rPr>
                <w:szCs w:val="21"/>
              </w:rPr>
            </w:pPr>
            <w:r>
              <w:rPr>
                <w:rFonts w:cs="Times New Roman"/>
                <w:szCs w:val="21"/>
              </w:rPr>
              <w:t>0.1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 w:hRule="atLeast"/>
          <w:jc w:val="center"/>
        </w:trPr>
        <w:tc>
          <w:tcPr>
            <w:tcW w:w="1983" w:type="dxa"/>
            <w:vAlign w:val="center"/>
          </w:tcPr>
          <w:p>
            <w:pPr>
              <w:spacing w:line="240" w:lineRule="auto"/>
              <w:ind w:firstLine="0" w:firstLineChars="0"/>
              <w:jc w:val="center"/>
              <w:rPr>
                <w:sz w:val="21"/>
                <w:szCs w:val="21"/>
              </w:rPr>
            </w:pPr>
            <w:r>
              <w:rPr>
                <w:rFonts w:cs="Times New Roman"/>
                <w:sz w:val="21"/>
                <w:szCs w:val="21"/>
              </w:rPr>
              <w:t>萘</w:t>
            </w:r>
          </w:p>
        </w:tc>
        <w:tc>
          <w:tcPr>
            <w:tcW w:w="3171" w:type="dxa"/>
            <w:vMerge w:val="continue"/>
            <w:vAlign w:val="center"/>
          </w:tcPr>
          <w:p>
            <w:pPr>
              <w:spacing w:line="240" w:lineRule="auto"/>
              <w:ind w:firstLine="0" w:firstLineChars="0"/>
              <w:jc w:val="center"/>
              <w:rPr>
                <w:sz w:val="21"/>
                <w:szCs w:val="21"/>
              </w:rPr>
            </w:pPr>
          </w:p>
        </w:tc>
        <w:tc>
          <w:tcPr>
            <w:tcW w:w="1629" w:type="dxa"/>
            <w:vMerge w:val="continue"/>
            <w:vAlign w:val="center"/>
          </w:tcPr>
          <w:p>
            <w:pPr>
              <w:spacing w:line="240" w:lineRule="auto"/>
              <w:ind w:firstLine="0" w:firstLineChars="0"/>
              <w:jc w:val="center"/>
              <w:rPr>
                <w:rFonts w:eastAsia="宋体" w:cs="Times New Roman"/>
                <w:kern w:val="0"/>
                <w:sz w:val="21"/>
                <w:szCs w:val="21"/>
                <w:lang w:bidi="ar"/>
              </w:rPr>
            </w:pPr>
          </w:p>
        </w:tc>
        <w:tc>
          <w:tcPr>
            <w:tcW w:w="2070" w:type="dxa"/>
            <w:vMerge w:val="continue"/>
            <w:vAlign w:val="center"/>
          </w:tcPr>
          <w:p>
            <w:pPr>
              <w:widowControl/>
              <w:spacing w:line="240" w:lineRule="auto"/>
              <w:ind w:firstLine="0" w:firstLineChars="0"/>
              <w:jc w:val="center"/>
              <w:textAlignment w:val="center"/>
              <w:rPr>
                <w:rFonts w:eastAsia="宋体" w:cs="Times New Roman"/>
                <w:kern w:val="0"/>
                <w:sz w:val="21"/>
                <w:szCs w:val="21"/>
                <w:lang w:bidi="ar"/>
              </w:rPr>
            </w:pPr>
          </w:p>
        </w:tc>
        <w:tc>
          <w:tcPr>
            <w:tcW w:w="1258" w:type="dxa"/>
            <w:vAlign w:val="center"/>
          </w:tcPr>
          <w:p>
            <w:pPr>
              <w:pStyle w:val="58"/>
              <w:rPr>
                <w:szCs w:val="21"/>
              </w:rPr>
            </w:pPr>
            <w:r>
              <w:rPr>
                <w:rFonts w:cs="Times New Roman"/>
                <w:szCs w:val="21"/>
              </w:rPr>
              <w:t>0.09</w:t>
            </w:r>
          </w:p>
        </w:tc>
      </w:tr>
    </w:tbl>
    <w:p>
      <w:pPr>
        <w:pStyle w:val="2"/>
        <w:ind w:left="480" w:firstLine="480"/>
        <w:rPr>
          <w:color w:val="FF0000"/>
        </w:rPr>
      </w:pPr>
    </w:p>
    <w:p>
      <w:pPr>
        <w:pStyle w:val="2"/>
        <w:ind w:left="480" w:firstLine="480"/>
        <w:rPr>
          <w:color w:val="FF0000"/>
        </w:rPr>
      </w:pPr>
    </w:p>
    <w:p>
      <w:pPr>
        <w:pStyle w:val="6"/>
        <w:rPr>
          <w:color w:val="FF0000"/>
        </w:rPr>
        <w:sectPr>
          <w:footerReference r:id="rId11" w:type="first"/>
          <w:headerReference r:id="rId9" w:type="default"/>
          <w:footerReference r:id="rId10" w:type="default"/>
          <w:pgSz w:w="11906" w:h="16838"/>
          <w:pgMar w:top="1440" w:right="1800" w:bottom="1440" w:left="1800" w:header="851" w:footer="992" w:gutter="0"/>
          <w:cols w:space="425" w:num="1"/>
          <w:titlePg/>
          <w:docGrid w:type="lines" w:linePitch="326" w:charSpace="0"/>
        </w:sectPr>
      </w:pPr>
    </w:p>
    <w:p>
      <w:pPr>
        <w:pStyle w:val="6"/>
      </w:pPr>
      <w:bookmarkStart w:id="55" w:name="_Toc91763549"/>
      <w:r>
        <w:t>8</w:t>
      </w:r>
      <w:r>
        <w:rPr>
          <w:rFonts w:hint="eastAsia"/>
        </w:rPr>
        <w:t>.2土壤检测结果</w:t>
      </w:r>
      <w:bookmarkEnd w:id="55"/>
    </w:p>
    <w:p>
      <w:pPr>
        <w:overflowPunct w:val="0"/>
        <w:adjustRightInd w:val="0"/>
        <w:snapToGrid w:val="0"/>
        <w:ind w:firstLine="482"/>
        <w:jc w:val="center"/>
        <w:rPr>
          <w:rStyle w:val="26"/>
        </w:rPr>
      </w:pPr>
      <w:r>
        <w:rPr>
          <w:rStyle w:val="26"/>
        </w:rPr>
        <w:t>表8</w:t>
      </w:r>
      <w:r>
        <w:rPr>
          <w:rStyle w:val="26"/>
          <w:rFonts w:hint="eastAsia"/>
        </w:rPr>
        <w:t xml:space="preserve">-2 </w:t>
      </w:r>
      <w:r>
        <w:rPr>
          <w:rStyle w:val="26"/>
        </w:rPr>
        <w:t>土壤检测结果</w:t>
      </w:r>
    </w:p>
    <w:tbl>
      <w:tblPr>
        <w:tblStyle w:val="23"/>
        <w:tblpPr w:leftFromText="180" w:rightFromText="180" w:vertAnchor="text" w:tblpY="1"/>
        <w:tblOverlap w:val="never"/>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975"/>
        <w:gridCol w:w="2294"/>
        <w:gridCol w:w="819"/>
        <w:gridCol w:w="1635"/>
        <w:gridCol w:w="1638"/>
        <w:gridCol w:w="816"/>
        <w:gridCol w:w="2457"/>
        <w:gridCol w:w="898"/>
        <w:gridCol w:w="946"/>
        <w:gridCol w:w="5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blHeader/>
        </w:trPr>
        <w:tc>
          <w:tcPr>
            <w:tcW w:w="702" w:type="pct"/>
            <w:vMerge w:val="restart"/>
            <w:tcBorders>
              <w:tl2br w:val="nil"/>
              <w:tr2bl w:val="nil"/>
            </w:tcBorders>
            <w:noWrap/>
            <w:vAlign w:val="center"/>
          </w:tcPr>
          <w:p>
            <w:pPr>
              <w:pStyle w:val="59"/>
              <w:framePr w:hSpace="0" w:wrap="auto" w:vAnchor="margin" w:hAnchor="text" w:yAlign="inline"/>
              <w:rPr>
                <w:szCs w:val="21"/>
              </w:rPr>
            </w:pPr>
            <w:r>
              <w:rPr>
                <w:szCs w:val="21"/>
              </w:rPr>
              <w:t>检测项目</w:t>
            </w:r>
          </w:p>
        </w:tc>
        <w:tc>
          <w:tcPr>
            <w:tcW w:w="4298" w:type="pct"/>
            <w:gridSpan w:val="9"/>
            <w:tcBorders>
              <w:tl2br w:val="nil"/>
              <w:tr2bl w:val="nil"/>
            </w:tcBorders>
            <w:noWrap/>
            <w:vAlign w:val="center"/>
          </w:tcPr>
          <w:p>
            <w:pPr>
              <w:pStyle w:val="59"/>
              <w:framePr w:hSpace="0" w:wrap="auto" w:vAnchor="margin" w:hAnchor="text" w:yAlign="inline"/>
              <w:rPr>
                <w:szCs w:val="21"/>
              </w:rPr>
            </w:pPr>
            <w:r>
              <w:rPr>
                <w:szCs w:val="21"/>
              </w:rPr>
              <w:t>检测点位、采样日期和结果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77" w:hRule="atLeast"/>
          <w:tblHeader/>
        </w:trPr>
        <w:tc>
          <w:tcPr>
            <w:tcW w:w="702" w:type="pct"/>
            <w:vMerge w:val="continue"/>
            <w:tcBorders>
              <w:tl2br w:val="nil"/>
              <w:tr2bl w:val="nil"/>
            </w:tcBorders>
            <w:noWrap/>
            <w:vAlign w:val="center"/>
          </w:tcPr>
          <w:p>
            <w:pPr>
              <w:pStyle w:val="59"/>
              <w:framePr w:hSpace="0" w:wrap="auto" w:vAnchor="margin" w:hAnchor="text" w:yAlign="inline"/>
              <w:rPr>
                <w:szCs w:val="21"/>
              </w:rPr>
            </w:pPr>
          </w:p>
        </w:tc>
        <w:tc>
          <w:tcPr>
            <w:tcW w:w="3432" w:type="pct"/>
            <w:gridSpan w:val="6"/>
            <w:tcBorders>
              <w:tl2br w:val="nil"/>
              <w:tr2bl w:val="nil"/>
            </w:tcBorders>
            <w:noWrap/>
            <w:vAlign w:val="center"/>
          </w:tcPr>
          <w:p>
            <w:pPr>
              <w:pStyle w:val="59"/>
              <w:framePr w:hSpace="0" w:wrap="auto" w:vAnchor="margin" w:hAnchor="text" w:yAlign="inline"/>
              <w:rPr>
                <w:szCs w:val="21"/>
                <w:lang w:val="en-US"/>
              </w:rPr>
            </w:pPr>
            <w:r>
              <w:rPr>
                <w:rFonts w:hint="eastAsia"/>
                <w:szCs w:val="21"/>
                <w:lang w:val="en-US"/>
              </w:rPr>
              <w:t>2</w:t>
            </w:r>
            <w:r>
              <w:rPr>
                <w:szCs w:val="21"/>
                <w:lang w:val="en-US"/>
              </w:rPr>
              <w:t>021.12.09</w:t>
            </w:r>
          </w:p>
        </w:tc>
        <w:tc>
          <w:tcPr>
            <w:tcW w:w="319" w:type="pct"/>
            <w:vMerge w:val="restart"/>
            <w:tcBorders>
              <w:tl2br w:val="nil"/>
              <w:tr2bl w:val="nil"/>
            </w:tcBorders>
            <w:noWrap/>
            <w:vAlign w:val="center"/>
          </w:tcPr>
          <w:p>
            <w:pPr>
              <w:pStyle w:val="59"/>
              <w:framePr w:hSpace="0" w:wrap="auto" w:vAnchor="margin" w:hAnchor="text" w:yAlign="inline"/>
              <w:rPr>
                <w:szCs w:val="21"/>
              </w:rPr>
            </w:pPr>
            <w:r>
              <w:rPr>
                <w:szCs w:val="21"/>
              </w:rPr>
              <w:t>单位</w:t>
            </w:r>
          </w:p>
        </w:tc>
        <w:tc>
          <w:tcPr>
            <w:tcW w:w="336" w:type="pct"/>
            <w:vMerge w:val="restart"/>
            <w:tcBorders>
              <w:tl2br w:val="nil"/>
              <w:tr2bl w:val="nil"/>
            </w:tcBorders>
            <w:noWrap/>
            <w:vAlign w:val="center"/>
          </w:tcPr>
          <w:p>
            <w:pPr>
              <w:pStyle w:val="59"/>
              <w:framePr w:hSpace="0" w:wrap="auto" w:vAnchor="margin" w:hAnchor="text" w:yAlign="inline"/>
              <w:rPr>
                <w:rFonts w:eastAsiaTheme="minorEastAsia"/>
                <w:szCs w:val="21"/>
              </w:rPr>
            </w:pPr>
            <w:r>
              <w:rPr>
                <w:szCs w:val="21"/>
              </w:rPr>
              <w:t>标准限值</w:t>
            </w:r>
          </w:p>
        </w:tc>
        <w:tc>
          <w:tcPr>
            <w:tcW w:w="210" w:type="pct"/>
            <w:vMerge w:val="restart"/>
            <w:tcBorders>
              <w:tl2br w:val="nil"/>
              <w:tr2bl w:val="nil"/>
            </w:tcBorders>
            <w:noWrap/>
            <w:vAlign w:val="center"/>
          </w:tcPr>
          <w:p>
            <w:pPr>
              <w:pStyle w:val="59"/>
              <w:framePr w:hSpace="0" w:wrap="auto" w:vAnchor="margin" w:hAnchor="text" w:yAlign="inline"/>
              <w:rPr>
                <w:rFonts w:eastAsiaTheme="minorEastAsia"/>
                <w:szCs w:val="21"/>
              </w:rPr>
            </w:pPr>
            <w:r>
              <w:rPr>
                <w:szCs w:val="21"/>
              </w:rPr>
              <w:t>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35" w:hRule="atLeast"/>
          <w:tblHeader/>
        </w:trPr>
        <w:tc>
          <w:tcPr>
            <w:tcW w:w="702" w:type="pct"/>
            <w:vMerge w:val="continue"/>
            <w:tcBorders>
              <w:tl2br w:val="nil"/>
              <w:tr2bl w:val="nil"/>
            </w:tcBorders>
            <w:noWrap/>
            <w:vAlign w:val="center"/>
          </w:tcPr>
          <w:p>
            <w:pPr>
              <w:pStyle w:val="59"/>
              <w:framePr w:hSpace="0" w:wrap="auto" w:vAnchor="margin" w:hAnchor="text" w:yAlign="inline"/>
              <w:rPr>
                <w:szCs w:val="21"/>
              </w:rPr>
            </w:pPr>
          </w:p>
        </w:tc>
        <w:tc>
          <w:tcPr>
            <w:tcW w:w="815" w:type="pct"/>
            <w:tcBorders>
              <w:tl2br w:val="nil"/>
              <w:tr2bl w:val="nil"/>
            </w:tcBorders>
            <w:noWrap/>
            <w:vAlign w:val="center"/>
          </w:tcPr>
          <w:p>
            <w:pPr>
              <w:pStyle w:val="59"/>
              <w:framePr w:hSpace="0" w:wrap="auto" w:vAnchor="margin" w:hAnchor="text" w:yAlign="inline"/>
              <w:rPr>
                <w:szCs w:val="21"/>
              </w:rPr>
            </w:pPr>
            <w:r>
              <w:rPr>
                <w:rFonts w:cs="Times New Roman"/>
                <w:lang w:val="en-US"/>
              </w:rPr>
              <w:t>S1</w:t>
            </w:r>
            <w:r>
              <w:rPr>
                <w:rFonts w:cs="Times New Roman"/>
              </w:rPr>
              <w:t>主厂房东侧</w:t>
            </w:r>
          </w:p>
        </w:tc>
        <w:tc>
          <w:tcPr>
            <w:tcW w:w="872" w:type="pct"/>
            <w:gridSpan w:val="2"/>
            <w:tcBorders>
              <w:tl2br w:val="nil"/>
              <w:tr2bl w:val="nil"/>
            </w:tcBorders>
            <w:vAlign w:val="center"/>
          </w:tcPr>
          <w:p>
            <w:pPr>
              <w:pStyle w:val="59"/>
              <w:framePr w:hSpace="0" w:wrap="auto" w:vAnchor="margin" w:hAnchor="text" w:yAlign="inline"/>
              <w:rPr>
                <w:szCs w:val="21"/>
              </w:rPr>
            </w:pPr>
            <w:r>
              <w:rPr>
                <w:rFonts w:cs="Times New Roman"/>
                <w:lang w:val="en-US"/>
              </w:rPr>
              <w:t>S2污水处理站南侧</w:t>
            </w:r>
          </w:p>
        </w:tc>
        <w:tc>
          <w:tcPr>
            <w:tcW w:w="872" w:type="pct"/>
            <w:gridSpan w:val="2"/>
            <w:tcBorders>
              <w:tl2br w:val="nil"/>
              <w:tr2bl w:val="nil"/>
            </w:tcBorders>
            <w:vAlign w:val="center"/>
          </w:tcPr>
          <w:p>
            <w:pPr>
              <w:pStyle w:val="59"/>
              <w:framePr w:hSpace="0" w:wrap="auto" w:vAnchor="margin" w:hAnchor="text" w:yAlign="inline"/>
              <w:rPr>
                <w:szCs w:val="21"/>
              </w:rPr>
            </w:pPr>
            <w:r>
              <w:rPr>
                <w:rFonts w:hint="eastAsia" w:cs="Times New Roman"/>
                <w:szCs w:val="21"/>
                <w:lang w:val="en-US"/>
              </w:rPr>
              <w:t>S3化验室外</w:t>
            </w:r>
          </w:p>
        </w:tc>
        <w:tc>
          <w:tcPr>
            <w:tcW w:w="873" w:type="pct"/>
            <w:tcBorders>
              <w:tl2br w:val="nil"/>
              <w:tr2bl w:val="nil"/>
            </w:tcBorders>
            <w:vAlign w:val="center"/>
          </w:tcPr>
          <w:p>
            <w:pPr>
              <w:pStyle w:val="59"/>
              <w:framePr w:hSpace="0" w:wrap="auto" w:vAnchor="margin" w:hAnchor="text" w:yAlign="inline"/>
              <w:rPr>
                <w:szCs w:val="21"/>
              </w:rPr>
            </w:pPr>
            <w:r>
              <w:rPr>
                <w:rFonts w:cs="Times New Roman"/>
                <w:lang w:val="en-US"/>
              </w:rPr>
              <w:t>S4主厂房南侧</w:t>
            </w:r>
          </w:p>
        </w:tc>
        <w:tc>
          <w:tcPr>
            <w:tcW w:w="319" w:type="pct"/>
            <w:vMerge w:val="continue"/>
            <w:tcBorders>
              <w:tl2br w:val="nil"/>
              <w:tr2bl w:val="nil"/>
            </w:tcBorders>
            <w:noWrap/>
            <w:vAlign w:val="center"/>
          </w:tcPr>
          <w:p>
            <w:pPr>
              <w:pStyle w:val="59"/>
              <w:framePr w:hSpace="0" w:wrap="auto" w:vAnchor="margin" w:hAnchor="text" w:yAlign="inline"/>
              <w:rPr>
                <w:szCs w:val="21"/>
              </w:rPr>
            </w:pPr>
          </w:p>
        </w:tc>
        <w:tc>
          <w:tcPr>
            <w:tcW w:w="336" w:type="pct"/>
            <w:vMerge w:val="continue"/>
            <w:tcBorders>
              <w:tl2br w:val="nil"/>
              <w:tr2bl w:val="nil"/>
            </w:tcBorders>
            <w:noWrap/>
            <w:vAlign w:val="center"/>
          </w:tcPr>
          <w:p>
            <w:pPr>
              <w:pStyle w:val="59"/>
              <w:framePr w:hSpace="0" w:wrap="auto" w:vAnchor="margin" w:hAnchor="text" w:yAlign="inline"/>
              <w:rPr>
                <w:szCs w:val="21"/>
              </w:rPr>
            </w:pPr>
          </w:p>
        </w:tc>
        <w:tc>
          <w:tcPr>
            <w:tcW w:w="210" w:type="pct"/>
            <w:vMerge w:val="continue"/>
            <w:tcBorders>
              <w:tl2br w:val="nil"/>
              <w:tr2bl w:val="nil"/>
            </w:tcBorders>
            <w:noWrap/>
            <w:vAlign w:val="center"/>
          </w:tcPr>
          <w:p>
            <w:pPr>
              <w:pStyle w:val="59"/>
              <w:framePr w:hSpace="0" w:wrap="auto" w:vAnchor="margin" w:hAnchor="text" w:yAlign="inline"/>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0" w:hRule="atLeast"/>
          <w:tblHeader/>
        </w:trPr>
        <w:tc>
          <w:tcPr>
            <w:tcW w:w="702" w:type="pct"/>
            <w:vMerge w:val="continue"/>
            <w:tcBorders>
              <w:tl2br w:val="nil"/>
              <w:tr2bl w:val="nil"/>
            </w:tcBorders>
            <w:noWrap/>
            <w:vAlign w:val="center"/>
          </w:tcPr>
          <w:p>
            <w:pPr>
              <w:pStyle w:val="59"/>
              <w:framePr w:hSpace="0" w:wrap="auto" w:vAnchor="margin" w:hAnchor="text" w:yAlign="inline"/>
              <w:rPr>
                <w:szCs w:val="21"/>
              </w:rPr>
            </w:pP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0-0.5</w:t>
            </w:r>
            <w:r>
              <w:rPr>
                <w:rFonts w:hint="eastAsia" w:cs="Times New Roman"/>
                <w:sz w:val="21"/>
                <w:szCs w:val="21"/>
              </w:rPr>
              <w:t>m</w:t>
            </w:r>
          </w:p>
        </w:tc>
        <w:tc>
          <w:tcPr>
            <w:tcW w:w="872" w:type="pct"/>
            <w:gridSpan w:val="2"/>
            <w:tcBorders>
              <w:tl2br w:val="nil"/>
              <w:tr2bl w:val="nil"/>
            </w:tcBorders>
            <w:vAlign w:val="center"/>
          </w:tcPr>
          <w:p>
            <w:pPr>
              <w:spacing w:line="240" w:lineRule="auto"/>
              <w:ind w:firstLine="0" w:firstLineChars="0"/>
              <w:jc w:val="center"/>
              <w:rPr>
                <w:rFonts w:cs="Times New Roman"/>
                <w:szCs w:val="21"/>
              </w:rPr>
            </w:pPr>
            <w:r>
              <w:rPr>
                <w:rFonts w:cs="Times New Roman"/>
                <w:sz w:val="21"/>
                <w:szCs w:val="21"/>
              </w:rPr>
              <w:t>0-0.5</w:t>
            </w:r>
            <w:r>
              <w:rPr>
                <w:rFonts w:hint="eastAsia" w:cs="Times New Roman"/>
                <w:sz w:val="21"/>
                <w:szCs w:val="21"/>
              </w:rPr>
              <w:t>m</w:t>
            </w:r>
          </w:p>
        </w:tc>
        <w:tc>
          <w:tcPr>
            <w:tcW w:w="872" w:type="pct"/>
            <w:gridSpan w:val="2"/>
            <w:tcBorders>
              <w:tl2br w:val="nil"/>
              <w:tr2bl w:val="nil"/>
            </w:tcBorders>
            <w:vAlign w:val="center"/>
          </w:tcPr>
          <w:p>
            <w:pPr>
              <w:spacing w:line="240" w:lineRule="auto"/>
              <w:ind w:firstLine="0" w:firstLineChars="0"/>
              <w:jc w:val="center"/>
              <w:rPr>
                <w:rFonts w:cs="Times New Roman"/>
                <w:szCs w:val="21"/>
              </w:rPr>
            </w:pPr>
            <w:r>
              <w:rPr>
                <w:rFonts w:cs="Times New Roman"/>
                <w:sz w:val="21"/>
                <w:szCs w:val="21"/>
              </w:rPr>
              <w:t>0-0.5</w:t>
            </w:r>
            <w:r>
              <w:rPr>
                <w:rFonts w:hint="eastAsia" w:cs="Times New Roman"/>
                <w:sz w:val="21"/>
                <w:szCs w:val="21"/>
              </w:rPr>
              <w:t>m</w:t>
            </w:r>
          </w:p>
        </w:tc>
        <w:tc>
          <w:tcPr>
            <w:tcW w:w="873" w:type="pct"/>
            <w:tcBorders>
              <w:tl2br w:val="nil"/>
              <w:tr2bl w:val="nil"/>
            </w:tcBorders>
            <w:vAlign w:val="center"/>
          </w:tcPr>
          <w:p>
            <w:pPr>
              <w:spacing w:line="240" w:lineRule="auto"/>
              <w:ind w:firstLine="0" w:firstLineChars="0"/>
              <w:jc w:val="center"/>
              <w:rPr>
                <w:rFonts w:cs="Times New Roman"/>
                <w:szCs w:val="21"/>
              </w:rPr>
            </w:pPr>
            <w:r>
              <w:rPr>
                <w:rFonts w:cs="Times New Roman"/>
                <w:sz w:val="21"/>
                <w:szCs w:val="21"/>
              </w:rPr>
              <w:t>0-0.5</w:t>
            </w:r>
            <w:r>
              <w:rPr>
                <w:rFonts w:hint="eastAsia" w:cs="Times New Roman"/>
                <w:sz w:val="21"/>
                <w:szCs w:val="21"/>
              </w:rPr>
              <w:t>m</w:t>
            </w:r>
          </w:p>
        </w:tc>
        <w:tc>
          <w:tcPr>
            <w:tcW w:w="319" w:type="pct"/>
            <w:vMerge w:val="continue"/>
            <w:tcBorders>
              <w:tl2br w:val="nil"/>
              <w:tr2bl w:val="nil"/>
            </w:tcBorders>
            <w:noWrap/>
            <w:vAlign w:val="center"/>
          </w:tcPr>
          <w:p>
            <w:pPr>
              <w:pStyle w:val="59"/>
              <w:framePr w:hSpace="0" w:wrap="auto" w:vAnchor="margin" w:hAnchor="text" w:yAlign="inline"/>
              <w:rPr>
                <w:szCs w:val="21"/>
              </w:rPr>
            </w:pPr>
          </w:p>
        </w:tc>
        <w:tc>
          <w:tcPr>
            <w:tcW w:w="336" w:type="pct"/>
            <w:vMerge w:val="continue"/>
            <w:tcBorders>
              <w:tl2br w:val="nil"/>
              <w:tr2bl w:val="nil"/>
            </w:tcBorders>
            <w:noWrap/>
            <w:vAlign w:val="center"/>
          </w:tcPr>
          <w:p>
            <w:pPr>
              <w:pStyle w:val="59"/>
              <w:framePr w:hSpace="0" w:wrap="auto" w:vAnchor="margin" w:hAnchor="text" w:yAlign="inline"/>
              <w:rPr>
                <w:szCs w:val="21"/>
              </w:rPr>
            </w:pPr>
          </w:p>
        </w:tc>
        <w:tc>
          <w:tcPr>
            <w:tcW w:w="210" w:type="pct"/>
            <w:vMerge w:val="continue"/>
            <w:tcBorders>
              <w:tl2br w:val="nil"/>
              <w:tr2bl w:val="nil"/>
            </w:tcBorders>
            <w:noWrap/>
            <w:vAlign w:val="center"/>
          </w:tcPr>
          <w:p>
            <w:pPr>
              <w:pStyle w:val="59"/>
              <w:framePr w:hSpace="0" w:wrap="auto" w:vAnchor="margin" w:hAnchor="text" w:yAlign="inline"/>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砷</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3.4</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4.5</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1.6</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4.8</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60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镉</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5.76</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0.26</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0.64</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1.40</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65</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六价铬</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5.7</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铜</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5.8</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6.5</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5.2</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6.1</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18000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铅</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13</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15</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16</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13</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800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汞</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0.097</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0.101</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0.131</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38</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镍</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18</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14</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12</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155</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900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铬</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28</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30</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22</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24</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2500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锌</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95</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158</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64</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239</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10000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四氯化碳</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2.8</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氯仿</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0.9</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氯甲烷</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37</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1,1-二氯乙烷</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9</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1,2-二氯乙烷</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1,1-二氯乙烯</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66</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顺-1,2-二氯乙烯</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596</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反-1,2-二氯乙烯</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54</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二氯甲烷</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616</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1,2-二氯丙烷</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1,1,1,2-四氯乙烷</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1,1,2,2-四氯乙烷</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6.8</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四氯乙烯</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53</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1,1,1-三氯乙烷</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840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1,1,2-三氯乙烷</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2.8</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三氯乙烯</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2.8</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1,2,3-三氯丙烷</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0.5</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氯乙烯</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0.43</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苯</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4</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氯苯</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270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1,2-二氯苯</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560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1,4-二氯苯</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乙苯</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28</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苯乙烯</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1290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甲苯</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1200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间二甲苯+对二甲苯</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570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邻二甲苯</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640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硝基苯</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76</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苯胺</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260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2-氯酚</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2256</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苯并[a]蒽</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15</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苯并[a]芘</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1.5</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苯并[b]荧蒽</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15</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苯并[k]荧蒽</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151</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rPr>
              <w:t>䓛</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1293</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二苯并[a,h]蒽</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1.5</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茚并[1,2,3-cd]芘</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15</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萘</w:t>
            </w:r>
          </w:p>
        </w:tc>
        <w:tc>
          <w:tcPr>
            <w:tcW w:w="815"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2"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873" w:type="pct"/>
            <w:tcBorders>
              <w:tl2br w:val="nil"/>
              <w:tr2bl w:val="nil"/>
            </w:tcBorders>
            <w:noWrap/>
            <w:vAlign w:val="center"/>
          </w:tcPr>
          <w:p>
            <w:pPr>
              <w:pStyle w:val="59"/>
              <w:framePr w:hSpace="0" w:wrap="auto" w:vAnchor="margin" w:hAnchor="text" w:yAlign="inline"/>
              <w:rPr>
                <w:rFonts w:hint="eastAsia"/>
                <w:szCs w:val="21"/>
              </w:rPr>
            </w:pPr>
            <w:r>
              <w:rPr>
                <w:rFonts w:hint="eastAsia"/>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70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vMerge w:val="restar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Cs w:val="21"/>
              </w:rPr>
              <w:t>监测项目</w:t>
            </w:r>
          </w:p>
        </w:tc>
        <w:tc>
          <w:tcPr>
            <w:tcW w:w="3432" w:type="pct"/>
            <w:gridSpan w:val="6"/>
            <w:tcBorders>
              <w:tl2br w:val="nil"/>
              <w:tr2bl w:val="nil"/>
            </w:tcBorders>
            <w:noWrap/>
            <w:vAlign w:val="center"/>
          </w:tcPr>
          <w:p>
            <w:pPr>
              <w:pStyle w:val="59"/>
              <w:framePr w:hSpace="0" w:wrap="auto" w:vAnchor="margin" w:hAnchor="text" w:yAlign="inline"/>
              <w:rPr>
                <w:szCs w:val="21"/>
              </w:rPr>
            </w:pPr>
            <w:r>
              <w:rPr>
                <w:rFonts w:hint="eastAsia"/>
                <w:szCs w:val="21"/>
                <w:lang w:val="en-US"/>
              </w:rPr>
              <w:t>2</w:t>
            </w:r>
            <w:r>
              <w:rPr>
                <w:szCs w:val="21"/>
                <w:lang w:val="en-US"/>
              </w:rPr>
              <w:t>021.12.09</w:t>
            </w:r>
          </w:p>
        </w:tc>
        <w:tc>
          <w:tcPr>
            <w:tcW w:w="319" w:type="pct"/>
            <w:vMerge w:val="restart"/>
            <w:tcBorders>
              <w:tl2br w:val="nil"/>
              <w:tr2bl w:val="nil"/>
            </w:tcBorders>
            <w:noWrap/>
            <w:vAlign w:val="center"/>
          </w:tcPr>
          <w:p>
            <w:pPr>
              <w:pStyle w:val="59"/>
              <w:framePr w:hSpace="0" w:wrap="auto" w:vAnchor="margin" w:hAnchor="text" w:yAlign="inline"/>
              <w:rPr>
                <w:szCs w:val="21"/>
              </w:rPr>
            </w:pPr>
            <w:r>
              <w:rPr>
                <w:rFonts w:hint="eastAsia"/>
                <w:szCs w:val="21"/>
              </w:rPr>
              <w:t>单位</w:t>
            </w:r>
          </w:p>
        </w:tc>
        <w:tc>
          <w:tcPr>
            <w:tcW w:w="336" w:type="pct"/>
            <w:vMerge w:val="restar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标准限值</w:t>
            </w:r>
          </w:p>
        </w:tc>
        <w:tc>
          <w:tcPr>
            <w:tcW w:w="210" w:type="pct"/>
            <w:vMerge w:val="restart"/>
            <w:tcBorders>
              <w:tl2br w:val="nil"/>
              <w:tr2bl w:val="nil"/>
            </w:tcBorders>
            <w:noWrap/>
            <w:vAlign w:val="center"/>
          </w:tcPr>
          <w:p>
            <w:pPr>
              <w:pStyle w:val="59"/>
              <w:framePr w:hSpace="0" w:wrap="auto" w:vAnchor="margin" w:hAnchor="text" w:yAlign="inline"/>
              <w:rPr>
                <w:szCs w:val="21"/>
              </w:rPr>
            </w:pPr>
            <w:r>
              <w:rPr>
                <w:rFonts w:hint="eastAsia"/>
                <w:szCs w:val="21"/>
              </w:rPr>
              <w:t>评价结果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vMerge w:val="continue"/>
            <w:tcBorders>
              <w:tl2br w:val="nil"/>
              <w:tr2bl w:val="nil"/>
            </w:tcBorders>
            <w:noWrap/>
            <w:vAlign w:val="center"/>
          </w:tcPr>
          <w:p>
            <w:pPr>
              <w:pStyle w:val="59"/>
              <w:framePr w:hSpace="0" w:wrap="auto" w:vAnchor="margin" w:hAnchor="text" w:yAlign="inline"/>
              <w:rPr>
                <w:szCs w:val="21"/>
              </w:rPr>
            </w:pPr>
          </w:p>
        </w:tc>
        <w:tc>
          <w:tcPr>
            <w:tcW w:w="1106" w:type="pct"/>
            <w:gridSpan w:val="2"/>
            <w:tcBorders>
              <w:tl2br w:val="nil"/>
              <w:tr2bl w:val="nil"/>
            </w:tcBorders>
            <w:noWrap/>
            <w:vAlign w:val="center"/>
          </w:tcPr>
          <w:p>
            <w:pPr>
              <w:pStyle w:val="59"/>
              <w:framePr w:hSpace="0" w:wrap="auto" w:vAnchor="margin" w:hAnchor="text" w:yAlign="inline"/>
              <w:rPr>
                <w:szCs w:val="21"/>
              </w:rPr>
            </w:pPr>
            <w:r>
              <w:rPr>
                <w:rFonts w:cs="Times New Roman"/>
                <w:lang w:val="en-US"/>
              </w:rPr>
              <w:t>S5废水池南侧</w:t>
            </w:r>
          </w:p>
        </w:tc>
        <w:tc>
          <w:tcPr>
            <w:tcW w:w="1163" w:type="pct"/>
            <w:gridSpan w:val="2"/>
            <w:tcBorders>
              <w:tl2br w:val="nil"/>
              <w:tr2bl w:val="nil"/>
            </w:tcBorders>
            <w:noWrap/>
            <w:vAlign w:val="center"/>
          </w:tcPr>
          <w:p>
            <w:pPr>
              <w:pStyle w:val="59"/>
              <w:framePr w:hSpace="0" w:wrap="auto" w:vAnchor="margin" w:hAnchor="text" w:yAlign="inline"/>
              <w:rPr>
                <w:szCs w:val="21"/>
              </w:rPr>
            </w:pPr>
            <w:r>
              <w:rPr>
                <w:rFonts w:cs="Times New Roman"/>
                <w:lang w:val="en-US"/>
              </w:rPr>
              <w:t>S6运输通道旁</w:t>
            </w:r>
          </w:p>
        </w:tc>
        <w:tc>
          <w:tcPr>
            <w:tcW w:w="1163" w:type="pct"/>
            <w:gridSpan w:val="2"/>
            <w:tcBorders>
              <w:tl2br w:val="nil"/>
              <w:tr2bl w:val="nil"/>
            </w:tcBorders>
            <w:noWrap/>
            <w:vAlign w:val="center"/>
          </w:tcPr>
          <w:p>
            <w:pPr>
              <w:pStyle w:val="59"/>
              <w:framePr w:hSpace="0" w:wrap="auto" w:vAnchor="margin" w:hAnchor="text" w:yAlign="inline"/>
              <w:rPr>
                <w:szCs w:val="21"/>
              </w:rPr>
            </w:pPr>
            <w:r>
              <w:rPr>
                <w:rFonts w:cs="Times New Roman"/>
                <w:lang w:val="en-US"/>
              </w:rPr>
              <w:t>S0对照点办公楼旁</w:t>
            </w:r>
          </w:p>
        </w:tc>
        <w:tc>
          <w:tcPr>
            <w:tcW w:w="319" w:type="pct"/>
            <w:vMerge w:val="continue"/>
            <w:tcBorders>
              <w:tl2br w:val="nil"/>
              <w:tr2bl w:val="nil"/>
            </w:tcBorders>
            <w:noWrap/>
            <w:vAlign w:val="center"/>
          </w:tcPr>
          <w:p>
            <w:pPr>
              <w:pStyle w:val="59"/>
              <w:framePr w:hSpace="0" w:wrap="auto" w:vAnchor="margin" w:hAnchor="text" w:yAlign="inline"/>
              <w:rPr>
                <w:szCs w:val="21"/>
              </w:rPr>
            </w:pPr>
          </w:p>
        </w:tc>
        <w:tc>
          <w:tcPr>
            <w:tcW w:w="336" w:type="pct"/>
            <w:vMerge w:val="continue"/>
            <w:tcBorders>
              <w:tl2br w:val="nil"/>
              <w:tr2bl w:val="nil"/>
            </w:tcBorders>
            <w:noWrap/>
            <w:vAlign w:val="center"/>
          </w:tcPr>
          <w:p>
            <w:pPr>
              <w:pStyle w:val="59"/>
              <w:framePr w:hSpace="0" w:wrap="auto" w:vAnchor="margin" w:hAnchor="text" w:yAlign="inline"/>
              <w:rPr>
                <w:rFonts w:eastAsiaTheme="minorEastAsia"/>
                <w:szCs w:val="21"/>
                <w:lang w:val="en-US"/>
              </w:rPr>
            </w:pPr>
          </w:p>
        </w:tc>
        <w:tc>
          <w:tcPr>
            <w:tcW w:w="210" w:type="pct"/>
            <w:vMerge w:val="continue"/>
            <w:tcBorders>
              <w:tl2br w:val="nil"/>
              <w:tr2bl w:val="nil"/>
            </w:tcBorders>
            <w:noWrap/>
            <w:vAlign w:val="center"/>
          </w:tcPr>
          <w:p>
            <w:pPr>
              <w:pStyle w:val="59"/>
              <w:framePr w:hSpace="0" w:wrap="auto" w:vAnchor="margin" w:hAnchor="text" w:yAlign="inline"/>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vMerge w:val="continue"/>
            <w:tcBorders>
              <w:tl2br w:val="nil"/>
              <w:tr2bl w:val="nil"/>
            </w:tcBorders>
            <w:noWrap/>
            <w:vAlign w:val="center"/>
          </w:tcPr>
          <w:p>
            <w:pPr>
              <w:pStyle w:val="59"/>
              <w:framePr w:hSpace="0" w:wrap="auto" w:vAnchor="margin" w:hAnchor="text" w:yAlign="inline"/>
              <w:rPr>
                <w:szCs w:val="21"/>
              </w:rPr>
            </w:pPr>
          </w:p>
        </w:tc>
        <w:tc>
          <w:tcPr>
            <w:tcW w:w="1106" w:type="pct"/>
            <w:gridSpan w:val="2"/>
            <w:tcBorders>
              <w:tl2br w:val="nil"/>
              <w:tr2bl w:val="nil"/>
            </w:tcBorders>
            <w:noWrap/>
            <w:vAlign w:val="center"/>
          </w:tcPr>
          <w:p>
            <w:pPr>
              <w:pStyle w:val="59"/>
              <w:framePr w:hSpace="0" w:wrap="auto" w:vAnchor="margin" w:hAnchor="text" w:yAlign="inline"/>
              <w:rPr>
                <w:szCs w:val="21"/>
              </w:rPr>
            </w:pPr>
            <w:r>
              <w:rPr>
                <w:rFonts w:hint="eastAsia"/>
                <w:szCs w:val="21"/>
              </w:rPr>
              <w:t>0</w:t>
            </w:r>
            <w:r>
              <w:rPr>
                <w:szCs w:val="21"/>
              </w:rPr>
              <w:t>-0.5</w:t>
            </w:r>
            <w:r>
              <w:rPr>
                <w:rFonts w:hint="eastAsia"/>
                <w:szCs w:val="21"/>
              </w:rPr>
              <w:t>m</w:t>
            </w:r>
          </w:p>
        </w:tc>
        <w:tc>
          <w:tcPr>
            <w:tcW w:w="1163" w:type="pct"/>
            <w:gridSpan w:val="2"/>
            <w:tcBorders>
              <w:tl2br w:val="nil"/>
              <w:tr2bl w:val="nil"/>
            </w:tcBorders>
            <w:noWrap/>
            <w:vAlign w:val="center"/>
          </w:tcPr>
          <w:p>
            <w:pPr>
              <w:pStyle w:val="59"/>
              <w:framePr w:hSpace="0" w:wrap="auto" w:vAnchor="margin" w:hAnchor="text" w:yAlign="inline"/>
              <w:rPr>
                <w:szCs w:val="21"/>
              </w:rPr>
            </w:pPr>
            <w:r>
              <w:rPr>
                <w:rFonts w:hint="eastAsia"/>
                <w:szCs w:val="21"/>
              </w:rPr>
              <w:t>0</w:t>
            </w:r>
            <w:r>
              <w:rPr>
                <w:szCs w:val="21"/>
              </w:rPr>
              <w:t>-0.5</w:t>
            </w:r>
            <w:r>
              <w:rPr>
                <w:rFonts w:hint="eastAsia"/>
                <w:szCs w:val="21"/>
              </w:rPr>
              <w:t>m</w:t>
            </w:r>
          </w:p>
        </w:tc>
        <w:tc>
          <w:tcPr>
            <w:tcW w:w="1163" w:type="pct"/>
            <w:gridSpan w:val="2"/>
            <w:tcBorders>
              <w:tl2br w:val="nil"/>
              <w:tr2bl w:val="nil"/>
            </w:tcBorders>
            <w:noWrap/>
            <w:vAlign w:val="center"/>
          </w:tcPr>
          <w:p>
            <w:pPr>
              <w:pStyle w:val="59"/>
              <w:framePr w:hSpace="0" w:wrap="auto" w:vAnchor="margin" w:hAnchor="text" w:yAlign="inline"/>
              <w:rPr>
                <w:szCs w:val="21"/>
              </w:rPr>
            </w:pPr>
            <w:r>
              <w:rPr>
                <w:rFonts w:hint="eastAsia"/>
                <w:szCs w:val="21"/>
              </w:rPr>
              <w:t>0</w:t>
            </w:r>
            <w:r>
              <w:rPr>
                <w:szCs w:val="21"/>
              </w:rPr>
              <w:t>-0.5</w:t>
            </w:r>
            <w:r>
              <w:rPr>
                <w:rFonts w:hint="eastAsia"/>
                <w:szCs w:val="21"/>
              </w:rPr>
              <w:t>m</w:t>
            </w:r>
          </w:p>
        </w:tc>
        <w:tc>
          <w:tcPr>
            <w:tcW w:w="319" w:type="pct"/>
            <w:vMerge w:val="continue"/>
            <w:tcBorders>
              <w:tl2br w:val="nil"/>
              <w:tr2bl w:val="nil"/>
            </w:tcBorders>
            <w:noWrap/>
            <w:vAlign w:val="center"/>
          </w:tcPr>
          <w:p>
            <w:pPr>
              <w:pStyle w:val="59"/>
              <w:framePr w:hSpace="0" w:wrap="auto" w:vAnchor="margin" w:hAnchor="text" w:yAlign="inline"/>
              <w:rPr>
                <w:szCs w:val="21"/>
              </w:rPr>
            </w:pPr>
          </w:p>
        </w:tc>
        <w:tc>
          <w:tcPr>
            <w:tcW w:w="336" w:type="pct"/>
            <w:vMerge w:val="continue"/>
            <w:tcBorders>
              <w:tl2br w:val="nil"/>
              <w:tr2bl w:val="nil"/>
            </w:tcBorders>
            <w:noWrap/>
            <w:vAlign w:val="center"/>
          </w:tcPr>
          <w:p>
            <w:pPr>
              <w:widowControl/>
              <w:spacing w:line="240" w:lineRule="auto"/>
              <w:ind w:firstLine="0" w:firstLineChars="0"/>
              <w:jc w:val="center"/>
              <w:textAlignment w:val="center"/>
              <w:rPr>
                <w:rFonts w:cs="Times New Roman"/>
                <w:sz w:val="21"/>
                <w:szCs w:val="21"/>
              </w:rPr>
            </w:pPr>
          </w:p>
        </w:tc>
        <w:tc>
          <w:tcPr>
            <w:tcW w:w="210" w:type="pct"/>
            <w:vMerge w:val="continue"/>
            <w:tcBorders>
              <w:tl2br w:val="nil"/>
              <w:tr2bl w:val="nil"/>
            </w:tcBorders>
            <w:noWrap/>
            <w:vAlign w:val="center"/>
          </w:tcPr>
          <w:p>
            <w:pPr>
              <w:pStyle w:val="59"/>
              <w:framePr w:hSpace="0" w:wrap="auto" w:vAnchor="margin" w:hAnchor="text" w:yAlign="inline"/>
              <w:rPr>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砷</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4.3</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3.2</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3.5</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60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镉</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0.39</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3.72</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0.24</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65</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六价铬</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5.7</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铜</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5.0</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8.3</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5.8</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18000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铅</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12</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29</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12</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800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汞</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0.058</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0.078</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38</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镍</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12</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13</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13</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900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铬</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24</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25</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25</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2500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锌</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83</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193</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327</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10000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2"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四氯化碳</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2.8</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氯仿</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0.9</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氯甲烷</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37</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1,1-二氯乙烷</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9</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1,2-二氯乙烷</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1,1-二氯乙烯</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66</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顺-1,2-二氯乙烯</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596</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反-1,2-二氯乙烯</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54</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二氯甲烷</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616</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1,2-二氯丙烷</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1,1,1,2-四氯乙烷</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1,1,2,2-四氯乙烷</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6.8</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四氯乙烯</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53</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1,1,1-三氯乙烷</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840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1,1,2-三氯乙烷</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2.8</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三氯乙烯</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2.8</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1,2,3-三氯丙烷</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0.5</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氯乙烯</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0.43</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苯</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4</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氯苯</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270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1,2-二氯苯</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560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1,4-二氯苯</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乙苯</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28</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苯乙烯</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1290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甲苯</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1200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间二甲苯+对二甲苯</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570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邻二甲苯</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640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硝基苯</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76</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苯胺</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260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2-氯酚</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2256</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苯并[a]蒽</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15</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苯并[a]芘</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1.5</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苯并[b]荧蒽</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15</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苯并[k]荧蒽</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151</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rPr>
              <w:t>䓛</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1293</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二苯并[a,h]蒽</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1.5</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茚并[1,2,3-cd]芘</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15</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69" w:hRule="atLeast"/>
        </w:trPr>
        <w:tc>
          <w:tcPr>
            <w:tcW w:w="702" w:type="pct"/>
            <w:tcBorders>
              <w:tl2br w:val="nil"/>
              <w:tr2bl w:val="nil"/>
            </w:tcBorders>
            <w:noWrap/>
            <w:vAlign w:val="center"/>
          </w:tcPr>
          <w:p>
            <w:pPr>
              <w:spacing w:line="240" w:lineRule="auto"/>
              <w:ind w:firstLine="0" w:firstLineChars="0"/>
              <w:jc w:val="center"/>
              <w:rPr>
                <w:rFonts w:cs="Times New Roman"/>
                <w:szCs w:val="21"/>
              </w:rPr>
            </w:pPr>
            <w:r>
              <w:rPr>
                <w:rFonts w:cs="Times New Roman"/>
                <w:sz w:val="21"/>
                <w:szCs w:val="21"/>
              </w:rPr>
              <w:t>萘</w:t>
            </w:r>
          </w:p>
        </w:tc>
        <w:tc>
          <w:tcPr>
            <w:tcW w:w="1106"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1163" w:type="pct"/>
            <w:gridSpan w:val="2"/>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未检出</w:t>
            </w:r>
          </w:p>
        </w:tc>
        <w:tc>
          <w:tcPr>
            <w:tcW w:w="319" w:type="pct"/>
            <w:tcBorders>
              <w:tl2br w:val="nil"/>
              <w:tr2bl w:val="nil"/>
            </w:tcBorders>
            <w:noWrap/>
            <w:vAlign w:val="center"/>
          </w:tcPr>
          <w:p>
            <w:pPr>
              <w:pStyle w:val="59"/>
              <w:framePr w:hSpace="0" w:wrap="auto" w:vAnchor="margin" w:hAnchor="text" w:yAlign="inline"/>
              <w:rPr>
                <w:szCs w:val="21"/>
              </w:rPr>
            </w:pPr>
            <w:r>
              <w:rPr>
                <w:szCs w:val="21"/>
              </w:rPr>
              <w:t>mg/</w:t>
            </w:r>
            <w:r>
              <w:rPr>
                <w:rFonts w:hint="eastAsia"/>
                <w:szCs w:val="21"/>
              </w:rPr>
              <w:t>kg</w:t>
            </w:r>
          </w:p>
        </w:tc>
        <w:tc>
          <w:tcPr>
            <w:tcW w:w="336" w:type="pct"/>
            <w:tcBorders>
              <w:tl2br w:val="nil"/>
              <w:tr2bl w:val="nil"/>
            </w:tcBorders>
            <w:noWrap/>
            <w:vAlign w:val="center"/>
          </w:tcPr>
          <w:p>
            <w:pPr>
              <w:spacing w:line="240" w:lineRule="auto"/>
              <w:ind w:firstLine="0" w:firstLineChars="0"/>
              <w:jc w:val="center"/>
              <w:rPr>
                <w:rFonts w:cs="Times New Roman"/>
                <w:szCs w:val="21"/>
              </w:rPr>
            </w:pPr>
            <w:r>
              <w:rPr>
                <w:rFonts w:hint="eastAsia" w:cs="Times New Roman"/>
                <w:sz w:val="21"/>
                <w:szCs w:val="21"/>
              </w:rPr>
              <w:t>70</w:t>
            </w:r>
          </w:p>
        </w:tc>
        <w:tc>
          <w:tcPr>
            <w:tcW w:w="210" w:type="pct"/>
            <w:tcBorders>
              <w:tl2br w:val="nil"/>
              <w:tr2bl w:val="nil"/>
            </w:tcBorders>
            <w:noWrap/>
            <w:vAlign w:val="center"/>
          </w:tcPr>
          <w:p>
            <w:pPr>
              <w:pStyle w:val="59"/>
              <w:framePr w:hSpace="0" w:wrap="auto" w:vAnchor="margin" w:hAnchor="text" w:yAlign="inline"/>
              <w:rPr>
                <w:rFonts w:eastAsiaTheme="minorEastAsia"/>
                <w:szCs w:val="21"/>
                <w:lang w:val="en-US"/>
              </w:rPr>
            </w:pPr>
            <w:r>
              <w:rPr>
                <w:rFonts w:hint="eastAsia" w:eastAsiaTheme="minorEastAsia"/>
                <w:szCs w:val="21"/>
                <w:lang w:val="en-US"/>
              </w:rPr>
              <w:t>符合</w:t>
            </w:r>
          </w:p>
        </w:tc>
      </w:tr>
    </w:tbl>
    <w:p>
      <w:pPr>
        <w:overflowPunct w:val="0"/>
        <w:adjustRightInd w:val="0"/>
        <w:snapToGrid w:val="0"/>
        <w:ind w:firstLine="0" w:firstLineChars="0"/>
        <w:jc w:val="center"/>
        <w:rPr>
          <w:rStyle w:val="26"/>
          <w:color w:val="FF0000"/>
        </w:rPr>
        <w:sectPr>
          <w:pgSz w:w="16838" w:h="11906" w:orient="landscape"/>
          <w:pgMar w:top="1797" w:right="1440" w:bottom="1797" w:left="1440" w:header="851" w:footer="992" w:gutter="0"/>
          <w:cols w:space="425" w:num="1"/>
          <w:titlePg/>
          <w:docGrid w:type="linesAndChars" w:linePitch="326" w:charSpace="0"/>
        </w:sectPr>
      </w:pPr>
    </w:p>
    <w:p>
      <w:pPr>
        <w:ind w:firstLine="480"/>
        <w:rPr>
          <w:rFonts w:hAnsi="宋体" w:eastAsia="宋体" w:cs="Times New Roman"/>
        </w:rPr>
      </w:pPr>
      <w:r>
        <w:rPr>
          <w:rFonts w:hAnsi="宋体" w:eastAsia="宋体" w:cs="Times New Roman"/>
        </w:rPr>
        <w:t>本次检测，土壤</w:t>
      </w:r>
      <w:r>
        <w:rPr>
          <w:rFonts w:hint="eastAsia" w:hAnsi="宋体" w:eastAsia="宋体" w:cs="Times New Roman"/>
        </w:rPr>
        <w:t>各项</w:t>
      </w:r>
      <w:r>
        <w:rPr>
          <w:rFonts w:hAnsi="宋体" w:eastAsia="宋体" w:cs="Times New Roman"/>
        </w:rPr>
        <w:t>检测结果符合《土壤环境质量 建设用地土壤污染风险管控标准（试行）》（GB 36600-2018）表1</w:t>
      </w:r>
      <w:r>
        <w:rPr>
          <w:rFonts w:hint="eastAsia" w:hAnsi="宋体" w:eastAsia="宋体" w:cs="Times New Roman"/>
        </w:rPr>
        <w:t>和表2</w:t>
      </w:r>
      <w:r>
        <w:rPr>
          <w:rFonts w:hAnsi="宋体" w:eastAsia="宋体" w:cs="Times New Roman"/>
        </w:rPr>
        <w:t>中筛选值第</w:t>
      </w:r>
      <w:r>
        <w:rPr>
          <w:rFonts w:hint="eastAsia" w:hAnsi="宋体" w:eastAsia="宋体" w:cs="Times New Roman"/>
        </w:rPr>
        <w:t>二</w:t>
      </w:r>
      <w:r>
        <w:rPr>
          <w:rFonts w:hAnsi="宋体" w:eastAsia="宋体" w:cs="Times New Roman"/>
        </w:rPr>
        <w:t>类用地限值要求。</w:t>
      </w:r>
    </w:p>
    <w:p>
      <w:pPr>
        <w:ind w:firstLine="480"/>
        <w:rPr>
          <w:rFonts w:hAnsi="宋体" w:eastAsia="宋体" w:cs="Times New Roman"/>
        </w:rPr>
      </w:pPr>
      <w:r>
        <w:rPr>
          <w:rFonts w:hAnsi="宋体" w:eastAsia="宋体" w:cs="Times New Roman"/>
        </w:rPr>
        <w:t>本次检测各检测点浓度分布较均匀，与</w:t>
      </w:r>
      <w:r>
        <w:rPr>
          <w:rFonts w:hint="eastAsia" w:hAnsi="宋体" w:eastAsia="宋体" w:cs="Times New Roman"/>
        </w:rPr>
        <w:t>对照点</w:t>
      </w:r>
      <w:r>
        <w:rPr>
          <w:rFonts w:hAnsi="宋体" w:eastAsia="宋体" w:cs="Times New Roman"/>
        </w:rPr>
        <w:t>检测结果接近，据此判本项目识别的污染物对所在区域无明显污染迹象。</w:t>
      </w:r>
    </w:p>
    <w:p>
      <w:pPr>
        <w:ind w:firstLine="480"/>
        <w:rPr>
          <w:color w:val="FF0000"/>
        </w:rPr>
      </w:pPr>
    </w:p>
    <w:p>
      <w:pPr>
        <w:pStyle w:val="6"/>
      </w:pPr>
      <w:bookmarkStart w:id="56" w:name="_Toc91763550"/>
      <w:r>
        <w:t>8</w:t>
      </w:r>
      <w:r>
        <w:rPr>
          <w:rFonts w:hint="eastAsia"/>
        </w:rPr>
        <w:t>.3土壤检测</w:t>
      </w:r>
      <w:r>
        <w:t>质量控制</w:t>
      </w:r>
      <w:bookmarkEnd w:id="56"/>
    </w:p>
    <w:p>
      <w:pPr>
        <w:widowControl/>
        <w:ind w:firstLine="480"/>
        <w:jc w:val="left"/>
        <w:rPr>
          <w:rFonts w:eastAsia="宋体" w:cs="Times New Roman"/>
          <w:bCs/>
          <w:szCs w:val="24"/>
        </w:rPr>
      </w:pPr>
      <w:r>
        <w:rPr>
          <w:rFonts w:eastAsia="宋体" w:cs="Times New Roman"/>
          <w:bCs/>
          <w:kern w:val="0"/>
          <w:szCs w:val="24"/>
          <w:lang w:bidi="ar"/>
        </w:rPr>
        <w:t>采样过程：重金属样品的采集用木铲剥离外部土壤，取</w:t>
      </w:r>
      <w:r>
        <w:rPr>
          <w:rFonts w:hint="eastAsia" w:eastAsia="宋体" w:cs="Times New Roman"/>
          <w:bCs/>
          <w:kern w:val="0"/>
          <w:szCs w:val="24"/>
          <w:lang w:bidi="ar"/>
        </w:rPr>
        <w:t>未接触铁锹</w:t>
      </w:r>
      <w:r>
        <w:rPr>
          <w:rFonts w:eastAsia="宋体" w:cs="Times New Roman"/>
          <w:bCs/>
          <w:kern w:val="0"/>
          <w:szCs w:val="24"/>
          <w:lang w:bidi="ar"/>
        </w:rPr>
        <w:t>土壤进行采样分析；有机物样品的采集，选择未被搅动的原状土，剥离周边浮土，用一次性非扰动性取样器采集10</w:t>
      </w:r>
      <w:r>
        <w:rPr>
          <w:rFonts w:hint="eastAsia" w:eastAsia="宋体" w:cs="Times New Roman"/>
          <w:bCs/>
          <w:kern w:val="0"/>
          <w:szCs w:val="24"/>
          <w:lang w:bidi="ar"/>
        </w:rPr>
        <w:t>0</w:t>
      </w:r>
      <w:r>
        <w:rPr>
          <w:rFonts w:eastAsia="宋体" w:cs="Times New Roman"/>
          <w:bCs/>
          <w:kern w:val="0"/>
          <w:szCs w:val="24"/>
          <w:lang w:bidi="ar"/>
        </w:rPr>
        <w:t>g非扰动土样，迅速转移至</w:t>
      </w:r>
      <w:r>
        <w:rPr>
          <w:rFonts w:hint="eastAsia" w:eastAsia="宋体" w:cs="Times New Roman"/>
          <w:bCs/>
          <w:kern w:val="0"/>
          <w:szCs w:val="24"/>
          <w:lang w:bidi="ar"/>
        </w:rPr>
        <w:t>棕色瓶</w:t>
      </w:r>
      <w:r>
        <w:rPr>
          <w:rFonts w:eastAsia="宋体" w:cs="Times New Roman"/>
          <w:bCs/>
          <w:kern w:val="0"/>
          <w:szCs w:val="24"/>
          <w:lang w:bidi="ar"/>
        </w:rPr>
        <w:t>内；采样样品封装好后，贴上样品标签，包含样品编码、采样日期和分析项目等信息。</w:t>
      </w:r>
    </w:p>
    <w:p>
      <w:pPr>
        <w:widowControl/>
        <w:ind w:firstLine="480"/>
        <w:jc w:val="left"/>
        <w:rPr>
          <w:rFonts w:eastAsia="宋体" w:cs="Times New Roman"/>
          <w:bCs/>
          <w:kern w:val="0"/>
          <w:szCs w:val="24"/>
          <w:lang w:bidi="ar"/>
        </w:rPr>
      </w:pPr>
      <w:r>
        <w:rPr>
          <w:rFonts w:eastAsia="宋体" w:cs="Times New Roman"/>
          <w:bCs/>
          <w:kern w:val="0"/>
          <w:szCs w:val="24"/>
          <w:lang w:bidi="ar"/>
        </w:rPr>
        <w:t>采集后的样品放入密封保温箱内储存，24小时内送实验室分析。</w:t>
      </w:r>
    </w:p>
    <w:p>
      <w:pPr>
        <w:ind w:firstLine="480"/>
      </w:pPr>
    </w:p>
    <w:p>
      <w:pPr>
        <w:pStyle w:val="6"/>
      </w:pPr>
      <w:bookmarkStart w:id="57" w:name="_Toc91763551"/>
      <w:r>
        <w:t>8</w:t>
      </w:r>
      <w:r>
        <w:rPr>
          <w:rFonts w:hint="eastAsia"/>
        </w:rPr>
        <w:t>.4地下水分析方法</w:t>
      </w:r>
      <w:bookmarkEnd w:id="57"/>
    </w:p>
    <w:p>
      <w:pPr>
        <w:overflowPunct w:val="0"/>
        <w:adjustRightInd w:val="0"/>
        <w:snapToGrid w:val="0"/>
        <w:spacing w:before="163" w:beforeLines="50"/>
        <w:ind w:firstLine="482"/>
        <w:jc w:val="center"/>
        <w:rPr>
          <w:rStyle w:val="26"/>
        </w:rPr>
      </w:pPr>
      <w:r>
        <w:rPr>
          <w:rStyle w:val="26"/>
        </w:rPr>
        <w:t>表8</w:t>
      </w:r>
      <w:r>
        <w:rPr>
          <w:rStyle w:val="26"/>
          <w:rFonts w:hint="eastAsia"/>
        </w:rPr>
        <w:t>-</w:t>
      </w:r>
      <w:r>
        <w:rPr>
          <w:rStyle w:val="26"/>
        </w:rPr>
        <w:t>4</w:t>
      </w:r>
      <w:r>
        <w:rPr>
          <w:rStyle w:val="26"/>
          <w:rFonts w:hint="eastAsia"/>
        </w:rPr>
        <w:t xml:space="preserve">   地下水</w:t>
      </w:r>
      <w:r>
        <w:rPr>
          <w:rStyle w:val="26"/>
        </w:rPr>
        <w:t>检测方法、方法来源、检出限及使用仪器</w:t>
      </w:r>
    </w:p>
    <w:tbl>
      <w:tblPr>
        <w:tblStyle w:val="23"/>
        <w:tblW w:w="831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2850"/>
        <w:gridCol w:w="1320"/>
        <w:gridCol w:w="1887"/>
        <w:gridCol w:w="1113"/>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5" w:type="dxa"/>
            <w:vAlign w:val="center"/>
          </w:tcPr>
          <w:p>
            <w:pPr>
              <w:pStyle w:val="58"/>
              <w:rPr>
                <w:szCs w:val="21"/>
              </w:rPr>
            </w:pPr>
            <w:r>
              <w:rPr>
                <w:szCs w:val="21"/>
              </w:rPr>
              <w:t>检测因子</w:t>
            </w:r>
          </w:p>
        </w:tc>
        <w:tc>
          <w:tcPr>
            <w:tcW w:w="2850" w:type="dxa"/>
            <w:vAlign w:val="center"/>
          </w:tcPr>
          <w:p>
            <w:pPr>
              <w:pStyle w:val="58"/>
              <w:rPr>
                <w:szCs w:val="21"/>
              </w:rPr>
            </w:pPr>
            <w:r>
              <w:rPr>
                <w:szCs w:val="21"/>
              </w:rPr>
              <w:t>检测方法</w:t>
            </w:r>
          </w:p>
        </w:tc>
        <w:tc>
          <w:tcPr>
            <w:tcW w:w="1320" w:type="dxa"/>
            <w:vAlign w:val="center"/>
          </w:tcPr>
          <w:p>
            <w:pPr>
              <w:spacing w:line="240" w:lineRule="auto"/>
              <w:ind w:firstLine="0" w:firstLineChars="0"/>
              <w:jc w:val="center"/>
              <w:rPr>
                <w:rFonts w:cs="Times New Roman"/>
                <w:sz w:val="21"/>
                <w:szCs w:val="21"/>
              </w:rPr>
            </w:pPr>
            <w:r>
              <w:rPr>
                <w:rFonts w:cs="Times New Roman"/>
                <w:sz w:val="21"/>
                <w:szCs w:val="21"/>
              </w:rPr>
              <w:t>方法来源</w:t>
            </w:r>
          </w:p>
        </w:tc>
        <w:tc>
          <w:tcPr>
            <w:tcW w:w="1887" w:type="dxa"/>
            <w:vAlign w:val="center"/>
          </w:tcPr>
          <w:p>
            <w:pPr>
              <w:spacing w:line="240" w:lineRule="auto"/>
              <w:ind w:firstLine="0" w:firstLineChars="0"/>
              <w:jc w:val="center"/>
              <w:rPr>
                <w:rFonts w:cs="Times New Roman"/>
                <w:sz w:val="21"/>
                <w:szCs w:val="21"/>
              </w:rPr>
            </w:pPr>
            <w:r>
              <w:rPr>
                <w:rFonts w:cs="Times New Roman"/>
                <w:sz w:val="21"/>
                <w:szCs w:val="21"/>
              </w:rPr>
              <w:t>使用仪器及编号</w:t>
            </w:r>
          </w:p>
        </w:tc>
        <w:tc>
          <w:tcPr>
            <w:tcW w:w="1113" w:type="dxa"/>
            <w:vAlign w:val="center"/>
          </w:tcPr>
          <w:p>
            <w:pPr>
              <w:pStyle w:val="58"/>
              <w:rPr>
                <w:szCs w:val="21"/>
              </w:rPr>
            </w:pPr>
            <w:r>
              <w:rPr>
                <w:szCs w:val="21"/>
              </w:rPr>
              <w:t>检出限</w:t>
            </w:r>
          </w:p>
          <w:p>
            <w:pPr>
              <w:pStyle w:val="58"/>
              <w:rPr>
                <w:szCs w:val="21"/>
              </w:rPr>
            </w:pPr>
            <w:r>
              <w:rPr>
                <w:szCs w:val="21"/>
              </w:rPr>
              <w:t>mg/kg</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rFonts w:cs="Times New Roman"/>
                <w:sz w:val="21"/>
                <w:szCs w:val="21"/>
              </w:rPr>
            </w:pPr>
            <w:r>
              <w:rPr>
                <w:rFonts w:hint="eastAsia" w:cs="Times New Roman"/>
                <w:sz w:val="21"/>
                <w:szCs w:val="21"/>
              </w:rPr>
              <w:t>色度</w:t>
            </w:r>
          </w:p>
        </w:tc>
        <w:tc>
          <w:tcPr>
            <w:tcW w:w="2850" w:type="dxa"/>
            <w:vAlign w:val="center"/>
          </w:tcPr>
          <w:p>
            <w:pPr>
              <w:widowControl/>
              <w:spacing w:line="240" w:lineRule="auto"/>
              <w:ind w:firstLine="0" w:firstLineChars="0"/>
              <w:jc w:val="center"/>
              <w:textAlignment w:val="center"/>
              <w:rPr>
                <w:rFonts w:ascii="宋体" w:hAnsi="宋体" w:eastAsia="宋体" w:cs="宋体"/>
                <w:kern w:val="0"/>
                <w:sz w:val="21"/>
                <w:szCs w:val="21"/>
                <w:lang w:bidi="ar"/>
              </w:rPr>
            </w:pPr>
            <w:r>
              <w:rPr>
                <w:rFonts w:hint="eastAsia" w:ascii="宋体" w:hAnsi="宋体" w:eastAsia="宋体" w:cs="宋体"/>
                <w:kern w:val="0"/>
                <w:sz w:val="21"/>
                <w:szCs w:val="21"/>
                <w:lang w:bidi="ar"/>
              </w:rPr>
              <w:t>铂钴比色法</w:t>
            </w:r>
          </w:p>
          <w:p>
            <w:pPr>
              <w:widowControl/>
              <w:spacing w:line="240" w:lineRule="auto"/>
              <w:ind w:firstLine="0" w:firstLineChars="0"/>
              <w:jc w:val="center"/>
              <w:textAlignment w:val="center"/>
              <w:rPr>
                <w:rFonts w:cs="Times New Roman"/>
                <w:sz w:val="21"/>
                <w:szCs w:val="21"/>
              </w:rPr>
            </w:pPr>
            <w:r>
              <w:rPr>
                <w:rFonts w:hint="eastAsia" w:ascii="宋体" w:hAnsi="宋体" w:eastAsia="宋体" w:cs="宋体"/>
                <w:kern w:val="0"/>
                <w:sz w:val="21"/>
                <w:szCs w:val="21"/>
                <w:lang w:bidi="ar"/>
              </w:rPr>
              <w:t>水质</w:t>
            </w:r>
            <w:r>
              <w:rPr>
                <w:rFonts w:eastAsia="宋体" w:cs="Times New Roman"/>
                <w:kern w:val="0"/>
                <w:sz w:val="21"/>
                <w:szCs w:val="21"/>
                <w:lang w:bidi="ar"/>
              </w:rPr>
              <w:t xml:space="preserve"> </w:t>
            </w:r>
            <w:r>
              <w:rPr>
                <w:rFonts w:hint="eastAsia" w:ascii="宋体" w:hAnsi="宋体" w:eastAsia="宋体" w:cs="宋体"/>
                <w:kern w:val="0"/>
                <w:sz w:val="21"/>
                <w:szCs w:val="21"/>
                <w:lang w:bidi="ar"/>
              </w:rPr>
              <w:t>色度的测定</w:t>
            </w:r>
          </w:p>
        </w:tc>
        <w:tc>
          <w:tcPr>
            <w:tcW w:w="1320"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GB/T 11903-89</w:t>
            </w:r>
          </w:p>
        </w:tc>
        <w:tc>
          <w:tcPr>
            <w:tcW w:w="1887"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w:t>
            </w:r>
          </w:p>
        </w:tc>
        <w:tc>
          <w:tcPr>
            <w:tcW w:w="1113"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rFonts w:cs="Times New Roman"/>
                <w:sz w:val="21"/>
                <w:szCs w:val="21"/>
              </w:rPr>
            </w:pPr>
            <w:r>
              <w:rPr>
                <w:rFonts w:hint="eastAsia" w:cs="Times New Roman"/>
                <w:sz w:val="21"/>
                <w:szCs w:val="21"/>
              </w:rPr>
              <w:t>臭和味</w:t>
            </w:r>
          </w:p>
        </w:tc>
        <w:tc>
          <w:tcPr>
            <w:tcW w:w="2850" w:type="dxa"/>
            <w:vAlign w:val="center"/>
          </w:tcPr>
          <w:p>
            <w:pPr>
              <w:widowControl/>
              <w:spacing w:line="240" w:lineRule="auto"/>
              <w:ind w:firstLine="0" w:firstLineChars="0"/>
              <w:jc w:val="center"/>
              <w:textAlignment w:val="center"/>
              <w:rPr>
                <w:rFonts w:cs="Times New Roman"/>
                <w:sz w:val="21"/>
                <w:szCs w:val="21"/>
              </w:rPr>
            </w:pPr>
            <w:r>
              <w:rPr>
                <w:rFonts w:hint="eastAsia" w:ascii="宋体" w:hAnsi="宋体" w:eastAsia="宋体" w:cs="宋体"/>
                <w:kern w:val="0"/>
                <w:sz w:val="21"/>
                <w:szCs w:val="21"/>
                <w:lang w:bidi="ar"/>
              </w:rPr>
              <w:t>嗅气和尝味法</w:t>
            </w:r>
            <w:r>
              <w:rPr>
                <w:rFonts w:eastAsia="宋体" w:cs="Times New Roman"/>
                <w:kern w:val="0"/>
                <w:sz w:val="21"/>
                <w:szCs w:val="21"/>
                <w:lang w:bidi="ar"/>
              </w:rPr>
              <w:t xml:space="preserve"> </w:t>
            </w:r>
            <w:r>
              <w:rPr>
                <w:rFonts w:hint="eastAsia" w:ascii="宋体" w:hAnsi="宋体" w:eastAsia="宋体" w:cs="宋体"/>
                <w:kern w:val="0"/>
                <w:sz w:val="21"/>
                <w:szCs w:val="21"/>
                <w:lang w:bidi="ar"/>
              </w:rPr>
              <w:t>生活饮用水标准检验方法</w:t>
            </w:r>
            <w:r>
              <w:rPr>
                <w:rFonts w:eastAsia="宋体" w:cs="Times New Roman"/>
                <w:kern w:val="0"/>
                <w:sz w:val="21"/>
                <w:szCs w:val="21"/>
                <w:lang w:bidi="ar"/>
              </w:rPr>
              <w:t xml:space="preserve"> </w:t>
            </w:r>
            <w:r>
              <w:rPr>
                <w:rFonts w:hint="eastAsia" w:ascii="宋体" w:hAnsi="宋体" w:eastAsia="宋体" w:cs="宋体"/>
                <w:kern w:val="0"/>
                <w:sz w:val="21"/>
                <w:szCs w:val="21"/>
                <w:lang w:bidi="ar"/>
              </w:rPr>
              <w:t>感官性状和物理指标</w:t>
            </w:r>
          </w:p>
        </w:tc>
        <w:tc>
          <w:tcPr>
            <w:tcW w:w="1320"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 xml:space="preserve">GB/T 5750.4-2006 </w:t>
            </w:r>
            <w:r>
              <w:rPr>
                <w:rFonts w:hint="eastAsia" w:ascii="宋体" w:hAnsi="宋体" w:eastAsia="宋体" w:cs="宋体"/>
                <w:kern w:val="0"/>
                <w:sz w:val="21"/>
                <w:szCs w:val="21"/>
                <w:lang w:bidi="ar"/>
              </w:rPr>
              <w:t>（</w:t>
            </w:r>
            <w:r>
              <w:rPr>
                <w:rFonts w:eastAsia="宋体" w:cs="Times New Roman"/>
                <w:kern w:val="0"/>
                <w:sz w:val="21"/>
                <w:szCs w:val="21"/>
                <w:lang w:bidi="ar"/>
              </w:rPr>
              <w:t>3.1</w:t>
            </w:r>
            <w:r>
              <w:rPr>
                <w:rFonts w:hint="eastAsia" w:ascii="宋体" w:hAnsi="宋体" w:eastAsia="宋体" w:cs="宋体"/>
                <w:kern w:val="0"/>
                <w:sz w:val="21"/>
                <w:szCs w:val="21"/>
                <w:lang w:bidi="ar"/>
              </w:rPr>
              <w:t>）</w:t>
            </w:r>
          </w:p>
        </w:tc>
        <w:tc>
          <w:tcPr>
            <w:tcW w:w="1887"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w:t>
            </w:r>
          </w:p>
        </w:tc>
        <w:tc>
          <w:tcPr>
            <w:tcW w:w="1113" w:type="dxa"/>
            <w:vAlign w:val="center"/>
          </w:tcPr>
          <w:p>
            <w:pPr>
              <w:spacing w:line="240" w:lineRule="auto"/>
              <w:ind w:firstLine="0" w:firstLineChars="0"/>
              <w:jc w:val="center"/>
              <w:rPr>
                <w:rFonts w:cs="Times New Roman"/>
                <w:sz w:val="21"/>
                <w:szCs w:val="21"/>
              </w:rPr>
            </w:pPr>
            <w:r>
              <w:rPr>
                <w:rFonts w:eastAsia="宋体" w:cs="Times New Roman"/>
                <w:kern w:val="0"/>
                <w:sz w:val="21"/>
                <w:szCs w:val="21"/>
                <w:lang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rFonts w:cs="Times New Roman"/>
                <w:sz w:val="21"/>
                <w:szCs w:val="21"/>
              </w:rPr>
            </w:pPr>
            <w:r>
              <w:rPr>
                <w:rFonts w:hint="eastAsia" w:cs="Times New Roman"/>
                <w:sz w:val="21"/>
                <w:szCs w:val="21"/>
              </w:rPr>
              <w:t>浑浊度</w:t>
            </w:r>
          </w:p>
        </w:tc>
        <w:tc>
          <w:tcPr>
            <w:tcW w:w="2850" w:type="dxa"/>
            <w:vAlign w:val="center"/>
          </w:tcPr>
          <w:p>
            <w:pPr>
              <w:widowControl/>
              <w:spacing w:line="240" w:lineRule="auto"/>
              <w:ind w:firstLine="0" w:firstLineChars="0"/>
              <w:jc w:val="center"/>
              <w:textAlignment w:val="center"/>
              <w:rPr>
                <w:rFonts w:cs="Times New Roman"/>
                <w:sz w:val="21"/>
                <w:szCs w:val="21"/>
              </w:rPr>
            </w:pPr>
            <w:r>
              <w:rPr>
                <w:rFonts w:hint="eastAsia" w:ascii="宋体" w:hAnsi="宋体" w:eastAsia="宋体" w:cs="宋体"/>
                <w:kern w:val="0"/>
                <w:sz w:val="21"/>
                <w:szCs w:val="21"/>
                <w:lang w:bidi="ar"/>
              </w:rPr>
              <w:t>散射法</w:t>
            </w:r>
            <w:r>
              <w:rPr>
                <w:rFonts w:eastAsia="宋体" w:cs="Times New Roman"/>
                <w:kern w:val="0"/>
                <w:sz w:val="21"/>
                <w:szCs w:val="21"/>
                <w:lang w:bidi="ar"/>
              </w:rPr>
              <w:t>-</w:t>
            </w:r>
            <w:r>
              <w:rPr>
                <w:rFonts w:hint="eastAsia" w:ascii="宋体" w:hAnsi="宋体" w:eastAsia="宋体" w:cs="宋体"/>
                <w:kern w:val="0"/>
                <w:sz w:val="21"/>
                <w:szCs w:val="21"/>
                <w:lang w:bidi="ar"/>
              </w:rPr>
              <w:t>福尔马肼标准</w:t>
            </w:r>
            <w:r>
              <w:rPr>
                <w:rFonts w:eastAsia="宋体" w:cs="Times New Roman"/>
                <w:kern w:val="0"/>
                <w:sz w:val="21"/>
                <w:szCs w:val="21"/>
                <w:lang w:bidi="ar"/>
              </w:rPr>
              <w:t xml:space="preserve"> </w:t>
            </w:r>
            <w:r>
              <w:rPr>
                <w:rFonts w:hint="eastAsia" w:ascii="宋体" w:hAnsi="宋体" w:eastAsia="宋体" w:cs="宋体"/>
                <w:kern w:val="0"/>
                <w:sz w:val="21"/>
                <w:szCs w:val="21"/>
                <w:lang w:bidi="ar"/>
              </w:rPr>
              <w:t>生活饮用水标准检验方法</w:t>
            </w:r>
            <w:r>
              <w:rPr>
                <w:rFonts w:eastAsia="宋体" w:cs="Times New Roman"/>
                <w:kern w:val="0"/>
                <w:sz w:val="21"/>
                <w:szCs w:val="21"/>
                <w:lang w:bidi="ar"/>
              </w:rPr>
              <w:t xml:space="preserve"> </w:t>
            </w:r>
            <w:r>
              <w:rPr>
                <w:rFonts w:hint="eastAsia" w:ascii="宋体" w:hAnsi="宋体" w:eastAsia="宋体" w:cs="宋体"/>
                <w:kern w:val="0"/>
                <w:sz w:val="21"/>
                <w:szCs w:val="21"/>
                <w:lang w:bidi="ar"/>
              </w:rPr>
              <w:t>感官性状和物理指标</w:t>
            </w:r>
          </w:p>
        </w:tc>
        <w:tc>
          <w:tcPr>
            <w:tcW w:w="1320"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GB/T 5750.4-2006</w:t>
            </w:r>
            <w:r>
              <w:rPr>
                <w:rFonts w:hint="eastAsia" w:ascii="宋体" w:hAnsi="宋体" w:eastAsia="宋体" w:cs="宋体"/>
                <w:kern w:val="0"/>
                <w:sz w:val="21"/>
                <w:szCs w:val="21"/>
                <w:lang w:bidi="ar"/>
              </w:rPr>
              <w:t>（</w:t>
            </w:r>
            <w:r>
              <w:rPr>
                <w:rFonts w:eastAsia="宋体" w:cs="Times New Roman"/>
                <w:kern w:val="0"/>
                <w:sz w:val="21"/>
                <w:szCs w:val="21"/>
                <w:lang w:bidi="ar"/>
              </w:rPr>
              <w:t>2.1</w:t>
            </w:r>
            <w:r>
              <w:rPr>
                <w:rFonts w:hint="eastAsia" w:ascii="宋体" w:hAnsi="宋体" w:eastAsia="宋体" w:cs="宋体"/>
                <w:kern w:val="0"/>
                <w:sz w:val="21"/>
                <w:szCs w:val="21"/>
                <w:lang w:bidi="ar"/>
              </w:rPr>
              <w:t>）</w:t>
            </w:r>
          </w:p>
        </w:tc>
        <w:tc>
          <w:tcPr>
            <w:tcW w:w="1887"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HI98703</w:t>
            </w:r>
          </w:p>
          <w:p>
            <w:pPr>
              <w:widowControl/>
              <w:spacing w:line="240" w:lineRule="auto"/>
              <w:ind w:firstLine="0" w:firstLineChars="0"/>
              <w:jc w:val="center"/>
              <w:textAlignment w:val="center"/>
              <w:rPr>
                <w:rFonts w:hint="eastAsia" w:ascii="宋体" w:hAnsi="宋体" w:eastAsia="宋体" w:cs="宋体"/>
                <w:kern w:val="0"/>
                <w:sz w:val="21"/>
                <w:szCs w:val="21"/>
                <w:lang w:eastAsia="zh-CN" w:bidi="ar"/>
              </w:rPr>
            </w:pPr>
            <w:r>
              <w:rPr>
                <w:rFonts w:hint="eastAsia" w:ascii="宋体" w:hAnsi="宋体" w:eastAsia="宋体" w:cs="宋体"/>
                <w:kern w:val="0"/>
                <w:sz w:val="21"/>
                <w:szCs w:val="21"/>
                <w:lang w:bidi="ar"/>
              </w:rPr>
              <w:t>浊度仪</w:t>
            </w:r>
          </w:p>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LYQ-JL004</w:t>
            </w:r>
          </w:p>
        </w:tc>
        <w:tc>
          <w:tcPr>
            <w:tcW w:w="1113"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0.5 NTU</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rFonts w:cs="Times New Roman"/>
                <w:sz w:val="21"/>
                <w:szCs w:val="21"/>
              </w:rPr>
            </w:pPr>
            <w:r>
              <w:rPr>
                <w:rFonts w:hint="eastAsia" w:cs="Times New Roman"/>
                <w:sz w:val="21"/>
                <w:szCs w:val="21"/>
              </w:rPr>
              <w:t>肉眼可见物</w:t>
            </w:r>
          </w:p>
        </w:tc>
        <w:tc>
          <w:tcPr>
            <w:tcW w:w="2850" w:type="dxa"/>
            <w:vAlign w:val="center"/>
          </w:tcPr>
          <w:p>
            <w:pPr>
              <w:widowControl/>
              <w:spacing w:line="240" w:lineRule="auto"/>
              <w:ind w:firstLine="0" w:firstLineChars="0"/>
              <w:jc w:val="center"/>
              <w:textAlignment w:val="center"/>
              <w:rPr>
                <w:rFonts w:cs="Times New Roman"/>
                <w:sz w:val="21"/>
                <w:szCs w:val="21"/>
              </w:rPr>
            </w:pPr>
            <w:r>
              <w:rPr>
                <w:rFonts w:hint="eastAsia" w:ascii="宋体" w:hAnsi="宋体" w:eastAsia="宋体" w:cs="宋体"/>
                <w:kern w:val="0"/>
                <w:sz w:val="21"/>
                <w:szCs w:val="21"/>
                <w:lang w:bidi="ar"/>
              </w:rPr>
              <w:t>直接观察法</w:t>
            </w:r>
            <w:r>
              <w:rPr>
                <w:rFonts w:eastAsia="宋体" w:cs="Times New Roman"/>
                <w:kern w:val="0"/>
                <w:sz w:val="21"/>
                <w:szCs w:val="21"/>
                <w:lang w:bidi="ar"/>
              </w:rPr>
              <w:t xml:space="preserve"> </w:t>
            </w:r>
            <w:r>
              <w:rPr>
                <w:rFonts w:hint="eastAsia" w:ascii="宋体" w:hAnsi="宋体" w:eastAsia="宋体" w:cs="宋体"/>
                <w:kern w:val="0"/>
                <w:sz w:val="21"/>
                <w:szCs w:val="21"/>
                <w:lang w:bidi="ar"/>
              </w:rPr>
              <w:t>生活饮用水标准检验方法</w:t>
            </w:r>
            <w:r>
              <w:rPr>
                <w:rFonts w:eastAsia="宋体" w:cs="Times New Roman"/>
                <w:kern w:val="0"/>
                <w:sz w:val="21"/>
                <w:szCs w:val="21"/>
                <w:lang w:bidi="ar"/>
              </w:rPr>
              <w:t xml:space="preserve"> </w:t>
            </w:r>
            <w:r>
              <w:rPr>
                <w:rFonts w:hint="eastAsia" w:ascii="宋体" w:hAnsi="宋体" w:eastAsia="宋体" w:cs="宋体"/>
                <w:kern w:val="0"/>
                <w:sz w:val="21"/>
                <w:szCs w:val="21"/>
                <w:lang w:bidi="ar"/>
              </w:rPr>
              <w:t>感官性状和物理指标</w:t>
            </w:r>
          </w:p>
        </w:tc>
        <w:tc>
          <w:tcPr>
            <w:tcW w:w="1320"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GB/T 5750.4-2006</w:t>
            </w:r>
            <w:r>
              <w:rPr>
                <w:rFonts w:hint="eastAsia" w:ascii="宋体" w:hAnsi="宋体" w:eastAsia="宋体" w:cs="宋体"/>
                <w:kern w:val="0"/>
                <w:sz w:val="21"/>
                <w:szCs w:val="21"/>
                <w:lang w:bidi="ar"/>
              </w:rPr>
              <w:t>（</w:t>
            </w:r>
            <w:r>
              <w:rPr>
                <w:rFonts w:eastAsia="宋体" w:cs="Times New Roman"/>
                <w:kern w:val="0"/>
                <w:sz w:val="21"/>
                <w:szCs w:val="21"/>
                <w:lang w:bidi="ar"/>
              </w:rPr>
              <w:t>4.1</w:t>
            </w:r>
            <w:r>
              <w:rPr>
                <w:rFonts w:hint="eastAsia" w:ascii="宋体" w:hAnsi="宋体" w:eastAsia="宋体" w:cs="宋体"/>
                <w:kern w:val="0"/>
                <w:sz w:val="21"/>
                <w:szCs w:val="21"/>
                <w:lang w:bidi="ar"/>
              </w:rPr>
              <w:t>）</w:t>
            </w:r>
          </w:p>
        </w:tc>
        <w:tc>
          <w:tcPr>
            <w:tcW w:w="1887"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w:t>
            </w:r>
          </w:p>
        </w:tc>
        <w:tc>
          <w:tcPr>
            <w:tcW w:w="1113"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rFonts w:cs="Times New Roman"/>
                <w:sz w:val="21"/>
                <w:szCs w:val="21"/>
              </w:rPr>
            </w:pPr>
            <w:r>
              <w:rPr>
                <w:rFonts w:eastAsia="宋体" w:cs="Times New Roman"/>
                <w:snapToGrid w:val="0"/>
                <w:kern w:val="0"/>
                <w:sz w:val="21"/>
                <w:szCs w:val="21"/>
              </w:rPr>
              <w:t>pH</w:t>
            </w:r>
          </w:p>
        </w:tc>
        <w:tc>
          <w:tcPr>
            <w:tcW w:w="2850" w:type="dxa"/>
            <w:vAlign w:val="center"/>
          </w:tcPr>
          <w:p>
            <w:pPr>
              <w:widowControl/>
              <w:spacing w:line="240" w:lineRule="auto"/>
              <w:ind w:firstLine="0" w:firstLineChars="0"/>
              <w:jc w:val="center"/>
              <w:textAlignment w:val="center"/>
              <w:rPr>
                <w:rFonts w:hint="eastAsia" w:ascii="宋体" w:hAnsi="宋体" w:eastAsia="宋体" w:cs="宋体"/>
                <w:kern w:val="0"/>
                <w:sz w:val="21"/>
                <w:szCs w:val="21"/>
                <w:lang w:eastAsia="zh-CN" w:bidi="ar"/>
              </w:rPr>
            </w:pPr>
            <w:r>
              <w:rPr>
                <w:rFonts w:hint="eastAsia" w:ascii="宋体" w:hAnsi="宋体" w:eastAsia="宋体" w:cs="宋体"/>
                <w:kern w:val="0"/>
                <w:sz w:val="21"/>
                <w:szCs w:val="21"/>
                <w:lang w:bidi="ar"/>
              </w:rPr>
              <w:t>水质</w:t>
            </w:r>
            <w:r>
              <w:rPr>
                <w:rFonts w:eastAsia="宋体" w:cs="Times New Roman"/>
                <w:kern w:val="0"/>
                <w:sz w:val="21"/>
                <w:szCs w:val="21"/>
                <w:lang w:bidi="ar"/>
              </w:rPr>
              <w:t xml:space="preserve">  pH</w:t>
            </w:r>
            <w:r>
              <w:rPr>
                <w:rFonts w:hint="eastAsia" w:ascii="宋体" w:hAnsi="宋体" w:eastAsia="宋体" w:cs="宋体"/>
                <w:kern w:val="0"/>
                <w:sz w:val="21"/>
                <w:szCs w:val="21"/>
                <w:lang w:bidi="ar"/>
              </w:rPr>
              <w:t>值的测定</w:t>
            </w:r>
          </w:p>
          <w:p>
            <w:pPr>
              <w:widowControl/>
              <w:spacing w:line="240" w:lineRule="auto"/>
              <w:ind w:firstLine="0" w:firstLineChars="0"/>
              <w:jc w:val="center"/>
              <w:textAlignment w:val="center"/>
              <w:rPr>
                <w:rFonts w:eastAsia="宋体" w:cs="Times New Roman"/>
                <w:kern w:val="0"/>
                <w:sz w:val="21"/>
                <w:szCs w:val="21"/>
                <w:lang w:bidi="ar"/>
              </w:rPr>
            </w:pPr>
            <w:r>
              <w:rPr>
                <w:rFonts w:hint="eastAsia" w:ascii="宋体" w:hAnsi="宋体" w:eastAsia="宋体" w:cs="宋体"/>
                <w:kern w:val="0"/>
                <w:sz w:val="21"/>
                <w:szCs w:val="21"/>
                <w:lang w:bidi="ar"/>
              </w:rPr>
              <w:t>电极法</w:t>
            </w:r>
          </w:p>
        </w:tc>
        <w:tc>
          <w:tcPr>
            <w:tcW w:w="1320"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HJ 1147-2020</w:t>
            </w:r>
          </w:p>
        </w:tc>
        <w:tc>
          <w:tcPr>
            <w:tcW w:w="1887" w:type="dxa"/>
            <w:vAlign w:val="center"/>
          </w:tcPr>
          <w:p>
            <w:pPr>
              <w:widowControl/>
              <w:spacing w:line="240" w:lineRule="auto"/>
              <w:ind w:firstLine="0" w:firstLineChars="0"/>
              <w:jc w:val="center"/>
              <w:textAlignment w:val="center"/>
              <w:rPr>
                <w:rFonts w:hint="eastAsia" w:eastAsia="宋体" w:cs="Times New Roman"/>
                <w:kern w:val="0"/>
                <w:sz w:val="21"/>
                <w:szCs w:val="21"/>
                <w:lang w:eastAsia="zh-CN" w:bidi="ar"/>
              </w:rPr>
            </w:pPr>
            <w:r>
              <w:rPr>
                <w:rFonts w:hint="eastAsia" w:ascii="宋体" w:hAnsi="宋体" w:eastAsia="宋体" w:cs="宋体"/>
                <w:kern w:val="0"/>
                <w:sz w:val="21"/>
                <w:szCs w:val="21"/>
                <w:lang w:bidi="ar"/>
              </w:rPr>
              <w:t>便携式</w:t>
            </w:r>
            <w:r>
              <w:rPr>
                <w:rFonts w:hint="eastAsia" w:eastAsia="宋体" w:cs="Times New Roman"/>
                <w:kern w:val="0"/>
                <w:sz w:val="21"/>
                <w:szCs w:val="21"/>
                <w:lang w:bidi="ar"/>
              </w:rPr>
              <w:t>PHBJ-260</w:t>
            </w:r>
          </w:p>
          <w:p>
            <w:pPr>
              <w:widowControl/>
              <w:spacing w:line="240" w:lineRule="auto"/>
              <w:ind w:firstLine="0" w:firstLineChars="0"/>
              <w:jc w:val="center"/>
              <w:textAlignment w:val="center"/>
              <w:rPr>
                <w:rFonts w:hint="eastAsia" w:ascii="宋体" w:hAnsi="宋体" w:eastAsia="宋体" w:cs="宋体"/>
                <w:kern w:val="0"/>
                <w:sz w:val="21"/>
                <w:szCs w:val="21"/>
                <w:lang w:eastAsia="zh-CN" w:bidi="ar"/>
              </w:rPr>
            </w:pPr>
            <w:r>
              <w:rPr>
                <w:rFonts w:eastAsia="宋体" w:cs="Times New Roman"/>
                <w:kern w:val="0"/>
                <w:sz w:val="21"/>
                <w:szCs w:val="21"/>
                <w:lang w:bidi="ar"/>
              </w:rPr>
              <w:t xml:space="preserve"> pH</w:t>
            </w:r>
            <w:r>
              <w:rPr>
                <w:rFonts w:hint="eastAsia" w:ascii="宋体" w:hAnsi="宋体" w:eastAsia="宋体" w:cs="宋体"/>
                <w:kern w:val="0"/>
                <w:sz w:val="21"/>
                <w:szCs w:val="21"/>
                <w:lang w:bidi="ar"/>
              </w:rPr>
              <w:t>计</w:t>
            </w:r>
          </w:p>
          <w:p>
            <w:pPr>
              <w:widowControl/>
              <w:spacing w:line="240" w:lineRule="auto"/>
              <w:ind w:firstLine="0" w:firstLineChars="0"/>
              <w:jc w:val="center"/>
              <w:textAlignment w:val="center"/>
              <w:rPr>
                <w:rFonts w:eastAsia="宋体" w:cs="Times New Roman"/>
                <w:kern w:val="0"/>
                <w:sz w:val="21"/>
                <w:szCs w:val="21"/>
                <w:lang w:bidi="ar"/>
              </w:rPr>
            </w:pPr>
            <w:r>
              <w:rPr>
                <w:rFonts w:hint="eastAsia" w:eastAsia="宋体" w:cs="Times New Roman"/>
                <w:kern w:val="0"/>
                <w:sz w:val="21"/>
                <w:szCs w:val="21"/>
                <w:lang w:bidi="ar"/>
              </w:rPr>
              <w:t>C</w:t>
            </w:r>
            <w:r>
              <w:rPr>
                <w:rFonts w:eastAsia="宋体" w:cs="Times New Roman"/>
                <w:kern w:val="0"/>
                <w:sz w:val="21"/>
                <w:szCs w:val="21"/>
                <w:lang w:bidi="ar"/>
              </w:rPr>
              <w:t>YQ-JL0</w:t>
            </w:r>
            <w:r>
              <w:rPr>
                <w:rFonts w:hint="eastAsia" w:eastAsia="宋体" w:cs="Times New Roman"/>
                <w:kern w:val="0"/>
                <w:sz w:val="21"/>
                <w:szCs w:val="21"/>
                <w:lang w:bidi="ar"/>
              </w:rPr>
              <w:t>54</w:t>
            </w:r>
          </w:p>
        </w:tc>
        <w:tc>
          <w:tcPr>
            <w:tcW w:w="1113"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rFonts w:cs="Times New Roman"/>
                <w:sz w:val="21"/>
                <w:szCs w:val="21"/>
              </w:rPr>
            </w:pPr>
            <w:r>
              <w:rPr>
                <w:rFonts w:cs="Times New Roman"/>
                <w:sz w:val="21"/>
                <w:szCs w:val="21"/>
              </w:rPr>
              <w:t>总硬度</w:t>
            </w:r>
          </w:p>
        </w:tc>
        <w:tc>
          <w:tcPr>
            <w:tcW w:w="2850"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cs="Times New Roman"/>
                <w:kern w:val="0"/>
                <w:sz w:val="21"/>
                <w:szCs w:val="21"/>
                <w:lang w:bidi="ar"/>
              </w:rPr>
              <w:t>乙二胺四乙酸二钠滴定法  生活饮用水标准检验方法 感官性状和物理指标</w:t>
            </w:r>
          </w:p>
        </w:tc>
        <w:tc>
          <w:tcPr>
            <w:tcW w:w="1320"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cs="Times New Roman"/>
                <w:kern w:val="0"/>
                <w:sz w:val="21"/>
                <w:szCs w:val="21"/>
                <w:lang w:bidi="ar"/>
              </w:rPr>
              <w:t>GB/T 5750.4-2006 （7.1）</w:t>
            </w:r>
          </w:p>
        </w:tc>
        <w:tc>
          <w:tcPr>
            <w:tcW w:w="1887" w:type="dxa"/>
            <w:vAlign w:val="center"/>
          </w:tcPr>
          <w:p>
            <w:pPr>
              <w:widowControl/>
              <w:spacing w:line="240" w:lineRule="auto"/>
              <w:ind w:firstLine="0" w:firstLineChars="0"/>
              <w:jc w:val="center"/>
              <w:textAlignment w:val="center"/>
              <w:rPr>
                <w:rFonts w:cs="Times New Roman"/>
                <w:kern w:val="0"/>
                <w:sz w:val="21"/>
                <w:szCs w:val="21"/>
                <w:lang w:bidi="ar"/>
              </w:rPr>
            </w:pPr>
            <w:r>
              <w:rPr>
                <w:rFonts w:cs="Times New Roman"/>
                <w:kern w:val="0"/>
                <w:sz w:val="21"/>
                <w:szCs w:val="21"/>
                <w:lang w:bidi="ar"/>
              </w:rPr>
              <w:t>50.00mL滴定管</w:t>
            </w:r>
          </w:p>
        </w:tc>
        <w:tc>
          <w:tcPr>
            <w:tcW w:w="1113"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cs="Times New Roman"/>
                <w:kern w:val="0"/>
                <w:sz w:val="21"/>
                <w:szCs w:val="21"/>
                <w:lang w:bidi="ar"/>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rFonts w:cs="Times New Roman"/>
                <w:sz w:val="21"/>
                <w:szCs w:val="21"/>
              </w:rPr>
            </w:pPr>
            <w:r>
              <w:rPr>
                <w:rFonts w:cs="Times New Roman"/>
                <w:sz w:val="21"/>
                <w:szCs w:val="21"/>
              </w:rPr>
              <w:t>溶解性总固体</w:t>
            </w:r>
          </w:p>
        </w:tc>
        <w:tc>
          <w:tcPr>
            <w:tcW w:w="2850"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称重法 生活饮用水标准检验方法 感官性状和物理指标</w:t>
            </w:r>
          </w:p>
        </w:tc>
        <w:tc>
          <w:tcPr>
            <w:tcW w:w="1320"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cs="Times New Roman"/>
                <w:kern w:val="0"/>
                <w:sz w:val="21"/>
                <w:szCs w:val="21"/>
                <w:lang w:bidi="ar"/>
              </w:rPr>
              <w:t>GB/T 5750.4-2006（8.1）</w:t>
            </w:r>
          </w:p>
        </w:tc>
        <w:tc>
          <w:tcPr>
            <w:tcW w:w="1887" w:type="dxa"/>
            <w:vAlign w:val="center"/>
          </w:tcPr>
          <w:p>
            <w:pPr>
              <w:widowControl/>
              <w:spacing w:line="240" w:lineRule="auto"/>
              <w:ind w:firstLine="0" w:firstLineChars="0"/>
              <w:jc w:val="center"/>
              <w:textAlignment w:val="center"/>
              <w:rPr>
                <w:rFonts w:cs="Times New Roman"/>
                <w:kern w:val="0"/>
                <w:sz w:val="21"/>
                <w:szCs w:val="21"/>
                <w:lang w:bidi="ar"/>
              </w:rPr>
            </w:pPr>
            <w:r>
              <w:rPr>
                <w:rFonts w:cs="Times New Roman"/>
                <w:kern w:val="0"/>
                <w:sz w:val="21"/>
                <w:szCs w:val="21"/>
                <w:lang w:bidi="ar"/>
              </w:rPr>
              <w:t>101-2AB</w:t>
            </w:r>
          </w:p>
          <w:p>
            <w:pPr>
              <w:widowControl/>
              <w:spacing w:line="240" w:lineRule="auto"/>
              <w:ind w:firstLine="0" w:firstLineChars="0"/>
              <w:jc w:val="center"/>
              <w:textAlignment w:val="center"/>
              <w:rPr>
                <w:rFonts w:cs="Times New Roman"/>
                <w:kern w:val="0"/>
                <w:sz w:val="21"/>
                <w:szCs w:val="21"/>
                <w:lang w:bidi="ar"/>
              </w:rPr>
            </w:pPr>
            <w:r>
              <w:rPr>
                <w:rFonts w:cs="Times New Roman"/>
                <w:kern w:val="0"/>
                <w:sz w:val="21"/>
                <w:szCs w:val="21"/>
                <w:lang w:bidi="ar"/>
              </w:rPr>
              <w:t>电热鼓风干燥箱LYQ-JL007</w:t>
            </w:r>
          </w:p>
          <w:p>
            <w:pPr>
              <w:widowControl/>
              <w:spacing w:line="240" w:lineRule="auto"/>
              <w:ind w:firstLine="0" w:firstLineChars="0"/>
              <w:jc w:val="center"/>
              <w:textAlignment w:val="center"/>
              <w:rPr>
                <w:rFonts w:cs="Times New Roman"/>
                <w:kern w:val="0"/>
                <w:sz w:val="21"/>
                <w:szCs w:val="21"/>
                <w:lang w:bidi="ar"/>
              </w:rPr>
            </w:pPr>
            <w:r>
              <w:rPr>
                <w:rFonts w:cs="Times New Roman"/>
                <w:kern w:val="0"/>
                <w:sz w:val="21"/>
                <w:szCs w:val="21"/>
                <w:lang w:bidi="ar"/>
              </w:rPr>
              <w:t>ME204E电子天平LYQ-JL013</w:t>
            </w:r>
          </w:p>
        </w:tc>
        <w:tc>
          <w:tcPr>
            <w:tcW w:w="1113"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cs="Times New Roman"/>
                <w:sz w:val="21"/>
                <w:szCs w:val="21"/>
              </w:rPr>
              <w:t>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sz w:val="21"/>
                <w:szCs w:val="21"/>
              </w:rPr>
            </w:pPr>
            <w:r>
              <w:rPr>
                <w:sz w:val="21"/>
                <w:szCs w:val="21"/>
              </w:rPr>
              <w:t>硫酸盐</w:t>
            </w:r>
          </w:p>
        </w:tc>
        <w:tc>
          <w:tcPr>
            <w:tcW w:w="2850" w:type="dxa"/>
            <w:vMerge w:val="restart"/>
            <w:vAlign w:val="center"/>
          </w:tcPr>
          <w:p>
            <w:pPr>
              <w:widowControl/>
              <w:spacing w:line="240" w:lineRule="auto"/>
              <w:ind w:firstLine="0" w:firstLineChars="0"/>
              <w:jc w:val="center"/>
              <w:textAlignment w:val="center"/>
              <w:rPr>
                <w:kern w:val="0"/>
                <w:sz w:val="21"/>
                <w:szCs w:val="21"/>
                <w:lang w:bidi="ar"/>
              </w:rPr>
            </w:pPr>
            <w:r>
              <w:rPr>
                <w:kern w:val="0"/>
                <w:sz w:val="21"/>
                <w:szCs w:val="21"/>
                <w:lang w:bidi="ar"/>
              </w:rPr>
              <w:t>水质 无机阴离子（F</w:t>
            </w:r>
            <w:r>
              <w:rPr>
                <w:kern w:val="0"/>
                <w:sz w:val="21"/>
                <w:szCs w:val="21"/>
                <w:vertAlign w:val="superscript"/>
                <w:lang w:bidi="ar"/>
              </w:rPr>
              <w:t>-</w:t>
            </w:r>
            <w:r>
              <w:rPr>
                <w:kern w:val="0"/>
                <w:sz w:val="21"/>
                <w:szCs w:val="21"/>
                <w:lang w:bidi="ar"/>
              </w:rPr>
              <w:t>、Cl</w:t>
            </w:r>
            <w:r>
              <w:rPr>
                <w:kern w:val="0"/>
                <w:sz w:val="21"/>
                <w:szCs w:val="21"/>
                <w:vertAlign w:val="superscript"/>
                <w:lang w:bidi="ar"/>
              </w:rPr>
              <w:t>-</w:t>
            </w:r>
            <w:r>
              <w:rPr>
                <w:kern w:val="0"/>
                <w:sz w:val="21"/>
                <w:szCs w:val="21"/>
                <w:lang w:bidi="ar"/>
              </w:rPr>
              <w:t>、NO</w:t>
            </w:r>
            <w:r>
              <w:rPr>
                <w:kern w:val="0"/>
                <w:sz w:val="21"/>
                <w:szCs w:val="21"/>
                <w:vertAlign w:val="subscript"/>
                <w:lang w:bidi="ar"/>
              </w:rPr>
              <w:t>2</w:t>
            </w:r>
            <w:r>
              <w:rPr>
                <w:kern w:val="0"/>
                <w:sz w:val="21"/>
                <w:szCs w:val="21"/>
                <w:vertAlign w:val="superscript"/>
                <w:lang w:bidi="ar"/>
              </w:rPr>
              <w:t>-</w:t>
            </w:r>
            <w:r>
              <w:rPr>
                <w:kern w:val="0"/>
                <w:sz w:val="21"/>
                <w:szCs w:val="21"/>
                <w:lang w:bidi="ar"/>
              </w:rPr>
              <w:t>、Br</w:t>
            </w:r>
            <w:r>
              <w:rPr>
                <w:kern w:val="0"/>
                <w:sz w:val="21"/>
                <w:szCs w:val="21"/>
                <w:vertAlign w:val="superscript"/>
                <w:lang w:bidi="ar"/>
              </w:rPr>
              <w:t>-</w:t>
            </w:r>
            <w:r>
              <w:rPr>
                <w:kern w:val="0"/>
                <w:sz w:val="21"/>
                <w:szCs w:val="21"/>
                <w:lang w:bidi="ar"/>
              </w:rPr>
              <w:t>、NO</w:t>
            </w:r>
            <w:r>
              <w:rPr>
                <w:kern w:val="0"/>
                <w:sz w:val="21"/>
                <w:szCs w:val="21"/>
                <w:vertAlign w:val="subscript"/>
                <w:lang w:bidi="ar"/>
              </w:rPr>
              <w:t>3</w:t>
            </w:r>
            <w:r>
              <w:rPr>
                <w:kern w:val="0"/>
                <w:sz w:val="21"/>
                <w:szCs w:val="21"/>
                <w:vertAlign w:val="superscript"/>
                <w:lang w:bidi="ar"/>
              </w:rPr>
              <w:t>-</w:t>
            </w:r>
            <w:r>
              <w:rPr>
                <w:kern w:val="0"/>
                <w:sz w:val="21"/>
                <w:szCs w:val="21"/>
                <w:lang w:bidi="ar"/>
              </w:rPr>
              <w:t>、PO</w:t>
            </w:r>
            <w:r>
              <w:rPr>
                <w:kern w:val="0"/>
                <w:sz w:val="21"/>
                <w:szCs w:val="21"/>
                <w:vertAlign w:val="subscript"/>
                <w:lang w:bidi="ar"/>
              </w:rPr>
              <w:t>4</w:t>
            </w:r>
            <w:r>
              <w:rPr>
                <w:kern w:val="0"/>
                <w:sz w:val="21"/>
                <w:szCs w:val="21"/>
                <w:vertAlign w:val="superscript"/>
                <w:lang w:bidi="ar"/>
              </w:rPr>
              <w:t>3-</w:t>
            </w:r>
            <w:r>
              <w:rPr>
                <w:kern w:val="0"/>
                <w:sz w:val="21"/>
                <w:szCs w:val="21"/>
                <w:lang w:bidi="ar"/>
              </w:rPr>
              <w:t>、SO</w:t>
            </w:r>
            <w:r>
              <w:rPr>
                <w:kern w:val="0"/>
                <w:sz w:val="21"/>
                <w:szCs w:val="21"/>
                <w:vertAlign w:val="subscript"/>
                <w:lang w:bidi="ar"/>
              </w:rPr>
              <w:t>3</w:t>
            </w:r>
            <w:r>
              <w:rPr>
                <w:kern w:val="0"/>
                <w:sz w:val="21"/>
                <w:szCs w:val="21"/>
                <w:vertAlign w:val="superscript"/>
                <w:lang w:bidi="ar"/>
              </w:rPr>
              <w:t>2-</w:t>
            </w:r>
            <w:r>
              <w:rPr>
                <w:kern w:val="0"/>
                <w:sz w:val="21"/>
                <w:szCs w:val="21"/>
                <w:lang w:bidi="ar"/>
              </w:rPr>
              <w:t>、SO</w:t>
            </w:r>
            <w:r>
              <w:rPr>
                <w:kern w:val="0"/>
                <w:sz w:val="21"/>
                <w:szCs w:val="21"/>
                <w:vertAlign w:val="subscript"/>
                <w:lang w:bidi="ar"/>
              </w:rPr>
              <w:t>4</w:t>
            </w:r>
            <w:r>
              <w:rPr>
                <w:kern w:val="0"/>
                <w:sz w:val="21"/>
                <w:szCs w:val="21"/>
                <w:vertAlign w:val="superscript"/>
                <w:lang w:bidi="ar"/>
              </w:rPr>
              <w:t>2-</w:t>
            </w:r>
            <w:r>
              <w:rPr>
                <w:kern w:val="0"/>
                <w:sz w:val="21"/>
                <w:szCs w:val="21"/>
                <w:lang w:bidi="ar"/>
              </w:rPr>
              <w:t>）的测定 离子色谱法</w:t>
            </w:r>
          </w:p>
        </w:tc>
        <w:tc>
          <w:tcPr>
            <w:tcW w:w="1320" w:type="dxa"/>
            <w:vMerge w:val="restart"/>
            <w:vAlign w:val="center"/>
          </w:tcPr>
          <w:p>
            <w:pPr>
              <w:widowControl/>
              <w:spacing w:line="240" w:lineRule="auto"/>
              <w:ind w:firstLine="0" w:firstLineChars="0"/>
              <w:jc w:val="center"/>
              <w:textAlignment w:val="center"/>
              <w:rPr>
                <w:rFonts w:cs="Times New Roman"/>
                <w:kern w:val="0"/>
                <w:sz w:val="21"/>
                <w:szCs w:val="21"/>
                <w:lang w:bidi="ar"/>
              </w:rPr>
            </w:pPr>
            <w:r>
              <w:rPr>
                <w:rFonts w:cs="Times New Roman"/>
                <w:kern w:val="0"/>
                <w:sz w:val="21"/>
                <w:szCs w:val="21"/>
                <w:lang w:bidi="ar"/>
              </w:rPr>
              <w:t>HJ 84-2016</w:t>
            </w:r>
          </w:p>
        </w:tc>
        <w:tc>
          <w:tcPr>
            <w:tcW w:w="1887" w:type="dxa"/>
            <w:vMerge w:val="restart"/>
            <w:vAlign w:val="center"/>
          </w:tcPr>
          <w:p>
            <w:pPr>
              <w:widowControl/>
              <w:spacing w:line="240" w:lineRule="auto"/>
              <w:ind w:firstLine="0" w:firstLineChars="0"/>
              <w:jc w:val="center"/>
              <w:textAlignment w:val="center"/>
              <w:rPr>
                <w:rFonts w:hint="eastAsia" w:cs="Times New Roman" w:eastAsiaTheme="minorEastAsia"/>
                <w:kern w:val="0"/>
                <w:sz w:val="21"/>
                <w:szCs w:val="21"/>
                <w:lang w:eastAsia="zh-CN" w:bidi="ar"/>
              </w:rPr>
            </w:pPr>
            <w:r>
              <w:rPr>
                <w:rFonts w:cs="Times New Roman"/>
                <w:kern w:val="0"/>
                <w:sz w:val="21"/>
                <w:szCs w:val="21"/>
                <w:lang w:bidi="ar"/>
              </w:rPr>
              <w:t>ICS-600</w:t>
            </w:r>
          </w:p>
          <w:p>
            <w:pPr>
              <w:widowControl/>
              <w:spacing w:line="240" w:lineRule="auto"/>
              <w:ind w:firstLine="0" w:firstLineChars="0"/>
              <w:jc w:val="center"/>
              <w:textAlignment w:val="center"/>
              <w:rPr>
                <w:rFonts w:hint="eastAsia" w:cs="Times New Roman" w:eastAsiaTheme="minorEastAsia"/>
                <w:kern w:val="0"/>
                <w:sz w:val="21"/>
                <w:szCs w:val="21"/>
                <w:lang w:eastAsia="zh-CN" w:bidi="ar"/>
              </w:rPr>
            </w:pPr>
            <w:r>
              <w:rPr>
                <w:rFonts w:cs="Times New Roman"/>
                <w:kern w:val="0"/>
                <w:sz w:val="21"/>
                <w:szCs w:val="21"/>
                <w:lang w:bidi="ar"/>
              </w:rPr>
              <w:t>离子色谱仪</w:t>
            </w:r>
          </w:p>
          <w:p>
            <w:pPr>
              <w:widowControl/>
              <w:spacing w:line="240" w:lineRule="auto"/>
              <w:ind w:firstLine="0" w:firstLineChars="0"/>
              <w:jc w:val="center"/>
              <w:textAlignment w:val="center"/>
              <w:rPr>
                <w:rFonts w:cs="Times New Roman"/>
                <w:kern w:val="0"/>
                <w:sz w:val="21"/>
                <w:szCs w:val="21"/>
                <w:lang w:bidi="ar"/>
              </w:rPr>
            </w:pPr>
            <w:r>
              <w:rPr>
                <w:rFonts w:cs="Times New Roman"/>
                <w:kern w:val="0"/>
                <w:sz w:val="21"/>
                <w:szCs w:val="21"/>
                <w:lang w:bidi="ar"/>
              </w:rPr>
              <w:t>YYQ-JL002</w:t>
            </w:r>
          </w:p>
        </w:tc>
        <w:tc>
          <w:tcPr>
            <w:tcW w:w="1113" w:type="dxa"/>
            <w:vAlign w:val="center"/>
          </w:tcPr>
          <w:p>
            <w:pPr>
              <w:spacing w:line="240" w:lineRule="auto"/>
              <w:ind w:firstLine="0" w:firstLineChars="0"/>
              <w:jc w:val="center"/>
              <w:rPr>
                <w:sz w:val="21"/>
                <w:szCs w:val="21"/>
              </w:rPr>
            </w:pPr>
            <w:r>
              <w:rPr>
                <w:sz w:val="21"/>
                <w:szCs w:val="21"/>
              </w:rPr>
              <w:t>0.018</w:t>
            </w:r>
            <w:r>
              <w:rPr>
                <w:rFonts w:hint="eastAsia"/>
                <w:sz w:val="21"/>
                <w:szCs w:val="21"/>
              </w:rPr>
              <w:t>mg</w:t>
            </w:r>
            <w:r>
              <w:rPr>
                <w:sz w:val="21"/>
                <w:szCs w:val="21"/>
              </w:rPr>
              <w:t>/</w:t>
            </w:r>
            <w:r>
              <w:rPr>
                <w:rFonts w:hint="eastAsia"/>
                <w:sz w:val="21"/>
                <w:szCs w:val="21"/>
              </w:rPr>
              <w:t>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sz w:val="21"/>
                <w:szCs w:val="21"/>
              </w:rPr>
            </w:pPr>
            <w:r>
              <w:rPr>
                <w:sz w:val="21"/>
                <w:szCs w:val="21"/>
              </w:rPr>
              <w:t>氯化物</w:t>
            </w:r>
          </w:p>
        </w:tc>
        <w:tc>
          <w:tcPr>
            <w:tcW w:w="2850" w:type="dxa"/>
            <w:vMerge w:val="continue"/>
            <w:vAlign w:val="center"/>
          </w:tcPr>
          <w:p>
            <w:pPr>
              <w:pStyle w:val="58"/>
              <w:rPr>
                <w:szCs w:val="21"/>
              </w:rPr>
            </w:pPr>
          </w:p>
        </w:tc>
        <w:tc>
          <w:tcPr>
            <w:tcW w:w="1320" w:type="dxa"/>
            <w:vMerge w:val="continue"/>
            <w:vAlign w:val="center"/>
          </w:tcPr>
          <w:p>
            <w:pPr>
              <w:spacing w:line="240" w:lineRule="auto"/>
              <w:ind w:firstLine="0" w:firstLineChars="0"/>
              <w:jc w:val="center"/>
              <w:rPr>
                <w:sz w:val="21"/>
                <w:szCs w:val="21"/>
              </w:rPr>
            </w:pPr>
          </w:p>
        </w:tc>
        <w:tc>
          <w:tcPr>
            <w:tcW w:w="1887" w:type="dxa"/>
            <w:vMerge w:val="continue"/>
            <w:vAlign w:val="center"/>
          </w:tcPr>
          <w:p>
            <w:pPr>
              <w:spacing w:line="240" w:lineRule="auto"/>
              <w:ind w:firstLine="0" w:firstLineChars="0"/>
              <w:jc w:val="center"/>
              <w:rPr>
                <w:sz w:val="21"/>
                <w:szCs w:val="21"/>
              </w:rPr>
            </w:pPr>
          </w:p>
        </w:tc>
        <w:tc>
          <w:tcPr>
            <w:tcW w:w="1113" w:type="dxa"/>
            <w:vAlign w:val="center"/>
          </w:tcPr>
          <w:p>
            <w:pPr>
              <w:spacing w:line="240" w:lineRule="auto"/>
              <w:ind w:firstLine="0" w:firstLineChars="0"/>
              <w:jc w:val="center"/>
              <w:rPr>
                <w:sz w:val="21"/>
                <w:szCs w:val="21"/>
              </w:rPr>
            </w:pPr>
            <w:r>
              <w:rPr>
                <w:sz w:val="21"/>
                <w:szCs w:val="21"/>
              </w:rPr>
              <w:t>0.007</w:t>
            </w:r>
            <w:r>
              <w:rPr>
                <w:rFonts w:hint="eastAsia"/>
                <w:sz w:val="21"/>
                <w:szCs w:val="21"/>
              </w:rPr>
              <w:t xml:space="preserve"> mg</w:t>
            </w:r>
            <w:r>
              <w:rPr>
                <w:sz w:val="21"/>
                <w:szCs w:val="21"/>
              </w:rPr>
              <w:t>/</w:t>
            </w:r>
            <w:r>
              <w:rPr>
                <w:rFonts w:hint="eastAsia"/>
                <w:sz w:val="21"/>
                <w:szCs w:val="21"/>
              </w:rPr>
              <w:t>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sz w:val="21"/>
                <w:szCs w:val="21"/>
              </w:rPr>
            </w:pPr>
            <w:r>
              <w:rPr>
                <w:sz w:val="21"/>
                <w:szCs w:val="21"/>
              </w:rPr>
              <w:t>硝酸盐</w:t>
            </w:r>
          </w:p>
        </w:tc>
        <w:tc>
          <w:tcPr>
            <w:tcW w:w="2850" w:type="dxa"/>
            <w:vMerge w:val="continue"/>
            <w:vAlign w:val="center"/>
          </w:tcPr>
          <w:p>
            <w:pPr>
              <w:pStyle w:val="58"/>
              <w:rPr>
                <w:szCs w:val="21"/>
              </w:rPr>
            </w:pPr>
          </w:p>
        </w:tc>
        <w:tc>
          <w:tcPr>
            <w:tcW w:w="1320" w:type="dxa"/>
            <w:vMerge w:val="continue"/>
            <w:vAlign w:val="center"/>
          </w:tcPr>
          <w:p>
            <w:pPr>
              <w:tabs>
                <w:tab w:val="left" w:pos="444"/>
              </w:tabs>
              <w:spacing w:line="240" w:lineRule="auto"/>
              <w:ind w:firstLine="0" w:firstLineChars="0"/>
              <w:jc w:val="center"/>
              <w:rPr>
                <w:sz w:val="21"/>
                <w:szCs w:val="21"/>
              </w:rPr>
            </w:pPr>
          </w:p>
        </w:tc>
        <w:tc>
          <w:tcPr>
            <w:tcW w:w="1887" w:type="dxa"/>
            <w:vMerge w:val="continue"/>
            <w:vAlign w:val="center"/>
          </w:tcPr>
          <w:p>
            <w:pPr>
              <w:tabs>
                <w:tab w:val="left" w:pos="444"/>
              </w:tabs>
              <w:spacing w:line="240" w:lineRule="auto"/>
              <w:ind w:firstLine="0" w:firstLineChars="0"/>
              <w:jc w:val="center"/>
              <w:rPr>
                <w:sz w:val="21"/>
                <w:szCs w:val="21"/>
              </w:rPr>
            </w:pPr>
          </w:p>
        </w:tc>
        <w:tc>
          <w:tcPr>
            <w:tcW w:w="1113" w:type="dxa"/>
            <w:vAlign w:val="center"/>
          </w:tcPr>
          <w:p>
            <w:pPr>
              <w:tabs>
                <w:tab w:val="left" w:pos="444"/>
              </w:tabs>
              <w:spacing w:line="240" w:lineRule="auto"/>
              <w:ind w:firstLine="0" w:firstLineChars="0"/>
              <w:jc w:val="center"/>
              <w:rPr>
                <w:sz w:val="21"/>
                <w:szCs w:val="21"/>
              </w:rPr>
            </w:pPr>
            <w:r>
              <w:rPr>
                <w:sz w:val="21"/>
                <w:szCs w:val="21"/>
              </w:rPr>
              <w:t>0.016</w:t>
            </w:r>
            <w:r>
              <w:rPr>
                <w:rFonts w:hint="eastAsia"/>
                <w:sz w:val="21"/>
                <w:szCs w:val="21"/>
              </w:rPr>
              <w:t xml:space="preserve"> mg</w:t>
            </w:r>
            <w:r>
              <w:rPr>
                <w:sz w:val="21"/>
                <w:szCs w:val="21"/>
              </w:rPr>
              <w:t>/</w:t>
            </w:r>
            <w:r>
              <w:rPr>
                <w:rFonts w:hint="eastAsia"/>
                <w:sz w:val="21"/>
                <w:szCs w:val="21"/>
              </w:rPr>
              <w:t>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sz w:val="21"/>
                <w:szCs w:val="21"/>
              </w:rPr>
            </w:pPr>
            <w:r>
              <w:rPr>
                <w:sz w:val="21"/>
                <w:szCs w:val="21"/>
              </w:rPr>
              <w:t>氟化物</w:t>
            </w:r>
          </w:p>
        </w:tc>
        <w:tc>
          <w:tcPr>
            <w:tcW w:w="2850" w:type="dxa"/>
            <w:vMerge w:val="continue"/>
            <w:vAlign w:val="center"/>
          </w:tcPr>
          <w:p>
            <w:pPr>
              <w:pStyle w:val="58"/>
              <w:rPr>
                <w:szCs w:val="21"/>
              </w:rPr>
            </w:pPr>
          </w:p>
        </w:tc>
        <w:tc>
          <w:tcPr>
            <w:tcW w:w="1320" w:type="dxa"/>
            <w:vMerge w:val="continue"/>
            <w:vAlign w:val="center"/>
          </w:tcPr>
          <w:p>
            <w:pPr>
              <w:spacing w:line="240" w:lineRule="auto"/>
              <w:ind w:firstLine="0" w:firstLineChars="0"/>
              <w:jc w:val="center"/>
              <w:rPr>
                <w:sz w:val="21"/>
                <w:szCs w:val="21"/>
              </w:rPr>
            </w:pPr>
          </w:p>
        </w:tc>
        <w:tc>
          <w:tcPr>
            <w:tcW w:w="1887" w:type="dxa"/>
            <w:vMerge w:val="continue"/>
            <w:vAlign w:val="center"/>
          </w:tcPr>
          <w:p>
            <w:pPr>
              <w:spacing w:line="240" w:lineRule="auto"/>
              <w:ind w:firstLine="0" w:firstLineChars="0"/>
              <w:jc w:val="center"/>
              <w:rPr>
                <w:sz w:val="21"/>
                <w:szCs w:val="21"/>
              </w:rPr>
            </w:pPr>
          </w:p>
        </w:tc>
        <w:tc>
          <w:tcPr>
            <w:tcW w:w="1113" w:type="dxa"/>
            <w:vAlign w:val="center"/>
          </w:tcPr>
          <w:p>
            <w:pPr>
              <w:spacing w:line="240" w:lineRule="auto"/>
              <w:ind w:firstLine="0" w:firstLineChars="0"/>
              <w:jc w:val="center"/>
              <w:rPr>
                <w:sz w:val="21"/>
                <w:szCs w:val="21"/>
              </w:rPr>
            </w:pPr>
            <w:r>
              <w:rPr>
                <w:sz w:val="21"/>
                <w:szCs w:val="21"/>
              </w:rPr>
              <w:t>0.006</w:t>
            </w:r>
            <w:r>
              <w:rPr>
                <w:rFonts w:hint="eastAsia"/>
                <w:sz w:val="21"/>
                <w:szCs w:val="21"/>
              </w:rPr>
              <w:t xml:space="preserve"> mg</w:t>
            </w:r>
            <w:r>
              <w:rPr>
                <w:sz w:val="21"/>
                <w:szCs w:val="21"/>
              </w:rPr>
              <w:t>/</w:t>
            </w:r>
            <w:r>
              <w:rPr>
                <w:rFonts w:hint="eastAsia"/>
                <w:sz w:val="21"/>
                <w:szCs w:val="21"/>
              </w:rPr>
              <w:t>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rFonts w:cs="Times New Roman"/>
                <w:sz w:val="21"/>
                <w:szCs w:val="21"/>
              </w:rPr>
            </w:pPr>
            <w:r>
              <w:rPr>
                <w:rFonts w:hint="eastAsia" w:cs="Times New Roman"/>
                <w:sz w:val="21"/>
                <w:szCs w:val="21"/>
              </w:rPr>
              <w:t>铁</w:t>
            </w:r>
          </w:p>
        </w:tc>
        <w:tc>
          <w:tcPr>
            <w:tcW w:w="2850" w:type="dxa"/>
            <w:vMerge w:val="restart"/>
            <w:vAlign w:val="center"/>
          </w:tcPr>
          <w:p>
            <w:pPr>
              <w:widowControl/>
              <w:spacing w:line="240" w:lineRule="auto"/>
              <w:ind w:firstLine="0" w:firstLineChars="0"/>
              <w:jc w:val="center"/>
              <w:textAlignment w:val="center"/>
              <w:rPr>
                <w:kern w:val="0"/>
                <w:sz w:val="21"/>
                <w:szCs w:val="21"/>
                <w:lang w:bidi="ar"/>
              </w:rPr>
            </w:pPr>
            <w:r>
              <w:rPr>
                <w:kern w:val="0"/>
                <w:sz w:val="21"/>
                <w:szCs w:val="21"/>
                <w:lang w:bidi="ar"/>
              </w:rPr>
              <w:t>水质 65种元素的测定 电感耦合等离子体质谱法</w:t>
            </w:r>
          </w:p>
        </w:tc>
        <w:tc>
          <w:tcPr>
            <w:tcW w:w="1320" w:type="dxa"/>
            <w:vMerge w:val="restart"/>
            <w:vAlign w:val="center"/>
          </w:tcPr>
          <w:p>
            <w:pPr>
              <w:widowControl/>
              <w:spacing w:line="240" w:lineRule="auto"/>
              <w:ind w:firstLine="0" w:firstLineChars="0"/>
              <w:jc w:val="center"/>
              <w:textAlignment w:val="center"/>
              <w:rPr>
                <w:rFonts w:cs="Times New Roman"/>
                <w:kern w:val="0"/>
                <w:sz w:val="21"/>
                <w:szCs w:val="21"/>
                <w:lang w:bidi="ar"/>
              </w:rPr>
            </w:pPr>
            <w:r>
              <w:rPr>
                <w:rFonts w:eastAsia="宋体" w:cs="Times New Roman"/>
                <w:kern w:val="0"/>
                <w:sz w:val="21"/>
                <w:szCs w:val="21"/>
                <w:lang w:bidi="ar"/>
              </w:rPr>
              <w:t>HJ 700-2014</w:t>
            </w:r>
          </w:p>
        </w:tc>
        <w:tc>
          <w:tcPr>
            <w:tcW w:w="1887" w:type="dxa"/>
            <w:vMerge w:val="restart"/>
            <w:vAlign w:val="center"/>
          </w:tcPr>
          <w:p>
            <w:pPr>
              <w:widowControl/>
              <w:spacing w:line="240" w:lineRule="auto"/>
              <w:ind w:firstLine="0" w:firstLineChars="0"/>
              <w:jc w:val="center"/>
              <w:textAlignment w:val="center"/>
              <w:rPr>
                <w:rFonts w:hint="eastAsia" w:eastAsia="宋体" w:cs="Times New Roman"/>
                <w:kern w:val="0"/>
                <w:sz w:val="21"/>
                <w:szCs w:val="21"/>
                <w:lang w:eastAsia="zh-CN" w:bidi="ar"/>
              </w:rPr>
            </w:pPr>
            <w:r>
              <w:rPr>
                <w:rFonts w:eastAsia="宋体" w:cs="Times New Roman"/>
                <w:kern w:val="0"/>
                <w:sz w:val="21"/>
                <w:szCs w:val="21"/>
                <w:lang w:bidi="ar"/>
              </w:rPr>
              <w:t>7800电感耦合</w:t>
            </w:r>
          </w:p>
          <w:p>
            <w:pPr>
              <w:widowControl/>
              <w:spacing w:line="240" w:lineRule="auto"/>
              <w:ind w:firstLine="0" w:firstLineChars="0"/>
              <w:jc w:val="center"/>
              <w:textAlignment w:val="center"/>
              <w:rPr>
                <w:rFonts w:hint="eastAsia" w:eastAsia="宋体" w:cs="Times New Roman"/>
                <w:kern w:val="0"/>
                <w:sz w:val="21"/>
                <w:szCs w:val="21"/>
                <w:lang w:eastAsia="zh-CN" w:bidi="ar"/>
              </w:rPr>
            </w:pPr>
            <w:r>
              <w:rPr>
                <w:rFonts w:eastAsia="宋体" w:cs="Times New Roman"/>
                <w:kern w:val="0"/>
                <w:sz w:val="21"/>
                <w:szCs w:val="21"/>
                <w:lang w:bidi="ar"/>
              </w:rPr>
              <w:t>等离子体质谱仪</w:t>
            </w:r>
          </w:p>
          <w:p>
            <w:pPr>
              <w:widowControl/>
              <w:spacing w:line="240" w:lineRule="auto"/>
              <w:ind w:firstLine="0" w:firstLineChars="0"/>
              <w:jc w:val="center"/>
              <w:textAlignment w:val="center"/>
              <w:rPr>
                <w:rFonts w:cs="Times New Roman"/>
                <w:kern w:val="0"/>
                <w:sz w:val="21"/>
                <w:szCs w:val="21"/>
                <w:lang w:bidi="ar"/>
              </w:rPr>
            </w:pPr>
            <w:r>
              <w:rPr>
                <w:rFonts w:eastAsia="宋体" w:cs="Times New Roman"/>
                <w:kern w:val="0"/>
                <w:sz w:val="21"/>
                <w:szCs w:val="21"/>
                <w:lang w:bidi="ar"/>
              </w:rPr>
              <w:t>YYQ-JL001</w:t>
            </w:r>
          </w:p>
        </w:tc>
        <w:tc>
          <w:tcPr>
            <w:tcW w:w="1113"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0.82 μg/L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rFonts w:cs="Times New Roman"/>
                <w:sz w:val="21"/>
                <w:szCs w:val="21"/>
              </w:rPr>
            </w:pPr>
            <w:r>
              <w:rPr>
                <w:rFonts w:hint="eastAsia" w:cs="Times New Roman"/>
                <w:sz w:val="21"/>
                <w:szCs w:val="21"/>
              </w:rPr>
              <w:t>锰</w:t>
            </w:r>
          </w:p>
        </w:tc>
        <w:tc>
          <w:tcPr>
            <w:tcW w:w="2850" w:type="dxa"/>
            <w:vMerge w:val="continue"/>
            <w:vAlign w:val="center"/>
          </w:tcPr>
          <w:p>
            <w:pPr>
              <w:pStyle w:val="58"/>
              <w:rPr>
                <w:szCs w:val="21"/>
              </w:rPr>
            </w:pPr>
          </w:p>
        </w:tc>
        <w:tc>
          <w:tcPr>
            <w:tcW w:w="1320" w:type="dxa"/>
            <w:vMerge w:val="continue"/>
            <w:vAlign w:val="center"/>
          </w:tcPr>
          <w:p>
            <w:pPr>
              <w:widowControl/>
              <w:spacing w:line="240" w:lineRule="auto"/>
              <w:ind w:firstLine="0" w:firstLineChars="0"/>
              <w:jc w:val="center"/>
              <w:textAlignment w:val="center"/>
              <w:rPr>
                <w:kern w:val="0"/>
                <w:sz w:val="21"/>
                <w:szCs w:val="21"/>
                <w:lang w:bidi="ar"/>
              </w:rPr>
            </w:pPr>
          </w:p>
        </w:tc>
        <w:tc>
          <w:tcPr>
            <w:tcW w:w="1887" w:type="dxa"/>
            <w:vMerge w:val="continue"/>
            <w:vAlign w:val="center"/>
          </w:tcPr>
          <w:p>
            <w:pPr>
              <w:widowControl/>
              <w:spacing w:line="240" w:lineRule="auto"/>
              <w:ind w:firstLine="0" w:firstLineChars="0"/>
              <w:jc w:val="center"/>
              <w:textAlignment w:val="center"/>
              <w:rPr>
                <w:kern w:val="0"/>
                <w:sz w:val="21"/>
                <w:szCs w:val="21"/>
                <w:lang w:bidi="ar"/>
              </w:rPr>
            </w:pPr>
          </w:p>
        </w:tc>
        <w:tc>
          <w:tcPr>
            <w:tcW w:w="1113"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0.12 μg/L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rFonts w:cs="Times New Roman"/>
                <w:sz w:val="21"/>
                <w:szCs w:val="21"/>
              </w:rPr>
            </w:pPr>
            <w:r>
              <w:rPr>
                <w:rFonts w:cs="Times New Roman"/>
                <w:sz w:val="21"/>
                <w:szCs w:val="21"/>
              </w:rPr>
              <w:t>铜</w:t>
            </w:r>
          </w:p>
        </w:tc>
        <w:tc>
          <w:tcPr>
            <w:tcW w:w="2850" w:type="dxa"/>
            <w:vMerge w:val="continue"/>
            <w:vAlign w:val="center"/>
          </w:tcPr>
          <w:p>
            <w:pPr>
              <w:pStyle w:val="58"/>
              <w:rPr>
                <w:szCs w:val="21"/>
              </w:rPr>
            </w:pPr>
          </w:p>
        </w:tc>
        <w:tc>
          <w:tcPr>
            <w:tcW w:w="1320" w:type="dxa"/>
            <w:vMerge w:val="continue"/>
            <w:vAlign w:val="center"/>
          </w:tcPr>
          <w:p>
            <w:pPr>
              <w:widowControl/>
              <w:spacing w:line="240" w:lineRule="auto"/>
              <w:ind w:firstLine="0" w:firstLineChars="0"/>
              <w:jc w:val="center"/>
              <w:textAlignment w:val="center"/>
              <w:rPr>
                <w:kern w:val="0"/>
                <w:sz w:val="21"/>
                <w:szCs w:val="21"/>
                <w:lang w:bidi="ar"/>
              </w:rPr>
            </w:pPr>
          </w:p>
        </w:tc>
        <w:tc>
          <w:tcPr>
            <w:tcW w:w="1887" w:type="dxa"/>
            <w:vMerge w:val="continue"/>
            <w:vAlign w:val="center"/>
          </w:tcPr>
          <w:p>
            <w:pPr>
              <w:widowControl/>
              <w:spacing w:line="240" w:lineRule="auto"/>
              <w:ind w:firstLine="0" w:firstLineChars="0"/>
              <w:jc w:val="center"/>
              <w:textAlignment w:val="center"/>
              <w:rPr>
                <w:kern w:val="0"/>
                <w:sz w:val="21"/>
                <w:szCs w:val="21"/>
                <w:lang w:bidi="ar"/>
              </w:rPr>
            </w:pPr>
          </w:p>
        </w:tc>
        <w:tc>
          <w:tcPr>
            <w:tcW w:w="1113" w:type="dxa"/>
            <w:vAlign w:val="center"/>
          </w:tcPr>
          <w:p>
            <w:pPr>
              <w:widowControl/>
              <w:spacing w:line="240" w:lineRule="auto"/>
              <w:ind w:firstLine="0" w:firstLineChars="0"/>
              <w:jc w:val="center"/>
              <w:textAlignment w:val="center"/>
              <w:rPr>
                <w:rFonts w:cs="Times New Roman"/>
                <w:sz w:val="21"/>
                <w:szCs w:val="21"/>
              </w:rPr>
            </w:pPr>
            <w:r>
              <w:rPr>
                <w:rFonts w:cs="Times New Roman"/>
                <w:sz w:val="21"/>
                <w:szCs w:val="21"/>
              </w:rPr>
              <w:t>0.08 μg/L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rFonts w:cs="Times New Roman"/>
                <w:sz w:val="21"/>
                <w:szCs w:val="21"/>
              </w:rPr>
            </w:pPr>
            <w:r>
              <w:rPr>
                <w:rFonts w:cs="Times New Roman"/>
                <w:sz w:val="21"/>
                <w:szCs w:val="21"/>
              </w:rPr>
              <w:t>锌</w:t>
            </w:r>
          </w:p>
        </w:tc>
        <w:tc>
          <w:tcPr>
            <w:tcW w:w="2850" w:type="dxa"/>
            <w:vMerge w:val="continue"/>
            <w:vAlign w:val="center"/>
          </w:tcPr>
          <w:p>
            <w:pPr>
              <w:pStyle w:val="58"/>
              <w:rPr>
                <w:szCs w:val="21"/>
              </w:rPr>
            </w:pPr>
          </w:p>
        </w:tc>
        <w:tc>
          <w:tcPr>
            <w:tcW w:w="1320" w:type="dxa"/>
            <w:vMerge w:val="continue"/>
            <w:vAlign w:val="center"/>
          </w:tcPr>
          <w:p>
            <w:pPr>
              <w:widowControl/>
              <w:spacing w:line="240" w:lineRule="auto"/>
              <w:ind w:firstLine="0" w:firstLineChars="0"/>
              <w:jc w:val="center"/>
              <w:textAlignment w:val="center"/>
              <w:rPr>
                <w:kern w:val="0"/>
                <w:sz w:val="21"/>
                <w:szCs w:val="21"/>
                <w:lang w:bidi="ar"/>
              </w:rPr>
            </w:pPr>
          </w:p>
        </w:tc>
        <w:tc>
          <w:tcPr>
            <w:tcW w:w="1887" w:type="dxa"/>
            <w:vMerge w:val="continue"/>
            <w:vAlign w:val="center"/>
          </w:tcPr>
          <w:p>
            <w:pPr>
              <w:widowControl/>
              <w:spacing w:line="240" w:lineRule="auto"/>
              <w:ind w:firstLine="0" w:firstLineChars="0"/>
              <w:jc w:val="center"/>
              <w:textAlignment w:val="center"/>
              <w:rPr>
                <w:kern w:val="0"/>
                <w:sz w:val="21"/>
                <w:szCs w:val="21"/>
                <w:lang w:bidi="ar"/>
              </w:rPr>
            </w:pPr>
          </w:p>
        </w:tc>
        <w:tc>
          <w:tcPr>
            <w:tcW w:w="1113" w:type="dxa"/>
            <w:vAlign w:val="center"/>
          </w:tcPr>
          <w:p>
            <w:pPr>
              <w:widowControl/>
              <w:spacing w:line="240" w:lineRule="auto"/>
              <w:ind w:firstLine="0" w:firstLineChars="0"/>
              <w:jc w:val="center"/>
              <w:textAlignment w:val="center"/>
              <w:rPr>
                <w:rFonts w:cs="Times New Roman"/>
                <w:sz w:val="21"/>
                <w:szCs w:val="21"/>
              </w:rPr>
            </w:pPr>
            <w:r>
              <w:rPr>
                <w:rFonts w:cs="Times New Roman"/>
                <w:sz w:val="21"/>
                <w:szCs w:val="21"/>
              </w:rPr>
              <w:t>0.67 μg/L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rFonts w:cs="Times New Roman"/>
                <w:sz w:val="21"/>
                <w:szCs w:val="21"/>
              </w:rPr>
            </w:pPr>
            <w:r>
              <w:rPr>
                <w:rFonts w:hint="eastAsia" w:cs="Times New Roman"/>
                <w:sz w:val="21"/>
                <w:szCs w:val="21"/>
              </w:rPr>
              <w:t>铝</w:t>
            </w:r>
          </w:p>
        </w:tc>
        <w:tc>
          <w:tcPr>
            <w:tcW w:w="2850" w:type="dxa"/>
            <w:vMerge w:val="continue"/>
            <w:vAlign w:val="center"/>
          </w:tcPr>
          <w:p>
            <w:pPr>
              <w:pStyle w:val="58"/>
              <w:rPr>
                <w:szCs w:val="21"/>
              </w:rPr>
            </w:pPr>
          </w:p>
        </w:tc>
        <w:tc>
          <w:tcPr>
            <w:tcW w:w="1320" w:type="dxa"/>
            <w:vMerge w:val="continue"/>
            <w:vAlign w:val="center"/>
          </w:tcPr>
          <w:p>
            <w:pPr>
              <w:widowControl/>
              <w:spacing w:line="240" w:lineRule="auto"/>
              <w:ind w:firstLine="0" w:firstLineChars="0"/>
              <w:jc w:val="center"/>
              <w:textAlignment w:val="center"/>
              <w:rPr>
                <w:kern w:val="0"/>
                <w:sz w:val="21"/>
                <w:szCs w:val="21"/>
                <w:lang w:bidi="ar"/>
              </w:rPr>
            </w:pPr>
          </w:p>
        </w:tc>
        <w:tc>
          <w:tcPr>
            <w:tcW w:w="1887" w:type="dxa"/>
            <w:vMerge w:val="continue"/>
            <w:vAlign w:val="center"/>
          </w:tcPr>
          <w:p>
            <w:pPr>
              <w:widowControl/>
              <w:spacing w:line="240" w:lineRule="auto"/>
              <w:ind w:firstLine="0" w:firstLineChars="0"/>
              <w:jc w:val="center"/>
              <w:textAlignment w:val="center"/>
              <w:rPr>
                <w:kern w:val="0"/>
                <w:sz w:val="21"/>
                <w:szCs w:val="21"/>
                <w:lang w:bidi="ar"/>
              </w:rPr>
            </w:pPr>
          </w:p>
        </w:tc>
        <w:tc>
          <w:tcPr>
            <w:tcW w:w="1113" w:type="dxa"/>
            <w:vAlign w:val="center"/>
          </w:tcPr>
          <w:p>
            <w:pPr>
              <w:widowControl/>
              <w:spacing w:line="240" w:lineRule="auto"/>
              <w:ind w:firstLine="0" w:firstLineChars="0"/>
              <w:jc w:val="center"/>
              <w:textAlignment w:val="center"/>
              <w:rPr>
                <w:rFonts w:cs="Times New Roman"/>
                <w:sz w:val="21"/>
                <w:szCs w:val="21"/>
              </w:rPr>
            </w:pPr>
            <w:r>
              <w:rPr>
                <w:rFonts w:cs="Times New Roman"/>
                <w:sz w:val="21"/>
                <w:szCs w:val="21"/>
              </w:rPr>
              <w:t>1.15 μg/L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rFonts w:cs="Times New Roman"/>
                <w:sz w:val="21"/>
                <w:szCs w:val="21"/>
              </w:rPr>
            </w:pPr>
            <w:r>
              <w:rPr>
                <w:rFonts w:hint="eastAsia" w:cs="Times New Roman"/>
                <w:sz w:val="21"/>
                <w:szCs w:val="21"/>
              </w:rPr>
              <w:t>钠</w:t>
            </w:r>
          </w:p>
        </w:tc>
        <w:tc>
          <w:tcPr>
            <w:tcW w:w="2850" w:type="dxa"/>
            <w:vMerge w:val="continue"/>
            <w:vAlign w:val="center"/>
          </w:tcPr>
          <w:p>
            <w:pPr>
              <w:pStyle w:val="58"/>
              <w:rPr>
                <w:szCs w:val="21"/>
              </w:rPr>
            </w:pPr>
          </w:p>
        </w:tc>
        <w:tc>
          <w:tcPr>
            <w:tcW w:w="1320" w:type="dxa"/>
            <w:vMerge w:val="continue"/>
            <w:vAlign w:val="center"/>
          </w:tcPr>
          <w:p>
            <w:pPr>
              <w:widowControl/>
              <w:spacing w:line="240" w:lineRule="auto"/>
              <w:ind w:firstLine="0" w:firstLineChars="0"/>
              <w:jc w:val="center"/>
              <w:textAlignment w:val="center"/>
              <w:rPr>
                <w:kern w:val="0"/>
                <w:sz w:val="21"/>
                <w:szCs w:val="21"/>
                <w:lang w:bidi="ar"/>
              </w:rPr>
            </w:pPr>
          </w:p>
        </w:tc>
        <w:tc>
          <w:tcPr>
            <w:tcW w:w="1887" w:type="dxa"/>
            <w:vMerge w:val="continue"/>
            <w:vAlign w:val="center"/>
          </w:tcPr>
          <w:p>
            <w:pPr>
              <w:widowControl/>
              <w:spacing w:line="240" w:lineRule="auto"/>
              <w:ind w:firstLine="0" w:firstLineChars="0"/>
              <w:jc w:val="center"/>
              <w:textAlignment w:val="center"/>
              <w:rPr>
                <w:kern w:val="0"/>
                <w:sz w:val="21"/>
                <w:szCs w:val="21"/>
                <w:lang w:bidi="ar"/>
              </w:rPr>
            </w:pPr>
          </w:p>
        </w:tc>
        <w:tc>
          <w:tcPr>
            <w:tcW w:w="1113" w:type="dxa"/>
            <w:vAlign w:val="center"/>
          </w:tcPr>
          <w:p>
            <w:pPr>
              <w:widowControl/>
              <w:spacing w:line="240" w:lineRule="auto"/>
              <w:ind w:firstLine="0" w:firstLineChars="0"/>
              <w:jc w:val="center"/>
              <w:textAlignment w:val="center"/>
              <w:rPr>
                <w:rFonts w:cs="Times New Roman"/>
                <w:sz w:val="21"/>
                <w:szCs w:val="21"/>
              </w:rPr>
            </w:pPr>
            <w:r>
              <w:rPr>
                <w:rFonts w:cs="Times New Roman"/>
                <w:sz w:val="21"/>
                <w:szCs w:val="21"/>
              </w:rPr>
              <w:t>6.36 μg/L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rFonts w:cs="Times New Roman"/>
                <w:sz w:val="21"/>
                <w:szCs w:val="21"/>
              </w:rPr>
            </w:pPr>
            <w:r>
              <w:rPr>
                <w:rFonts w:cs="Times New Roman"/>
                <w:sz w:val="21"/>
                <w:szCs w:val="21"/>
              </w:rPr>
              <w:t>砷</w:t>
            </w:r>
          </w:p>
        </w:tc>
        <w:tc>
          <w:tcPr>
            <w:tcW w:w="2850" w:type="dxa"/>
            <w:vMerge w:val="continue"/>
            <w:vAlign w:val="center"/>
          </w:tcPr>
          <w:p>
            <w:pPr>
              <w:pStyle w:val="58"/>
              <w:rPr>
                <w:szCs w:val="21"/>
              </w:rPr>
            </w:pPr>
          </w:p>
        </w:tc>
        <w:tc>
          <w:tcPr>
            <w:tcW w:w="1320" w:type="dxa"/>
            <w:vMerge w:val="continue"/>
            <w:vAlign w:val="center"/>
          </w:tcPr>
          <w:p>
            <w:pPr>
              <w:widowControl/>
              <w:spacing w:line="240" w:lineRule="auto"/>
              <w:ind w:firstLine="0" w:firstLineChars="0"/>
              <w:jc w:val="center"/>
              <w:textAlignment w:val="center"/>
              <w:rPr>
                <w:kern w:val="0"/>
                <w:sz w:val="21"/>
                <w:szCs w:val="21"/>
                <w:lang w:bidi="ar"/>
              </w:rPr>
            </w:pPr>
          </w:p>
        </w:tc>
        <w:tc>
          <w:tcPr>
            <w:tcW w:w="1887" w:type="dxa"/>
            <w:vMerge w:val="continue"/>
            <w:vAlign w:val="center"/>
          </w:tcPr>
          <w:p>
            <w:pPr>
              <w:widowControl/>
              <w:spacing w:line="240" w:lineRule="auto"/>
              <w:ind w:firstLine="0" w:firstLineChars="0"/>
              <w:jc w:val="center"/>
              <w:textAlignment w:val="center"/>
              <w:rPr>
                <w:kern w:val="0"/>
                <w:sz w:val="21"/>
                <w:szCs w:val="21"/>
                <w:lang w:bidi="ar"/>
              </w:rPr>
            </w:pPr>
          </w:p>
        </w:tc>
        <w:tc>
          <w:tcPr>
            <w:tcW w:w="1113" w:type="dxa"/>
            <w:vAlign w:val="center"/>
          </w:tcPr>
          <w:p>
            <w:pPr>
              <w:widowControl/>
              <w:spacing w:line="240" w:lineRule="auto"/>
              <w:ind w:firstLine="0" w:firstLineChars="0"/>
              <w:jc w:val="center"/>
              <w:textAlignment w:val="center"/>
              <w:rPr>
                <w:rFonts w:cs="Times New Roman"/>
                <w:sz w:val="21"/>
                <w:szCs w:val="21"/>
              </w:rPr>
            </w:pPr>
            <w:r>
              <w:rPr>
                <w:rFonts w:cs="Times New Roman"/>
                <w:kern w:val="0"/>
                <w:sz w:val="21"/>
                <w:szCs w:val="21"/>
                <w:lang w:bidi="ar"/>
              </w:rPr>
              <w:t>0.12</w:t>
            </w:r>
            <w:r>
              <w:rPr>
                <w:rFonts w:cs="Times New Roman"/>
                <w:sz w:val="21"/>
                <w:szCs w:val="21"/>
              </w:rPr>
              <w:t xml:space="preserve"> μg/L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rFonts w:cs="Times New Roman"/>
                <w:sz w:val="21"/>
                <w:szCs w:val="21"/>
              </w:rPr>
            </w:pPr>
            <w:r>
              <w:rPr>
                <w:rFonts w:hint="eastAsia" w:cs="Times New Roman"/>
                <w:sz w:val="21"/>
                <w:szCs w:val="21"/>
              </w:rPr>
              <w:t>硒</w:t>
            </w:r>
          </w:p>
        </w:tc>
        <w:tc>
          <w:tcPr>
            <w:tcW w:w="2850" w:type="dxa"/>
            <w:vMerge w:val="continue"/>
            <w:vAlign w:val="center"/>
          </w:tcPr>
          <w:p>
            <w:pPr>
              <w:pStyle w:val="58"/>
              <w:rPr>
                <w:szCs w:val="21"/>
              </w:rPr>
            </w:pPr>
          </w:p>
        </w:tc>
        <w:tc>
          <w:tcPr>
            <w:tcW w:w="1320" w:type="dxa"/>
            <w:vMerge w:val="continue"/>
            <w:vAlign w:val="center"/>
          </w:tcPr>
          <w:p>
            <w:pPr>
              <w:widowControl/>
              <w:spacing w:line="240" w:lineRule="auto"/>
              <w:ind w:firstLine="0" w:firstLineChars="0"/>
              <w:jc w:val="center"/>
              <w:textAlignment w:val="center"/>
              <w:rPr>
                <w:kern w:val="0"/>
                <w:sz w:val="21"/>
                <w:szCs w:val="21"/>
                <w:lang w:bidi="ar"/>
              </w:rPr>
            </w:pPr>
          </w:p>
        </w:tc>
        <w:tc>
          <w:tcPr>
            <w:tcW w:w="1887" w:type="dxa"/>
            <w:vMerge w:val="continue"/>
            <w:vAlign w:val="center"/>
          </w:tcPr>
          <w:p>
            <w:pPr>
              <w:widowControl/>
              <w:spacing w:line="240" w:lineRule="auto"/>
              <w:ind w:firstLine="0" w:firstLineChars="0"/>
              <w:jc w:val="center"/>
              <w:textAlignment w:val="center"/>
              <w:rPr>
                <w:kern w:val="0"/>
                <w:sz w:val="21"/>
                <w:szCs w:val="21"/>
                <w:lang w:bidi="ar"/>
              </w:rPr>
            </w:pPr>
          </w:p>
        </w:tc>
        <w:tc>
          <w:tcPr>
            <w:tcW w:w="1113" w:type="dxa"/>
            <w:vAlign w:val="center"/>
          </w:tcPr>
          <w:p>
            <w:pPr>
              <w:widowControl/>
              <w:spacing w:line="240" w:lineRule="auto"/>
              <w:ind w:firstLine="0" w:firstLineChars="0"/>
              <w:jc w:val="center"/>
              <w:textAlignment w:val="center"/>
              <w:rPr>
                <w:rFonts w:cs="Times New Roman"/>
                <w:sz w:val="21"/>
                <w:szCs w:val="21"/>
              </w:rPr>
            </w:pPr>
            <w:r>
              <w:rPr>
                <w:rFonts w:cs="Times New Roman"/>
                <w:sz w:val="21"/>
                <w:szCs w:val="21"/>
              </w:rPr>
              <w:t>0.41 μg/L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rFonts w:cs="Times New Roman"/>
                <w:sz w:val="21"/>
                <w:szCs w:val="21"/>
              </w:rPr>
            </w:pPr>
            <w:r>
              <w:rPr>
                <w:rFonts w:cs="Times New Roman"/>
                <w:sz w:val="21"/>
                <w:szCs w:val="21"/>
              </w:rPr>
              <w:t>镉</w:t>
            </w:r>
          </w:p>
        </w:tc>
        <w:tc>
          <w:tcPr>
            <w:tcW w:w="2850" w:type="dxa"/>
            <w:vMerge w:val="continue"/>
            <w:vAlign w:val="center"/>
          </w:tcPr>
          <w:p>
            <w:pPr>
              <w:pStyle w:val="58"/>
              <w:rPr>
                <w:szCs w:val="21"/>
              </w:rPr>
            </w:pPr>
          </w:p>
        </w:tc>
        <w:tc>
          <w:tcPr>
            <w:tcW w:w="1320" w:type="dxa"/>
            <w:vMerge w:val="continue"/>
            <w:vAlign w:val="center"/>
          </w:tcPr>
          <w:p>
            <w:pPr>
              <w:widowControl/>
              <w:spacing w:line="240" w:lineRule="auto"/>
              <w:ind w:firstLine="0" w:firstLineChars="0"/>
              <w:jc w:val="center"/>
              <w:textAlignment w:val="center"/>
              <w:rPr>
                <w:kern w:val="0"/>
                <w:sz w:val="21"/>
                <w:szCs w:val="21"/>
                <w:lang w:bidi="ar"/>
              </w:rPr>
            </w:pPr>
          </w:p>
        </w:tc>
        <w:tc>
          <w:tcPr>
            <w:tcW w:w="1887" w:type="dxa"/>
            <w:vMerge w:val="continue"/>
            <w:vAlign w:val="center"/>
          </w:tcPr>
          <w:p>
            <w:pPr>
              <w:widowControl/>
              <w:spacing w:line="240" w:lineRule="auto"/>
              <w:ind w:firstLine="0" w:firstLineChars="0"/>
              <w:jc w:val="center"/>
              <w:textAlignment w:val="center"/>
              <w:rPr>
                <w:kern w:val="0"/>
                <w:sz w:val="21"/>
                <w:szCs w:val="21"/>
                <w:lang w:bidi="ar"/>
              </w:rPr>
            </w:pPr>
          </w:p>
        </w:tc>
        <w:tc>
          <w:tcPr>
            <w:tcW w:w="1113" w:type="dxa"/>
            <w:vAlign w:val="center"/>
          </w:tcPr>
          <w:p>
            <w:pPr>
              <w:widowControl/>
              <w:spacing w:line="240" w:lineRule="auto"/>
              <w:ind w:firstLine="0" w:firstLineChars="0"/>
              <w:jc w:val="center"/>
              <w:textAlignment w:val="center"/>
              <w:rPr>
                <w:rFonts w:cs="Times New Roman"/>
                <w:kern w:val="0"/>
                <w:sz w:val="21"/>
                <w:szCs w:val="21"/>
                <w:lang w:bidi="ar"/>
              </w:rPr>
            </w:pPr>
            <w:r>
              <w:rPr>
                <w:rFonts w:cs="Times New Roman"/>
                <w:sz w:val="21"/>
                <w:szCs w:val="21"/>
              </w:rPr>
              <w:t>0.05 μg/L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1145" w:type="dxa"/>
            <w:vAlign w:val="center"/>
          </w:tcPr>
          <w:p>
            <w:pPr>
              <w:spacing w:line="240" w:lineRule="auto"/>
              <w:ind w:firstLine="0" w:firstLineChars="0"/>
              <w:jc w:val="center"/>
              <w:rPr>
                <w:rFonts w:cs="Times New Roman"/>
                <w:sz w:val="21"/>
                <w:szCs w:val="21"/>
              </w:rPr>
            </w:pPr>
            <w:r>
              <w:rPr>
                <w:rFonts w:cs="Times New Roman"/>
                <w:sz w:val="21"/>
                <w:szCs w:val="21"/>
              </w:rPr>
              <w:t>铅</w:t>
            </w:r>
          </w:p>
        </w:tc>
        <w:tc>
          <w:tcPr>
            <w:tcW w:w="2850" w:type="dxa"/>
            <w:vMerge w:val="continue"/>
            <w:vAlign w:val="center"/>
          </w:tcPr>
          <w:p>
            <w:pPr>
              <w:pStyle w:val="58"/>
              <w:rPr>
                <w:szCs w:val="21"/>
              </w:rPr>
            </w:pPr>
          </w:p>
        </w:tc>
        <w:tc>
          <w:tcPr>
            <w:tcW w:w="1320" w:type="dxa"/>
            <w:vMerge w:val="continue"/>
            <w:vAlign w:val="center"/>
          </w:tcPr>
          <w:p>
            <w:pPr>
              <w:widowControl/>
              <w:spacing w:line="240" w:lineRule="auto"/>
              <w:ind w:firstLine="0" w:firstLineChars="0"/>
              <w:jc w:val="center"/>
              <w:textAlignment w:val="center"/>
              <w:rPr>
                <w:kern w:val="0"/>
                <w:sz w:val="21"/>
                <w:szCs w:val="21"/>
                <w:lang w:bidi="ar"/>
              </w:rPr>
            </w:pPr>
          </w:p>
        </w:tc>
        <w:tc>
          <w:tcPr>
            <w:tcW w:w="1887" w:type="dxa"/>
            <w:vMerge w:val="continue"/>
            <w:vAlign w:val="center"/>
          </w:tcPr>
          <w:p>
            <w:pPr>
              <w:widowControl/>
              <w:spacing w:line="240" w:lineRule="auto"/>
              <w:ind w:firstLine="0" w:firstLineChars="0"/>
              <w:jc w:val="center"/>
              <w:textAlignment w:val="center"/>
              <w:rPr>
                <w:kern w:val="0"/>
                <w:sz w:val="21"/>
                <w:szCs w:val="21"/>
                <w:lang w:bidi="ar"/>
              </w:rPr>
            </w:pPr>
          </w:p>
        </w:tc>
        <w:tc>
          <w:tcPr>
            <w:tcW w:w="1113"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0.09 μg/L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5" w:type="dxa"/>
            <w:vAlign w:val="center"/>
          </w:tcPr>
          <w:p>
            <w:pPr>
              <w:spacing w:line="240" w:lineRule="auto"/>
              <w:ind w:firstLine="0" w:firstLineChars="0"/>
              <w:jc w:val="center"/>
              <w:rPr>
                <w:rFonts w:cs="Times New Roman"/>
                <w:sz w:val="21"/>
                <w:szCs w:val="21"/>
              </w:rPr>
            </w:pPr>
            <w:r>
              <w:rPr>
                <w:rFonts w:cs="Times New Roman"/>
                <w:sz w:val="21"/>
                <w:szCs w:val="21"/>
              </w:rPr>
              <w:t>汞</w:t>
            </w:r>
          </w:p>
        </w:tc>
        <w:tc>
          <w:tcPr>
            <w:tcW w:w="2850"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水质 汞、砷、硒、铋和锑的测定 原子荧光法</w:t>
            </w:r>
          </w:p>
        </w:tc>
        <w:tc>
          <w:tcPr>
            <w:tcW w:w="1320"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HJ 694-2014</w:t>
            </w:r>
          </w:p>
        </w:tc>
        <w:tc>
          <w:tcPr>
            <w:tcW w:w="1887"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AFS-8500</w:t>
            </w:r>
          </w:p>
          <w:p>
            <w:pPr>
              <w:widowControl/>
              <w:spacing w:line="240" w:lineRule="auto"/>
              <w:ind w:firstLine="0" w:firstLineChars="0"/>
              <w:jc w:val="center"/>
              <w:textAlignment w:val="center"/>
              <w:rPr>
                <w:rFonts w:hint="eastAsia" w:eastAsia="宋体" w:cs="Times New Roman"/>
                <w:kern w:val="0"/>
                <w:sz w:val="21"/>
                <w:szCs w:val="21"/>
                <w:lang w:eastAsia="zh-CN" w:bidi="ar"/>
              </w:rPr>
            </w:pPr>
            <w:r>
              <w:rPr>
                <w:rFonts w:eastAsia="宋体" w:cs="Times New Roman"/>
                <w:kern w:val="0"/>
                <w:sz w:val="21"/>
                <w:szCs w:val="21"/>
                <w:lang w:bidi="ar"/>
              </w:rPr>
              <w:t>原子荧光光度计</w:t>
            </w:r>
          </w:p>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YYQ-JL004</w:t>
            </w:r>
          </w:p>
        </w:tc>
        <w:tc>
          <w:tcPr>
            <w:tcW w:w="1113"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0.04 μg/L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5" w:type="dxa"/>
            <w:vAlign w:val="center"/>
          </w:tcPr>
          <w:p>
            <w:pPr>
              <w:spacing w:line="240" w:lineRule="auto"/>
              <w:ind w:firstLine="0" w:firstLineChars="0"/>
              <w:jc w:val="center"/>
              <w:rPr>
                <w:rFonts w:cs="Times New Roman"/>
                <w:sz w:val="21"/>
                <w:szCs w:val="21"/>
              </w:rPr>
            </w:pPr>
            <w:r>
              <w:rPr>
                <w:rFonts w:eastAsia="宋体" w:cs="Times New Roman"/>
                <w:sz w:val="21"/>
                <w:szCs w:val="21"/>
              </w:rPr>
              <w:t>挥发酚</w:t>
            </w:r>
          </w:p>
        </w:tc>
        <w:tc>
          <w:tcPr>
            <w:tcW w:w="2850" w:type="dxa"/>
            <w:vAlign w:val="center"/>
          </w:tcPr>
          <w:p>
            <w:pPr>
              <w:spacing w:line="240" w:lineRule="auto"/>
              <w:ind w:firstLine="0" w:firstLineChars="0"/>
              <w:jc w:val="center"/>
              <w:rPr>
                <w:rFonts w:cs="Times New Roman"/>
                <w:kern w:val="0"/>
                <w:sz w:val="21"/>
                <w:szCs w:val="21"/>
                <w:lang w:bidi="ar"/>
              </w:rPr>
            </w:pPr>
            <w:r>
              <w:rPr>
                <w:rFonts w:cs="Times New Roman"/>
                <w:sz w:val="21"/>
                <w:szCs w:val="21"/>
              </w:rPr>
              <w:t>萃取分光光度法 水质 挥发酚的测定 4-氨基安替比林分光光度法</w:t>
            </w:r>
          </w:p>
        </w:tc>
        <w:tc>
          <w:tcPr>
            <w:tcW w:w="1320" w:type="dxa"/>
            <w:vAlign w:val="center"/>
          </w:tcPr>
          <w:p>
            <w:pPr>
              <w:spacing w:line="240" w:lineRule="auto"/>
              <w:ind w:firstLine="0" w:firstLineChars="0"/>
              <w:jc w:val="center"/>
              <w:rPr>
                <w:rFonts w:cs="Times New Roman"/>
                <w:kern w:val="0"/>
                <w:sz w:val="21"/>
                <w:szCs w:val="21"/>
                <w:lang w:bidi="ar"/>
              </w:rPr>
            </w:pPr>
            <w:r>
              <w:rPr>
                <w:rFonts w:eastAsia="Times New Roman" w:cs="Times New Roman"/>
                <w:sz w:val="21"/>
                <w:szCs w:val="21"/>
              </w:rPr>
              <w:t>HJ 503-2009</w:t>
            </w:r>
          </w:p>
        </w:tc>
        <w:tc>
          <w:tcPr>
            <w:tcW w:w="1887" w:type="dxa"/>
            <w:vAlign w:val="center"/>
          </w:tcPr>
          <w:p>
            <w:pPr>
              <w:spacing w:line="240" w:lineRule="auto"/>
              <w:ind w:firstLine="0" w:firstLineChars="0"/>
              <w:jc w:val="center"/>
              <w:rPr>
                <w:rFonts w:eastAsia="宋体" w:cs="Times New Roman"/>
                <w:sz w:val="21"/>
                <w:szCs w:val="21"/>
              </w:rPr>
            </w:pPr>
            <w:r>
              <w:rPr>
                <w:rFonts w:eastAsia="Times New Roman" w:cs="Times New Roman"/>
                <w:sz w:val="21"/>
                <w:szCs w:val="21"/>
              </w:rPr>
              <w:t>T6</w:t>
            </w:r>
            <w:r>
              <w:rPr>
                <w:rFonts w:hint="eastAsia" w:ascii="宋体" w:hAnsi="宋体" w:eastAsia="宋体" w:cs="宋体"/>
                <w:sz w:val="21"/>
                <w:szCs w:val="21"/>
              </w:rPr>
              <w:t>新世纪</w:t>
            </w:r>
            <w:r>
              <w:rPr>
                <w:rFonts w:hint="eastAsia" w:eastAsia="宋体" w:cs="Times New Roman"/>
                <w:sz w:val="21"/>
                <w:szCs w:val="21"/>
              </w:rPr>
              <w:t xml:space="preserve"> </w:t>
            </w:r>
          </w:p>
          <w:p>
            <w:pPr>
              <w:spacing w:line="240" w:lineRule="auto"/>
              <w:ind w:firstLine="0" w:firstLineChars="0"/>
              <w:jc w:val="center"/>
              <w:rPr>
                <w:rFonts w:eastAsia="宋体" w:cs="Times New Roman"/>
                <w:kern w:val="0"/>
                <w:sz w:val="21"/>
                <w:szCs w:val="21"/>
                <w:lang w:bidi="ar"/>
              </w:rPr>
            </w:pPr>
            <w:r>
              <w:rPr>
                <w:rFonts w:hint="eastAsia" w:ascii="宋体" w:hAnsi="宋体" w:eastAsia="宋体" w:cs="宋体"/>
                <w:sz w:val="21"/>
                <w:szCs w:val="21"/>
              </w:rPr>
              <w:t>紫外可见分光光度计</w:t>
            </w:r>
            <w:r>
              <w:rPr>
                <w:rFonts w:eastAsia="Times New Roman" w:cs="Times New Roman"/>
                <w:sz w:val="21"/>
                <w:szCs w:val="21"/>
              </w:rPr>
              <w:t xml:space="preserve"> LYQ-JL02</w:t>
            </w:r>
            <w:r>
              <w:rPr>
                <w:rFonts w:hint="eastAsia" w:eastAsia="宋体" w:cs="Times New Roman"/>
                <w:sz w:val="21"/>
                <w:szCs w:val="21"/>
              </w:rPr>
              <w:t>8</w:t>
            </w:r>
          </w:p>
        </w:tc>
        <w:tc>
          <w:tcPr>
            <w:tcW w:w="1113" w:type="dxa"/>
            <w:vAlign w:val="center"/>
          </w:tcPr>
          <w:p>
            <w:pPr>
              <w:spacing w:line="240" w:lineRule="auto"/>
              <w:ind w:firstLine="0" w:firstLineChars="0"/>
              <w:jc w:val="center"/>
              <w:rPr>
                <w:rFonts w:cs="Times New Roman"/>
                <w:kern w:val="0"/>
                <w:sz w:val="21"/>
                <w:szCs w:val="21"/>
                <w:lang w:bidi="ar"/>
              </w:rPr>
            </w:pPr>
            <w:r>
              <w:rPr>
                <w:rFonts w:eastAsia="Times New Roman" w:cs="Times New Roman"/>
                <w:sz w:val="21"/>
                <w:szCs w:val="21"/>
              </w:rPr>
              <w:t>0.0003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5" w:type="dxa"/>
            <w:vAlign w:val="center"/>
          </w:tcPr>
          <w:p>
            <w:pPr>
              <w:spacing w:line="240" w:lineRule="auto"/>
              <w:ind w:firstLine="0" w:firstLineChars="0"/>
              <w:jc w:val="center"/>
              <w:rPr>
                <w:rFonts w:ascii="宋体" w:hAnsi="宋体" w:eastAsia="宋体" w:cs="宋体"/>
                <w:kern w:val="0"/>
                <w:sz w:val="21"/>
                <w:szCs w:val="21"/>
                <w:lang w:bidi="ar"/>
              </w:rPr>
            </w:pPr>
            <w:r>
              <w:rPr>
                <w:rFonts w:hint="eastAsia" w:ascii="宋体" w:hAnsi="宋体" w:eastAsia="宋体" w:cs="宋体"/>
                <w:kern w:val="0"/>
                <w:sz w:val="21"/>
                <w:szCs w:val="21"/>
                <w:lang w:bidi="ar"/>
              </w:rPr>
              <w:t>阴离子表面</w:t>
            </w:r>
          </w:p>
          <w:p>
            <w:pPr>
              <w:spacing w:line="240" w:lineRule="auto"/>
              <w:ind w:firstLine="0" w:firstLineChars="0"/>
              <w:jc w:val="center"/>
              <w:rPr>
                <w:rFonts w:eastAsia="宋体" w:cs="Times New Roman"/>
                <w:sz w:val="21"/>
                <w:szCs w:val="21"/>
              </w:rPr>
            </w:pPr>
            <w:r>
              <w:rPr>
                <w:rFonts w:hint="eastAsia" w:ascii="宋体" w:hAnsi="宋体" w:eastAsia="宋体" w:cs="宋体"/>
                <w:kern w:val="0"/>
                <w:sz w:val="21"/>
                <w:szCs w:val="21"/>
                <w:lang w:bidi="ar"/>
              </w:rPr>
              <w:t>活性剂</w:t>
            </w:r>
          </w:p>
        </w:tc>
        <w:tc>
          <w:tcPr>
            <w:tcW w:w="2850" w:type="dxa"/>
            <w:vAlign w:val="center"/>
          </w:tcPr>
          <w:p>
            <w:pPr>
              <w:widowControl/>
              <w:spacing w:line="240" w:lineRule="auto"/>
              <w:ind w:firstLine="0" w:firstLineChars="0"/>
              <w:jc w:val="center"/>
              <w:textAlignment w:val="center"/>
              <w:rPr>
                <w:rFonts w:cs="Times New Roman"/>
                <w:sz w:val="21"/>
                <w:szCs w:val="21"/>
              </w:rPr>
            </w:pPr>
            <w:r>
              <w:rPr>
                <w:rFonts w:hint="eastAsia" w:ascii="宋体" w:hAnsi="宋体" w:eastAsia="宋体" w:cs="宋体"/>
                <w:kern w:val="0"/>
                <w:sz w:val="21"/>
                <w:szCs w:val="21"/>
                <w:lang w:bidi="ar"/>
              </w:rPr>
              <w:t>水质</w:t>
            </w:r>
            <w:r>
              <w:rPr>
                <w:rFonts w:eastAsia="宋体" w:cs="Times New Roman"/>
                <w:kern w:val="0"/>
                <w:sz w:val="21"/>
                <w:szCs w:val="21"/>
                <w:lang w:bidi="ar"/>
              </w:rPr>
              <w:t xml:space="preserve"> </w:t>
            </w:r>
            <w:r>
              <w:rPr>
                <w:rFonts w:hint="eastAsia" w:ascii="宋体" w:hAnsi="宋体" w:eastAsia="宋体" w:cs="宋体"/>
                <w:kern w:val="0"/>
                <w:sz w:val="21"/>
                <w:szCs w:val="21"/>
                <w:lang w:bidi="ar"/>
              </w:rPr>
              <w:t>阴离子表面活性剂的测定</w:t>
            </w:r>
            <w:r>
              <w:rPr>
                <w:rFonts w:eastAsia="宋体" w:cs="Times New Roman"/>
                <w:kern w:val="0"/>
                <w:sz w:val="21"/>
                <w:szCs w:val="21"/>
                <w:lang w:bidi="ar"/>
              </w:rPr>
              <w:t xml:space="preserve">  </w:t>
            </w:r>
            <w:r>
              <w:rPr>
                <w:rFonts w:hint="eastAsia" w:ascii="宋体" w:hAnsi="宋体" w:eastAsia="宋体" w:cs="宋体"/>
                <w:kern w:val="0"/>
                <w:sz w:val="21"/>
                <w:szCs w:val="21"/>
                <w:lang w:bidi="ar"/>
              </w:rPr>
              <w:t>亚甲蓝分光光度法</w:t>
            </w:r>
          </w:p>
        </w:tc>
        <w:tc>
          <w:tcPr>
            <w:tcW w:w="1320" w:type="dxa"/>
            <w:vAlign w:val="center"/>
          </w:tcPr>
          <w:p>
            <w:pPr>
              <w:widowControl/>
              <w:spacing w:line="240" w:lineRule="auto"/>
              <w:ind w:firstLine="0" w:firstLineChars="0"/>
              <w:jc w:val="center"/>
              <w:textAlignment w:val="center"/>
              <w:rPr>
                <w:rFonts w:eastAsia="Times New Roman" w:cs="Times New Roman"/>
                <w:sz w:val="21"/>
                <w:szCs w:val="21"/>
              </w:rPr>
            </w:pPr>
            <w:r>
              <w:rPr>
                <w:rFonts w:eastAsia="宋体" w:cs="Times New Roman"/>
                <w:kern w:val="0"/>
                <w:sz w:val="21"/>
                <w:szCs w:val="21"/>
                <w:lang w:bidi="ar"/>
              </w:rPr>
              <w:t>GB/T 7494-87</w:t>
            </w:r>
          </w:p>
        </w:tc>
        <w:tc>
          <w:tcPr>
            <w:tcW w:w="1887" w:type="dxa"/>
            <w:vAlign w:val="center"/>
          </w:tcPr>
          <w:p>
            <w:pPr>
              <w:widowControl/>
              <w:spacing w:line="240" w:lineRule="auto"/>
              <w:ind w:firstLine="0" w:firstLineChars="0"/>
              <w:jc w:val="center"/>
              <w:textAlignment w:val="center"/>
              <w:rPr>
                <w:rFonts w:hint="eastAsia" w:ascii="宋体" w:hAnsi="宋体" w:eastAsia="宋体" w:cs="宋体"/>
                <w:kern w:val="0"/>
                <w:sz w:val="21"/>
                <w:szCs w:val="21"/>
                <w:lang w:eastAsia="zh-CN" w:bidi="ar"/>
              </w:rPr>
            </w:pPr>
            <w:r>
              <w:rPr>
                <w:rFonts w:eastAsia="宋体" w:cs="Times New Roman"/>
                <w:kern w:val="0"/>
                <w:sz w:val="21"/>
                <w:szCs w:val="21"/>
                <w:lang w:bidi="ar"/>
              </w:rPr>
              <w:t>T6</w:t>
            </w:r>
            <w:r>
              <w:rPr>
                <w:rFonts w:hint="eastAsia" w:ascii="宋体" w:hAnsi="宋体" w:eastAsia="宋体" w:cs="宋体"/>
                <w:kern w:val="0"/>
                <w:sz w:val="21"/>
                <w:szCs w:val="21"/>
                <w:lang w:bidi="ar"/>
              </w:rPr>
              <w:t>新世纪</w:t>
            </w:r>
          </w:p>
          <w:p>
            <w:pPr>
              <w:widowControl/>
              <w:spacing w:line="240" w:lineRule="auto"/>
              <w:ind w:firstLine="0" w:firstLineChars="0"/>
              <w:jc w:val="center"/>
              <w:textAlignment w:val="center"/>
              <w:rPr>
                <w:rFonts w:hint="eastAsia" w:ascii="宋体" w:hAnsi="宋体" w:eastAsia="宋体" w:cs="宋体"/>
                <w:kern w:val="0"/>
                <w:sz w:val="21"/>
                <w:szCs w:val="21"/>
                <w:lang w:eastAsia="zh-CN" w:bidi="ar"/>
              </w:rPr>
            </w:pPr>
            <w:r>
              <w:rPr>
                <w:rFonts w:hint="eastAsia" w:ascii="宋体" w:hAnsi="宋体" w:eastAsia="宋体" w:cs="宋体"/>
                <w:kern w:val="0"/>
                <w:sz w:val="21"/>
                <w:szCs w:val="21"/>
                <w:lang w:bidi="ar"/>
              </w:rPr>
              <w:t>紫外可见分光光度计</w:t>
            </w:r>
          </w:p>
          <w:p>
            <w:pPr>
              <w:widowControl/>
              <w:spacing w:line="240" w:lineRule="auto"/>
              <w:ind w:firstLine="0" w:firstLineChars="0"/>
              <w:jc w:val="center"/>
              <w:textAlignment w:val="center"/>
              <w:rPr>
                <w:rFonts w:eastAsia="Times New Roman" w:cs="Times New Roman"/>
                <w:sz w:val="21"/>
                <w:szCs w:val="21"/>
              </w:rPr>
            </w:pPr>
            <w:r>
              <w:rPr>
                <w:rFonts w:eastAsia="宋体" w:cs="Times New Roman"/>
                <w:kern w:val="0"/>
                <w:sz w:val="21"/>
                <w:szCs w:val="21"/>
                <w:lang w:bidi="ar"/>
              </w:rPr>
              <w:t xml:space="preserve"> LYQ-JL02</w:t>
            </w:r>
            <w:r>
              <w:rPr>
                <w:rFonts w:hint="eastAsia" w:eastAsia="宋体" w:cs="Times New Roman"/>
                <w:kern w:val="0"/>
                <w:sz w:val="21"/>
                <w:szCs w:val="21"/>
                <w:lang w:bidi="ar"/>
              </w:rPr>
              <w:t>7</w:t>
            </w:r>
          </w:p>
        </w:tc>
        <w:tc>
          <w:tcPr>
            <w:tcW w:w="1113" w:type="dxa"/>
            <w:vAlign w:val="center"/>
          </w:tcPr>
          <w:p>
            <w:pPr>
              <w:widowControl/>
              <w:spacing w:line="240" w:lineRule="auto"/>
              <w:ind w:firstLine="0" w:firstLineChars="0"/>
              <w:jc w:val="center"/>
              <w:textAlignment w:val="center"/>
              <w:rPr>
                <w:rFonts w:eastAsia="Times New Roman" w:cs="Times New Roman"/>
                <w:sz w:val="21"/>
                <w:szCs w:val="21"/>
              </w:rPr>
            </w:pPr>
            <w:r>
              <w:rPr>
                <w:rFonts w:eastAsia="宋体" w:cs="Times New Roman"/>
                <w:kern w:val="0"/>
                <w:sz w:val="21"/>
                <w:szCs w:val="21"/>
                <w:lang w:bidi="ar"/>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5" w:type="dxa"/>
            <w:vAlign w:val="center"/>
          </w:tcPr>
          <w:p>
            <w:pPr>
              <w:widowControl/>
              <w:spacing w:line="240" w:lineRule="auto"/>
              <w:ind w:firstLine="0" w:firstLineChars="0"/>
              <w:jc w:val="center"/>
              <w:textAlignment w:val="center"/>
              <w:rPr>
                <w:rFonts w:cs="Times New Roman"/>
                <w:sz w:val="21"/>
                <w:szCs w:val="21"/>
              </w:rPr>
            </w:pPr>
            <w:r>
              <w:rPr>
                <w:rFonts w:cs="Times New Roman"/>
                <w:sz w:val="21"/>
                <w:szCs w:val="21"/>
              </w:rPr>
              <w:t>耗氧量</w:t>
            </w:r>
          </w:p>
        </w:tc>
        <w:tc>
          <w:tcPr>
            <w:tcW w:w="2850"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酸性高锰酸钾滴定法 生活饮用水标准检验方法</w:t>
            </w:r>
          </w:p>
          <w:p>
            <w:pPr>
              <w:widowControl/>
              <w:spacing w:line="240" w:lineRule="auto"/>
              <w:ind w:firstLine="0" w:firstLineChars="0"/>
              <w:jc w:val="center"/>
              <w:textAlignment w:val="center"/>
              <w:rPr>
                <w:rFonts w:eastAsia="Times New Roman" w:cs="Times New Roman"/>
                <w:sz w:val="21"/>
                <w:szCs w:val="21"/>
              </w:rPr>
            </w:pPr>
            <w:r>
              <w:rPr>
                <w:rFonts w:eastAsia="宋体" w:cs="Times New Roman"/>
                <w:kern w:val="0"/>
                <w:sz w:val="21"/>
                <w:szCs w:val="21"/>
                <w:lang w:bidi="ar"/>
              </w:rPr>
              <w:t>有机物综合指标</w:t>
            </w:r>
          </w:p>
        </w:tc>
        <w:tc>
          <w:tcPr>
            <w:tcW w:w="1320" w:type="dxa"/>
            <w:vAlign w:val="center"/>
          </w:tcPr>
          <w:p>
            <w:pPr>
              <w:widowControl/>
              <w:spacing w:line="240" w:lineRule="auto"/>
              <w:ind w:firstLine="0" w:firstLineChars="0"/>
              <w:jc w:val="center"/>
              <w:textAlignment w:val="center"/>
              <w:rPr>
                <w:rFonts w:eastAsia="Times New Roman" w:cs="Times New Roman"/>
                <w:sz w:val="21"/>
                <w:szCs w:val="21"/>
              </w:rPr>
            </w:pPr>
            <w:r>
              <w:rPr>
                <w:rFonts w:eastAsia="宋体" w:cs="Times New Roman"/>
                <w:kern w:val="0"/>
                <w:sz w:val="21"/>
                <w:szCs w:val="21"/>
                <w:lang w:bidi="ar"/>
              </w:rPr>
              <w:t>GB/T 5750.7-2006 （1.1）</w:t>
            </w:r>
          </w:p>
        </w:tc>
        <w:tc>
          <w:tcPr>
            <w:tcW w:w="1887" w:type="dxa"/>
            <w:vAlign w:val="center"/>
          </w:tcPr>
          <w:p>
            <w:pPr>
              <w:spacing w:line="240" w:lineRule="auto"/>
              <w:ind w:firstLine="0" w:firstLineChars="0"/>
              <w:jc w:val="center"/>
              <w:rPr>
                <w:rFonts w:eastAsia="Times New Roman" w:cs="Times New Roman"/>
                <w:sz w:val="21"/>
                <w:szCs w:val="21"/>
              </w:rPr>
            </w:pPr>
            <w:r>
              <w:rPr>
                <w:rFonts w:hint="eastAsia" w:cs="Times New Roman"/>
                <w:kern w:val="0"/>
                <w:sz w:val="21"/>
                <w:szCs w:val="21"/>
                <w:lang w:bidi="ar"/>
              </w:rPr>
              <w:t>50.00mL滴定管</w:t>
            </w:r>
          </w:p>
        </w:tc>
        <w:tc>
          <w:tcPr>
            <w:tcW w:w="1113" w:type="dxa"/>
            <w:vAlign w:val="center"/>
          </w:tcPr>
          <w:p>
            <w:pPr>
              <w:widowControl/>
              <w:spacing w:line="240" w:lineRule="auto"/>
              <w:ind w:firstLine="0" w:firstLineChars="0"/>
              <w:jc w:val="center"/>
              <w:textAlignment w:val="center"/>
              <w:rPr>
                <w:rFonts w:eastAsia="Times New Roman" w:cs="Times New Roman"/>
                <w:sz w:val="21"/>
                <w:szCs w:val="21"/>
              </w:rPr>
            </w:pPr>
            <w:r>
              <w:rPr>
                <w:rFonts w:eastAsia="宋体" w:cs="Times New Roman"/>
                <w:kern w:val="0"/>
                <w:sz w:val="21"/>
                <w:szCs w:val="21"/>
                <w:lang w:bidi="ar"/>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5" w:type="dxa"/>
            <w:vAlign w:val="center"/>
          </w:tcPr>
          <w:p>
            <w:pPr>
              <w:spacing w:line="240" w:lineRule="auto"/>
              <w:ind w:firstLine="0" w:firstLineChars="0"/>
              <w:jc w:val="center"/>
              <w:rPr>
                <w:rFonts w:cs="Times New Roman"/>
                <w:sz w:val="21"/>
                <w:szCs w:val="21"/>
              </w:rPr>
            </w:pPr>
            <w:r>
              <w:rPr>
                <w:rFonts w:cs="Times New Roman"/>
                <w:sz w:val="21"/>
                <w:szCs w:val="21"/>
              </w:rPr>
              <w:t>氨氮</w:t>
            </w:r>
          </w:p>
        </w:tc>
        <w:tc>
          <w:tcPr>
            <w:tcW w:w="2850"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水质 氨氮的测定</w:t>
            </w:r>
          </w:p>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纳氏试剂分光光度法</w:t>
            </w:r>
          </w:p>
        </w:tc>
        <w:tc>
          <w:tcPr>
            <w:tcW w:w="1320"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HJ 535-2009</w:t>
            </w:r>
          </w:p>
        </w:tc>
        <w:tc>
          <w:tcPr>
            <w:tcW w:w="1887"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T6新世纪</w:t>
            </w:r>
            <w:r>
              <w:rPr>
                <w:rFonts w:hint="eastAsia" w:eastAsia="宋体" w:cs="Times New Roman"/>
                <w:kern w:val="0"/>
                <w:sz w:val="21"/>
                <w:szCs w:val="21"/>
                <w:lang w:bidi="ar"/>
              </w:rPr>
              <w:t xml:space="preserve"> </w:t>
            </w:r>
          </w:p>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紫外可见分光光度计 LYQ-JL02</w:t>
            </w:r>
            <w:r>
              <w:rPr>
                <w:rFonts w:hint="eastAsia" w:eastAsia="宋体" w:cs="Times New Roman"/>
                <w:kern w:val="0"/>
                <w:sz w:val="21"/>
                <w:szCs w:val="21"/>
                <w:lang w:bidi="ar"/>
              </w:rPr>
              <w:t>8</w:t>
            </w:r>
          </w:p>
        </w:tc>
        <w:tc>
          <w:tcPr>
            <w:tcW w:w="1113"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0.025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5" w:type="dxa"/>
            <w:vAlign w:val="center"/>
          </w:tcPr>
          <w:p>
            <w:pPr>
              <w:widowControl/>
              <w:spacing w:line="240" w:lineRule="auto"/>
              <w:ind w:firstLine="0" w:firstLineChars="0"/>
              <w:jc w:val="center"/>
              <w:textAlignment w:val="center"/>
              <w:rPr>
                <w:rFonts w:cs="Times New Roman"/>
                <w:sz w:val="21"/>
                <w:szCs w:val="21"/>
              </w:rPr>
            </w:pPr>
            <w:r>
              <w:rPr>
                <w:rFonts w:hint="eastAsia" w:ascii="宋体" w:hAnsi="宋体" w:eastAsia="宋体" w:cs="宋体"/>
                <w:kern w:val="0"/>
                <w:sz w:val="21"/>
                <w:szCs w:val="21"/>
                <w:lang w:bidi="ar"/>
              </w:rPr>
              <w:t>硫化物</w:t>
            </w:r>
          </w:p>
        </w:tc>
        <w:tc>
          <w:tcPr>
            <w:tcW w:w="2850" w:type="dxa"/>
            <w:vAlign w:val="center"/>
          </w:tcPr>
          <w:p>
            <w:pPr>
              <w:widowControl/>
              <w:spacing w:line="240" w:lineRule="auto"/>
              <w:ind w:firstLine="0" w:firstLineChars="0"/>
              <w:jc w:val="center"/>
              <w:textAlignment w:val="center"/>
              <w:rPr>
                <w:rFonts w:cs="Times New Roman"/>
                <w:sz w:val="21"/>
                <w:szCs w:val="21"/>
              </w:rPr>
            </w:pPr>
            <w:r>
              <w:rPr>
                <w:rFonts w:hint="eastAsia" w:ascii="宋体" w:hAnsi="宋体" w:eastAsia="宋体" w:cs="宋体"/>
                <w:kern w:val="0"/>
                <w:sz w:val="21"/>
                <w:szCs w:val="21"/>
                <w:lang w:bidi="ar"/>
              </w:rPr>
              <w:t>水质</w:t>
            </w:r>
            <w:r>
              <w:rPr>
                <w:rFonts w:eastAsia="宋体" w:cs="Times New Roman"/>
                <w:kern w:val="0"/>
                <w:sz w:val="21"/>
                <w:szCs w:val="21"/>
                <w:lang w:bidi="ar"/>
              </w:rPr>
              <w:t xml:space="preserve"> </w:t>
            </w:r>
            <w:r>
              <w:rPr>
                <w:rFonts w:hint="eastAsia" w:ascii="宋体" w:hAnsi="宋体" w:eastAsia="宋体" w:cs="宋体"/>
                <w:kern w:val="0"/>
                <w:sz w:val="21"/>
                <w:szCs w:val="21"/>
                <w:lang w:bidi="ar"/>
              </w:rPr>
              <w:t>硫化物的测定</w:t>
            </w:r>
            <w:r>
              <w:rPr>
                <w:rFonts w:eastAsia="宋体" w:cs="Times New Roman"/>
                <w:kern w:val="0"/>
                <w:sz w:val="21"/>
                <w:szCs w:val="21"/>
                <w:lang w:bidi="ar"/>
              </w:rPr>
              <w:t xml:space="preserve"> </w:t>
            </w:r>
            <w:r>
              <w:rPr>
                <w:rFonts w:hint="eastAsia" w:ascii="宋体" w:hAnsi="宋体" w:eastAsia="宋体" w:cs="宋体"/>
                <w:kern w:val="0"/>
                <w:sz w:val="21"/>
                <w:szCs w:val="21"/>
                <w:lang w:bidi="ar"/>
              </w:rPr>
              <w:t>亚甲基蓝分光光度法</w:t>
            </w:r>
          </w:p>
        </w:tc>
        <w:tc>
          <w:tcPr>
            <w:tcW w:w="1320"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GB/T 16489-1996</w:t>
            </w:r>
          </w:p>
        </w:tc>
        <w:tc>
          <w:tcPr>
            <w:tcW w:w="1887" w:type="dxa"/>
            <w:vAlign w:val="center"/>
          </w:tcPr>
          <w:p>
            <w:pPr>
              <w:widowControl/>
              <w:spacing w:line="240" w:lineRule="auto"/>
              <w:ind w:firstLine="0" w:firstLineChars="0"/>
              <w:jc w:val="center"/>
              <w:textAlignment w:val="center"/>
              <w:rPr>
                <w:rFonts w:hint="eastAsia" w:ascii="宋体" w:hAnsi="宋体" w:eastAsia="宋体" w:cs="宋体"/>
                <w:kern w:val="0"/>
                <w:sz w:val="21"/>
                <w:szCs w:val="21"/>
                <w:lang w:eastAsia="zh-CN" w:bidi="ar"/>
              </w:rPr>
            </w:pPr>
            <w:r>
              <w:rPr>
                <w:rFonts w:eastAsia="宋体" w:cs="Times New Roman"/>
                <w:kern w:val="0"/>
                <w:sz w:val="21"/>
                <w:szCs w:val="21"/>
                <w:lang w:bidi="ar"/>
              </w:rPr>
              <w:t>T6</w:t>
            </w:r>
            <w:r>
              <w:rPr>
                <w:rFonts w:hint="eastAsia" w:ascii="宋体" w:hAnsi="宋体" w:eastAsia="宋体" w:cs="宋体"/>
                <w:kern w:val="0"/>
                <w:sz w:val="21"/>
                <w:szCs w:val="21"/>
                <w:lang w:bidi="ar"/>
              </w:rPr>
              <w:t>新世纪</w:t>
            </w:r>
          </w:p>
          <w:p>
            <w:pPr>
              <w:widowControl/>
              <w:spacing w:line="240" w:lineRule="auto"/>
              <w:ind w:firstLine="0" w:firstLineChars="0"/>
              <w:jc w:val="center"/>
              <w:textAlignment w:val="center"/>
              <w:rPr>
                <w:rFonts w:hint="eastAsia" w:ascii="宋体" w:hAnsi="宋体" w:eastAsia="宋体" w:cs="宋体"/>
                <w:kern w:val="0"/>
                <w:sz w:val="21"/>
                <w:szCs w:val="21"/>
                <w:lang w:eastAsia="zh-CN" w:bidi="ar"/>
              </w:rPr>
            </w:pPr>
            <w:r>
              <w:rPr>
                <w:rFonts w:hint="eastAsia" w:ascii="宋体" w:hAnsi="宋体" w:eastAsia="宋体" w:cs="宋体"/>
                <w:kern w:val="0"/>
                <w:sz w:val="21"/>
                <w:szCs w:val="21"/>
                <w:lang w:bidi="ar"/>
              </w:rPr>
              <w:t>紫外可见分光光度计</w:t>
            </w:r>
          </w:p>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 xml:space="preserve"> LYQ-JL02</w:t>
            </w:r>
            <w:r>
              <w:rPr>
                <w:rFonts w:hint="eastAsia" w:eastAsia="宋体" w:cs="Times New Roman"/>
                <w:kern w:val="0"/>
                <w:sz w:val="21"/>
                <w:szCs w:val="21"/>
                <w:lang w:bidi="ar"/>
              </w:rPr>
              <w:t>7</w:t>
            </w:r>
          </w:p>
        </w:tc>
        <w:tc>
          <w:tcPr>
            <w:tcW w:w="1113"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0.005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5" w:type="dxa"/>
            <w:vAlign w:val="center"/>
          </w:tcPr>
          <w:p>
            <w:pPr>
              <w:spacing w:line="240" w:lineRule="auto"/>
              <w:ind w:firstLine="0" w:firstLineChars="0"/>
              <w:jc w:val="center"/>
              <w:rPr>
                <w:rFonts w:cs="Times New Roman"/>
                <w:sz w:val="21"/>
                <w:szCs w:val="21"/>
              </w:rPr>
            </w:pPr>
            <w:r>
              <w:rPr>
                <w:rFonts w:cs="Times New Roman"/>
                <w:sz w:val="21"/>
                <w:szCs w:val="21"/>
              </w:rPr>
              <w:t>总大肠菌群</w:t>
            </w:r>
          </w:p>
        </w:tc>
        <w:tc>
          <w:tcPr>
            <w:tcW w:w="2850"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多管发酵法 生活饮用水标准检验方法微生物指标</w:t>
            </w:r>
          </w:p>
        </w:tc>
        <w:tc>
          <w:tcPr>
            <w:tcW w:w="1320"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GB/T 5750.12-2006 （2.1）</w:t>
            </w:r>
          </w:p>
        </w:tc>
        <w:tc>
          <w:tcPr>
            <w:tcW w:w="1887" w:type="dxa"/>
            <w:vAlign w:val="center"/>
          </w:tcPr>
          <w:p>
            <w:pPr>
              <w:widowControl/>
              <w:spacing w:line="240" w:lineRule="auto"/>
              <w:ind w:firstLine="0" w:firstLineChars="0"/>
              <w:jc w:val="center"/>
              <w:textAlignment w:val="center"/>
              <w:rPr>
                <w:rFonts w:hint="eastAsia" w:eastAsia="宋体" w:cs="Times New Roman"/>
                <w:kern w:val="0"/>
                <w:sz w:val="21"/>
                <w:szCs w:val="21"/>
                <w:lang w:eastAsia="zh-CN" w:bidi="ar"/>
              </w:rPr>
            </w:pPr>
            <w:r>
              <w:rPr>
                <w:rFonts w:eastAsia="宋体" w:cs="Times New Roman"/>
                <w:kern w:val="0"/>
                <w:sz w:val="21"/>
                <w:szCs w:val="21"/>
                <w:lang w:bidi="ar"/>
              </w:rPr>
              <w:t>DHP-9082B</w:t>
            </w:r>
          </w:p>
          <w:p>
            <w:pPr>
              <w:widowControl/>
              <w:spacing w:line="240" w:lineRule="auto"/>
              <w:ind w:firstLine="0" w:firstLineChars="0"/>
              <w:jc w:val="center"/>
              <w:textAlignment w:val="center"/>
              <w:rPr>
                <w:rFonts w:hint="eastAsia" w:eastAsia="宋体" w:cs="Times New Roman"/>
                <w:kern w:val="0"/>
                <w:sz w:val="21"/>
                <w:szCs w:val="21"/>
                <w:lang w:eastAsia="zh-CN" w:bidi="ar"/>
              </w:rPr>
            </w:pPr>
            <w:r>
              <w:rPr>
                <w:rFonts w:eastAsia="宋体" w:cs="Times New Roman"/>
                <w:kern w:val="0"/>
                <w:sz w:val="21"/>
                <w:szCs w:val="21"/>
                <w:lang w:bidi="ar"/>
              </w:rPr>
              <w:t>电热恒温培养箱</w:t>
            </w:r>
          </w:p>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LYQ-JL009</w:t>
            </w:r>
          </w:p>
        </w:tc>
        <w:tc>
          <w:tcPr>
            <w:tcW w:w="1113" w:type="dxa"/>
            <w:vAlign w:val="center"/>
          </w:tcPr>
          <w:p>
            <w:pPr>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5" w:type="dxa"/>
            <w:vAlign w:val="center"/>
          </w:tcPr>
          <w:p>
            <w:pPr>
              <w:spacing w:line="240" w:lineRule="auto"/>
              <w:ind w:firstLine="0" w:firstLineChars="0"/>
              <w:jc w:val="center"/>
              <w:rPr>
                <w:rFonts w:cs="Times New Roman"/>
                <w:sz w:val="21"/>
                <w:szCs w:val="21"/>
              </w:rPr>
            </w:pPr>
            <w:r>
              <w:rPr>
                <w:rFonts w:cs="Times New Roman"/>
                <w:sz w:val="21"/>
                <w:szCs w:val="21"/>
              </w:rPr>
              <w:t>菌落总数</w:t>
            </w:r>
          </w:p>
        </w:tc>
        <w:tc>
          <w:tcPr>
            <w:tcW w:w="2850"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平皿计数法 生活饮用水标准检验方法 微生物指标</w:t>
            </w:r>
          </w:p>
        </w:tc>
        <w:tc>
          <w:tcPr>
            <w:tcW w:w="1320"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GB/T 5750.12-2006 （1.1）</w:t>
            </w:r>
          </w:p>
        </w:tc>
        <w:tc>
          <w:tcPr>
            <w:tcW w:w="1887" w:type="dxa"/>
            <w:vAlign w:val="center"/>
          </w:tcPr>
          <w:p>
            <w:pPr>
              <w:widowControl/>
              <w:spacing w:line="240" w:lineRule="auto"/>
              <w:ind w:firstLine="0" w:firstLineChars="0"/>
              <w:jc w:val="center"/>
              <w:textAlignment w:val="center"/>
              <w:rPr>
                <w:rFonts w:hint="eastAsia" w:eastAsia="宋体" w:cs="Times New Roman"/>
                <w:kern w:val="0"/>
                <w:sz w:val="21"/>
                <w:szCs w:val="21"/>
                <w:lang w:eastAsia="zh-CN" w:bidi="ar"/>
              </w:rPr>
            </w:pPr>
            <w:r>
              <w:rPr>
                <w:rFonts w:eastAsia="宋体" w:cs="Times New Roman"/>
                <w:kern w:val="0"/>
                <w:sz w:val="21"/>
                <w:szCs w:val="21"/>
                <w:lang w:bidi="ar"/>
              </w:rPr>
              <w:t>DHP-9082B</w:t>
            </w:r>
          </w:p>
          <w:p>
            <w:pPr>
              <w:widowControl/>
              <w:spacing w:line="240" w:lineRule="auto"/>
              <w:ind w:firstLine="0" w:firstLineChars="0"/>
              <w:jc w:val="center"/>
              <w:textAlignment w:val="center"/>
              <w:rPr>
                <w:rFonts w:hint="eastAsia" w:eastAsia="宋体" w:cs="Times New Roman"/>
                <w:kern w:val="0"/>
                <w:sz w:val="21"/>
                <w:szCs w:val="21"/>
                <w:lang w:eastAsia="zh-CN" w:bidi="ar"/>
              </w:rPr>
            </w:pPr>
            <w:r>
              <w:rPr>
                <w:rFonts w:eastAsia="宋体" w:cs="Times New Roman"/>
                <w:kern w:val="0"/>
                <w:sz w:val="21"/>
                <w:szCs w:val="21"/>
                <w:lang w:bidi="ar"/>
              </w:rPr>
              <w:t>电热恒温培养箱</w:t>
            </w:r>
          </w:p>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LYQ-JL009</w:t>
            </w:r>
          </w:p>
        </w:tc>
        <w:tc>
          <w:tcPr>
            <w:tcW w:w="1113" w:type="dxa"/>
            <w:vAlign w:val="center"/>
          </w:tcPr>
          <w:p>
            <w:pPr>
              <w:spacing w:line="240" w:lineRule="auto"/>
              <w:ind w:firstLine="0" w:firstLineChars="0"/>
              <w:jc w:val="center"/>
              <w:rPr>
                <w:rFonts w:cs="Times New Roman"/>
                <w:sz w:val="21"/>
                <w:szCs w:val="21"/>
              </w:rPr>
            </w:pPr>
            <w:r>
              <w:rPr>
                <w:rFonts w:cs="Times New Roman"/>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5" w:type="dxa"/>
            <w:vAlign w:val="center"/>
          </w:tcPr>
          <w:p>
            <w:pPr>
              <w:spacing w:line="240" w:lineRule="auto"/>
              <w:ind w:firstLine="0" w:firstLineChars="0"/>
              <w:jc w:val="center"/>
              <w:rPr>
                <w:rFonts w:cs="Times New Roman"/>
                <w:sz w:val="21"/>
                <w:szCs w:val="21"/>
              </w:rPr>
            </w:pPr>
            <w:r>
              <w:rPr>
                <w:rFonts w:cs="Times New Roman"/>
                <w:sz w:val="21"/>
                <w:szCs w:val="21"/>
              </w:rPr>
              <w:t>亚硝酸盐氮</w:t>
            </w:r>
          </w:p>
        </w:tc>
        <w:tc>
          <w:tcPr>
            <w:tcW w:w="2850" w:type="dxa"/>
            <w:vAlign w:val="center"/>
          </w:tcPr>
          <w:p>
            <w:pPr>
              <w:spacing w:line="240" w:lineRule="auto"/>
              <w:ind w:firstLine="0" w:firstLineChars="0"/>
              <w:jc w:val="center"/>
              <w:rPr>
                <w:rFonts w:cs="Times New Roman"/>
                <w:sz w:val="21"/>
                <w:szCs w:val="21"/>
              </w:rPr>
            </w:pPr>
            <w:r>
              <w:rPr>
                <w:rFonts w:cs="Times New Roman"/>
                <w:sz w:val="21"/>
                <w:szCs w:val="21"/>
              </w:rPr>
              <w:t>水质 亚硝酸盐氮的测定 分光光度法</w:t>
            </w:r>
          </w:p>
        </w:tc>
        <w:tc>
          <w:tcPr>
            <w:tcW w:w="1320" w:type="dxa"/>
            <w:vAlign w:val="center"/>
          </w:tcPr>
          <w:p>
            <w:pPr>
              <w:spacing w:line="240" w:lineRule="auto"/>
              <w:ind w:firstLine="0" w:firstLineChars="0"/>
              <w:jc w:val="center"/>
              <w:rPr>
                <w:rFonts w:cs="Times New Roman"/>
                <w:sz w:val="21"/>
                <w:szCs w:val="21"/>
              </w:rPr>
            </w:pPr>
            <w:r>
              <w:rPr>
                <w:rFonts w:cs="Times New Roman"/>
                <w:sz w:val="21"/>
                <w:szCs w:val="21"/>
              </w:rPr>
              <w:t>GB/T 7493-87</w:t>
            </w:r>
          </w:p>
        </w:tc>
        <w:tc>
          <w:tcPr>
            <w:tcW w:w="1887" w:type="dxa"/>
            <w:vAlign w:val="center"/>
          </w:tcPr>
          <w:p>
            <w:pPr>
              <w:spacing w:line="240" w:lineRule="auto"/>
              <w:ind w:firstLine="0" w:firstLineChars="0"/>
              <w:jc w:val="center"/>
              <w:rPr>
                <w:rFonts w:hint="eastAsia" w:cs="Times New Roman" w:eastAsiaTheme="minorEastAsia"/>
                <w:sz w:val="21"/>
                <w:szCs w:val="21"/>
                <w:lang w:eastAsia="zh-CN"/>
              </w:rPr>
            </w:pPr>
            <w:r>
              <w:rPr>
                <w:rFonts w:cs="Times New Roman"/>
                <w:sz w:val="21"/>
                <w:szCs w:val="21"/>
              </w:rPr>
              <w:t>T6新世纪</w:t>
            </w:r>
          </w:p>
          <w:p>
            <w:pPr>
              <w:spacing w:line="240" w:lineRule="auto"/>
              <w:ind w:firstLine="0" w:firstLineChars="0"/>
              <w:jc w:val="center"/>
              <w:rPr>
                <w:rFonts w:hint="eastAsia" w:cs="Times New Roman" w:eastAsiaTheme="minorEastAsia"/>
                <w:sz w:val="21"/>
                <w:szCs w:val="21"/>
                <w:lang w:eastAsia="zh-CN"/>
              </w:rPr>
            </w:pPr>
            <w:r>
              <w:rPr>
                <w:rFonts w:cs="Times New Roman"/>
                <w:sz w:val="21"/>
                <w:szCs w:val="21"/>
              </w:rPr>
              <w:t>紫外可见分光光度计</w:t>
            </w:r>
          </w:p>
          <w:p>
            <w:pPr>
              <w:spacing w:line="240" w:lineRule="auto"/>
              <w:ind w:firstLine="0" w:firstLineChars="0"/>
              <w:jc w:val="center"/>
              <w:rPr>
                <w:rFonts w:cs="Times New Roman"/>
                <w:sz w:val="21"/>
                <w:szCs w:val="21"/>
              </w:rPr>
            </w:pPr>
            <w:r>
              <w:rPr>
                <w:rFonts w:cs="Times New Roman"/>
                <w:sz w:val="21"/>
                <w:szCs w:val="21"/>
              </w:rPr>
              <w:t xml:space="preserve"> LYQ-JL02</w:t>
            </w:r>
            <w:r>
              <w:rPr>
                <w:rFonts w:hint="eastAsia" w:cs="Times New Roman"/>
                <w:sz w:val="21"/>
                <w:szCs w:val="21"/>
              </w:rPr>
              <w:t>7</w:t>
            </w:r>
          </w:p>
        </w:tc>
        <w:tc>
          <w:tcPr>
            <w:tcW w:w="1113" w:type="dxa"/>
            <w:vAlign w:val="center"/>
          </w:tcPr>
          <w:p>
            <w:pPr>
              <w:spacing w:line="240" w:lineRule="auto"/>
              <w:ind w:firstLine="0" w:firstLineChars="0"/>
              <w:jc w:val="center"/>
              <w:rPr>
                <w:rFonts w:cs="Times New Roman"/>
                <w:sz w:val="21"/>
                <w:szCs w:val="21"/>
              </w:rPr>
            </w:pPr>
            <w:r>
              <w:rPr>
                <w:rFonts w:cs="Times New Roman"/>
                <w:sz w:val="21"/>
                <w:szCs w:val="21"/>
              </w:rPr>
              <w:t>0.003</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5"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氰化物</w:t>
            </w:r>
          </w:p>
        </w:tc>
        <w:tc>
          <w:tcPr>
            <w:tcW w:w="2850"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异烟酸-吡唑酮分光光度法 生活饮用水标准检验方法 无机非金属指标</w:t>
            </w:r>
          </w:p>
        </w:tc>
        <w:tc>
          <w:tcPr>
            <w:tcW w:w="1320"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GB/T 5750.5-2006 （4.1）</w:t>
            </w:r>
          </w:p>
        </w:tc>
        <w:tc>
          <w:tcPr>
            <w:tcW w:w="1887" w:type="dxa"/>
            <w:vAlign w:val="center"/>
          </w:tcPr>
          <w:p>
            <w:pPr>
              <w:widowControl/>
              <w:spacing w:line="240" w:lineRule="auto"/>
              <w:ind w:firstLine="0" w:firstLineChars="0"/>
              <w:jc w:val="center"/>
              <w:textAlignment w:val="center"/>
              <w:rPr>
                <w:rFonts w:hint="eastAsia" w:eastAsia="宋体" w:cs="Times New Roman"/>
                <w:kern w:val="0"/>
                <w:sz w:val="21"/>
                <w:szCs w:val="21"/>
                <w:lang w:eastAsia="zh-CN" w:bidi="ar"/>
              </w:rPr>
            </w:pPr>
            <w:r>
              <w:rPr>
                <w:rFonts w:eastAsia="宋体" w:cs="Times New Roman"/>
                <w:kern w:val="0"/>
                <w:sz w:val="21"/>
                <w:szCs w:val="21"/>
                <w:lang w:bidi="ar"/>
              </w:rPr>
              <w:t>T6新世纪</w:t>
            </w:r>
          </w:p>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紫外可见分光光度计 LYQ-JL02</w:t>
            </w:r>
            <w:r>
              <w:rPr>
                <w:rFonts w:hint="eastAsia" w:eastAsia="宋体" w:cs="Times New Roman"/>
                <w:kern w:val="0"/>
                <w:sz w:val="21"/>
                <w:szCs w:val="21"/>
                <w:lang w:bidi="ar"/>
              </w:rPr>
              <w:t>7</w:t>
            </w:r>
          </w:p>
        </w:tc>
        <w:tc>
          <w:tcPr>
            <w:tcW w:w="1113"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0.002</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5" w:type="dxa"/>
            <w:vAlign w:val="center"/>
          </w:tcPr>
          <w:p>
            <w:pPr>
              <w:spacing w:line="240" w:lineRule="auto"/>
              <w:ind w:firstLine="0" w:firstLineChars="0"/>
              <w:jc w:val="center"/>
              <w:rPr>
                <w:rFonts w:cs="Times New Roman"/>
                <w:sz w:val="21"/>
                <w:szCs w:val="21"/>
              </w:rPr>
            </w:pPr>
            <w:r>
              <w:rPr>
                <w:rFonts w:cs="Times New Roman"/>
                <w:sz w:val="21"/>
                <w:szCs w:val="21"/>
              </w:rPr>
              <w:t>碘化物</w:t>
            </w:r>
          </w:p>
        </w:tc>
        <w:tc>
          <w:tcPr>
            <w:tcW w:w="2850" w:type="dxa"/>
            <w:vAlign w:val="center"/>
          </w:tcPr>
          <w:p>
            <w:pPr>
              <w:spacing w:line="240" w:lineRule="auto"/>
              <w:ind w:firstLine="0" w:firstLineChars="0"/>
              <w:jc w:val="center"/>
              <w:rPr>
                <w:rFonts w:cs="Times New Roman"/>
                <w:sz w:val="21"/>
                <w:szCs w:val="21"/>
              </w:rPr>
            </w:pPr>
            <w:r>
              <w:rPr>
                <w:rFonts w:cs="Times New Roman"/>
                <w:sz w:val="21"/>
                <w:szCs w:val="21"/>
              </w:rPr>
              <w:t>生活饮用水标准检验方法 无机非金属指标</w:t>
            </w:r>
          </w:p>
        </w:tc>
        <w:tc>
          <w:tcPr>
            <w:tcW w:w="1320" w:type="dxa"/>
            <w:vAlign w:val="center"/>
          </w:tcPr>
          <w:p>
            <w:pPr>
              <w:spacing w:line="240" w:lineRule="auto"/>
              <w:ind w:firstLine="0" w:firstLineChars="0"/>
              <w:jc w:val="center"/>
              <w:rPr>
                <w:rFonts w:cs="Times New Roman"/>
                <w:sz w:val="21"/>
                <w:szCs w:val="21"/>
              </w:rPr>
            </w:pPr>
            <w:r>
              <w:rPr>
                <w:rFonts w:cs="Times New Roman"/>
                <w:sz w:val="21"/>
                <w:szCs w:val="21"/>
              </w:rPr>
              <w:t>GB/T 5750.5-2006</w:t>
            </w:r>
          </w:p>
          <w:p>
            <w:pPr>
              <w:spacing w:line="240" w:lineRule="auto"/>
              <w:ind w:firstLine="0" w:firstLineChars="0"/>
              <w:jc w:val="center"/>
              <w:rPr>
                <w:rFonts w:cs="Times New Roman"/>
                <w:sz w:val="21"/>
                <w:szCs w:val="21"/>
              </w:rPr>
            </w:pPr>
            <w:r>
              <w:rPr>
                <w:rFonts w:cs="Times New Roman"/>
                <w:sz w:val="21"/>
                <w:szCs w:val="21"/>
              </w:rPr>
              <w:t>(11.2)</w:t>
            </w:r>
          </w:p>
        </w:tc>
        <w:tc>
          <w:tcPr>
            <w:tcW w:w="1887" w:type="dxa"/>
            <w:vAlign w:val="center"/>
          </w:tcPr>
          <w:p>
            <w:pPr>
              <w:spacing w:line="240" w:lineRule="auto"/>
              <w:ind w:firstLine="0" w:firstLineChars="0"/>
              <w:jc w:val="center"/>
              <w:rPr>
                <w:rFonts w:cs="Times New Roman"/>
                <w:sz w:val="21"/>
                <w:szCs w:val="21"/>
              </w:rPr>
            </w:pPr>
            <w:r>
              <w:rPr>
                <w:rFonts w:cs="Times New Roman"/>
                <w:sz w:val="21"/>
                <w:szCs w:val="21"/>
              </w:rPr>
              <w:t>TU-1810</w:t>
            </w:r>
          </w:p>
          <w:p>
            <w:pPr>
              <w:spacing w:line="240" w:lineRule="auto"/>
              <w:ind w:firstLine="0" w:firstLineChars="0"/>
              <w:jc w:val="center"/>
              <w:rPr>
                <w:rFonts w:cs="Times New Roman"/>
                <w:sz w:val="21"/>
                <w:szCs w:val="21"/>
              </w:rPr>
            </w:pPr>
            <w:r>
              <w:rPr>
                <w:rFonts w:cs="Times New Roman"/>
                <w:sz w:val="21"/>
                <w:szCs w:val="21"/>
              </w:rPr>
              <w:t>紫外可见分光光度计</w:t>
            </w:r>
          </w:p>
          <w:p>
            <w:pPr>
              <w:pStyle w:val="12"/>
              <w:spacing w:line="240" w:lineRule="auto"/>
              <w:ind w:firstLine="0" w:firstLineChars="0"/>
              <w:jc w:val="center"/>
              <w:rPr>
                <w:rFonts w:cs="Times New Roman"/>
                <w:sz w:val="21"/>
                <w:szCs w:val="21"/>
              </w:rPr>
            </w:pPr>
            <w:r>
              <w:rPr>
                <w:rFonts w:cs="Times New Roman"/>
                <w:sz w:val="21"/>
                <w:szCs w:val="21"/>
              </w:rPr>
              <w:t>SEP-CD-J072</w:t>
            </w:r>
          </w:p>
        </w:tc>
        <w:tc>
          <w:tcPr>
            <w:tcW w:w="1113" w:type="dxa"/>
            <w:vAlign w:val="center"/>
          </w:tcPr>
          <w:p>
            <w:pPr>
              <w:spacing w:line="240" w:lineRule="auto"/>
              <w:ind w:firstLine="0" w:firstLineChars="0"/>
              <w:jc w:val="center"/>
              <w:rPr>
                <w:rFonts w:cs="Times New Roman"/>
                <w:sz w:val="21"/>
                <w:szCs w:val="21"/>
              </w:rPr>
            </w:pPr>
            <w:r>
              <w:rPr>
                <w:rFonts w:cs="Times New Roman"/>
                <w:sz w:val="21"/>
                <w:szCs w:val="21"/>
              </w:rPr>
              <w:t>0.05</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45" w:type="dxa"/>
            <w:vAlign w:val="center"/>
          </w:tcPr>
          <w:p>
            <w:pPr>
              <w:spacing w:line="240" w:lineRule="auto"/>
              <w:ind w:firstLine="0" w:firstLineChars="0"/>
              <w:jc w:val="center"/>
              <w:rPr>
                <w:rFonts w:cs="Times New Roman"/>
                <w:sz w:val="21"/>
                <w:szCs w:val="21"/>
              </w:rPr>
            </w:pPr>
            <w:r>
              <w:rPr>
                <w:rFonts w:cs="Times New Roman"/>
                <w:sz w:val="21"/>
                <w:szCs w:val="21"/>
              </w:rPr>
              <w:t>六价铬</w:t>
            </w:r>
          </w:p>
        </w:tc>
        <w:tc>
          <w:tcPr>
            <w:tcW w:w="2850"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cs="Times New Roman"/>
                <w:kern w:val="0"/>
                <w:sz w:val="21"/>
                <w:szCs w:val="21"/>
                <w:lang w:bidi="ar"/>
              </w:rPr>
              <w:t>二苯碳酰二肼分光光度法 生活饮用水标准检验方法 金属指标</w:t>
            </w:r>
          </w:p>
        </w:tc>
        <w:tc>
          <w:tcPr>
            <w:tcW w:w="1320"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cs="Times New Roman"/>
                <w:kern w:val="0"/>
                <w:sz w:val="21"/>
                <w:szCs w:val="21"/>
                <w:lang w:bidi="ar"/>
              </w:rPr>
              <w:t>GB/T 5750.6-2006 (10.1)</w:t>
            </w:r>
          </w:p>
        </w:tc>
        <w:tc>
          <w:tcPr>
            <w:tcW w:w="1887" w:type="dxa"/>
            <w:vAlign w:val="center"/>
          </w:tcPr>
          <w:p>
            <w:pPr>
              <w:widowControl/>
              <w:spacing w:line="240" w:lineRule="auto"/>
              <w:ind w:firstLine="0" w:firstLineChars="0"/>
              <w:jc w:val="center"/>
              <w:textAlignment w:val="center"/>
              <w:rPr>
                <w:rFonts w:cs="Times New Roman"/>
                <w:kern w:val="0"/>
                <w:sz w:val="21"/>
                <w:szCs w:val="21"/>
                <w:lang w:bidi="ar"/>
              </w:rPr>
            </w:pPr>
            <w:r>
              <w:rPr>
                <w:rFonts w:cs="Times New Roman"/>
                <w:kern w:val="0"/>
                <w:sz w:val="21"/>
                <w:szCs w:val="21"/>
                <w:lang w:bidi="ar"/>
              </w:rPr>
              <w:t xml:space="preserve">T6新世纪 </w:t>
            </w:r>
          </w:p>
          <w:p>
            <w:pPr>
              <w:widowControl/>
              <w:spacing w:line="240" w:lineRule="auto"/>
              <w:ind w:firstLine="0" w:firstLineChars="0"/>
              <w:jc w:val="center"/>
              <w:textAlignment w:val="center"/>
              <w:rPr>
                <w:rFonts w:eastAsia="宋体" w:cs="Times New Roman"/>
                <w:kern w:val="0"/>
                <w:sz w:val="21"/>
                <w:szCs w:val="21"/>
                <w:lang w:bidi="ar"/>
              </w:rPr>
            </w:pPr>
            <w:r>
              <w:rPr>
                <w:rFonts w:cs="Times New Roman"/>
                <w:kern w:val="0"/>
                <w:sz w:val="21"/>
                <w:szCs w:val="21"/>
                <w:lang w:bidi="ar"/>
              </w:rPr>
              <w:t>紫外可见分光光度计 LYQ-JL027</w:t>
            </w:r>
          </w:p>
        </w:tc>
        <w:tc>
          <w:tcPr>
            <w:tcW w:w="1113"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cs="Times New Roman"/>
                <w:kern w:val="0"/>
                <w:sz w:val="21"/>
                <w:szCs w:val="21"/>
                <w:lang w:bidi="ar"/>
              </w:rPr>
              <w:t>0.004</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9" w:hRule="atLeast"/>
          <w:jc w:val="center"/>
        </w:trPr>
        <w:tc>
          <w:tcPr>
            <w:tcW w:w="1145" w:type="dxa"/>
            <w:vAlign w:val="center"/>
          </w:tcPr>
          <w:p>
            <w:pPr>
              <w:spacing w:line="240" w:lineRule="auto"/>
              <w:ind w:firstLine="0" w:firstLineChars="0"/>
              <w:jc w:val="center"/>
              <w:rPr>
                <w:rFonts w:cs="Times New Roman"/>
                <w:sz w:val="21"/>
                <w:szCs w:val="21"/>
              </w:rPr>
            </w:pPr>
            <w:r>
              <w:rPr>
                <w:rFonts w:cs="Times New Roman"/>
                <w:sz w:val="21"/>
                <w:szCs w:val="21"/>
              </w:rPr>
              <w:t>三氧甲烷</w:t>
            </w:r>
          </w:p>
        </w:tc>
        <w:tc>
          <w:tcPr>
            <w:tcW w:w="2850" w:type="dxa"/>
            <w:vMerge w:val="restart"/>
            <w:vAlign w:val="center"/>
          </w:tcPr>
          <w:p>
            <w:pPr>
              <w:widowControl/>
              <w:spacing w:line="240" w:lineRule="auto"/>
              <w:ind w:firstLine="0" w:firstLineChars="0"/>
              <w:jc w:val="left"/>
              <w:textAlignment w:val="center"/>
              <w:rPr>
                <w:rFonts w:cs="Times New Roman"/>
                <w:sz w:val="21"/>
                <w:szCs w:val="21"/>
              </w:rPr>
            </w:pPr>
            <w:r>
              <w:rPr>
                <w:rFonts w:eastAsia="宋体" w:cs="Times New Roman"/>
                <w:kern w:val="0"/>
                <w:sz w:val="21"/>
                <w:szCs w:val="21"/>
                <w:lang w:bidi="ar"/>
              </w:rPr>
              <w:t>水质 挥发性有机物的测定 吹扫捕集/气相色谱-质谱法</w:t>
            </w:r>
          </w:p>
        </w:tc>
        <w:tc>
          <w:tcPr>
            <w:tcW w:w="1320" w:type="dxa"/>
            <w:vMerge w:val="restart"/>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HJ 639-2012</w:t>
            </w:r>
          </w:p>
        </w:tc>
        <w:tc>
          <w:tcPr>
            <w:tcW w:w="1887" w:type="dxa"/>
            <w:vMerge w:val="restart"/>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eastAsia="宋体" w:cs="Times New Roman"/>
                <w:kern w:val="0"/>
                <w:sz w:val="21"/>
                <w:szCs w:val="21"/>
                <w:lang w:bidi="ar"/>
              </w:rPr>
              <w:t>ATOMX-7890B/5977B（PT&amp;GCMSD）</w:t>
            </w:r>
          </w:p>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吹扫捕集气质联用仪SEP-CD-J025</w:t>
            </w:r>
          </w:p>
        </w:tc>
        <w:tc>
          <w:tcPr>
            <w:tcW w:w="1113" w:type="dxa"/>
            <w:vAlign w:val="center"/>
          </w:tcPr>
          <w:p>
            <w:pPr>
              <w:spacing w:line="240" w:lineRule="auto"/>
              <w:ind w:firstLine="0" w:firstLineChars="0"/>
              <w:jc w:val="center"/>
              <w:rPr>
                <w:rFonts w:cs="Times New Roman"/>
                <w:sz w:val="21"/>
                <w:szCs w:val="21"/>
              </w:rPr>
            </w:pPr>
            <w:r>
              <w:rPr>
                <w:rFonts w:cs="Times New Roman"/>
                <w:sz w:val="21"/>
                <w:szCs w:val="21"/>
              </w:rPr>
              <w:t>1.4 μg/L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1145" w:type="dxa"/>
            <w:vAlign w:val="center"/>
          </w:tcPr>
          <w:p>
            <w:pPr>
              <w:spacing w:line="240" w:lineRule="auto"/>
              <w:ind w:firstLine="0" w:firstLineChars="0"/>
              <w:jc w:val="center"/>
              <w:rPr>
                <w:sz w:val="21"/>
                <w:szCs w:val="21"/>
              </w:rPr>
            </w:pPr>
            <w:r>
              <w:rPr>
                <w:rFonts w:cs="Times New Roman"/>
                <w:sz w:val="21"/>
                <w:szCs w:val="21"/>
              </w:rPr>
              <w:t>四氯化碳</w:t>
            </w:r>
          </w:p>
        </w:tc>
        <w:tc>
          <w:tcPr>
            <w:tcW w:w="2850" w:type="dxa"/>
            <w:vMerge w:val="continue"/>
            <w:vAlign w:val="center"/>
          </w:tcPr>
          <w:p>
            <w:pPr>
              <w:widowControl/>
              <w:spacing w:line="240" w:lineRule="auto"/>
              <w:ind w:firstLine="0" w:firstLineChars="0"/>
              <w:jc w:val="center"/>
              <w:textAlignment w:val="center"/>
              <w:rPr>
                <w:kern w:val="0"/>
                <w:sz w:val="21"/>
                <w:szCs w:val="21"/>
                <w:lang w:bidi="ar"/>
              </w:rPr>
            </w:pPr>
          </w:p>
        </w:tc>
        <w:tc>
          <w:tcPr>
            <w:tcW w:w="1320" w:type="dxa"/>
            <w:vMerge w:val="continue"/>
            <w:vAlign w:val="center"/>
          </w:tcPr>
          <w:p>
            <w:pPr>
              <w:widowControl/>
              <w:spacing w:line="240" w:lineRule="auto"/>
              <w:ind w:firstLine="0" w:firstLineChars="0"/>
              <w:jc w:val="center"/>
              <w:textAlignment w:val="center"/>
              <w:rPr>
                <w:rFonts w:cs="Times New Roman"/>
                <w:kern w:val="0"/>
                <w:sz w:val="21"/>
                <w:szCs w:val="21"/>
                <w:lang w:bidi="ar"/>
              </w:rPr>
            </w:pPr>
          </w:p>
        </w:tc>
        <w:tc>
          <w:tcPr>
            <w:tcW w:w="1887" w:type="dxa"/>
            <w:vMerge w:val="continue"/>
            <w:vAlign w:val="center"/>
          </w:tcPr>
          <w:p>
            <w:pPr>
              <w:widowControl/>
              <w:spacing w:line="240" w:lineRule="auto"/>
              <w:ind w:firstLine="0" w:firstLineChars="0"/>
              <w:jc w:val="center"/>
              <w:textAlignment w:val="center"/>
              <w:rPr>
                <w:rFonts w:cs="Times New Roman"/>
                <w:kern w:val="0"/>
                <w:sz w:val="21"/>
                <w:szCs w:val="21"/>
                <w:lang w:bidi="ar"/>
              </w:rPr>
            </w:pPr>
          </w:p>
        </w:tc>
        <w:tc>
          <w:tcPr>
            <w:tcW w:w="1113" w:type="dxa"/>
            <w:vAlign w:val="center"/>
          </w:tcPr>
          <w:p>
            <w:pPr>
              <w:widowControl/>
              <w:spacing w:line="240" w:lineRule="auto"/>
              <w:ind w:firstLine="0" w:firstLineChars="0"/>
              <w:jc w:val="center"/>
              <w:textAlignment w:val="center"/>
              <w:rPr>
                <w:kern w:val="0"/>
                <w:sz w:val="21"/>
                <w:szCs w:val="21"/>
                <w:lang w:bidi="ar"/>
              </w:rPr>
            </w:pPr>
            <w:r>
              <w:rPr>
                <w:rFonts w:cs="Times New Roman"/>
                <w:sz w:val="21"/>
                <w:szCs w:val="21"/>
              </w:rPr>
              <w:t>1.5 μg/L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1145" w:type="dxa"/>
            <w:vAlign w:val="center"/>
          </w:tcPr>
          <w:p>
            <w:pPr>
              <w:spacing w:line="240" w:lineRule="auto"/>
              <w:ind w:firstLine="0" w:firstLineChars="0"/>
              <w:jc w:val="center"/>
              <w:rPr>
                <w:sz w:val="21"/>
                <w:szCs w:val="21"/>
              </w:rPr>
            </w:pPr>
            <w:r>
              <w:rPr>
                <w:rFonts w:cs="Times New Roman"/>
                <w:sz w:val="21"/>
                <w:szCs w:val="21"/>
              </w:rPr>
              <w:t>苯</w:t>
            </w:r>
          </w:p>
        </w:tc>
        <w:tc>
          <w:tcPr>
            <w:tcW w:w="2850" w:type="dxa"/>
            <w:vMerge w:val="continue"/>
            <w:vAlign w:val="center"/>
          </w:tcPr>
          <w:p>
            <w:pPr>
              <w:widowControl/>
              <w:spacing w:line="240" w:lineRule="auto"/>
              <w:ind w:firstLine="0" w:firstLineChars="0"/>
              <w:jc w:val="center"/>
              <w:textAlignment w:val="center"/>
              <w:rPr>
                <w:kern w:val="0"/>
                <w:sz w:val="21"/>
                <w:szCs w:val="21"/>
                <w:lang w:bidi="ar"/>
              </w:rPr>
            </w:pPr>
          </w:p>
        </w:tc>
        <w:tc>
          <w:tcPr>
            <w:tcW w:w="1320" w:type="dxa"/>
            <w:vMerge w:val="continue"/>
            <w:vAlign w:val="center"/>
          </w:tcPr>
          <w:p>
            <w:pPr>
              <w:widowControl/>
              <w:spacing w:line="240" w:lineRule="auto"/>
              <w:ind w:firstLine="0" w:firstLineChars="0"/>
              <w:jc w:val="center"/>
              <w:textAlignment w:val="center"/>
              <w:rPr>
                <w:rFonts w:cs="Times New Roman"/>
                <w:kern w:val="0"/>
                <w:sz w:val="21"/>
                <w:szCs w:val="21"/>
                <w:lang w:bidi="ar"/>
              </w:rPr>
            </w:pPr>
          </w:p>
        </w:tc>
        <w:tc>
          <w:tcPr>
            <w:tcW w:w="1887" w:type="dxa"/>
            <w:vMerge w:val="continue"/>
            <w:vAlign w:val="center"/>
          </w:tcPr>
          <w:p>
            <w:pPr>
              <w:widowControl/>
              <w:spacing w:line="240" w:lineRule="auto"/>
              <w:ind w:firstLine="0" w:firstLineChars="0"/>
              <w:jc w:val="center"/>
              <w:textAlignment w:val="center"/>
              <w:rPr>
                <w:rFonts w:cs="Times New Roman"/>
                <w:kern w:val="0"/>
                <w:sz w:val="21"/>
                <w:szCs w:val="21"/>
                <w:lang w:bidi="ar"/>
              </w:rPr>
            </w:pPr>
          </w:p>
        </w:tc>
        <w:tc>
          <w:tcPr>
            <w:tcW w:w="1113" w:type="dxa"/>
            <w:vAlign w:val="center"/>
          </w:tcPr>
          <w:p>
            <w:pPr>
              <w:widowControl/>
              <w:spacing w:line="240" w:lineRule="auto"/>
              <w:ind w:firstLine="0" w:firstLineChars="0"/>
              <w:jc w:val="center"/>
              <w:textAlignment w:val="center"/>
              <w:rPr>
                <w:kern w:val="0"/>
                <w:sz w:val="21"/>
                <w:szCs w:val="21"/>
                <w:lang w:bidi="ar"/>
              </w:rPr>
            </w:pPr>
            <w:r>
              <w:rPr>
                <w:rFonts w:cs="Times New Roman"/>
                <w:sz w:val="21"/>
                <w:szCs w:val="21"/>
              </w:rPr>
              <w:t>1.4 μg/L</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1145" w:type="dxa"/>
            <w:vAlign w:val="center"/>
          </w:tcPr>
          <w:p>
            <w:pPr>
              <w:spacing w:line="240" w:lineRule="auto"/>
              <w:ind w:firstLine="0" w:firstLineChars="0"/>
              <w:jc w:val="center"/>
              <w:rPr>
                <w:sz w:val="21"/>
                <w:szCs w:val="21"/>
              </w:rPr>
            </w:pPr>
            <w:r>
              <w:rPr>
                <w:rFonts w:cs="Times New Roman"/>
                <w:sz w:val="21"/>
                <w:szCs w:val="21"/>
              </w:rPr>
              <w:t>甲苯</w:t>
            </w:r>
          </w:p>
        </w:tc>
        <w:tc>
          <w:tcPr>
            <w:tcW w:w="2850" w:type="dxa"/>
            <w:vMerge w:val="continue"/>
            <w:vAlign w:val="center"/>
          </w:tcPr>
          <w:p>
            <w:pPr>
              <w:widowControl/>
              <w:spacing w:line="240" w:lineRule="auto"/>
              <w:ind w:firstLine="0" w:firstLineChars="0"/>
              <w:jc w:val="center"/>
              <w:textAlignment w:val="center"/>
              <w:rPr>
                <w:kern w:val="0"/>
                <w:sz w:val="21"/>
                <w:szCs w:val="21"/>
                <w:lang w:bidi="ar"/>
              </w:rPr>
            </w:pPr>
          </w:p>
        </w:tc>
        <w:tc>
          <w:tcPr>
            <w:tcW w:w="1320" w:type="dxa"/>
            <w:vMerge w:val="continue"/>
            <w:vAlign w:val="center"/>
          </w:tcPr>
          <w:p>
            <w:pPr>
              <w:widowControl/>
              <w:spacing w:line="240" w:lineRule="auto"/>
              <w:ind w:firstLine="0" w:firstLineChars="0"/>
              <w:jc w:val="center"/>
              <w:textAlignment w:val="center"/>
              <w:rPr>
                <w:rFonts w:cs="Times New Roman"/>
                <w:kern w:val="0"/>
                <w:sz w:val="21"/>
                <w:szCs w:val="21"/>
                <w:lang w:bidi="ar"/>
              </w:rPr>
            </w:pPr>
          </w:p>
        </w:tc>
        <w:tc>
          <w:tcPr>
            <w:tcW w:w="1887" w:type="dxa"/>
            <w:vMerge w:val="continue"/>
            <w:vAlign w:val="center"/>
          </w:tcPr>
          <w:p>
            <w:pPr>
              <w:widowControl/>
              <w:spacing w:line="240" w:lineRule="auto"/>
              <w:ind w:firstLine="0" w:firstLineChars="0"/>
              <w:jc w:val="center"/>
              <w:textAlignment w:val="center"/>
              <w:rPr>
                <w:rFonts w:cs="Times New Roman"/>
                <w:kern w:val="0"/>
                <w:sz w:val="21"/>
                <w:szCs w:val="21"/>
                <w:lang w:bidi="ar"/>
              </w:rPr>
            </w:pPr>
          </w:p>
        </w:tc>
        <w:tc>
          <w:tcPr>
            <w:tcW w:w="1113" w:type="dxa"/>
            <w:vAlign w:val="center"/>
          </w:tcPr>
          <w:p>
            <w:pPr>
              <w:widowControl/>
              <w:spacing w:line="240" w:lineRule="auto"/>
              <w:ind w:firstLine="0" w:firstLineChars="0"/>
              <w:jc w:val="center"/>
              <w:textAlignment w:val="center"/>
              <w:rPr>
                <w:kern w:val="0"/>
                <w:sz w:val="21"/>
                <w:szCs w:val="21"/>
                <w:lang w:bidi="ar"/>
              </w:rPr>
            </w:pPr>
            <w:r>
              <w:rPr>
                <w:rFonts w:cs="Times New Roman"/>
                <w:sz w:val="21"/>
                <w:szCs w:val="21"/>
              </w:rPr>
              <w:t>1.4 μg/L</w:t>
            </w:r>
          </w:p>
        </w:tc>
      </w:tr>
    </w:tbl>
    <w:p>
      <w:pPr>
        <w:pStyle w:val="6"/>
      </w:pPr>
      <w:bookmarkStart w:id="58" w:name="_Toc91763552"/>
      <w:r>
        <w:t>8</w:t>
      </w:r>
      <w:r>
        <w:rPr>
          <w:rFonts w:hint="eastAsia"/>
        </w:rPr>
        <w:t>.5地下水检测结果</w:t>
      </w:r>
      <w:bookmarkEnd w:id="58"/>
    </w:p>
    <w:p>
      <w:pPr>
        <w:overflowPunct w:val="0"/>
        <w:adjustRightInd w:val="0"/>
        <w:snapToGrid w:val="0"/>
        <w:spacing w:before="163" w:beforeLines="50"/>
        <w:ind w:firstLine="0" w:firstLineChars="0"/>
        <w:jc w:val="center"/>
        <w:rPr>
          <w:rFonts w:cs="Times New Roman"/>
          <w:b/>
          <w:szCs w:val="24"/>
        </w:rPr>
      </w:pPr>
      <w:r>
        <w:rPr>
          <w:rFonts w:cs="Times New Roman"/>
          <w:b/>
          <w:szCs w:val="24"/>
        </w:rPr>
        <w:t>表8</w:t>
      </w:r>
      <w:r>
        <w:rPr>
          <w:rFonts w:hint="eastAsia" w:cs="Times New Roman"/>
          <w:b/>
          <w:szCs w:val="24"/>
        </w:rPr>
        <w:t>-</w:t>
      </w:r>
      <w:r>
        <w:rPr>
          <w:rFonts w:cs="Times New Roman"/>
          <w:b/>
          <w:szCs w:val="24"/>
        </w:rPr>
        <w:t>5地下水检测结果</w:t>
      </w:r>
    </w:p>
    <w:tbl>
      <w:tblPr>
        <w:tblStyle w:val="24"/>
        <w:tblW w:w="0" w:type="auto"/>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7"/>
        <w:gridCol w:w="1715"/>
        <w:gridCol w:w="1560"/>
        <w:gridCol w:w="1757"/>
        <w:gridCol w:w="1004"/>
        <w:gridCol w:w="7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Merge w:val="restart"/>
            <w:vAlign w:val="center"/>
          </w:tcPr>
          <w:p>
            <w:pPr>
              <w:pStyle w:val="60"/>
              <w:rPr>
                <w:rFonts w:eastAsia="宋体"/>
                <w:b w:val="0"/>
                <w:bCs/>
                <w:szCs w:val="21"/>
              </w:rPr>
            </w:pPr>
            <w:r>
              <w:rPr>
                <w:rFonts w:eastAsia="宋体"/>
                <w:b w:val="0"/>
                <w:bCs/>
                <w:szCs w:val="21"/>
              </w:rPr>
              <w:t>检测项目</w:t>
            </w:r>
          </w:p>
        </w:tc>
        <w:tc>
          <w:tcPr>
            <w:tcW w:w="3275" w:type="dxa"/>
            <w:gridSpan w:val="2"/>
            <w:vAlign w:val="center"/>
          </w:tcPr>
          <w:p>
            <w:pPr>
              <w:pStyle w:val="60"/>
              <w:rPr>
                <w:rFonts w:eastAsia="宋体"/>
                <w:b w:val="0"/>
                <w:bCs/>
                <w:szCs w:val="21"/>
              </w:rPr>
            </w:pPr>
            <w:r>
              <w:rPr>
                <w:rFonts w:eastAsia="宋体"/>
                <w:b w:val="0"/>
                <w:bCs/>
                <w:szCs w:val="21"/>
              </w:rPr>
              <w:t>检测点位、采样日期和结果</w:t>
            </w:r>
          </w:p>
        </w:tc>
        <w:tc>
          <w:tcPr>
            <w:tcW w:w="3496" w:type="dxa"/>
            <w:gridSpan w:val="3"/>
            <w:vAlign w:val="center"/>
          </w:tcPr>
          <w:p>
            <w:pPr>
              <w:pStyle w:val="60"/>
              <w:rPr>
                <w:rFonts w:eastAsia="宋体"/>
                <w:b w:val="0"/>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Merge w:val="continue"/>
            <w:vAlign w:val="center"/>
          </w:tcPr>
          <w:p>
            <w:pPr>
              <w:pStyle w:val="60"/>
              <w:rPr>
                <w:rFonts w:eastAsia="宋体"/>
                <w:b w:val="0"/>
                <w:bCs/>
                <w:szCs w:val="21"/>
              </w:rPr>
            </w:pPr>
          </w:p>
        </w:tc>
        <w:tc>
          <w:tcPr>
            <w:tcW w:w="3275" w:type="dxa"/>
            <w:gridSpan w:val="2"/>
            <w:vAlign w:val="center"/>
          </w:tcPr>
          <w:p>
            <w:pPr>
              <w:spacing w:line="240" w:lineRule="auto"/>
              <w:ind w:firstLine="0" w:firstLineChars="0"/>
              <w:jc w:val="center"/>
              <w:rPr>
                <w:rFonts w:eastAsia="宋体" w:cs="Times New Roman"/>
                <w:sz w:val="21"/>
                <w:szCs w:val="21"/>
              </w:rPr>
            </w:pPr>
            <w:r>
              <w:rPr>
                <w:rFonts w:eastAsia="宋体" w:cs="Times New Roman"/>
                <w:sz w:val="21"/>
                <w:szCs w:val="21"/>
              </w:rPr>
              <w:t>2021.12.09</w:t>
            </w:r>
          </w:p>
        </w:tc>
        <w:tc>
          <w:tcPr>
            <w:tcW w:w="1757" w:type="dxa"/>
            <w:vMerge w:val="restart"/>
            <w:vAlign w:val="center"/>
          </w:tcPr>
          <w:p>
            <w:pPr>
              <w:pStyle w:val="60"/>
              <w:rPr>
                <w:rFonts w:eastAsia="宋体"/>
                <w:b w:val="0"/>
                <w:bCs/>
                <w:szCs w:val="21"/>
              </w:rPr>
            </w:pPr>
            <w:r>
              <w:rPr>
                <w:rFonts w:eastAsia="宋体"/>
                <w:b w:val="0"/>
                <w:bCs/>
                <w:szCs w:val="21"/>
              </w:rPr>
              <w:t>单位</w:t>
            </w:r>
          </w:p>
        </w:tc>
        <w:tc>
          <w:tcPr>
            <w:tcW w:w="1004" w:type="dxa"/>
            <w:vMerge w:val="restart"/>
            <w:vAlign w:val="center"/>
          </w:tcPr>
          <w:p>
            <w:pPr>
              <w:pStyle w:val="60"/>
              <w:rPr>
                <w:rFonts w:eastAsia="宋体"/>
                <w:b w:val="0"/>
                <w:bCs/>
                <w:szCs w:val="21"/>
              </w:rPr>
            </w:pPr>
            <w:r>
              <w:rPr>
                <w:rFonts w:eastAsia="宋体"/>
                <w:b w:val="0"/>
                <w:bCs/>
                <w:szCs w:val="21"/>
              </w:rPr>
              <w:t>标准</w:t>
            </w:r>
          </w:p>
          <w:p>
            <w:pPr>
              <w:pStyle w:val="60"/>
              <w:rPr>
                <w:rFonts w:eastAsia="宋体"/>
                <w:b w:val="0"/>
                <w:bCs/>
                <w:szCs w:val="21"/>
              </w:rPr>
            </w:pPr>
            <w:r>
              <w:rPr>
                <w:rFonts w:eastAsia="宋体"/>
                <w:b w:val="0"/>
                <w:bCs/>
                <w:szCs w:val="21"/>
              </w:rPr>
              <w:t>限值</w:t>
            </w:r>
          </w:p>
        </w:tc>
        <w:tc>
          <w:tcPr>
            <w:tcW w:w="735" w:type="dxa"/>
            <w:vMerge w:val="restart"/>
            <w:vAlign w:val="center"/>
          </w:tcPr>
          <w:p>
            <w:pPr>
              <w:pStyle w:val="60"/>
              <w:rPr>
                <w:rFonts w:eastAsia="宋体"/>
                <w:b w:val="0"/>
                <w:bCs/>
                <w:szCs w:val="21"/>
              </w:rPr>
            </w:pPr>
            <w:r>
              <w:rPr>
                <w:rFonts w:eastAsia="宋体"/>
                <w:b w:val="0"/>
                <w:bCs/>
                <w:szCs w:val="21"/>
              </w:rPr>
              <w:t>评价</w:t>
            </w:r>
          </w:p>
          <w:p>
            <w:pPr>
              <w:pStyle w:val="60"/>
              <w:rPr>
                <w:rFonts w:eastAsia="宋体"/>
                <w:b w:val="0"/>
                <w:bCs/>
                <w:szCs w:val="21"/>
              </w:rPr>
            </w:pPr>
            <w:r>
              <w:rPr>
                <w:rFonts w:eastAsia="宋体"/>
                <w:b w:val="0"/>
                <w:bCs/>
                <w:szCs w:val="21"/>
              </w:rPr>
              <w:t>结果</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Merge w:val="continue"/>
            <w:vAlign w:val="center"/>
          </w:tcPr>
          <w:p>
            <w:pPr>
              <w:pStyle w:val="60"/>
              <w:rPr>
                <w:rFonts w:eastAsia="宋体"/>
                <w:b w:val="0"/>
                <w:bCs/>
                <w:szCs w:val="21"/>
              </w:rPr>
            </w:pPr>
          </w:p>
        </w:tc>
        <w:tc>
          <w:tcPr>
            <w:tcW w:w="1715" w:type="dxa"/>
            <w:vAlign w:val="center"/>
          </w:tcPr>
          <w:p>
            <w:pPr>
              <w:spacing w:line="240" w:lineRule="auto"/>
              <w:ind w:firstLine="0" w:firstLineChars="0"/>
              <w:jc w:val="center"/>
              <w:rPr>
                <w:rFonts w:eastAsia="宋体" w:cs="Times New Roman"/>
                <w:bCs/>
                <w:sz w:val="21"/>
                <w:szCs w:val="21"/>
              </w:rPr>
            </w:pPr>
            <w:r>
              <w:rPr>
                <w:rFonts w:hint="eastAsia" w:cs="Times New Roman"/>
                <w:sz w:val="21"/>
                <w:szCs w:val="21"/>
              </w:rPr>
              <w:t>W1地下水监测背景点</w:t>
            </w:r>
          </w:p>
        </w:tc>
        <w:tc>
          <w:tcPr>
            <w:tcW w:w="1560" w:type="dxa"/>
            <w:vAlign w:val="center"/>
          </w:tcPr>
          <w:p>
            <w:pPr>
              <w:spacing w:line="240" w:lineRule="auto"/>
              <w:ind w:firstLine="0" w:firstLineChars="0"/>
              <w:jc w:val="center"/>
              <w:rPr>
                <w:rFonts w:eastAsia="宋体" w:cs="Times New Roman"/>
                <w:bCs/>
                <w:sz w:val="21"/>
                <w:szCs w:val="21"/>
              </w:rPr>
            </w:pPr>
            <w:r>
              <w:rPr>
                <w:rFonts w:hint="eastAsia" w:cs="Times New Roman"/>
                <w:sz w:val="21"/>
                <w:szCs w:val="21"/>
              </w:rPr>
              <w:t>W2厂房东侧</w:t>
            </w:r>
          </w:p>
        </w:tc>
        <w:tc>
          <w:tcPr>
            <w:tcW w:w="1757" w:type="dxa"/>
            <w:vMerge w:val="continue"/>
            <w:vAlign w:val="center"/>
          </w:tcPr>
          <w:p>
            <w:pPr>
              <w:pStyle w:val="60"/>
              <w:rPr>
                <w:rFonts w:eastAsia="宋体"/>
                <w:b w:val="0"/>
                <w:bCs/>
                <w:szCs w:val="21"/>
              </w:rPr>
            </w:pPr>
          </w:p>
        </w:tc>
        <w:tc>
          <w:tcPr>
            <w:tcW w:w="1004" w:type="dxa"/>
            <w:vMerge w:val="continue"/>
            <w:vAlign w:val="center"/>
          </w:tcPr>
          <w:p>
            <w:pPr>
              <w:pStyle w:val="60"/>
              <w:rPr>
                <w:rFonts w:eastAsia="宋体"/>
                <w:b w:val="0"/>
                <w:bCs/>
                <w:szCs w:val="21"/>
              </w:rPr>
            </w:pPr>
          </w:p>
        </w:tc>
        <w:tc>
          <w:tcPr>
            <w:tcW w:w="735" w:type="dxa"/>
            <w:vMerge w:val="continue"/>
            <w:vAlign w:val="center"/>
          </w:tcPr>
          <w:p>
            <w:pPr>
              <w:pStyle w:val="60"/>
              <w:rPr>
                <w:rFonts w:eastAsia="宋体"/>
                <w:b w:val="0"/>
                <w:bCs/>
                <w:szCs w:val="21"/>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hint="eastAsia" w:cs="Times New Roman"/>
                <w:sz w:val="21"/>
                <w:szCs w:val="21"/>
              </w:rPr>
              <w:t>色（度）</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5</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5</w:t>
            </w:r>
          </w:p>
        </w:tc>
        <w:tc>
          <w:tcPr>
            <w:tcW w:w="1757" w:type="dxa"/>
            <w:vAlign w:val="center"/>
          </w:tcPr>
          <w:p>
            <w:pPr>
              <w:pStyle w:val="60"/>
              <w:rPr>
                <w:rFonts w:eastAsia="宋体"/>
                <w:b w:val="0"/>
                <w:bCs/>
                <w:szCs w:val="21"/>
              </w:rPr>
            </w:pPr>
            <w:r>
              <w:rPr>
                <w:rFonts w:hint="eastAsia" w:eastAsia="宋体"/>
                <w:b w:val="0"/>
                <w:bCs/>
                <w:szCs w:val="21"/>
              </w:rPr>
              <w:t>度</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15</w:t>
            </w:r>
          </w:p>
        </w:tc>
        <w:tc>
          <w:tcPr>
            <w:tcW w:w="735" w:type="dxa"/>
            <w:vAlign w:val="center"/>
          </w:tcPr>
          <w:p>
            <w:pPr>
              <w:pStyle w:val="60"/>
              <w:rPr>
                <w:rFonts w:eastAsia="宋体"/>
                <w:b w:val="0"/>
                <w:bCs/>
                <w:szCs w:val="21"/>
              </w:rPr>
            </w:pPr>
            <w:r>
              <w:rPr>
                <w:rFonts w:eastAsia="宋体"/>
                <w:b w:val="0"/>
                <w:bCs/>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hint="eastAsia" w:cs="Times New Roman"/>
                <w:sz w:val="21"/>
                <w:szCs w:val="21"/>
              </w:rPr>
              <w:t>嗅和味</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无</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无</w:t>
            </w:r>
          </w:p>
        </w:tc>
        <w:tc>
          <w:tcPr>
            <w:tcW w:w="1757" w:type="dxa"/>
            <w:vAlign w:val="center"/>
          </w:tcPr>
          <w:p>
            <w:pPr>
              <w:pStyle w:val="60"/>
              <w:rPr>
                <w:rFonts w:eastAsia="宋体"/>
                <w:b w:val="0"/>
                <w:bCs/>
                <w:szCs w:val="21"/>
              </w:rPr>
            </w:pPr>
            <w:r>
              <w:rPr>
                <w:rFonts w:eastAsia="宋体"/>
                <w:b w:val="0"/>
                <w:bCs/>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无</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hint="eastAsia" w:cs="Times New Roman"/>
                <w:sz w:val="21"/>
                <w:szCs w:val="21"/>
              </w:rPr>
              <w:t>浑浊度（NTU）</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highlight w:val="yellow"/>
              </w:rPr>
              <w:t>33.0</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highlight w:val="yellow"/>
              </w:rPr>
              <w:t>7.40</w:t>
            </w:r>
          </w:p>
        </w:tc>
        <w:tc>
          <w:tcPr>
            <w:tcW w:w="1757" w:type="dxa"/>
            <w:vAlign w:val="center"/>
          </w:tcPr>
          <w:p>
            <w:pPr>
              <w:spacing w:line="240" w:lineRule="auto"/>
              <w:ind w:firstLine="0" w:firstLineChars="0"/>
              <w:jc w:val="center"/>
              <w:rPr>
                <w:rFonts w:eastAsia="宋体" w:cs="Times New Roman"/>
                <w:bCs/>
                <w:sz w:val="21"/>
                <w:szCs w:val="21"/>
              </w:rPr>
            </w:pPr>
            <w:r>
              <w:rPr>
                <w:rFonts w:hint="eastAsia" w:eastAsia="宋体" w:cs="Times New Roman"/>
                <w:bCs/>
                <w:sz w:val="21"/>
                <w:szCs w:val="21"/>
              </w:rPr>
              <w:t>NTU</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3</w:t>
            </w:r>
          </w:p>
        </w:tc>
        <w:tc>
          <w:tcPr>
            <w:tcW w:w="735" w:type="dxa"/>
            <w:vAlign w:val="center"/>
          </w:tcPr>
          <w:p>
            <w:pPr>
              <w:spacing w:line="240" w:lineRule="auto"/>
              <w:ind w:firstLine="0" w:firstLineChars="0"/>
              <w:jc w:val="center"/>
              <w:rPr>
                <w:rFonts w:eastAsia="宋体" w:cs="Times New Roman"/>
                <w:bCs/>
                <w:sz w:val="21"/>
                <w:szCs w:val="21"/>
              </w:rPr>
            </w:pPr>
            <w:r>
              <w:rPr>
                <w:rFonts w:hint="eastAsia" w:eastAsia="宋体" w:cs="Times New Roman"/>
                <w:bCs/>
                <w:sz w:val="21"/>
                <w:szCs w:val="21"/>
              </w:rPr>
              <w:t>超标</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hint="eastAsia" w:cs="Times New Roman"/>
                <w:sz w:val="21"/>
                <w:szCs w:val="21"/>
              </w:rPr>
              <w:t>肉眼可见物</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无</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无</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无</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eastAsia="宋体" w:cs="Times New Roman"/>
                <w:sz w:val="21"/>
                <w:szCs w:val="21"/>
              </w:rPr>
            </w:pPr>
            <w:r>
              <w:rPr>
                <w:rFonts w:eastAsia="宋体" w:cs="Times New Roman"/>
                <w:snapToGrid w:val="0"/>
                <w:kern w:val="0"/>
                <w:sz w:val="21"/>
                <w:szCs w:val="21"/>
              </w:rPr>
              <w:t>pH</w:t>
            </w:r>
            <w:r>
              <w:rPr>
                <w:rFonts w:hint="eastAsia" w:eastAsia="宋体" w:cs="Times New Roman"/>
                <w:snapToGrid w:val="0"/>
                <w:kern w:val="0"/>
                <w:sz w:val="21"/>
                <w:szCs w:val="21"/>
              </w:rPr>
              <w:t>（无量纲）</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7.4</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7.2</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6.5~8.5</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cs="Times New Roman"/>
                <w:sz w:val="21"/>
                <w:szCs w:val="21"/>
              </w:rPr>
              <w:t>总硬度</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356</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203</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450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cs="Times New Roman"/>
                <w:sz w:val="21"/>
                <w:szCs w:val="21"/>
              </w:rPr>
              <w:t>溶解性总固体</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372</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275</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1000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hint="eastAsia" w:cs="Times New Roman"/>
                <w:sz w:val="21"/>
                <w:szCs w:val="21"/>
              </w:rPr>
              <w:t>硫酸盐</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6.16</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55.2</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250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hint="eastAsia" w:cs="Times New Roman"/>
                <w:sz w:val="21"/>
                <w:szCs w:val="21"/>
              </w:rPr>
              <w:t>氯化物</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5.38</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20.3</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250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hint="eastAsia" w:cs="Times New Roman"/>
                <w:sz w:val="21"/>
                <w:szCs w:val="21"/>
              </w:rPr>
              <w:t>铁</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0.3</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hint="eastAsia" w:cs="Times New Roman"/>
                <w:sz w:val="21"/>
                <w:szCs w:val="21"/>
              </w:rPr>
              <w:t>锰</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1.95</w:t>
            </w:r>
            <w:r>
              <w:rPr>
                <w:rFonts w:ascii="Arial" w:hAnsi="Arial" w:cs="Arial"/>
                <w:sz w:val="21"/>
                <w:szCs w:val="21"/>
              </w:rPr>
              <w:t>×</w:t>
            </w:r>
            <w:r>
              <w:rPr>
                <w:rFonts w:hint="eastAsia" w:cs="Times New Roman"/>
                <w:sz w:val="21"/>
                <w:szCs w:val="21"/>
              </w:rPr>
              <w:t>10</w:t>
            </w:r>
            <w:r>
              <w:rPr>
                <w:rFonts w:hint="eastAsia" w:cs="Times New Roman"/>
                <w:sz w:val="21"/>
                <w:szCs w:val="21"/>
                <w:vertAlign w:val="superscript"/>
              </w:rPr>
              <w:t>-2</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3.12</w:t>
            </w:r>
            <w:r>
              <w:rPr>
                <w:rFonts w:ascii="Arial" w:hAnsi="Arial" w:cs="Arial"/>
                <w:sz w:val="21"/>
                <w:szCs w:val="21"/>
              </w:rPr>
              <w:t>×</w:t>
            </w:r>
            <w:r>
              <w:rPr>
                <w:rFonts w:hint="eastAsia" w:cs="Times New Roman"/>
                <w:sz w:val="21"/>
                <w:szCs w:val="21"/>
              </w:rPr>
              <w:t>10</w:t>
            </w:r>
            <w:r>
              <w:rPr>
                <w:rFonts w:hint="eastAsia" w:cs="Times New Roman"/>
                <w:sz w:val="21"/>
                <w:szCs w:val="21"/>
                <w:vertAlign w:val="superscript"/>
              </w:rPr>
              <w:t>-3</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0.10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cs="Times New Roman"/>
                <w:sz w:val="21"/>
                <w:szCs w:val="21"/>
              </w:rPr>
              <w:t>铜</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9.6</w:t>
            </w:r>
            <w:r>
              <w:rPr>
                <w:rFonts w:ascii="Arial" w:hAnsi="Arial" w:cs="Arial"/>
                <w:sz w:val="21"/>
                <w:szCs w:val="21"/>
              </w:rPr>
              <w:t>×</w:t>
            </w:r>
            <w:r>
              <w:rPr>
                <w:rFonts w:hint="eastAsia" w:cs="Times New Roman"/>
                <w:sz w:val="21"/>
                <w:szCs w:val="21"/>
              </w:rPr>
              <w:t>10</w:t>
            </w:r>
            <w:r>
              <w:rPr>
                <w:rFonts w:hint="eastAsia" w:cs="Times New Roman"/>
                <w:sz w:val="21"/>
                <w:szCs w:val="21"/>
                <w:vertAlign w:val="superscript"/>
              </w:rPr>
              <w:t>-4</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9.9</w:t>
            </w:r>
            <w:r>
              <w:rPr>
                <w:rFonts w:ascii="Arial" w:hAnsi="Arial" w:cs="Arial"/>
                <w:sz w:val="21"/>
                <w:szCs w:val="21"/>
              </w:rPr>
              <w:t>×</w:t>
            </w:r>
            <w:r>
              <w:rPr>
                <w:rFonts w:hint="eastAsia" w:cs="Times New Roman"/>
                <w:sz w:val="21"/>
                <w:szCs w:val="21"/>
              </w:rPr>
              <w:t>10</w:t>
            </w:r>
            <w:r>
              <w:rPr>
                <w:rFonts w:hint="eastAsia" w:cs="Times New Roman"/>
                <w:sz w:val="21"/>
                <w:szCs w:val="21"/>
                <w:vertAlign w:val="superscript"/>
              </w:rPr>
              <w:t>-4</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1.00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cs="Times New Roman"/>
                <w:sz w:val="21"/>
                <w:szCs w:val="21"/>
              </w:rPr>
              <w:t>锌</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2.90</w:t>
            </w:r>
            <w:r>
              <w:rPr>
                <w:rFonts w:ascii="Arial" w:hAnsi="Arial" w:cs="Arial"/>
                <w:sz w:val="21"/>
                <w:szCs w:val="21"/>
              </w:rPr>
              <w:t>×</w:t>
            </w:r>
            <w:r>
              <w:rPr>
                <w:rFonts w:hint="eastAsia" w:cs="Times New Roman"/>
                <w:sz w:val="21"/>
                <w:szCs w:val="21"/>
              </w:rPr>
              <w:t>10</w:t>
            </w:r>
            <w:r>
              <w:rPr>
                <w:rFonts w:hint="eastAsia" w:cs="Times New Roman"/>
                <w:sz w:val="21"/>
                <w:szCs w:val="21"/>
                <w:vertAlign w:val="superscript"/>
              </w:rPr>
              <w:t>-2</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2.21</w:t>
            </w:r>
            <w:r>
              <w:rPr>
                <w:rFonts w:ascii="Arial" w:hAnsi="Arial" w:cs="Arial"/>
                <w:sz w:val="21"/>
                <w:szCs w:val="21"/>
              </w:rPr>
              <w:t>×</w:t>
            </w:r>
            <w:r>
              <w:rPr>
                <w:rFonts w:hint="eastAsia" w:cs="Times New Roman"/>
                <w:sz w:val="21"/>
                <w:szCs w:val="21"/>
              </w:rPr>
              <w:t>10</w:t>
            </w:r>
            <w:r>
              <w:rPr>
                <w:rFonts w:hint="eastAsia" w:cs="Times New Roman"/>
                <w:sz w:val="21"/>
                <w:szCs w:val="21"/>
                <w:vertAlign w:val="superscript"/>
              </w:rPr>
              <w:t>-2</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1.00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hint="eastAsia" w:cs="Times New Roman"/>
                <w:sz w:val="21"/>
                <w:szCs w:val="21"/>
              </w:rPr>
              <w:t>铝</w:t>
            </w:r>
          </w:p>
        </w:tc>
        <w:tc>
          <w:tcPr>
            <w:tcW w:w="1715" w:type="dxa"/>
            <w:vAlign w:val="center"/>
          </w:tcPr>
          <w:p>
            <w:pPr>
              <w:spacing w:line="240" w:lineRule="auto"/>
              <w:ind w:firstLine="0" w:firstLineChars="0"/>
              <w:jc w:val="center"/>
              <w:rPr>
                <w:rFonts w:cs="Times New Roman"/>
                <w:sz w:val="21"/>
                <w:szCs w:val="21"/>
                <w:vertAlign w:val="superscript"/>
              </w:rPr>
            </w:pPr>
            <w:r>
              <w:rPr>
                <w:rFonts w:hint="eastAsia" w:cs="Times New Roman"/>
                <w:sz w:val="21"/>
                <w:szCs w:val="21"/>
              </w:rPr>
              <w:t>1.28</w:t>
            </w:r>
            <w:r>
              <w:rPr>
                <w:rFonts w:ascii="Arial" w:hAnsi="Arial" w:cs="Arial"/>
                <w:sz w:val="21"/>
                <w:szCs w:val="21"/>
              </w:rPr>
              <w:t>×</w:t>
            </w:r>
            <w:r>
              <w:rPr>
                <w:rFonts w:hint="eastAsia" w:cs="Times New Roman"/>
                <w:sz w:val="21"/>
                <w:szCs w:val="21"/>
              </w:rPr>
              <w:t>10</w:t>
            </w:r>
            <w:r>
              <w:rPr>
                <w:rFonts w:hint="eastAsia" w:cs="Times New Roman"/>
                <w:sz w:val="21"/>
                <w:szCs w:val="21"/>
                <w:vertAlign w:val="superscript"/>
              </w:rPr>
              <w:t>-2</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1.28</w:t>
            </w:r>
            <w:r>
              <w:rPr>
                <w:rFonts w:ascii="Arial" w:hAnsi="Arial" w:cs="Arial"/>
                <w:sz w:val="21"/>
                <w:szCs w:val="21"/>
              </w:rPr>
              <w:t>×</w:t>
            </w:r>
            <w:r>
              <w:rPr>
                <w:rFonts w:hint="eastAsia" w:cs="Times New Roman"/>
                <w:sz w:val="21"/>
                <w:szCs w:val="21"/>
              </w:rPr>
              <w:t>10</w:t>
            </w:r>
            <w:r>
              <w:rPr>
                <w:rFonts w:hint="eastAsia" w:cs="Times New Roman"/>
                <w:sz w:val="21"/>
                <w:szCs w:val="21"/>
                <w:vertAlign w:val="superscript"/>
              </w:rPr>
              <w:t>-2</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0.20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eastAsia="宋体" w:cs="Times New Roman"/>
                <w:sz w:val="21"/>
                <w:szCs w:val="21"/>
              </w:rPr>
              <w:t>挥发</w:t>
            </w:r>
            <w:r>
              <w:rPr>
                <w:rFonts w:hint="eastAsia" w:eastAsia="宋体" w:cs="Times New Roman"/>
                <w:sz w:val="21"/>
                <w:szCs w:val="21"/>
              </w:rPr>
              <w:t>性</w:t>
            </w:r>
            <w:r>
              <w:rPr>
                <w:rFonts w:eastAsia="宋体" w:cs="Times New Roman"/>
                <w:sz w:val="21"/>
                <w:szCs w:val="21"/>
              </w:rPr>
              <w:t>酚</w:t>
            </w:r>
            <w:r>
              <w:rPr>
                <w:rFonts w:hint="eastAsia" w:eastAsia="宋体" w:cs="Times New Roman"/>
                <w:sz w:val="21"/>
                <w:szCs w:val="21"/>
              </w:rPr>
              <w:t>类</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0.0008</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0.002</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eastAsia="宋体" w:cs="Times New Roman"/>
                <w:sz w:val="21"/>
                <w:szCs w:val="21"/>
              </w:rPr>
            </w:pPr>
            <w:r>
              <w:rPr>
                <w:rFonts w:hint="eastAsia" w:ascii="宋体" w:hAnsi="宋体" w:eastAsia="宋体" w:cs="宋体"/>
                <w:kern w:val="0"/>
                <w:sz w:val="21"/>
                <w:szCs w:val="21"/>
                <w:lang w:bidi="ar"/>
              </w:rPr>
              <w:t>阴离子表面活性剂</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0.3</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widowControl/>
              <w:spacing w:line="240" w:lineRule="auto"/>
              <w:ind w:firstLine="0" w:firstLineChars="0"/>
              <w:jc w:val="center"/>
              <w:textAlignment w:val="center"/>
              <w:rPr>
                <w:rFonts w:cs="Times New Roman"/>
                <w:sz w:val="21"/>
                <w:szCs w:val="21"/>
              </w:rPr>
            </w:pPr>
            <w:r>
              <w:rPr>
                <w:rFonts w:cs="Times New Roman"/>
                <w:sz w:val="21"/>
                <w:szCs w:val="21"/>
              </w:rPr>
              <w:t>耗氧量</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2.92</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2.74</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3.0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cs="Times New Roman"/>
                <w:sz w:val="21"/>
                <w:szCs w:val="21"/>
              </w:rPr>
              <w:t>氨氮</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0.466</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0.136</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0.50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widowControl/>
              <w:spacing w:line="240" w:lineRule="auto"/>
              <w:ind w:firstLine="0" w:firstLineChars="0"/>
              <w:jc w:val="center"/>
              <w:textAlignment w:val="center"/>
              <w:rPr>
                <w:rFonts w:cs="Times New Roman"/>
                <w:sz w:val="21"/>
                <w:szCs w:val="21"/>
              </w:rPr>
            </w:pPr>
            <w:r>
              <w:rPr>
                <w:rFonts w:hint="eastAsia" w:ascii="宋体" w:hAnsi="宋体" w:eastAsia="宋体" w:cs="宋体"/>
                <w:kern w:val="0"/>
                <w:sz w:val="21"/>
                <w:szCs w:val="21"/>
                <w:lang w:bidi="ar"/>
              </w:rPr>
              <w:t>硫化物</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0.02</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hint="eastAsia" w:cs="Times New Roman"/>
                <w:sz w:val="21"/>
                <w:szCs w:val="21"/>
              </w:rPr>
              <w:t>钠</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23.0</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23.6</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200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cs="Times New Roman"/>
                <w:sz w:val="21"/>
                <w:szCs w:val="21"/>
              </w:rPr>
              <w:t>总大肠菌群</w:t>
            </w:r>
            <w:r>
              <w:rPr>
                <w:rFonts w:hint="eastAsia" w:cs="Times New Roman"/>
                <w:sz w:val="21"/>
                <w:szCs w:val="21"/>
              </w:rPr>
              <w:t>（MPN/100mL）</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&lt;2</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&lt;2</w:t>
            </w:r>
          </w:p>
        </w:tc>
        <w:tc>
          <w:tcPr>
            <w:tcW w:w="1757" w:type="dxa"/>
            <w:vAlign w:val="center"/>
          </w:tcPr>
          <w:p>
            <w:pPr>
              <w:spacing w:line="240" w:lineRule="auto"/>
              <w:ind w:firstLine="0" w:firstLineChars="0"/>
              <w:jc w:val="center"/>
              <w:rPr>
                <w:rFonts w:eastAsia="宋体" w:cs="Times New Roman"/>
                <w:bCs/>
                <w:sz w:val="21"/>
                <w:szCs w:val="21"/>
              </w:rPr>
            </w:pPr>
            <w:r>
              <w:rPr>
                <w:rFonts w:hint="eastAsia" w:cs="Times New Roman"/>
                <w:sz w:val="21"/>
                <w:szCs w:val="21"/>
              </w:rPr>
              <w:t>（MPN/100mL）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3.0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cs="Times New Roman"/>
                <w:sz w:val="21"/>
                <w:szCs w:val="21"/>
              </w:rPr>
              <w:t>菌落总数</w:t>
            </w:r>
            <w:r>
              <w:rPr>
                <w:rFonts w:hint="eastAsia" w:cs="Times New Roman"/>
                <w:sz w:val="21"/>
                <w:szCs w:val="21"/>
              </w:rPr>
              <w:t>（CFU/mL）</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79</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22</w:t>
            </w:r>
          </w:p>
        </w:tc>
        <w:tc>
          <w:tcPr>
            <w:tcW w:w="1757" w:type="dxa"/>
            <w:vAlign w:val="center"/>
          </w:tcPr>
          <w:p>
            <w:pPr>
              <w:spacing w:line="240" w:lineRule="auto"/>
              <w:ind w:firstLine="0" w:firstLineChars="0"/>
              <w:jc w:val="center"/>
              <w:rPr>
                <w:rFonts w:eastAsia="宋体" w:cs="Times New Roman"/>
                <w:bCs/>
                <w:sz w:val="21"/>
                <w:szCs w:val="21"/>
              </w:rPr>
            </w:pPr>
            <w:r>
              <w:rPr>
                <w:rFonts w:hint="eastAsia" w:cs="Times New Roman"/>
                <w:sz w:val="21"/>
                <w:szCs w:val="21"/>
              </w:rPr>
              <w:t>（CFU/mL）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100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cs="Times New Roman"/>
                <w:sz w:val="21"/>
                <w:szCs w:val="21"/>
              </w:rPr>
              <w:t>亚硝酸盐</w:t>
            </w:r>
            <w:r>
              <w:rPr>
                <w:rFonts w:hint="eastAsia" w:cs="Times New Roman"/>
                <w:sz w:val="21"/>
                <w:szCs w:val="21"/>
              </w:rPr>
              <w:t>（以N计）</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1.00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hint="eastAsia" w:cs="Times New Roman"/>
                <w:sz w:val="21"/>
                <w:szCs w:val="21"/>
              </w:rPr>
              <w:t>硝酸盐（硝酸盐（以N计））</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6.91（1.56）</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9.46（2.14）</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20.0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widowControl/>
              <w:spacing w:line="240" w:lineRule="auto"/>
              <w:ind w:firstLine="0" w:firstLineChars="0"/>
              <w:jc w:val="center"/>
              <w:textAlignment w:val="center"/>
              <w:rPr>
                <w:rFonts w:cs="Times New Roman"/>
                <w:sz w:val="21"/>
                <w:szCs w:val="21"/>
              </w:rPr>
            </w:pPr>
            <w:r>
              <w:rPr>
                <w:rFonts w:eastAsia="宋体" w:cs="Times New Roman"/>
                <w:kern w:val="0"/>
                <w:sz w:val="21"/>
                <w:szCs w:val="21"/>
                <w:lang w:bidi="ar"/>
              </w:rPr>
              <w:t>氰化物</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0.05</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hint="eastAsia" w:cs="Times New Roman"/>
                <w:sz w:val="21"/>
                <w:szCs w:val="21"/>
              </w:rPr>
              <w:t>氟化物</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0.026</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0.524</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1.0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widowControl/>
              <w:spacing w:line="240" w:lineRule="auto"/>
              <w:ind w:firstLine="0" w:firstLineChars="0"/>
              <w:jc w:val="center"/>
              <w:textAlignment w:val="center"/>
              <w:rPr>
                <w:rFonts w:ascii="宋体" w:hAnsi="宋体" w:eastAsia="宋体" w:cs="宋体"/>
                <w:kern w:val="0"/>
                <w:sz w:val="21"/>
                <w:szCs w:val="21"/>
                <w:lang w:bidi="ar"/>
              </w:rPr>
            </w:pPr>
            <w:r>
              <w:rPr>
                <w:rFonts w:cs="Times New Roman"/>
                <w:sz w:val="21"/>
                <w:szCs w:val="21"/>
              </w:rPr>
              <w:t>碘化物</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0.08</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cs="Times New Roman"/>
                <w:sz w:val="21"/>
                <w:szCs w:val="21"/>
              </w:rPr>
              <w:t>汞</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0.001</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cs="Times New Roman"/>
                <w:sz w:val="21"/>
                <w:szCs w:val="21"/>
              </w:rPr>
              <w:t>砷</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6.9</w:t>
            </w:r>
            <w:r>
              <w:rPr>
                <w:rFonts w:ascii="Arial" w:hAnsi="Arial" w:cs="Arial"/>
                <w:sz w:val="21"/>
                <w:szCs w:val="21"/>
              </w:rPr>
              <w:t>×</w:t>
            </w:r>
            <w:r>
              <w:rPr>
                <w:rFonts w:hint="eastAsia" w:cs="Times New Roman"/>
                <w:sz w:val="21"/>
                <w:szCs w:val="21"/>
              </w:rPr>
              <w:t>10</w:t>
            </w:r>
            <w:r>
              <w:rPr>
                <w:rFonts w:hint="eastAsia" w:cs="Times New Roman"/>
                <w:sz w:val="21"/>
                <w:szCs w:val="21"/>
                <w:vertAlign w:val="superscript"/>
              </w:rPr>
              <w:t>-4</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5.8</w:t>
            </w:r>
            <w:r>
              <w:rPr>
                <w:rFonts w:ascii="Arial" w:hAnsi="Arial" w:cs="Arial"/>
                <w:sz w:val="21"/>
                <w:szCs w:val="21"/>
              </w:rPr>
              <w:t>×</w:t>
            </w:r>
            <w:r>
              <w:rPr>
                <w:rFonts w:hint="eastAsia" w:cs="Times New Roman"/>
                <w:sz w:val="21"/>
                <w:szCs w:val="21"/>
              </w:rPr>
              <w:t>10</w:t>
            </w:r>
            <w:r>
              <w:rPr>
                <w:rFonts w:hint="eastAsia" w:cs="Times New Roman"/>
                <w:sz w:val="21"/>
                <w:szCs w:val="21"/>
                <w:vertAlign w:val="superscript"/>
              </w:rPr>
              <w:t>-4</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0.01</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hint="eastAsia" w:cs="Times New Roman"/>
                <w:sz w:val="21"/>
                <w:szCs w:val="21"/>
              </w:rPr>
              <w:t>硒</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2.00</w:t>
            </w:r>
            <w:r>
              <w:rPr>
                <w:rFonts w:ascii="Arial" w:hAnsi="Arial" w:cs="Arial"/>
                <w:sz w:val="21"/>
                <w:szCs w:val="21"/>
              </w:rPr>
              <w:t>×</w:t>
            </w:r>
            <w:r>
              <w:rPr>
                <w:rFonts w:hint="eastAsia" w:cs="Times New Roman"/>
                <w:sz w:val="21"/>
                <w:szCs w:val="21"/>
              </w:rPr>
              <w:t>10</w:t>
            </w:r>
            <w:r>
              <w:rPr>
                <w:rFonts w:hint="eastAsia" w:cs="Times New Roman"/>
                <w:sz w:val="21"/>
                <w:szCs w:val="21"/>
                <w:vertAlign w:val="superscript"/>
              </w:rPr>
              <w:t>-3</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2.00</w:t>
            </w:r>
            <w:r>
              <w:rPr>
                <w:rFonts w:ascii="Arial" w:hAnsi="Arial" w:cs="Arial"/>
                <w:sz w:val="21"/>
                <w:szCs w:val="21"/>
              </w:rPr>
              <w:t>×</w:t>
            </w:r>
            <w:r>
              <w:rPr>
                <w:rFonts w:hint="eastAsia" w:cs="Times New Roman"/>
                <w:sz w:val="21"/>
                <w:szCs w:val="21"/>
              </w:rPr>
              <w:t>10</w:t>
            </w:r>
            <w:r>
              <w:rPr>
                <w:rFonts w:hint="eastAsia" w:cs="Times New Roman"/>
                <w:sz w:val="21"/>
                <w:szCs w:val="21"/>
                <w:vertAlign w:val="superscript"/>
              </w:rPr>
              <w:t>-3</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0.01</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cs="Times New Roman"/>
                <w:sz w:val="21"/>
                <w:szCs w:val="21"/>
              </w:rPr>
              <w:t>镉</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1.69</w:t>
            </w:r>
            <w:r>
              <w:rPr>
                <w:rFonts w:ascii="Arial" w:hAnsi="Arial" w:cs="Arial"/>
                <w:sz w:val="21"/>
                <w:szCs w:val="21"/>
              </w:rPr>
              <w:t>×</w:t>
            </w:r>
            <w:r>
              <w:rPr>
                <w:rFonts w:hint="eastAsia" w:cs="Times New Roman"/>
                <w:sz w:val="21"/>
                <w:szCs w:val="21"/>
              </w:rPr>
              <w:t>10</w:t>
            </w:r>
            <w:r>
              <w:rPr>
                <w:rFonts w:hint="eastAsia" w:cs="Times New Roman"/>
                <w:sz w:val="21"/>
                <w:szCs w:val="21"/>
                <w:vertAlign w:val="superscript"/>
              </w:rPr>
              <w:t>-3</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1.88</w:t>
            </w:r>
            <w:r>
              <w:rPr>
                <w:rFonts w:ascii="Arial" w:hAnsi="Arial" w:cs="Arial"/>
                <w:sz w:val="21"/>
                <w:szCs w:val="21"/>
              </w:rPr>
              <w:t>×</w:t>
            </w:r>
            <w:r>
              <w:rPr>
                <w:rFonts w:hint="eastAsia" w:cs="Times New Roman"/>
                <w:sz w:val="21"/>
                <w:szCs w:val="21"/>
              </w:rPr>
              <w:t>10</w:t>
            </w:r>
            <w:r>
              <w:rPr>
                <w:rFonts w:hint="eastAsia" w:cs="Times New Roman"/>
                <w:sz w:val="21"/>
                <w:szCs w:val="21"/>
                <w:vertAlign w:val="superscript"/>
              </w:rPr>
              <w:t>-3</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0.005</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widowControl/>
              <w:spacing w:line="240" w:lineRule="auto"/>
              <w:ind w:firstLine="0" w:firstLineChars="0"/>
              <w:jc w:val="center"/>
              <w:textAlignment w:val="center"/>
              <w:rPr>
                <w:rFonts w:eastAsia="宋体" w:cs="Times New Roman"/>
                <w:kern w:val="0"/>
                <w:sz w:val="21"/>
                <w:szCs w:val="21"/>
                <w:lang w:bidi="ar"/>
              </w:rPr>
            </w:pPr>
            <w:r>
              <w:rPr>
                <w:rFonts w:cs="Times New Roman"/>
                <w:sz w:val="21"/>
                <w:szCs w:val="21"/>
              </w:rPr>
              <w:t>六价铬</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0.05</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cs="Times New Roman"/>
                <w:sz w:val="21"/>
                <w:szCs w:val="21"/>
              </w:rPr>
              <w:t>铅</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1.0</w:t>
            </w:r>
            <w:r>
              <w:rPr>
                <w:rFonts w:ascii="Arial" w:hAnsi="Arial" w:cs="Arial"/>
                <w:sz w:val="21"/>
                <w:szCs w:val="21"/>
              </w:rPr>
              <w:t>×</w:t>
            </w:r>
            <w:r>
              <w:rPr>
                <w:rFonts w:hint="eastAsia" w:cs="Times New Roman"/>
                <w:sz w:val="21"/>
                <w:szCs w:val="21"/>
              </w:rPr>
              <w:t>10</w:t>
            </w:r>
            <w:r>
              <w:rPr>
                <w:rFonts w:hint="eastAsia" w:cs="Times New Roman"/>
                <w:sz w:val="21"/>
                <w:szCs w:val="21"/>
                <w:vertAlign w:val="superscript"/>
              </w:rPr>
              <w:t>-4</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1.0</w:t>
            </w:r>
            <w:r>
              <w:rPr>
                <w:rFonts w:ascii="Arial" w:hAnsi="Arial" w:cs="Arial"/>
                <w:sz w:val="21"/>
                <w:szCs w:val="21"/>
              </w:rPr>
              <w:t>×</w:t>
            </w:r>
            <w:r>
              <w:rPr>
                <w:rFonts w:hint="eastAsia" w:cs="Times New Roman"/>
                <w:sz w:val="21"/>
                <w:szCs w:val="21"/>
              </w:rPr>
              <w:t>10</w:t>
            </w:r>
            <w:r>
              <w:rPr>
                <w:rFonts w:hint="eastAsia" w:cs="Times New Roman"/>
                <w:sz w:val="21"/>
                <w:szCs w:val="21"/>
                <w:vertAlign w:val="superscript"/>
              </w:rPr>
              <w:t>-4</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mg/L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0.01</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cs="Times New Roman"/>
                <w:sz w:val="21"/>
                <w:szCs w:val="21"/>
              </w:rPr>
              <w:t>三氧甲烷</w:t>
            </w:r>
            <w:r>
              <w:rPr>
                <w:rFonts w:hint="eastAsia" w:cs="Times New Roman"/>
                <w:sz w:val="21"/>
                <w:szCs w:val="21"/>
              </w:rPr>
              <w:t>（</w:t>
            </w:r>
            <w:r>
              <w:rPr>
                <w:rFonts w:eastAsia="宋体" w:cs="Times New Roman"/>
                <w:kern w:val="0"/>
                <w:sz w:val="21"/>
                <w:szCs w:val="21"/>
                <w:lang w:bidi="ar"/>
              </w:rPr>
              <w:t>μg/L</w:t>
            </w:r>
            <w:r>
              <w:rPr>
                <w:rFonts w:hint="eastAsia" w:cs="Times New Roman"/>
                <w:sz w:val="21"/>
                <w:szCs w:val="21"/>
              </w:rPr>
              <w:t>）</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kern w:val="0"/>
                <w:sz w:val="21"/>
                <w:szCs w:val="21"/>
                <w:lang w:bidi="ar"/>
              </w:rPr>
              <w:t>μg/L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60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cs="Times New Roman"/>
                <w:sz w:val="21"/>
                <w:szCs w:val="21"/>
              </w:rPr>
              <w:t>四氯化碳</w:t>
            </w:r>
            <w:r>
              <w:rPr>
                <w:rFonts w:hint="eastAsia" w:cs="Times New Roman"/>
                <w:sz w:val="21"/>
                <w:szCs w:val="21"/>
              </w:rPr>
              <w:t>（</w:t>
            </w:r>
            <w:r>
              <w:rPr>
                <w:rFonts w:eastAsia="宋体" w:cs="Times New Roman"/>
                <w:kern w:val="0"/>
                <w:sz w:val="21"/>
                <w:szCs w:val="21"/>
                <w:lang w:bidi="ar"/>
              </w:rPr>
              <w:t>μg/L</w:t>
            </w:r>
            <w:r>
              <w:rPr>
                <w:rFonts w:hint="eastAsia" w:cs="Times New Roman"/>
                <w:sz w:val="21"/>
                <w:szCs w:val="21"/>
              </w:rPr>
              <w:t>）</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kern w:val="0"/>
                <w:sz w:val="21"/>
                <w:szCs w:val="21"/>
                <w:lang w:bidi="ar"/>
              </w:rPr>
              <w:t>μg/L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2.0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cs="Times New Roman"/>
                <w:sz w:val="21"/>
                <w:szCs w:val="21"/>
              </w:rPr>
              <w:t>苯</w:t>
            </w:r>
            <w:r>
              <w:rPr>
                <w:rFonts w:hint="eastAsia" w:cs="Times New Roman"/>
                <w:sz w:val="21"/>
                <w:szCs w:val="21"/>
              </w:rPr>
              <w:t>（</w:t>
            </w:r>
            <w:r>
              <w:rPr>
                <w:rFonts w:eastAsia="宋体" w:cs="Times New Roman"/>
                <w:kern w:val="0"/>
                <w:sz w:val="21"/>
                <w:szCs w:val="21"/>
                <w:lang w:bidi="ar"/>
              </w:rPr>
              <w:t>μg/L</w:t>
            </w:r>
            <w:r>
              <w:rPr>
                <w:rFonts w:hint="eastAsia" w:cs="Times New Roman"/>
                <w:sz w:val="21"/>
                <w:szCs w:val="21"/>
              </w:rPr>
              <w:t>）</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kern w:val="0"/>
                <w:sz w:val="21"/>
                <w:szCs w:val="21"/>
                <w:lang w:bidi="ar"/>
              </w:rPr>
              <w:t>μg/L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10.0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57" w:type="dxa"/>
            <w:vAlign w:val="center"/>
          </w:tcPr>
          <w:p>
            <w:pPr>
              <w:spacing w:line="240" w:lineRule="auto"/>
              <w:ind w:firstLine="0" w:firstLineChars="0"/>
              <w:jc w:val="center"/>
              <w:rPr>
                <w:rFonts w:cs="Times New Roman"/>
                <w:sz w:val="21"/>
                <w:szCs w:val="21"/>
              </w:rPr>
            </w:pPr>
            <w:r>
              <w:rPr>
                <w:rFonts w:cs="Times New Roman"/>
                <w:sz w:val="21"/>
                <w:szCs w:val="21"/>
              </w:rPr>
              <w:t>甲苯</w:t>
            </w:r>
            <w:r>
              <w:rPr>
                <w:rFonts w:hint="eastAsia" w:cs="Times New Roman"/>
                <w:sz w:val="21"/>
                <w:szCs w:val="21"/>
              </w:rPr>
              <w:t>（</w:t>
            </w:r>
            <w:r>
              <w:rPr>
                <w:rFonts w:eastAsia="宋体" w:cs="Times New Roman"/>
                <w:kern w:val="0"/>
                <w:sz w:val="21"/>
                <w:szCs w:val="21"/>
                <w:lang w:bidi="ar"/>
              </w:rPr>
              <w:t>μg/L</w:t>
            </w:r>
            <w:r>
              <w:rPr>
                <w:rFonts w:hint="eastAsia" w:cs="Times New Roman"/>
                <w:sz w:val="21"/>
                <w:szCs w:val="21"/>
              </w:rPr>
              <w:t>）</w:t>
            </w:r>
          </w:p>
        </w:tc>
        <w:tc>
          <w:tcPr>
            <w:tcW w:w="1715"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560" w:type="dxa"/>
            <w:vAlign w:val="center"/>
          </w:tcPr>
          <w:p>
            <w:pPr>
              <w:spacing w:line="240" w:lineRule="auto"/>
              <w:ind w:firstLine="0" w:firstLineChars="0"/>
              <w:jc w:val="center"/>
              <w:rPr>
                <w:rFonts w:cs="Times New Roman"/>
                <w:sz w:val="21"/>
                <w:szCs w:val="21"/>
              </w:rPr>
            </w:pPr>
            <w:r>
              <w:rPr>
                <w:rFonts w:hint="eastAsia" w:cs="Times New Roman"/>
                <w:sz w:val="21"/>
                <w:szCs w:val="21"/>
              </w:rPr>
              <w:t>未检出</w:t>
            </w:r>
          </w:p>
        </w:tc>
        <w:tc>
          <w:tcPr>
            <w:tcW w:w="1757" w:type="dxa"/>
            <w:vAlign w:val="center"/>
          </w:tcPr>
          <w:p>
            <w:pPr>
              <w:spacing w:line="240" w:lineRule="auto"/>
              <w:ind w:firstLine="0" w:firstLineChars="0"/>
              <w:jc w:val="center"/>
              <w:rPr>
                <w:rFonts w:eastAsia="宋体" w:cs="Times New Roman"/>
                <w:bCs/>
                <w:sz w:val="21"/>
                <w:szCs w:val="21"/>
              </w:rPr>
            </w:pPr>
            <w:r>
              <w:rPr>
                <w:rFonts w:eastAsia="宋体" w:cs="Times New Roman"/>
                <w:kern w:val="0"/>
                <w:sz w:val="21"/>
                <w:szCs w:val="21"/>
                <w:lang w:bidi="ar"/>
              </w:rPr>
              <w:t>μg/L</w:t>
            </w:r>
          </w:p>
        </w:tc>
        <w:tc>
          <w:tcPr>
            <w:tcW w:w="1004" w:type="dxa"/>
            <w:vAlign w:val="center"/>
          </w:tcPr>
          <w:p>
            <w:pPr>
              <w:spacing w:line="240" w:lineRule="auto"/>
              <w:ind w:firstLine="0" w:firstLineChars="0"/>
              <w:jc w:val="center"/>
              <w:rPr>
                <w:rFonts w:cs="Times New Roman"/>
                <w:sz w:val="21"/>
                <w:szCs w:val="21"/>
              </w:rPr>
            </w:pPr>
            <w:r>
              <w:rPr>
                <w:rFonts w:hint="eastAsia" w:cs="Times New Roman"/>
                <w:sz w:val="21"/>
                <w:szCs w:val="21"/>
              </w:rPr>
              <w:t>700</w:t>
            </w:r>
          </w:p>
        </w:tc>
        <w:tc>
          <w:tcPr>
            <w:tcW w:w="735" w:type="dxa"/>
            <w:vAlign w:val="center"/>
          </w:tcPr>
          <w:p>
            <w:pPr>
              <w:spacing w:line="240" w:lineRule="auto"/>
              <w:ind w:firstLine="0" w:firstLineChars="0"/>
              <w:jc w:val="center"/>
              <w:rPr>
                <w:rFonts w:eastAsia="宋体" w:cs="Times New Roman"/>
                <w:bCs/>
                <w:sz w:val="21"/>
                <w:szCs w:val="21"/>
              </w:rPr>
            </w:pPr>
            <w:r>
              <w:rPr>
                <w:rFonts w:eastAsia="宋体" w:cs="Times New Roman"/>
                <w:bCs/>
                <w:sz w:val="21"/>
                <w:szCs w:val="21"/>
              </w:rPr>
              <w:t>符合</w:t>
            </w:r>
          </w:p>
        </w:tc>
      </w:tr>
    </w:tbl>
    <w:p>
      <w:pPr>
        <w:ind w:firstLine="480"/>
        <w:rPr>
          <w:rFonts w:ascii="宋体" w:hAnsi="宋体" w:eastAsia="宋体"/>
        </w:rPr>
      </w:pPr>
      <w:r>
        <w:rPr>
          <w:rFonts w:ascii="宋体" w:hAnsi="宋体" w:eastAsia="宋体"/>
        </w:rPr>
        <w:t>本次检测</w:t>
      </w:r>
      <w:r>
        <w:rPr>
          <w:rFonts w:hint="eastAsia" w:ascii="宋体" w:hAnsi="宋体" w:eastAsia="宋体"/>
        </w:rPr>
        <w:t>各项</w:t>
      </w:r>
      <w:r>
        <w:rPr>
          <w:rFonts w:ascii="宋体" w:hAnsi="宋体" w:eastAsia="宋体"/>
        </w:rPr>
        <w:t>检测结果</w:t>
      </w:r>
      <w:r>
        <w:rPr>
          <w:rFonts w:hint="eastAsia" w:ascii="宋体" w:hAnsi="宋体" w:eastAsia="宋体"/>
        </w:rPr>
        <w:t>除浑浊度外，</w:t>
      </w:r>
      <w:r>
        <w:rPr>
          <w:rFonts w:ascii="宋体" w:hAnsi="宋体" w:eastAsia="宋体"/>
        </w:rPr>
        <w:t>均满足《地下水质量标准》 （</w:t>
      </w:r>
      <w:r>
        <w:rPr>
          <w:rFonts w:ascii="TimesNewRomanPSMT" w:hAnsi="TimesNewRomanPSMT"/>
        </w:rPr>
        <w:t>GB14848-2017</w:t>
      </w:r>
      <w:r>
        <w:rPr>
          <w:rFonts w:ascii="宋体" w:hAnsi="宋体" w:eastAsia="宋体"/>
        </w:rPr>
        <w:t>）中</w:t>
      </w:r>
      <w:r>
        <w:rPr>
          <w:rFonts w:hint="eastAsia" w:ascii="宋体" w:hAnsi="宋体" w:eastAsia="宋体"/>
        </w:rPr>
        <w:t>Ⅲ</w:t>
      </w:r>
      <w:r>
        <w:rPr>
          <w:rFonts w:ascii="宋体" w:hAnsi="宋体" w:eastAsia="宋体"/>
        </w:rPr>
        <w:t>类地下水限值要求。</w:t>
      </w:r>
      <w:r>
        <w:rPr>
          <w:rFonts w:hint="eastAsia" w:ascii="宋体" w:hAnsi="宋体" w:eastAsia="宋体"/>
        </w:rPr>
        <w:t>企业在后续运营过程中要加强环保意识，有效进行风险防范措施。浑浊度超标可能是由于取样刮碰井壁所致。</w:t>
      </w:r>
    </w:p>
    <w:p>
      <w:pPr>
        <w:ind w:firstLine="480"/>
        <w:rPr>
          <w:color w:val="FF0000"/>
        </w:rPr>
      </w:pPr>
    </w:p>
    <w:p>
      <w:pPr>
        <w:pStyle w:val="6"/>
      </w:pPr>
      <w:bookmarkStart w:id="59" w:name="_Toc91763553"/>
      <w:r>
        <w:t>8</w:t>
      </w:r>
      <w:r>
        <w:rPr>
          <w:rFonts w:hint="eastAsia"/>
        </w:rPr>
        <w:t>.6地下水</w:t>
      </w:r>
      <w:r>
        <w:t>质量控制</w:t>
      </w:r>
      <w:bookmarkEnd w:id="59"/>
    </w:p>
    <w:p>
      <w:pPr>
        <w:widowControl/>
        <w:ind w:firstLine="480"/>
        <w:jc w:val="left"/>
        <w:rPr>
          <w:rFonts w:eastAsia="宋体" w:cs="Times New Roman"/>
          <w:kern w:val="0"/>
          <w:szCs w:val="24"/>
          <w:lang w:bidi="ar"/>
        </w:rPr>
      </w:pPr>
      <w:r>
        <w:rPr>
          <w:rFonts w:cs="Times New Roman"/>
          <w:kern w:val="0"/>
          <w:szCs w:val="24"/>
          <w:lang w:bidi="ar"/>
        </w:rPr>
        <w:t>采样过程质控措施如下。</w:t>
      </w:r>
    </w:p>
    <w:p>
      <w:pPr>
        <w:widowControl/>
        <w:ind w:firstLine="480"/>
        <w:jc w:val="left"/>
        <w:rPr>
          <w:rFonts w:eastAsia="宋体" w:cs="Times New Roman"/>
        </w:rPr>
      </w:pPr>
      <w:r>
        <w:rPr>
          <w:rFonts w:eastAsia="宋体" w:cs="Times New Roman"/>
          <w:kern w:val="0"/>
          <w:szCs w:val="24"/>
          <w:lang w:bidi="ar"/>
        </w:rPr>
        <w:t>1.地下水采集前已对水井进行清洗。</w:t>
      </w:r>
    </w:p>
    <w:p>
      <w:pPr>
        <w:widowControl/>
        <w:ind w:firstLine="480"/>
        <w:jc w:val="left"/>
        <w:rPr>
          <w:rFonts w:eastAsia="宋体" w:cs="Times New Roman"/>
        </w:rPr>
      </w:pPr>
      <w:r>
        <w:rPr>
          <w:rFonts w:eastAsia="宋体" w:cs="Times New Roman"/>
          <w:kern w:val="0"/>
          <w:szCs w:val="24"/>
          <w:lang w:bidi="ar"/>
        </w:rPr>
        <w:t>2.</w:t>
      </w:r>
      <w:r>
        <w:rPr>
          <w:rFonts w:hint="eastAsia" w:eastAsia="宋体" w:cs="Times New Roman"/>
          <w:kern w:val="0"/>
          <w:szCs w:val="24"/>
          <w:lang w:bidi="ar"/>
        </w:rPr>
        <w:t>地下水</w:t>
      </w:r>
      <w:r>
        <w:rPr>
          <w:rFonts w:eastAsia="宋体" w:cs="Times New Roman"/>
          <w:kern w:val="0"/>
          <w:szCs w:val="24"/>
          <w:lang w:bidi="ar"/>
        </w:rPr>
        <w:t>采样前用待采集水样润洗2~3次。</w:t>
      </w:r>
    </w:p>
    <w:p>
      <w:pPr>
        <w:widowControl/>
        <w:ind w:firstLine="480"/>
        <w:jc w:val="left"/>
        <w:rPr>
          <w:rFonts w:eastAsia="宋体" w:cs="Times New Roman"/>
        </w:rPr>
      </w:pPr>
      <w:r>
        <w:rPr>
          <w:rFonts w:eastAsia="宋体" w:cs="Times New Roman"/>
          <w:kern w:val="0"/>
          <w:szCs w:val="24"/>
          <w:lang w:bidi="ar"/>
        </w:rPr>
        <w:t>3.使用贝勒管进行地下水样品采集，缓</w:t>
      </w:r>
      <w:r>
        <w:rPr>
          <w:rFonts w:hint="eastAsia" w:eastAsia="宋体" w:cs="Times New Roman"/>
          <w:kern w:val="0"/>
          <w:szCs w:val="24"/>
          <w:lang w:bidi="ar"/>
        </w:rPr>
        <w:t>慢</w:t>
      </w:r>
      <w:r>
        <w:rPr>
          <w:rFonts w:eastAsia="宋体" w:cs="Times New Roman"/>
          <w:kern w:val="0"/>
          <w:szCs w:val="24"/>
          <w:lang w:bidi="ar"/>
        </w:rPr>
        <w:t>沉降或提升贝勒管。取出后，通过调节贝勒管下端出水阀或低流量控制器，使水样沿瓶壁缓缓流入瓶中，直至在瓶口形成一向上弯月面，旋紧瓶盖，避免采样瓶中存在顶空和气泡。</w:t>
      </w:r>
    </w:p>
    <w:p>
      <w:pPr>
        <w:widowControl/>
        <w:ind w:firstLine="480"/>
        <w:jc w:val="left"/>
        <w:rPr>
          <w:rFonts w:eastAsia="宋体" w:cs="Times New Roman"/>
        </w:rPr>
      </w:pPr>
      <w:r>
        <w:rPr>
          <w:rFonts w:eastAsia="宋体" w:cs="Times New Roman"/>
          <w:kern w:val="0"/>
          <w:szCs w:val="24"/>
          <w:lang w:bidi="ar"/>
        </w:rPr>
        <w:t>4.样品封装好后，贴样品标签，包含样品编码、采样日期和分析项目等信息；地下水采集完成后，样品瓶用泡沫塑料袋包裹，并立即放入现场装有冷冻蓝冰的样品箱内保存。24小时内送实验室分析。</w:t>
      </w:r>
    </w:p>
    <w:p>
      <w:pPr>
        <w:pageBreakBefore/>
        <w:ind w:firstLine="480"/>
        <w:rPr>
          <w:color w:val="FF0000"/>
        </w:rPr>
      </w:pPr>
    </w:p>
    <w:p>
      <w:pPr>
        <w:pStyle w:val="5"/>
      </w:pPr>
      <w:bookmarkStart w:id="60" w:name="_Toc91763554"/>
      <w:r>
        <w:t>9</w:t>
      </w:r>
      <w:r>
        <w:rPr>
          <w:rFonts w:hint="eastAsia"/>
        </w:rPr>
        <w:t>.</w:t>
      </w:r>
      <w:r>
        <w:t xml:space="preserve"> 风险管控建议</w:t>
      </w:r>
      <w:bookmarkEnd w:id="60"/>
    </w:p>
    <w:p>
      <w:pPr>
        <w:ind w:firstLine="516" w:firstLineChars="215"/>
        <w:rPr>
          <w:rFonts w:hint="eastAsia" w:eastAsiaTheme="minorEastAsia"/>
          <w:lang w:eastAsia="zh-CN"/>
        </w:rPr>
      </w:pPr>
      <w:r>
        <w:rPr>
          <w:rFonts w:hint="eastAsia"/>
        </w:rPr>
        <w:t>1、废水处理区、医疗废物处理车间、危废暂存间等</w:t>
      </w:r>
      <w:r>
        <w:t>重点区域，排专人每两天目视检查一次；</w:t>
      </w:r>
    </w:p>
    <w:p>
      <w:pPr>
        <w:ind w:firstLine="516" w:firstLineChars="215"/>
        <w:rPr>
          <w:rFonts w:hint="eastAsia" w:eastAsiaTheme="minorEastAsia"/>
          <w:lang w:eastAsia="zh-CN"/>
        </w:rPr>
      </w:pPr>
      <w:r>
        <w:rPr>
          <w:rFonts w:hint="eastAsia"/>
        </w:rPr>
        <w:t xml:space="preserve">    2、</w:t>
      </w:r>
      <w:r>
        <w:t>各类设备定期检查、检修，对于易泄漏位置应放置接油盘等收集装置；</w:t>
      </w:r>
    </w:p>
    <w:p>
      <w:pPr>
        <w:ind w:firstLine="516" w:firstLineChars="215"/>
        <w:rPr>
          <w:rFonts w:hint="eastAsia" w:eastAsiaTheme="minorEastAsia"/>
          <w:lang w:eastAsia="zh-CN"/>
        </w:rPr>
      </w:pPr>
      <w:r>
        <w:rPr>
          <w:rFonts w:hint="eastAsia" w:ascii="TimesNewRomanPSMT" w:hAnsi="TimesNewRomanPSMT"/>
        </w:rPr>
        <w:t xml:space="preserve">    3、</w:t>
      </w:r>
      <w:r>
        <w:t>定期对员工进行培训，提高员工安全环保意识和操作水平，降低环境事故发生几率</w:t>
      </w:r>
      <w:r>
        <w:rPr>
          <w:rFonts w:hint="eastAsia"/>
        </w:rPr>
        <w:t>。</w:t>
      </w:r>
    </w:p>
    <w:p>
      <w:pPr>
        <w:ind w:firstLine="516" w:firstLineChars="215"/>
        <w:rPr>
          <w:rFonts w:hint="eastAsia" w:eastAsiaTheme="minorEastAsia"/>
          <w:lang w:eastAsia="zh-CN"/>
        </w:rPr>
      </w:pPr>
      <w:r>
        <w:rPr>
          <w:rFonts w:hint="eastAsia"/>
        </w:rPr>
        <w:t xml:space="preserve">    4、</w:t>
      </w:r>
      <w:r>
        <w:t>建立土壤污染隐患排查制度；</w:t>
      </w:r>
    </w:p>
    <w:p>
      <w:pPr>
        <w:ind w:firstLine="516" w:firstLineChars="215"/>
      </w:pPr>
      <w:r>
        <w:rPr>
          <w:rFonts w:hint="eastAsia"/>
        </w:rPr>
        <w:t xml:space="preserve">    5、</w:t>
      </w:r>
      <w:r>
        <w:t>进一步明确环境管理机构职责， 定期对厂区日常设备设施以及生产活动进行巡查、管、维护；</w:t>
      </w:r>
    </w:p>
    <w:p>
      <w:pPr>
        <w:ind w:firstLine="516" w:firstLineChars="215"/>
        <w:rPr>
          <w:color w:val="FF0000"/>
        </w:rPr>
      </w:pPr>
    </w:p>
    <w:sectPr>
      <w:pgSz w:w="11906" w:h="16838"/>
      <w:pgMar w:top="1440" w:right="1797" w:bottom="1440" w:left="1797" w:header="851" w:footer="992" w:gutter="0"/>
      <w:cols w:space="425" w:num="1"/>
      <w:titlePg/>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PingFang SC">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Noto Sans Mono CJK JP Regular">
    <w:altName w:val="Arial"/>
    <w:panose1 w:val="00000000000000000000"/>
    <w:charset w:val="00"/>
    <w:family w:val="swiss"/>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10" w:usb3="00000000" w:csb0="00040001" w:csb1="00000000"/>
  </w:font>
  <w:font w:name="Cambria">
    <w:panose1 w:val="02040503050406030204"/>
    <w:charset w:val="00"/>
    <w:family w:val="roman"/>
    <w:pitch w:val="default"/>
    <w:sig w:usb0="E00002FF" w:usb1="400004FF" w:usb2="00000000" w:usb3="00000000" w:csb0="2000019F" w:csb1="00000000"/>
  </w:font>
  <w:font w:name="隶书">
    <w:altName w:val="Arial Unicode MS"/>
    <w:panose1 w:val="02010509060101010101"/>
    <w:charset w:val="86"/>
    <w:family w:val="modern"/>
    <w:pitch w:val="default"/>
    <w:sig w:usb0="00000000" w:usb1="00000000" w:usb2="00000010" w:usb3="00000000" w:csb0="00040000"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_x0000_s2049"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_x0000_s2050"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_x0000_s2051" o:spid="_x0000_s2051"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20</w:t>
                </w:r>
                <w:r>
                  <w:rPr>
                    <w:rFonts w:hint="eastAsia"/>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w:pict>
        <v:shape id="_x0000_s2052" o:spid="_x0000_s2052"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6"/>
                </w:pPr>
                <w:r>
                  <w:rPr>
                    <w:rFonts w:hint="eastAsia"/>
                  </w:rPr>
                  <w:fldChar w:fldCharType="begin"/>
                </w:r>
                <w:r>
                  <w:rPr>
                    <w:rFonts w:hint="eastAsia"/>
                  </w:rPr>
                  <w:instrText xml:space="preserve"> PAGE  \* MERGEFORMAT </w:instrText>
                </w:r>
                <w:r>
                  <w:rPr>
                    <w:rFonts w:hint="eastAsia"/>
                  </w:rPr>
                  <w:fldChar w:fldCharType="separate"/>
                </w:r>
                <w:r>
                  <w:t>3</w:t>
                </w:r>
                <w:r>
                  <w:rPr>
                    <w:rFonts w:hint="eastAsia"/>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overflowPunct w:val="0"/>
      <w:adjustRightInd w:val="0"/>
      <w:jc w:val="both"/>
      <w:rPr>
        <w:kern w:val="18"/>
      </w:rPr>
    </w:pPr>
    <w:r>
      <w:pict>
        <v:shape id="文本框 6" o:spid="_x0000_s2053" o:spt="202" type="#_x0000_t202" style="position:absolute;left:0pt;margin-top:0pt;height:144pt;width:144pt;mso-position-horizontal:right;mso-position-horizontal-relative:margin;mso-wrap-style:none;z-index:251664384;mso-width-relative:page;mso-height-relative:page;" filled="f" stroked="f" coordsize="21600,21600">
          <v:path/>
          <v:fill on="f" focussize="0,0"/>
          <v:stroke on="f" joinstyle="miter"/>
          <v:imagedata o:title=""/>
          <o:lock v:ext="edit"/>
          <v:textbox inset="0mm,0mm,0mm,0mm" style="mso-fit-shape-to-text:t;">
            <w:txbxContent>
              <w:p>
                <w:pPr>
                  <w:ind w:firstLine="480"/>
                </w:pPr>
              </w:p>
            </w:txbxContent>
          </v:textbox>
        </v:shape>
      </w:pict>
    </w:r>
    <w:r>
      <w:rPr>
        <w:kern w:val="1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544FA"/>
    <w:rsid w:val="00044C1D"/>
    <w:rsid w:val="00061C63"/>
    <w:rsid w:val="000764EF"/>
    <w:rsid w:val="0010268A"/>
    <w:rsid w:val="001126AA"/>
    <w:rsid w:val="00127C10"/>
    <w:rsid w:val="001466E4"/>
    <w:rsid w:val="00162AA3"/>
    <w:rsid w:val="00165501"/>
    <w:rsid w:val="001722FC"/>
    <w:rsid w:val="002012D6"/>
    <w:rsid w:val="002212DC"/>
    <w:rsid w:val="00246EAC"/>
    <w:rsid w:val="00271E10"/>
    <w:rsid w:val="0028194A"/>
    <w:rsid w:val="00287600"/>
    <w:rsid w:val="002A261A"/>
    <w:rsid w:val="003423B5"/>
    <w:rsid w:val="003768FE"/>
    <w:rsid w:val="003A00CF"/>
    <w:rsid w:val="003C1A24"/>
    <w:rsid w:val="0040653C"/>
    <w:rsid w:val="00435CCC"/>
    <w:rsid w:val="004560C0"/>
    <w:rsid w:val="00461EF0"/>
    <w:rsid w:val="00475274"/>
    <w:rsid w:val="00506344"/>
    <w:rsid w:val="00515FDB"/>
    <w:rsid w:val="00585C5B"/>
    <w:rsid w:val="00597E65"/>
    <w:rsid w:val="005A65BF"/>
    <w:rsid w:val="005C68E0"/>
    <w:rsid w:val="00654D26"/>
    <w:rsid w:val="006678FC"/>
    <w:rsid w:val="006D4D91"/>
    <w:rsid w:val="00716DB1"/>
    <w:rsid w:val="00727194"/>
    <w:rsid w:val="00740A1B"/>
    <w:rsid w:val="007839F2"/>
    <w:rsid w:val="007C1D44"/>
    <w:rsid w:val="007C6EA2"/>
    <w:rsid w:val="007E36E0"/>
    <w:rsid w:val="00836A92"/>
    <w:rsid w:val="00877644"/>
    <w:rsid w:val="00883616"/>
    <w:rsid w:val="008B4D44"/>
    <w:rsid w:val="008B503E"/>
    <w:rsid w:val="008C226D"/>
    <w:rsid w:val="008C2CF2"/>
    <w:rsid w:val="008D6E14"/>
    <w:rsid w:val="008F1042"/>
    <w:rsid w:val="0093180F"/>
    <w:rsid w:val="009544FA"/>
    <w:rsid w:val="00971F08"/>
    <w:rsid w:val="00997586"/>
    <w:rsid w:val="009B4501"/>
    <w:rsid w:val="009D480F"/>
    <w:rsid w:val="009E47AB"/>
    <w:rsid w:val="00A05CFB"/>
    <w:rsid w:val="00A228E3"/>
    <w:rsid w:val="00A34C97"/>
    <w:rsid w:val="00A64411"/>
    <w:rsid w:val="00A73C26"/>
    <w:rsid w:val="00A94965"/>
    <w:rsid w:val="00AF2DB7"/>
    <w:rsid w:val="00B6010B"/>
    <w:rsid w:val="00B64255"/>
    <w:rsid w:val="00B65C8E"/>
    <w:rsid w:val="00B76C86"/>
    <w:rsid w:val="00BF2CC8"/>
    <w:rsid w:val="00C3650F"/>
    <w:rsid w:val="00C3676C"/>
    <w:rsid w:val="00CE6CF2"/>
    <w:rsid w:val="00CF336D"/>
    <w:rsid w:val="00D017A5"/>
    <w:rsid w:val="00D201F0"/>
    <w:rsid w:val="00DA385C"/>
    <w:rsid w:val="00DB138D"/>
    <w:rsid w:val="00DE1503"/>
    <w:rsid w:val="00E23869"/>
    <w:rsid w:val="00E26276"/>
    <w:rsid w:val="00E36608"/>
    <w:rsid w:val="00E41132"/>
    <w:rsid w:val="00E45316"/>
    <w:rsid w:val="00E842C1"/>
    <w:rsid w:val="00E922E5"/>
    <w:rsid w:val="00EE6971"/>
    <w:rsid w:val="00F660AA"/>
    <w:rsid w:val="00FA0C11"/>
    <w:rsid w:val="011E7D88"/>
    <w:rsid w:val="01664323"/>
    <w:rsid w:val="02055564"/>
    <w:rsid w:val="075F1593"/>
    <w:rsid w:val="0E054BDA"/>
    <w:rsid w:val="156E0E57"/>
    <w:rsid w:val="1A0E336F"/>
    <w:rsid w:val="1B0B1DB0"/>
    <w:rsid w:val="1CB12960"/>
    <w:rsid w:val="1EC90B77"/>
    <w:rsid w:val="1F3F5C44"/>
    <w:rsid w:val="20B42B19"/>
    <w:rsid w:val="20C878D6"/>
    <w:rsid w:val="20DF1C1E"/>
    <w:rsid w:val="217C73A0"/>
    <w:rsid w:val="21C96E07"/>
    <w:rsid w:val="222F48DF"/>
    <w:rsid w:val="22A841F6"/>
    <w:rsid w:val="24454E72"/>
    <w:rsid w:val="250716A0"/>
    <w:rsid w:val="260630E0"/>
    <w:rsid w:val="26893A2A"/>
    <w:rsid w:val="27DF3AEA"/>
    <w:rsid w:val="2AB74BB8"/>
    <w:rsid w:val="2BDB2623"/>
    <w:rsid w:val="2E564BC4"/>
    <w:rsid w:val="2F9F76F2"/>
    <w:rsid w:val="30764FEC"/>
    <w:rsid w:val="33AB64D0"/>
    <w:rsid w:val="35FB12D3"/>
    <w:rsid w:val="3637669C"/>
    <w:rsid w:val="36A66527"/>
    <w:rsid w:val="370C3CA3"/>
    <w:rsid w:val="38FE71CD"/>
    <w:rsid w:val="393D561B"/>
    <w:rsid w:val="3C061DF0"/>
    <w:rsid w:val="3DF930F4"/>
    <w:rsid w:val="3E657120"/>
    <w:rsid w:val="3FDE5F4F"/>
    <w:rsid w:val="428D6E4B"/>
    <w:rsid w:val="47245AC4"/>
    <w:rsid w:val="498878AA"/>
    <w:rsid w:val="4C260954"/>
    <w:rsid w:val="4CCD5321"/>
    <w:rsid w:val="4EAF687A"/>
    <w:rsid w:val="4F150787"/>
    <w:rsid w:val="553F076D"/>
    <w:rsid w:val="58CB7B3E"/>
    <w:rsid w:val="5A4E36E6"/>
    <w:rsid w:val="5A667C02"/>
    <w:rsid w:val="5B0A380D"/>
    <w:rsid w:val="5BAE713C"/>
    <w:rsid w:val="5D561948"/>
    <w:rsid w:val="5DD22003"/>
    <w:rsid w:val="60250027"/>
    <w:rsid w:val="64BB6F8A"/>
    <w:rsid w:val="65B10774"/>
    <w:rsid w:val="66CE6051"/>
    <w:rsid w:val="67244955"/>
    <w:rsid w:val="69A70B39"/>
    <w:rsid w:val="6B58349A"/>
    <w:rsid w:val="6B7926CA"/>
    <w:rsid w:val="6C7A6D6E"/>
    <w:rsid w:val="6D22394D"/>
    <w:rsid w:val="72F45F16"/>
    <w:rsid w:val="74EF7B00"/>
    <w:rsid w:val="756F3971"/>
    <w:rsid w:val="774311E9"/>
    <w:rsid w:val="7D7F35A0"/>
    <w:rsid w:val="7EB404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200" w:firstLineChars="200"/>
      <w:jc w:val="both"/>
    </w:pPr>
    <w:rPr>
      <w:rFonts w:ascii="Times New Roman" w:hAnsi="Times New Roman" w:eastAsiaTheme="minorEastAsia" w:cstheme="minorBidi"/>
      <w:kern w:val="2"/>
      <w:sz w:val="24"/>
      <w:szCs w:val="22"/>
      <w:lang w:val="en-US" w:eastAsia="zh-CN" w:bidi="ar-SA"/>
    </w:rPr>
  </w:style>
  <w:style w:type="paragraph" w:styleId="5">
    <w:name w:val="heading 1"/>
    <w:basedOn w:val="1"/>
    <w:next w:val="1"/>
    <w:link w:val="30"/>
    <w:qFormat/>
    <w:uiPriority w:val="9"/>
    <w:pPr>
      <w:keepNext/>
      <w:keepLines/>
      <w:adjustRightInd w:val="0"/>
      <w:snapToGrid w:val="0"/>
      <w:spacing w:before="200" w:after="200"/>
      <w:ind w:firstLine="0" w:firstLineChars="0"/>
      <w:outlineLvl w:val="0"/>
    </w:pPr>
    <w:rPr>
      <w:b/>
      <w:bCs/>
      <w:kern w:val="44"/>
      <w:sz w:val="30"/>
      <w:szCs w:val="44"/>
    </w:rPr>
  </w:style>
  <w:style w:type="paragraph" w:styleId="6">
    <w:name w:val="heading 2"/>
    <w:basedOn w:val="1"/>
    <w:next w:val="1"/>
    <w:link w:val="31"/>
    <w:unhideWhenUsed/>
    <w:qFormat/>
    <w:uiPriority w:val="9"/>
    <w:pPr>
      <w:keepNext/>
      <w:keepLines/>
      <w:spacing w:before="120" w:after="120"/>
      <w:ind w:firstLine="0" w:firstLineChars="0"/>
      <w:outlineLvl w:val="1"/>
    </w:pPr>
    <w:rPr>
      <w:rFonts w:eastAsiaTheme="majorEastAsia" w:cstheme="majorBidi"/>
      <w:b/>
      <w:bCs/>
      <w:sz w:val="28"/>
      <w:szCs w:val="32"/>
    </w:rPr>
  </w:style>
  <w:style w:type="paragraph" w:styleId="7">
    <w:name w:val="heading 3"/>
    <w:basedOn w:val="1"/>
    <w:next w:val="1"/>
    <w:link w:val="32"/>
    <w:unhideWhenUsed/>
    <w:qFormat/>
    <w:uiPriority w:val="9"/>
    <w:pPr>
      <w:keepNext/>
      <w:keepLines/>
      <w:adjustRightInd w:val="0"/>
      <w:snapToGrid w:val="0"/>
      <w:spacing w:before="100" w:after="100"/>
      <w:ind w:firstLine="0" w:firstLineChars="0"/>
      <w:outlineLvl w:val="2"/>
    </w:pPr>
    <w:rPr>
      <w:b/>
      <w:bCs/>
      <w:color w:val="FF0000"/>
      <w:szCs w:val="3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pPr>
  </w:style>
  <w:style w:type="paragraph" w:styleId="3">
    <w:name w:val="Body Text Indent"/>
    <w:basedOn w:val="1"/>
    <w:next w:val="4"/>
    <w:qFormat/>
    <w:uiPriority w:val="0"/>
    <w:pPr>
      <w:spacing w:after="120" w:line="360" w:lineRule="auto"/>
      <w:ind w:left="420" w:leftChars="200"/>
    </w:pPr>
    <w:rPr>
      <w:szCs w:val="20"/>
    </w:rPr>
  </w:style>
  <w:style w:type="paragraph" w:styleId="4">
    <w:name w:val="toc 3"/>
    <w:basedOn w:val="1"/>
    <w:next w:val="1"/>
    <w:unhideWhenUsed/>
    <w:qFormat/>
    <w:uiPriority w:val="39"/>
    <w:pPr>
      <w:ind w:left="840" w:leftChars="400"/>
    </w:pPr>
  </w:style>
  <w:style w:type="paragraph" w:styleId="8">
    <w:name w:val="Normal Indent"/>
    <w:basedOn w:val="1"/>
    <w:qFormat/>
    <w:uiPriority w:val="0"/>
    <w:pPr>
      <w:spacing w:line="240" w:lineRule="auto"/>
      <w:ind w:firstLine="420" w:firstLineChars="0"/>
    </w:pPr>
    <w:rPr>
      <w:sz w:val="21"/>
      <w:szCs w:val="20"/>
    </w:rPr>
  </w:style>
  <w:style w:type="paragraph" w:styleId="9">
    <w:name w:val="caption"/>
    <w:basedOn w:val="1"/>
    <w:next w:val="1"/>
    <w:qFormat/>
    <w:uiPriority w:val="35"/>
    <w:pPr>
      <w:spacing w:line="360" w:lineRule="auto"/>
      <w:ind w:firstLine="0" w:firstLineChars="0"/>
      <w:jc w:val="center"/>
    </w:pPr>
    <w:rPr>
      <w:rFonts w:ascii="黑体" w:hAnsi="黑体" w:eastAsia="黑体" w:cs="Times New Roman"/>
      <w:sz w:val="21"/>
      <w:szCs w:val="20"/>
    </w:rPr>
  </w:style>
  <w:style w:type="paragraph" w:styleId="10">
    <w:name w:val="Document Map"/>
    <w:basedOn w:val="1"/>
    <w:link w:val="53"/>
    <w:semiHidden/>
    <w:unhideWhenUsed/>
    <w:qFormat/>
    <w:uiPriority w:val="99"/>
    <w:rPr>
      <w:rFonts w:ascii="宋体" w:eastAsia="宋体"/>
      <w:sz w:val="18"/>
      <w:szCs w:val="18"/>
    </w:rPr>
  </w:style>
  <w:style w:type="paragraph" w:styleId="11">
    <w:name w:val="annotation text"/>
    <w:basedOn w:val="1"/>
    <w:link w:val="43"/>
    <w:qFormat/>
    <w:uiPriority w:val="0"/>
    <w:pPr>
      <w:spacing w:line="240" w:lineRule="auto"/>
      <w:ind w:firstLine="0" w:firstLineChars="0"/>
      <w:jc w:val="left"/>
    </w:pPr>
    <w:rPr>
      <w:rFonts w:asciiTheme="minorHAnsi" w:hAnsiTheme="minorHAnsi"/>
      <w:sz w:val="21"/>
      <w:szCs w:val="24"/>
    </w:rPr>
  </w:style>
  <w:style w:type="paragraph" w:styleId="12">
    <w:name w:val="Body Text"/>
    <w:basedOn w:val="1"/>
    <w:next w:val="1"/>
    <w:qFormat/>
    <w:uiPriority w:val="0"/>
    <w:pPr>
      <w:spacing w:after="120"/>
    </w:pPr>
  </w:style>
  <w:style w:type="paragraph" w:styleId="13">
    <w:name w:val="Plain Text"/>
    <w:basedOn w:val="1"/>
    <w:link w:val="44"/>
    <w:qFormat/>
    <w:uiPriority w:val="0"/>
    <w:pPr>
      <w:ind w:firstLine="0" w:firstLineChars="0"/>
    </w:pPr>
    <w:rPr>
      <w:rFonts w:ascii="宋体" w:hAnsi="Courier New"/>
      <w:sz w:val="28"/>
      <w:szCs w:val="20"/>
    </w:rPr>
  </w:style>
  <w:style w:type="paragraph" w:styleId="14">
    <w:name w:val="Date"/>
    <w:basedOn w:val="1"/>
    <w:next w:val="1"/>
    <w:link w:val="40"/>
    <w:semiHidden/>
    <w:unhideWhenUsed/>
    <w:qFormat/>
    <w:uiPriority w:val="99"/>
    <w:pPr>
      <w:ind w:left="100" w:leftChars="2500"/>
    </w:pPr>
  </w:style>
  <w:style w:type="paragraph" w:styleId="15">
    <w:name w:val="Balloon Text"/>
    <w:basedOn w:val="1"/>
    <w:link w:val="37"/>
    <w:unhideWhenUsed/>
    <w:qFormat/>
    <w:uiPriority w:val="0"/>
    <w:pPr>
      <w:spacing w:line="240" w:lineRule="auto"/>
    </w:pPr>
    <w:rPr>
      <w:sz w:val="18"/>
      <w:szCs w:val="18"/>
    </w:rPr>
  </w:style>
  <w:style w:type="paragraph" w:styleId="16">
    <w:name w:val="footer"/>
    <w:basedOn w:val="1"/>
    <w:link w:val="45"/>
    <w:qFormat/>
    <w:uiPriority w:val="99"/>
    <w:pPr>
      <w:tabs>
        <w:tab w:val="center" w:pos="4153"/>
        <w:tab w:val="right" w:pos="8306"/>
      </w:tabs>
      <w:snapToGrid w:val="0"/>
      <w:spacing w:line="240" w:lineRule="auto"/>
      <w:ind w:firstLine="0" w:firstLineChars="0"/>
      <w:jc w:val="left"/>
    </w:pPr>
    <w:rPr>
      <w:rFonts w:asciiTheme="minorHAnsi" w:hAnsiTheme="minorHAnsi"/>
      <w:sz w:val="18"/>
      <w:szCs w:val="18"/>
    </w:rPr>
  </w:style>
  <w:style w:type="paragraph" w:styleId="17">
    <w:name w:val="header"/>
    <w:basedOn w:val="1"/>
    <w:link w:val="46"/>
    <w:qFormat/>
    <w:uiPriority w:val="0"/>
    <w:pPr>
      <w:pBdr>
        <w:bottom w:val="single" w:color="auto" w:sz="6" w:space="1"/>
      </w:pBdr>
      <w:tabs>
        <w:tab w:val="center" w:pos="4153"/>
        <w:tab w:val="right" w:pos="8306"/>
      </w:tabs>
      <w:snapToGrid w:val="0"/>
      <w:spacing w:line="240" w:lineRule="auto"/>
      <w:ind w:firstLine="0" w:firstLineChars="0"/>
      <w:jc w:val="center"/>
    </w:pPr>
    <w:rPr>
      <w:rFonts w:asciiTheme="minorHAnsi" w:hAnsiTheme="minorHAnsi"/>
      <w:sz w:val="18"/>
      <w:szCs w:val="18"/>
    </w:rPr>
  </w:style>
  <w:style w:type="paragraph" w:styleId="18">
    <w:name w:val="toc 1"/>
    <w:basedOn w:val="1"/>
    <w:next w:val="1"/>
    <w:unhideWhenUsed/>
    <w:qFormat/>
    <w:uiPriority w:val="39"/>
  </w:style>
  <w:style w:type="paragraph" w:styleId="19">
    <w:name w:val="toc 2"/>
    <w:basedOn w:val="1"/>
    <w:next w:val="1"/>
    <w:unhideWhenUsed/>
    <w:qFormat/>
    <w:uiPriority w:val="39"/>
    <w:pPr>
      <w:ind w:left="420" w:leftChars="200"/>
    </w:pPr>
  </w:style>
  <w:style w:type="paragraph" w:styleId="20">
    <w:name w:val="HTML Preformatted"/>
    <w:basedOn w:val="1"/>
    <w:link w:val="47"/>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PingFang SC" w:hAnsi="PingFang SC" w:eastAsia="PingFang SC" w:cs="Times New Roman"/>
      <w:kern w:val="0"/>
      <w:szCs w:val="24"/>
    </w:rPr>
  </w:style>
  <w:style w:type="paragraph" w:styleId="21">
    <w:name w:val="Normal (Web)"/>
    <w:basedOn w:val="1"/>
    <w:qFormat/>
    <w:uiPriority w:val="0"/>
    <w:pPr>
      <w:widowControl/>
      <w:spacing w:before="100" w:beforeAutospacing="1" w:after="100" w:afterAutospacing="1" w:line="240" w:lineRule="auto"/>
      <w:ind w:firstLine="0" w:firstLineChars="0"/>
      <w:jc w:val="left"/>
    </w:pPr>
    <w:rPr>
      <w:rFonts w:ascii="宋体" w:hAnsi="宋体"/>
      <w:kern w:val="0"/>
      <w:szCs w:val="24"/>
    </w:rPr>
  </w:style>
  <w:style w:type="paragraph" w:styleId="22">
    <w:name w:val="annotation subject"/>
    <w:basedOn w:val="11"/>
    <w:next w:val="11"/>
    <w:link w:val="48"/>
    <w:qFormat/>
    <w:uiPriority w:val="0"/>
    <w:rPr>
      <w:b/>
      <w:bCs/>
    </w:rPr>
  </w:style>
  <w:style w:type="table" w:styleId="24">
    <w:name w:val="Table Grid"/>
    <w:basedOn w:val="23"/>
    <w:qFormat/>
    <w:uiPriority w:val="3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6">
    <w:name w:val="Strong"/>
    <w:basedOn w:val="25"/>
    <w:qFormat/>
    <w:uiPriority w:val="22"/>
    <w:rPr>
      <w:b/>
      <w:bCs/>
    </w:rPr>
  </w:style>
  <w:style w:type="character" w:styleId="27">
    <w:name w:val="Hyperlink"/>
    <w:basedOn w:val="25"/>
    <w:unhideWhenUsed/>
    <w:qFormat/>
    <w:uiPriority w:val="99"/>
    <w:rPr>
      <w:color w:val="0000FF" w:themeColor="hyperlink"/>
      <w:u w:val="single"/>
    </w:rPr>
  </w:style>
  <w:style w:type="character" w:styleId="28">
    <w:name w:val="annotation reference"/>
    <w:basedOn w:val="25"/>
    <w:qFormat/>
    <w:uiPriority w:val="0"/>
    <w:rPr>
      <w:sz w:val="21"/>
      <w:szCs w:val="21"/>
    </w:rPr>
  </w:style>
  <w:style w:type="paragraph" w:customStyle="1" w:styleId="29">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30">
    <w:name w:val="标题 1 字符"/>
    <w:basedOn w:val="25"/>
    <w:link w:val="5"/>
    <w:qFormat/>
    <w:uiPriority w:val="9"/>
    <w:rPr>
      <w:rFonts w:eastAsiaTheme="minorEastAsia" w:cstheme="minorBidi"/>
      <w:b/>
      <w:bCs/>
      <w:kern w:val="44"/>
      <w:sz w:val="30"/>
      <w:szCs w:val="44"/>
    </w:rPr>
  </w:style>
  <w:style w:type="character" w:customStyle="1" w:styleId="31">
    <w:name w:val="标题 2 字符"/>
    <w:basedOn w:val="25"/>
    <w:link w:val="6"/>
    <w:qFormat/>
    <w:uiPriority w:val="9"/>
    <w:rPr>
      <w:rFonts w:eastAsiaTheme="majorEastAsia" w:cstheme="majorBidi"/>
      <w:b/>
      <w:bCs/>
      <w:kern w:val="2"/>
      <w:sz w:val="28"/>
      <w:szCs w:val="32"/>
    </w:rPr>
  </w:style>
  <w:style w:type="character" w:customStyle="1" w:styleId="32">
    <w:name w:val="标题 3 字符"/>
    <w:basedOn w:val="25"/>
    <w:link w:val="7"/>
    <w:qFormat/>
    <w:uiPriority w:val="9"/>
    <w:rPr>
      <w:rFonts w:eastAsiaTheme="minorEastAsia" w:cstheme="minorBidi"/>
      <w:b/>
      <w:bCs/>
      <w:color w:val="FF0000"/>
      <w:kern w:val="2"/>
      <w:sz w:val="24"/>
      <w:szCs w:val="32"/>
    </w:rPr>
  </w:style>
  <w:style w:type="paragraph" w:customStyle="1" w:styleId="33">
    <w:name w:val="Table Paragraph"/>
    <w:basedOn w:val="1"/>
    <w:qFormat/>
    <w:uiPriority w:val="1"/>
    <w:pPr>
      <w:autoSpaceDE w:val="0"/>
      <w:autoSpaceDN w:val="0"/>
      <w:jc w:val="left"/>
    </w:pPr>
    <w:rPr>
      <w:rFonts w:ascii="Noto Sans Mono CJK JP Regular" w:hAnsi="Noto Sans Mono CJK JP Regular" w:eastAsia="Noto Sans Mono CJK JP Regular" w:cs="Noto Sans Mono CJK JP Regular"/>
      <w:kern w:val="0"/>
      <w:sz w:val="22"/>
      <w:lang w:eastAsia="en-US"/>
    </w:rPr>
  </w:style>
  <w:style w:type="character" w:customStyle="1" w:styleId="34">
    <w:name w:val="fontstyle01"/>
    <w:basedOn w:val="25"/>
    <w:qFormat/>
    <w:uiPriority w:val="0"/>
    <w:rPr>
      <w:rFonts w:hint="eastAsia" w:ascii="宋体" w:hAnsi="宋体" w:eastAsia="宋体"/>
      <w:color w:val="000000"/>
      <w:sz w:val="24"/>
      <w:szCs w:val="24"/>
    </w:rPr>
  </w:style>
  <w:style w:type="character" w:customStyle="1" w:styleId="35">
    <w:name w:val="fontstyle21"/>
    <w:basedOn w:val="25"/>
    <w:qFormat/>
    <w:uiPriority w:val="0"/>
    <w:rPr>
      <w:rFonts w:hint="default" w:ascii="TimesNewRomanPSMT" w:hAnsi="TimesNewRomanPSMT"/>
      <w:color w:val="000000"/>
      <w:sz w:val="24"/>
      <w:szCs w:val="24"/>
    </w:rPr>
  </w:style>
  <w:style w:type="paragraph" w:customStyle="1" w:styleId="36">
    <w:name w:val="_Style 11"/>
    <w:basedOn w:val="1"/>
    <w:qFormat/>
    <w:uiPriority w:val="34"/>
    <w:pPr>
      <w:ind w:firstLine="420"/>
    </w:pPr>
    <w:rPr>
      <w:rFonts w:eastAsia="宋体" w:cs="黑体"/>
    </w:rPr>
  </w:style>
  <w:style w:type="character" w:customStyle="1" w:styleId="37">
    <w:name w:val="批注框文本 字符"/>
    <w:basedOn w:val="25"/>
    <w:link w:val="15"/>
    <w:qFormat/>
    <w:uiPriority w:val="0"/>
    <w:rPr>
      <w:rFonts w:ascii="Times New Roman" w:hAnsi="Times New Roman"/>
      <w:sz w:val="18"/>
      <w:szCs w:val="18"/>
    </w:rPr>
  </w:style>
  <w:style w:type="character" w:customStyle="1" w:styleId="38">
    <w:name w:val="段落 Char"/>
    <w:link w:val="39"/>
    <w:qFormat/>
    <w:uiPriority w:val="99"/>
    <w:rPr>
      <w:rFonts w:ascii="Times New Roman" w:hAnsi="Times New Roman" w:eastAsia="宋体" w:cs="宋体"/>
      <w:sz w:val="24"/>
      <w:szCs w:val="24"/>
      <w:lang w:val="zh-CN"/>
    </w:rPr>
  </w:style>
  <w:style w:type="paragraph" w:customStyle="1" w:styleId="39">
    <w:name w:val="段落"/>
    <w:basedOn w:val="1"/>
    <w:next w:val="1"/>
    <w:link w:val="38"/>
    <w:qFormat/>
    <w:uiPriority w:val="99"/>
    <w:pPr>
      <w:ind w:firstLine="480"/>
    </w:pPr>
    <w:rPr>
      <w:rFonts w:eastAsia="宋体" w:cs="宋体"/>
      <w:szCs w:val="24"/>
      <w:lang w:val="zh-CN"/>
    </w:rPr>
  </w:style>
  <w:style w:type="character" w:customStyle="1" w:styleId="40">
    <w:name w:val="日期 字符"/>
    <w:basedOn w:val="25"/>
    <w:link w:val="14"/>
    <w:semiHidden/>
    <w:qFormat/>
    <w:uiPriority w:val="99"/>
    <w:rPr>
      <w:rFonts w:ascii="Times New Roman" w:hAnsi="Times New Roman"/>
      <w:sz w:val="24"/>
    </w:rPr>
  </w:style>
  <w:style w:type="character" w:customStyle="1" w:styleId="41">
    <w:name w:val="fontstyle31"/>
    <w:basedOn w:val="25"/>
    <w:qFormat/>
    <w:uiPriority w:val="0"/>
    <w:rPr>
      <w:rFonts w:hint="default" w:ascii="TimesNewRomanPSMT" w:hAnsi="TimesNewRomanPSMT"/>
      <w:color w:val="000000"/>
      <w:sz w:val="24"/>
      <w:szCs w:val="24"/>
    </w:rPr>
  </w:style>
  <w:style w:type="character" w:customStyle="1" w:styleId="42">
    <w:name w:val="fontstyle11"/>
    <w:basedOn w:val="25"/>
    <w:qFormat/>
    <w:uiPriority w:val="0"/>
    <w:rPr>
      <w:rFonts w:hint="eastAsia" w:ascii="宋体" w:hAnsi="宋体" w:eastAsia="宋体"/>
      <w:color w:val="000000"/>
      <w:sz w:val="24"/>
      <w:szCs w:val="24"/>
    </w:rPr>
  </w:style>
  <w:style w:type="character" w:customStyle="1" w:styleId="43">
    <w:name w:val="批注文字 字符"/>
    <w:basedOn w:val="25"/>
    <w:link w:val="11"/>
    <w:qFormat/>
    <w:uiPriority w:val="0"/>
    <w:rPr>
      <w:szCs w:val="24"/>
    </w:rPr>
  </w:style>
  <w:style w:type="character" w:customStyle="1" w:styleId="44">
    <w:name w:val="纯文本 字符"/>
    <w:basedOn w:val="25"/>
    <w:link w:val="13"/>
    <w:qFormat/>
    <w:uiPriority w:val="0"/>
    <w:rPr>
      <w:rFonts w:ascii="宋体" w:hAnsi="Courier New"/>
      <w:sz w:val="28"/>
      <w:szCs w:val="20"/>
    </w:rPr>
  </w:style>
  <w:style w:type="character" w:customStyle="1" w:styleId="45">
    <w:name w:val="页脚 字符"/>
    <w:basedOn w:val="25"/>
    <w:link w:val="16"/>
    <w:qFormat/>
    <w:uiPriority w:val="99"/>
    <w:rPr>
      <w:sz w:val="18"/>
      <w:szCs w:val="18"/>
    </w:rPr>
  </w:style>
  <w:style w:type="character" w:customStyle="1" w:styleId="46">
    <w:name w:val="页眉 字符"/>
    <w:basedOn w:val="25"/>
    <w:link w:val="17"/>
    <w:qFormat/>
    <w:uiPriority w:val="0"/>
    <w:rPr>
      <w:sz w:val="18"/>
      <w:szCs w:val="18"/>
    </w:rPr>
  </w:style>
  <w:style w:type="character" w:customStyle="1" w:styleId="47">
    <w:name w:val="HTML 预设格式 字符"/>
    <w:basedOn w:val="25"/>
    <w:link w:val="20"/>
    <w:qFormat/>
    <w:uiPriority w:val="0"/>
    <w:rPr>
      <w:rFonts w:ascii="PingFang SC" w:hAnsi="PingFang SC" w:eastAsia="PingFang SC" w:cs="Times New Roman"/>
      <w:kern w:val="0"/>
      <w:sz w:val="24"/>
      <w:szCs w:val="24"/>
    </w:rPr>
  </w:style>
  <w:style w:type="character" w:customStyle="1" w:styleId="48">
    <w:name w:val="批注主题 字符"/>
    <w:basedOn w:val="43"/>
    <w:link w:val="22"/>
    <w:qFormat/>
    <w:uiPriority w:val="0"/>
    <w:rPr>
      <w:b/>
      <w:bCs/>
      <w:szCs w:val="24"/>
    </w:rPr>
  </w:style>
  <w:style w:type="paragraph" w:customStyle="1" w:styleId="49">
    <w:name w:val="p0"/>
    <w:basedOn w:val="1"/>
    <w:qFormat/>
    <w:uiPriority w:val="0"/>
    <w:pPr>
      <w:spacing w:line="240" w:lineRule="auto"/>
      <w:ind w:firstLine="0" w:firstLineChars="0"/>
    </w:pPr>
    <w:rPr>
      <w:rFonts w:asciiTheme="minorHAnsi" w:hAnsiTheme="minorHAnsi"/>
      <w:sz w:val="21"/>
      <w:szCs w:val="24"/>
    </w:rPr>
  </w:style>
  <w:style w:type="character" w:customStyle="1" w:styleId="50">
    <w:name w:val="font21"/>
    <w:basedOn w:val="25"/>
    <w:qFormat/>
    <w:uiPriority w:val="0"/>
    <w:rPr>
      <w:rFonts w:hint="default" w:ascii="Times New Roman" w:hAnsi="Times New Roman" w:cs="Times New Roman"/>
      <w:color w:val="000000"/>
      <w:sz w:val="21"/>
      <w:szCs w:val="21"/>
      <w:u w:val="none"/>
    </w:rPr>
  </w:style>
  <w:style w:type="character" w:customStyle="1" w:styleId="51">
    <w:name w:val="font11"/>
    <w:basedOn w:val="25"/>
    <w:qFormat/>
    <w:uiPriority w:val="0"/>
    <w:rPr>
      <w:rFonts w:ascii="宋体" w:hAnsi="宋体" w:eastAsia="宋体" w:cs="宋体"/>
      <w:color w:val="000000"/>
      <w:sz w:val="21"/>
      <w:szCs w:val="21"/>
      <w:u w:val="none"/>
    </w:rPr>
  </w:style>
  <w:style w:type="paragraph" w:customStyle="1" w:styleId="52">
    <w:name w:val="TOC 标题1"/>
    <w:basedOn w:val="5"/>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 w:type="character" w:customStyle="1" w:styleId="53">
    <w:name w:val="文档结构图 字符"/>
    <w:basedOn w:val="25"/>
    <w:link w:val="10"/>
    <w:semiHidden/>
    <w:qFormat/>
    <w:uiPriority w:val="99"/>
    <w:rPr>
      <w:rFonts w:ascii="宋体" w:hAnsi="Times New Roman" w:eastAsia="宋体"/>
      <w:sz w:val="18"/>
      <w:szCs w:val="18"/>
    </w:rPr>
  </w:style>
  <w:style w:type="paragraph" w:customStyle="1" w:styleId="54">
    <w:name w:val="图表名称"/>
    <w:basedOn w:val="1"/>
    <w:qFormat/>
    <w:uiPriority w:val="0"/>
    <w:pPr>
      <w:widowControl/>
      <w:jc w:val="center"/>
    </w:pPr>
    <w:rPr>
      <w:rFonts w:eastAsia="黑体" w:cs="Times New Roman"/>
      <w:kern w:val="0"/>
      <w:szCs w:val="24"/>
    </w:rPr>
  </w:style>
  <w:style w:type="paragraph" w:customStyle="1" w:styleId="55">
    <w:name w:val="何松表格内容"/>
    <w:next w:val="1"/>
    <w:qFormat/>
    <w:uiPriority w:val="0"/>
    <w:pPr>
      <w:adjustRightInd w:val="0"/>
      <w:snapToGrid w:val="0"/>
      <w:jc w:val="center"/>
    </w:pPr>
    <w:rPr>
      <w:rFonts w:ascii="Times New Roman" w:hAnsi="Times New Roman" w:eastAsia="宋体" w:cs="Times New Roman"/>
      <w:sz w:val="21"/>
      <w:szCs w:val="24"/>
      <w:lang w:val="en-US" w:eastAsia="zh-CN" w:bidi="ar-SA"/>
    </w:rPr>
  </w:style>
  <w:style w:type="paragraph" w:customStyle="1" w:styleId="56">
    <w:name w:val="表格"/>
    <w:basedOn w:val="1"/>
    <w:qFormat/>
    <w:uiPriority w:val="0"/>
    <w:pPr>
      <w:spacing w:line="240" w:lineRule="auto"/>
      <w:ind w:firstLine="0" w:firstLineChars="0"/>
      <w:jc w:val="center"/>
      <w:textAlignment w:val="baseline"/>
    </w:pPr>
    <w:rPr>
      <w:rFonts w:eastAsia="宋体" w:cs="黑体"/>
      <w:kern w:val="0"/>
      <w:sz w:val="21"/>
      <w:szCs w:val="20"/>
    </w:rPr>
  </w:style>
  <w:style w:type="paragraph" w:customStyle="1" w:styleId="57">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8">
    <w:name w:val="表格格式"/>
    <w:basedOn w:val="8"/>
    <w:qFormat/>
    <w:uiPriority w:val="0"/>
    <w:pPr>
      <w:ind w:firstLine="0"/>
      <w:jc w:val="center"/>
    </w:pPr>
    <w:rPr>
      <w:rFonts w:eastAsia="宋体"/>
    </w:rPr>
  </w:style>
  <w:style w:type="paragraph" w:customStyle="1" w:styleId="59">
    <w:name w:val="何松表格格式"/>
    <w:basedOn w:val="1"/>
    <w:next w:val="1"/>
    <w:qFormat/>
    <w:uiPriority w:val="0"/>
    <w:pPr>
      <w:framePr w:hSpace="180" w:wrap="around" w:vAnchor="text" w:hAnchor="text" w:y="1"/>
      <w:suppressOverlap/>
      <w:autoSpaceDE w:val="0"/>
      <w:autoSpaceDN w:val="0"/>
      <w:spacing w:line="240" w:lineRule="auto"/>
      <w:ind w:firstLine="0" w:firstLineChars="0"/>
      <w:jc w:val="center"/>
    </w:pPr>
    <w:rPr>
      <w:rFonts w:eastAsia="宋体" w:cs="宋体"/>
      <w:kern w:val="0"/>
      <w:sz w:val="21"/>
      <w:lang w:val="zh-CN" w:bidi="zh-CN"/>
    </w:rPr>
  </w:style>
  <w:style w:type="paragraph" w:customStyle="1" w:styleId="60">
    <w:name w:val="何松表头"/>
    <w:basedOn w:val="1"/>
    <w:qFormat/>
    <w:uiPriority w:val="0"/>
    <w:pPr>
      <w:autoSpaceDE w:val="0"/>
      <w:autoSpaceDN w:val="0"/>
      <w:spacing w:line="240" w:lineRule="auto"/>
      <w:ind w:firstLine="0" w:firstLineChars="0"/>
      <w:jc w:val="center"/>
    </w:pPr>
    <w:rPr>
      <w:rFonts w:cs="Times New Roman"/>
      <w:b/>
      <w:kern w:val="0"/>
      <w:sz w:val="21"/>
      <w:lang w:bidi="zh-CN"/>
    </w:rPr>
  </w:style>
  <w:style w:type="paragraph" w:customStyle="1" w:styleId="61">
    <w:name w:val="何松正文"/>
    <w:basedOn w:val="1"/>
    <w:qFormat/>
    <w:uiPriority w:val="0"/>
    <w:pPr>
      <w:adjustRightInd w:val="0"/>
      <w:snapToGrid w:val="0"/>
      <w:ind w:firstLine="480"/>
    </w:pPr>
    <w:rPr>
      <w:rFonts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customXml" Target="../customXml/item1.xml"/><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49"/>
    <customShpInfo spid="_x0000_s2050"/>
    <customShpInfo spid="_x0000_s2053"/>
    <customShpInfo spid="_x0000_s2051"/>
    <customShpInfo spid="_x0000_s2052"/>
    <customShpInfo spid="_x0000_s1026"/>
    <customShpInfo spid="_x0000_s1029"/>
    <customShpInfo spid="_x0000_s1031"/>
    <customShpInfo spid="_x0000_s103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1D76A8-4D2A-4FE1-BA87-09A67664423D}">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40</Pages>
  <Words>3125</Words>
  <Characters>17819</Characters>
  <Lines>148</Lines>
  <Paragraphs>41</Paragraphs>
  <TotalTime>298</TotalTime>
  <ScaleCrop>false</ScaleCrop>
  <LinksUpToDate>false</LinksUpToDate>
  <CharactersWithSpaces>20903</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2019-09-16T07:25:00Z</dcterms:created>
  <dc:creator>张腾腾</dc:creator>
  <cp:lastModifiedBy>Administrator</cp:lastModifiedBy>
  <cp:lastPrinted>2019-09-17T02:52:00Z</cp:lastPrinted>
  <dcterms:modified xsi:type="dcterms:W3CDTF">2022-01-20T07:16:19Z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EA01E68769F14BB0B4F8F7C27C8745A1</vt:lpwstr>
  </property>
</Properties>
</file>